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1"/>
        <w:rPr>
          <w:rFonts w:ascii="黑体" w:eastAsia="黑体" w:hAnsi="宋体" w:cs="黑体" w:hint="eastAsia"/>
          <w:sz w:val="40"/>
          <w:szCs w:val="40"/>
          <w:lang w:eastAsia="zh-CN"/>
        </w:rPr>
      </w:pPr>
      <w:bookmarkStart w:id="0" w:name="_Hlk71456902"/>
      <w:r>
        <w:rPr>
          <w:rFonts w:ascii="黑体" w:eastAsia="黑体" w:hAnsi="宋体" w:cs="黑体" w:hint="eastAsia"/>
          <w:sz w:val="40"/>
          <w:szCs w:val="40"/>
          <w:lang w:eastAsia="zh-CN"/>
        </w:rPr>
        <w:t>谈判文件信息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3141"/>
        <w:gridCol w:w="6020"/>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SZZXCG-2025-00031</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项目名称：</w:t>
            </w:r>
          </w:p>
        </w:tc>
        <w:tc>
          <w:tcPr>
            <w:tcW w:w="5220" w:type="dxa"/>
            <w:shd w:val="clear" w:color="auto" w:fill="auto"/>
            <w:vAlign w:val="center"/>
          </w:tcPr>
          <w:p>
            <w:pPr>
              <w:widowControl/>
              <w:jc w:val="left"/>
              <w:rPr>
                <w:rFonts w:eastAsia="宋体"/>
                <w:kern w:val="2"/>
                <w:sz w:val="30"/>
                <w:szCs w:val="30"/>
                <w:lang w:eastAsia="zh-CN"/>
              </w:rPr>
            </w:pPr>
            <w:bookmarkStart w:id="1" w:name="OLE_LINK5"/>
            <w:r>
              <w:rPr>
                <w:rFonts w:hint="eastAsia"/>
                <w:sz w:val="30"/>
                <w:szCs w:val="30"/>
              </w:rPr>
              <w:t>深圳医学科学院粤港澳大湾区国际临床试验中心场地租赁</w:t>
            </w:r>
            <w:bookmarkEnd w:id="1"/>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bidi="ar"/>
              </w:rPr>
              <w:t>服务</w:t>
            </w:r>
            <w:r>
              <w:rPr>
                <w:rFonts w:ascii="宋体" w:eastAsia="宋体" w:hAnsi="宋体" w:cs="宋体"/>
                <w:sz w:val="30"/>
                <w:szCs w:val="30"/>
                <w:lang w:eastAsia="zh-CN" w:bidi="ar"/>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采购方式：</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单一来源采购</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bidi="ar"/>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hint="eastAsia"/>
                <w:sz w:val="30"/>
                <w:szCs w:val="30"/>
                <w:lang w:eastAsia="zh-CN" w:bidi="ar"/>
              </w:rPr>
              <w:t>评审</w:t>
            </w:r>
            <w:r>
              <w:rPr>
                <w:rFonts w:ascii="宋体" w:eastAsia="宋体" w:hAnsi="宋体" w:cs="宋体"/>
                <w:sz w:val="30"/>
                <w:szCs w:val="30"/>
                <w:lang w:eastAsia="zh-CN" w:bidi="ar"/>
              </w:rPr>
              <w:t>方法：</w:t>
            </w:r>
          </w:p>
        </w:tc>
        <w:tc>
          <w:tcPr>
            <w:tcW w:w="5220" w:type="dxa"/>
            <w:shd w:val="clear" w:color="auto" w:fill="auto"/>
            <w:vAlign w:val="center"/>
          </w:tcPr>
          <w:p>
            <w:pPr>
              <w:widowControl/>
              <w:jc w:val="left"/>
              <w:rPr>
                <w:rFonts w:eastAsia="宋体"/>
                <w:kern w:val="2"/>
                <w:sz w:val="30"/>
                <w:szCs w:val="30"/>
                <w:lang w:eastAsia="zh-CN"/>
              </w:rPr>
            </w:pPr>
            <w:r>
              <w:rPr>
                <w:rFonts w:ascii="宋体" w:hAnsi="宋体" w:cs="宋体" w:hint="eastAsia"/>
                <w:sz w:val="30"/>
                <w:szCs w:val="30"/>
                <w:lang w:bidi="ar"/>
              </w:rPr>
              <w:t>最低价法</w:t>
            </w:r>
          </w:p>
        </w:tc>
      </w:tr>
      <w:bookmarkEnd w:id="0"/>
    </w:tbl>
    <w:p>
      <w:pPr>
        <w:widowControl w:val="0"/>
        <w:jc w:val="both"/>
        <w:rPr>
          <w:rFonts w:ascii="宋体" w:eastAsia="宋体" w:hAnsi="Courier New"/>
          <w:kern w:val="2"/>
          <w:sz w:val="21"/>
          <w:szCs w:val="20"/>
          <w:lang w:eastAsia="zh-CN"/>
        </w:rPr>
      </w:pPr>
    </w:p>
    <w:p>
      <w:pPr>
        <w:widowControl/>
        <w:spacing w:beforeAutospacing="1" w:afterAutospacing="1"/>
        <w:jc w:val="center"/>
        <w:outlineLvl w:val="1"/>
        <w:rPr>
          <w:rFonts w:ascii="黑体" w:eastAsia="黑体" w:hAnsi="宋体" w:cs="黑体" w:hint="eastAsia"/>
          <w:sz w:val="40"/>
          <w:szCs w:val="40"/>
          <w:lang w:eastAsia="zh-CN"/>
        </w:rPr>
        <w:sectPr>
          <w:footerReference w:type="even" r:id="rId4"/>
          <w:footerReference w:type="default" r:id="rId5"/>
          <w:headerReference w:type="first" r:id="rId6"/>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kern w:val="2"/>
                <w:sz w:val="21"/>
                <w:szCs w:val="21"/>
                <w:lang w:eastAsia="zh-CN"/>
              </w:rPr>
              <w:t>供应商不符合项目资格要求，或未提交相应的资格证明资料</w:t>
            </w:r>
            <w:r>
              <w:rPr>
                <w:rFonts w:ascii="宋体" w:eastAsia="宋体" w:hAnsi="宋体" w:cs="宋体"/>
                <w:sz w:val="21"/>
                <w:szCs w:val="21"/>
                <w:lang w:eastAsia="zh-CN" w:bidi="ar"/>
              </w:rPr>
              <w:t>（详见</w:t>
            </w:r>
            <w:r>
              <w:rPr>
                <w:rFonts w:ascii="宋体" w:eastAsia="宋体" w:hAnsi="宋体" w:cs="宋体" w:hint="eastAsia"/>
                <w:sz w:val="21"/>
                <w:szCs w:val="21"/>
                <w:lang w:eastAsia="zh-CN" w:bidi="ar"/>
              </w:rPr>
              <w:t>谈判公告</w:t>
            </w:r>
            <w:r>
              <w:rPr>
                <w:rFonts w:ascii="宋体" w:eastAsia="宋体" w:hAnsi="宋体" w:cs="宋体" w:hint="eastAsia"/>
                <w:kern w:val="2"/>
                <w:sz w:val="21"/>
                <w:szCs w:val="21"/>
                <w:lang w:eastAsia="zh-CN" w:bidi="ar"/>
              </w:rPr>
              <w:t>供应商</w:t>
            </w:r>
            <w:r>
              <w:rPr>
                <w:rFonts w:ascii="宋体" w:eastAsia="宋体" w:hAnsi="宋体" w:hint="eastAsia"/>
                <w:kern w:val="2"/>
                <w:sz w:val="21"/>
                <w:szCs w:val="21"/>
                <w:lang w:eastAsia="zh-CN"/>
              </w:rPr>
              <w:t>资格要求，即申请人的资格要求</w:t>
            </w:r>
            <w:r>
              <w:rPr>
                <w:rFonts w:ascii="宋体" w:eastAsia="宋体" w:hAnsi="宋体" w:cs="宋体"/>
                <w:sz w:val="21"/>
                <w:szCs w:val="21"/>
                <w:lang w:eastAsia="zh-CN" w:bidi="ar"/>
              </w:rPr>
              <w:t>）</w:t>
            </w:r>
            <w:r>
              <w:rPr>
                <w:rFonts w:eastAsia="宋体"/>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供应商缺席谈判的；</w:t>
            </w:r>
          </w:p>
        </w:tc>
      </w:tr>
    </w:tbl>
    <w:p>
      <w:pPr>
        <w:widowControl/>
        <w:spacing w:before="280" w:beforeAutospacing="0"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812"/>
        <w:gridCol w:w="8475"/>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bidi="ar"/>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不得将一个包的内容拆开进行应答；</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lang w:eastAsia="zh-CN"/>
              </w:rPr>
            </w:pPr>
            <w:r>
              <w:rPr>
                <w:rFonts w:eastAsia="宋体" w:hint="eastAsia"/>
                <w:kern w:val="2"/>
                <w:sz w:val="21"/>
                <w:lang w:eastAsia="zh-CN"/>
              </w:rPr>
              <w:t>不得</w:t>
            </w:r>
            <w:r>
              <w:rPr>
                <w:rFonts w:eastAsia="宋体"/>
                <w:kern w:val="2"/>
                <w:sz w:val="21"/>
                <w:szCs w:val="21"/>
                <w:lang w:eastAsia="zh-CN"/>
              </w:rPr>
              <w:t>以他人的名义参与谈判、相互串通进行谈判、以行贿手段谋取成交或者以其他弄虚作假方式谈判；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不得对同一项目提供两套以上的应答方案（谈判文件另有规定的除外）；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分项报价或谈判应答总价不得高于</w:t>
            </w:r>
            <w:bookmarkStart w:id="2" w:name="_Hlk71832186"/>
            <w:r>
              <w:rPr>
                <w:rFonts w:eastAsia="宋体" w:hint="eastAsia"/>
                <w:kern w:val="2"/>
                <w:sz w:val="21"/>
                <w:lang w:eastAsia="zh-CN"/>
              </w:rPr>
              <w:t>相应的预算金额（或设定的预算金额下的最高限价）</w:t>
            </w:r>
            <w:bookmarkEnd w:id="2"/>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所投货物、服务在技术、商务等方面没有实质性满足谈判文件要求的（是否实质性满足谈判文件要求，由谈判小组根据实质性条款响应情况做出评判）；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未按谈判文件所提供的样式填写《应答书》；未按谈判文件所提供的《采购应答及履约承诺函》进行承诺或不符合承诺的；未按谈判文件对应答文件组成的要求提供应答文件；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color w:val="FF0000"/>
                <w:kern w:val="2"/>
                <w:sz w:val="21"/>
                <w:lang w:eastAsia="zh-CN"/>
              </w:rPr>
              <w:t>采购标的/所投产品/货物清单/报价等任意一类有缺漏项或响应不全</w:t>
            </w:r>
            <w:r>
              <w:rPr>
                <w:rFonts w:eastAsia="宋体" w:hint="eastAsia"/>
                <w:kern w:val="2"/>
                <w:sz w:val="21"/>
                <w:lang w:eastAsia="zh-CN"/>
              </w:rPr>
              <w:t>，或者对谈判文件规定的项目需求内容或者需求数量进行修改</w:t>
            </w:r>
            <w:r>
              <w:rPr>
                <w:rFonts w:eastAsia="宋体" w:hint="eastAsia"/>
                <w:kern w:val="2"/>
                <w:sz w:val="21"/>
                <w:szCs w:val="21"/>
                <w:lang w:eastAsia="zh-CN"/>
              </w:rPr>
              <w:t>，谈判小组判定谈判响应不满足谈判需求</w:t>
            </w:r>
            <w:r>
              <w:rPr>
                <w:rFonts w:eastAsia="宋体" w:hint="eastAsia"/>
                <w:kern w:val="2"/>
                <w:sz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lang w:eastAsia="zh-CN"/>
              </w:rPr>
            </w:pPr>
            <w:r>
              <w:rPr>
                <w:rFonts w:eastAsia="宋体" w:hint="eastAsia"/>
                <w:kern w:val="2"/>
                <w:sz w:val="21"/>
                <w:lang w:eastAsia="zh-CN"/>
              </w:rPr>
              <w:t>谈判应答附有采购人或谈判小组不能接受的条件；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应答文件电子文档不得带病毒；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bidi="ar"/>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应答文件用不属于本公司的电子密钥进行加密或应答文件未按时解密的的；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供应商应答文件存在列放位置错误，导致属于信息公开情形的没有被公开；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eastAsia="宋体" w:hint="eastAsia"/>
                <w:kern w:val="2"/>
                <w:sz w:val="21"/>
                <w:szCs w:val="21"/>
                <w:lang w:eastAsia="zh-CN"/>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both"/>
        <w:rPr>
          <w:rFonts w:eastAsia="宋体"/>
          <w:kern w:val="2"/>
          <w:sz w:val="21"/>
          <w:lang w:eastAsia="zh-CN"/>
        </w:rPr>
      </w:pPr>
    </w:p>
    <w:p>
      <w:pPr>
        <w:widowControl/>
        <w:spacing w:beforeAutospacing="1" w:afterAutospacing="1"/>
        <w:jc w:val="center"/>
        <w:outlineLvl w:val="1"/>
        <w:rPr>
          <w:rFonts w:ascii="黑体" w:eastAsia="黑体" w:hAnsi="宋体" w:cs="黑体" w:hint="eastAsia"/>
          <w:sz w:val="40"/>
          <w:szCs w:val="40"/>
          <w:lang w:eastAsia="zh-CN"/>
        </w:rPr>
        <w:sectPr>
          <w:pgSz w:w="11907" w:h="16840"/>
          <w:pgMar w:top="1440" w:right="1418" w:bottom="1440" w:left="1418" w:header="851" w:footer="992" w:gutter="0"/>
          <w:cols w:num="1" w:space="425"/>
          <w:titlePg/>
          <w:docGrid w:linePitch="462" w:charSpace="0"/>
        </w:sectPr>
      </w:pPr>
    </w:p>
    <w:p>
      <w:pPr>
        <w:widowControl/>
        <w:spacing w:beforeAutospacing="1" w:afterAutospacing="1"/>
        <w:jc w:val="center"/>
        <w:outlineLvl w:val="1"/>
        <w:rPr>
          <w:rFonts w:ascii="黑体" w:eastAsia="黑体" w:hAnsi="宋体" w:cs="黑体" w:hint="eastAsia"/>
          <w:sz w:val="40"/>
          <w:szCs w:val="40"/>
          <w:lang w:eastAsia="zh-CN"/>
        </w:rPr>
      </w:pPr>
      <w:r>
        <w:rPr>
          <w:rFonts w:ascii="黑体" w:eastAsia="黑体" w:hAnsi="宋体" w:cs="黑体" w:hint="eastAsia"/>
          <w:sz w:val="40"/>
          <w:szCs w:val="40"/>
          <w:lang w:eastAsia="zh-CN"/>
        </w:rPr>
        <w:t>评审信息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969"/>
        <w:gridCol w:w="192"/>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8888" w:type="dxa"/>
            <w:shd w:val="clear" w:color="auto" w:fill="auto"/>
            <w:vAlign w:val="center"/>
          </w:tcPr>
          <w:p>
            <w:pPr>
              <w:widowControl/>
              <w:jc w:val="left"/>
              <w:rPr>
                <w:rFonts w:eastAsia="宋体"/>
                <w:b/>
                <w:bCs/>
                <w:kern w:val="2"/>
                <w:lang w:eastAsia="zh-CN"/>
              </w:rPr>
            </w:pPr>
            <w:r>
              <w:rPr>
                <w:rFonts w:ascii="宋体" w:eastAsia="宋体" w:hAnsi="宋体" w:cs="宋体" w:hint="eastAsia"/>
                <w:b/>
                <w:bCs/>
                <w:lang w:eastAsia="zh-CN" w:bidi="ar"/>
              </w:rPr>
              <w:t>评审</w:t>
            </w:r>
            <w:r>
              <w:rPr>
                <w:rFonts w:ascii="宋体" w:eastAsia="宋体" w:hAnsi="宋体" w:cs="宋体"/>
                <w:b/>
                <w:bCs/>
                <w:lang w:eastAsia="zh-CN" w:bidi="ar"/>
              </w:rPr>
              <w:t>方法：</w:t>
            </w:r>
            <w:r>
              <w:rPr>
                <w:rFonts w:ascii="宋体" w:eastAsia="宋体" w:hAnsi="宋体" w:cs="宋体" w:hint="eastAsia"/>
                <w:b/>
                <w:bCs/>
                <w:lang w:eastAsia="zh-CN" w:bidi="ar"/>
              </w:rPr>
              <w:t>最低价法</w:t>
            </w:r>
          </w:p>
        </w:tc>
        <w:tc>
          <w:tcPr>
            <w:tcW w:w="190" w:type="dxa"/>
            <w:shd w:val="clear" w:color="auto" w:fill="auto"/>
            <w:vAlign w:val="center"/>
          </w:tcPr>
          <w:p>
            <w:pPr>
              <w:widowControl w:val="0"/>
              <w:jc w:val="right"/>
              <w:rPr>
                <w:rFonts w:ascii="宋体" w:eastAsia="宋体"/>
                <w:b/>
                <w:bCs/>
                <w:kern w:val="2"/>
                <w:lang w:eastAsia="zh-CN"/>
              </w:rPr>
            </w:pP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pPr>
              <w:widowControl/>
              <w:ind w:firstLine="420" w:firstLineChars="200"/>
              <w:jc w:val="left"/>
              <w:rPr>
                <w:rFonts w:eastAsia="宋体"/>
                <w:kern w:val="2"/>
                <w:sz w:val="21"/>
                <w:szCs w:val="21"/>
                <w:lang w:eastAsia="zh-CN"/>
              </w:rPr>
            </w:pPr>
            <w:r>
              <w:rPr>
                <w:rFonts w:eastAsia="宋体" w:hint="eastAsia"/>
                <w:kern w:val="2"/>
                <w:sz w:val="21"/>
                <w:szCs w:val="21"/>
                <w:lang w:eastAsia="zh-CN"/>
              </w:rPr>
              <w:t>最低价法，是指应答文件满足谈判文件实质性要求，按照报价由低到高的顺序，以报价最低的供应商作为成交供应商的评审方法。</w:t>
            </w:r>
          </w:p>
          <w:p>
            <w:pPr>
              <w:widowControl/>
              <w:spacing w:beforeAutospacing="1" w:afterAutospacing="1" w:line="324" w:lineRule="auto"/>
              <w:ind w:left="420"/>
              <w:jc w:val="left"/>
              <w:rPr>
                <w:rFonts w:eastAsia="宋体"/>
                <w:sz w:val="21"/>
                <w:szCs w:val="21"/>
                <w:lang w:eastAsia="zh-CN"/>
              </w:rPr>
            </w:pPr>
          </w:p>
        </w:tc>
      </w:tr>
    </w:tbl>
    <w:p>
      <w:pPr>
        <w:widowControl w:val="0"/>
        <w:jc w:val="both"/>
        <w:rPr>
          <w:rFonts w:eastAsia="宋体"/>
          <w:vanish/>
          <w:kern w:val="2"/>
          <w:lang w:eastAsia="zh-CN"/>
        </w:rPr>
      </w:pPr>
    </w:p>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418" w:bottom="1440" w:left="1418" w:header="851" w:footer="992" w:gutter="0"/>
          <w:cols w:num="1" w:space="425"/>
          <w:titlePg/>
          <w:docGrid w:linePitch="462" w:charSpace="0"/>
        </w:sect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84"/>
          <w:szCs w:val="84"/>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谈判文件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44"/>
          <w:szCs w:val="44"/>
          <w:lang w:eastAsia="zh-CN"/>
        </w:rPr>
      </w:pPr>
      <w:bookmarkStart w:id="3" w:name="_Hlk71465316"/>
      <w:r>
        <w:rPr>
          <w:rFonts w:eastAsia="宋体" w:hint="eastAsia"/>
          <w:b/>
          <w:kern w:val="2"/>
          <w:sz w:val="44"/>
          <w:szCs w:val="44"/>
          <w:lang w:eastAsia="zh-CN"/>
        </w:rPr>
        <w:t>深圳公共资源交易中心</w:t>
      </w:r>
    </w:p>
    <w:p>
      <w:pPr>
        <w:widowControl w:val="0"/>
        <w:jc w:val="center"/>
        <w:rPr>
          <w:rFonts w:eastAsia="宋体"/>
          <w:b/>
          <w:kern w:val="2"/>
          <w:sz w:val="44"/>
          <w:szCs w:val="44"/>
          <w:lang w:eastAsia="zh-CN"/>
        </w:rPr>
      </w:pPr>
      <w:r>
        <w:rPr>
          <w:rFonts w:eastAsia="宋体" w:hint="eastAsia"/>
          <w:b/>
          <w:kern w:val="2"/>
          <w:sz w:val="44"/>
          <w:szCs w:val="44"/>
          <w:lang w:eastAsia="zh-CN"/>
        </w:rPr>
        <w:t>（202</w:t>
      </w:r>
      <w:r>
        <w:rPr>
          <w:rFonts w:eastAsia="宋体" w:hint="eastAsia"/>
          <w:b/>
          <w:kern w:val="2"/>
          <w:sz w:val="44"/>
          <w:szCs w:val="44"/>
          <w:lang w:val="en-US" w:eastAsia="zh-CN"/>
        </w:rPr>
        <w:t>5</w:t>
      </w:r>
      <w:r>
        <w:rPr>
          <w:rFonts w:eastAsia="宋体" w:hint="eastAsia"/>
          <w:b/>
          <w:kern w:val="2"/>
          <w:sz w:val="44"/>
          <w:szCs w:val="44"/>
          <w:lang w:eastAsia="zh-CN"/>
        </w:rPr>
        <w:t>）</w:t>
      </w:r>
      <w:bookmarkEnd w:id="3"/>
    </w:p>
    <w:p>
      <w:pPr>
        <w:widowControl w:val="0"/>
        <w:ind w:firstLine="435"/>
        <w:jc w:val="left"/>
        <w:rPr>
          <w:rFonts w:eastAsia="宋体"/>
          <w:kern w:val="2"/>
          <w:sz w:val="21"/>
          <w:lang w:eastAsia="zh-CN"/>
        </w:rPr>
      </w:pPr>
    </w:p>
    <w:p>
      <w:pPr>
        <w:widowControl w:val="0"/>
        <w:ind w:firstLine="435"/>
        <w:jc w:val="left"/>
        <w:rPr>
          <w:rFonts w:eastAsia="宋体"/>
          <w:kern w:val="2"/>
          <w:sz w:val="21"/>
          <w:lang w:eastAsia="zh-CN"/>
        </w:rPr>
      </w:pPr>
    </w:p>
    <w:p>
      <w:pPr>
        <w:widowControl w:val="0"/>
        <w:ind w:firstLine="435"/>
        <w:jc w:val="left"/>
        <w:rPr>
          <w:rFonts w:eastAsia="宋体"/>
          <w:kern w:val="2"/>
          <w:sz w:val="21"/>
          <w:lang w:eastAsia="zh-CN"/>
        </w:rPr>
      </w:pPr>
    </w:p>
    <w:p>
      <w:pPr>
        <w:keepNext/>
        <w:keepLines/>
        <w:widowControl w:val="0"/>
        <w:adjustRightInd w:val="0"/>
        <w:spacing w:before="260" w:after="260" w:line="240" w:lineRule="auto"/>
        <w:ind w:firstLine="3840" w:firstLineChars="1600"/>
        <w:jc w:val="left"/>
        <w:textAlignment w:val="baseline"/>
        <w:outlineLvl w:val="1"/>
        <w:rPr>
          <w:rFonts w:ascii="宋体" w:eastAsia="宋体" w:hAnsi="宋体" w:hint="eastAsia"/>
          <w:b/>
          <w:bCs/>
          <w:szCs w:val="21"/>
          <w:lang w:eastAsia="zh-CN"/>
        </w:rPr>
      </w:pPr>
      <w:r>
        <w:rPr>
          <w:rFonts w:ascii="宋体" w:eastAsia="宋体" w:hAnsi="宋体" w:hint="eastAsia"/>
          <w:b/>
          <w:bCs/>
          <w:szCs w:val="20"/>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本项目为自行采购项目，参照《深圳经济特区政府采购条例》、《深圳经济特区政府采购条例实施细则》及政府采购其他法律法规，按照采购人内控制度要求确定成交供应商。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供应商阅读《自行采购违法行为风险知悉确认书》（内容详见“应答文件附件（信息不公开部分）”中节点“供应商认为需要加以说明的其他内容（格式自定）”），并经各供应商负责人或授权代表签字并加盖单位公章后，扫描上传至应答文件一并提交。注：该风险知悉确认书用于对供应商违法行为的警示，不作为供应商资格性审查及符合性审查条件。</w:t>
      </w:r>
    </w:p>
    <w:p>
      <w:pPr>
        <w:widowControl w:val="0"/>
        <w:ind w:firstLine="400" w:firstLineChars="200"/>
        <w:jc w:val="both"/>
        <w:rPr>
          <w:rFonts w:ascii="宋体" w:eastAsia="宋体" w:hAnsi="宋体" w:hint="eastAsia"/>
          <w:color w:val="FF0000"/>
          <w:kern w:val="2"/>
          <w:sz w:val="20"/>
          <w:szCs w:val="20"/>
          <w:lang w:eastAsia="zh-CN"/>
        </w:rPr>
        <w:sectPr>
          <w:pgSz w:w="11907" w:h="16840"/>
          <w:pgMar w:top="1440" w:right="1797" w:bottom="1440" w:left="1797" w:header="851" w:footer="992" w:gutter="0"/>
          <w:cols w:num="1" w:space="425"/>
          <w:titlePg/>
          <w:docGrid w:linePitch="462" w:charSpace="0"/>
        </w:sectPr>
      </w:pPr>
      <w:r>
        <w:rPr>
          <w:rFonts w:ascii="宋体" w:eastAsia="宋体" w:hAnsi="宋体" w:hint="eastAsia"/>
          <w:color w:val="FF0000"/>
          <w:kern w:val="2"/>
          <w:sz w:val="20"/>
          <w:szCs w:val="20"/>
          <w:lang w:eastAsia="zh-CN"/>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bookmarkStart w:id="4" w:name="_Hlk72218009"/>
      <w:r>
        <w:rPr>
          <w:rFonts w:ascii="宋体" w:eastAsia="黑体" w:hAnsi="宋体" w:hint="eastAsia"/>
          <w:b/>
          <w:bCs/>
          <w:kern w:val="44"/>
          <w:sz w:val="28"/>
          <w:szCs w:val="44"/>
          <w:lang w:eastAsia="zh-CN"/>
        </w:rPr>
        <w:t>目   录</w:t>
      </w:r>
    </w:p>
    <w:p>
      <w:pPr>
        <w:widowControl/>
        <w:wordWrap w:val="0"/>
        <w:jc w:val="left"/>
        <w:textAlignment w:val="top"/>
        <w:rPr>
          <w:rFonts w:eastAsia="宋体"/>
          <w:kern w:val="2"/>
          <w:sz w:val="21"/>
          <w:szCs w:val="21"/>
          <w:lang w:eastAsia="zh-CN"/>
        </w:rPr>
      </w:pPr>
      <w:r>
        <w:rPr>
          <w:rFonts w:eastAsia="宋体" w:hint="eastAsia"/>
          <w:kern w:val="2"/>
          <w:lang w:eastAsia="zh-CN"/>
        </w:rPr>
        <w:t xml:space="preserve">        </w:t>
      </w:r>
      <w:r>
        <w:rPr>
          <w:rFonts w:eastAsia="宋体" w:hint="eastAsia"/>
          <w:kern w:val="2"/>
          <w:sz w:val="21"/>
          <w:szCs w:val="21"/>
          <w:lang w:eastAsia="zh-CN"/>
        </w:rPr>
        <w:t xml:space="preserve">  </w:t>
      </w:r>
      <w:r>
        <w:rPr>
          <w:rFonts w:eastAsia="宋体"/>
          <w:kern w:val="2"/>
          <w:sz w:val="21"/>
          <w:szCs w:val="21"/>
          <w:lang w:eastAsia="zh-CN"/>
        </w:rPr>
        <w:t xml:space="preserve">           </w:t>
      </w:r>
      <w:r>
        <w:rPr>
          <w:rFonts w:eastAsia="宋体" w:hint="eastAsia"/>
          <w:kern w:val="2"/>
          <w:sz w:val="21"/>
          <w:szCs w:val="21"/>
          <w:lang w:eastAsia="zh-CN"/>
        </w:rPr>
        <w:t>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第一章  谈判公告</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第二章  </w:t>
      </w:r>
      <w:bookmarkStart w:id="5" w:name="_Hlk71994379"/>
      <w:r>
        <w:rPr>
          <w:rFonts w:eastAsia="宋体" w:hint="eastAsia"/>
          <w:kern w:val="2"/>
          <w:sz w:val="21"/>
          <w:szCs w:val="21"/>
          <w:lang w:eastAsia="zh-CN"/>
        </w:rPr>
        <w:t>对谈判须知条款的补充内容及其他关键信息</w:t>
      </w:r>
      <w:bookmarkEnd w:id="5"/>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第三章 </w:t>
      </w:r>
      <w:r>
        <w:rPr>
          <w:rFonts w:eastAsia="宋体"/>
          <w:kern w:val="2"/>
          <w:sz w:val="21"/>
          <w:szCs w:val="21"/>
          <w:lang w:eastAsia="zh-CN"/>
        </w:rPr>
        <w:t xml:space="preserve"> </w:t>
      </w:r>
      <w:r>
        <w:rPr>
          <w:rFonts w:eastAsia="宋体" w:hint="eastAsia"/>
          <w:kern w:val="2"/>
          <w:sz w:val="21"/>
          <w:szCs w:val="21"/>
          <w:lang w:eastAsia="zh-CN"/>
        </w:rPr>
        <w:t>用户需求书</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谈判应答文件组成要求及格式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第五章  合同条款及格式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第六章 </w:t>
      </w:r>
      <w:r>
        <w:rPr>
          <w:rFonts w:eastAsia="宋体"/>
          <w:kern w:val="2"/>
          <w:sz w:val="21"/>
          <w:szCs w:val="21"/>
          <w:lang w:eastAsia="zh-CN"/>
        </w:rPr>
        <w:t xml:space="preserve"> </w:t>
      </w:r>
      <w:r>
        <w:rPr>
          <w:rFonts w:eastAsia="宋体" w:hint="eastAsia"/>
          <w:kern w:val="2"/>
          <w:sz w:val="21"/>
          <w:szCs w:val="21"/>
          <w:lang w:eastAsia="zh-CN"/>
        </w:rPr>
        <w:t>谈判须知</w:t>
      </w:r>
    </w:p>
    <w:p>
      <w:pPr>
        <w:widowControl/>
        <w:jc w:val="left"/>
        <w:rPr>
          <w:rFonts w:eastAsia="宋体"/>
          <w:kern w:val="2"/>
          <w:sz w:val="21"/>
          <w:szCs w:val="21"/>
          <w:lang w:eastAsia="zh-CN"/>
        </w:rPr>
      </w:pPr>
      <w:r>
        <w:rPr>
          <w:rFonts w:eastAsia="宋体"/>
          <w:kern w:val="2"/>
          <w:sz w:val="21"/>
          <w:szCs w:val="21"/>
          <w:lang w:eastAsia="zh-CN"/>
        </w:rPr>
        <w:br w:type="page"/>
      </w:r>
    </w:p>
    <w:bookmarkEnd w:id="4"/>
    <w:p>
      <w:pPr>
        <w:keepNext/>
        <w:keepLines/>
        <w:widowControl w:val="0"/>
        <w:adjustRightInd w:val="0"/>
        <w:spacing w:before="260" w:after="260" w:line="360" w:lineRule="auto"/>
        <w:jc w:val="center"/>
        <w:textAlignment w:val="baseline"/>
        <w:outlineLvl w:val="1"/>
        <w:rPr>
          <w:rFonts w:ascii="宋体" w:eastAsia="宋体" w:hAnsi="宋体" w:hint="eastAsia"/>
          <w:b/>
          <w:bCs/>
          <w:sz w:val="28"/>
          <w:szCs w:val="20"/>
          <w:lang w:eastAsia="zh-CN"/>
        </w:rPr>
      </w:pPr>
      <w:bookmarkStart w:id="6" w:name="bt开标一览表"/>
      <w:bookmarkEnd w:id="6"/>
      <w:bookmarkStart w:id="7" w:name="bt合同条款"/>
      <w:bookmarkEnd w:id="7"/>
      <w:bookmarkStart w:id="8" w:name="bt商务标投标文件格式"/>
      <w:bookmarkEnd w:id="8"/>
      <w:bookmarkStart w:id="9" w:name="bt技术标投标文件格式"/>
      <w:bookmarkEnd w:id="9"/>
      <w:bookmarkStart w:id="10" w:name="bt投标报价汇总表"/>
      <w:bookmarkEnd w:id="10"/>
      <w:bookmarkStart w:id="11" w:name="bt其他资料2"/>
      <w:bookmarkEnd w:id="11"/>
      <w:bookmarkStart w:id="12" w:name="bt说明"/>
      <w:bookmarkEnd w:id="12"/>
      <w:bookmarkStart w:id="13" w:name="bt投标函"/>
      <w:bookmarkEnd w:id="13"/>
      <w:bookmarkStart w:id="14" w:name="bt投标人须知"/>
      <w:bookmarkEnd w:id="14"/>
      <w:bookmarkStart w:id="15" w:name="bt投标文件签署授权委托书"/>
      <w:bookmarkEnd w:id="15"/>
      <w:bookmarkStart w:id="16" w:name="bt其他资料由投标人自定"/>
      <w:bookmarkEnd w:id="16"/>
      <w:bookmarkStart w:id="17" w:name="bt项目管理班子配备情况"/>
      <w:bookmarkEnd w:id="17"/>
      <w:bookmarkStart w:id="18" w:name="bt合同格式"/>
      <w:bookmarkEnd w:id="18"/>
      <w:bookmarkStart w:id="19" w:name="bt本工程承诺书"/>
      <w:bookmarkEnd w:id="19"/>
      <w:bookmarkStart w:id="20" w:name="合同格式"/>
      <w:bookmarkEnd w:id="20"/>
      <w:bookmarkStart w:id="21" w:name="bt投标人情况介绍"/>
      <w:bookmarkEnd w:id="21"/>
      <w:bookmarkStart w:id="22" w:name="bt合同条款及格式"/>
      <w:bookmarkEnd w:id="22"/>
      <w:r>
        <w:rPr>
          <w:rFonts w:ascii="宋体" w:eastAsia="宋体" w:hAnsi="宋体" w:hint="eastAsia"/>
          <w:b/>
          <w:bCs/>
          <w:sz w:val="28"/>
          <w:szCs w:val="20"/>
          <w:lang w:eastAsia="zh-CN"/>
        </w:rPr>
        <w:t>第一章 谈判公告</w:t>
      </w: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申请人的资格要求：</w:t>
      </w:r>
    </w:p>
    <w:p>
      <w:pPr>
        <w:widowControl w:val="0"/>
        <w:ind w:firstLine="630" w:firstLineChars="300"/>
        <w:jc w:val="both"/>
        <w:rPr>
          <w:rFonts w:ascii="宋体" w:eastAsia="宋体" w:hAnsi="宋体" w:cs="宋体"/>
          <w:sz w:val="21"/>
          <w:szCs w:val="21"/>
          <w:lang w:eastAsia="zh-CN"/>
        </w:rPr>
      </w:pPr>
      <w:bookmarkStart w:id="23" w:name="_Hlk72162904"/>
      <w:r>
        <w:rPr>
          <w:rFonts w:ascii="宋体" w:eastAsia="宋体" w:hAnsi="宋体" w:cs="宋体" w:hint="eastAsia"/>
          <w:sz w:val="21"/>
          <w:szCs w:val="21"/>
          <w:lang w:eastAsia="zh-CN"/>
        </w:rPr>
        <w:t>1.</w:t>
      </w:r>
      <w:bookmarkEnd w:id="23"/>
      <w:r>
        <w:rPr>
          <w:rFonts w:eastAsia="宋体" w:hint="eastAsia"/>
          <w:kern w:val="2"/>
          <w:sz w:val="21"/>
          <w:lang w:eastAsia="zh-CN"/>
        </w:rPr>
        <w:t>必须是采购</w:t>
      </w:r>
      <w:r>
        <w:rPr>
          <w:rFonts w:ascii="宋体" w:eastAsia="宋体" w:hAnsi="宋体" w:cs="宋体" w:hint="eastAsia"/>
          <w:sz w:val="21"/>
          <w:szCs w:val="21"/>
          <w:lang w:eastAsia="zh-CN"/>
        </w:rPr>
        <w:t>人推荐的供应商（提供营业执照或事业单位法人证书等证明资料扫描件）；</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2.本项目不接受联合体参与谈判，不接受供应商选用进口产品参与谈判（由供应商在《采购应答及履约承诺函》中作出声明）；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参与本项目政府采购活动时不存在被有关部门禁止参与政府采购活动且在有效期内的情况（由供应商在《采购应答及履约承诺函》中作出声明）；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6.不存在《深圳市财政局政府采购供应商信用信息管理办法》（深财规〔2023〕3号）列明的严重违法失信行为（由供应商在《采购应答及履约承诺函》中作出声明）；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8.本项目是（否）专门面向中小企业采购：否。</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谈判）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lang w:eastAsia="zh-CN"/>
        </w:rPr>
        <w:t>（2）供应商谈判响应（上传应答文件）必须先行办理注册手续，具体操作指引请按照深圳公共资源交易网/交易服务指南/资料下载/深圳自行采购系统用户操作指引（供应商）相关内容指引办理。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wordWrap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spacing w:before="60" w:beforeLines="25" w:after="60" w:afterLines="25"/>
        <w:ind w:firstLine="449" w:firstLineChars="187"/>
        <w:jc w:val="both"/>
        <w:rPr>
          <w:rFonts w:eastAsia="宋体"/>
          <w:b/>
          <w:bCs/>
          <w:color w:val="000000"/>
          <w:kern w:val="2"/>
          <w:u w:val="single"/>
          <w:lang w:eastAsia="zh-CN"/>
        </w:rPr>
      </w:pPr>
    </w:p>
    <w:p>
      <w:pPr>
        <w:widowControl w:val="0"/>
        <w:spacing w:before="60" w:beforeLines="25" w:after="60" w:afterLines="25"/>
        <w:ind w:firstLine="449" w:firstLineChars="187"/>
        <w:jc w:val="both"/>
        <w:rPr>
          <w:rFonts w:eastAsia="宋体"/>
          <w:b/>
          <w:bCs/>
          <w:color w:val="FF0000"/>
          <w:kern w:val="2"/>
          <w:lang w:eastAsia="zh-CN"/>
        </w:rPr>
      </w:pPr>
      <w:bookmarkStart w:id="24" w:name="_Hlk101431859"/>
    </w:p>
    <w:bookmarkEnd w:id="24"/>
    <w:p>
      <w:pPr>
        <w:widowControl w:val="0"/>
        <w:spacing w:before="60" w:beforeLines="25" w:after="60" w:afterLines="25"/>
        <w:ind w:firstLine="393" w:firstLineChars="187"/>
        <w:jc w:val="both"/>
        <w:rPr>
          <w:rFonts w:eastAsia="宋体" w:hint="eastAsia"/>
          <w:b/>
          <w:bCs/>
          <w:color w:val="FF0000"/>
          <w:kern w:val="2"/>
          <w:lang w:eastAsia="zh-CN"/>
        </w:rPr>
      </w:pPr>
      <w:r>
        <w:rPr>
          <w:rFonts w:ascii="宋体" w:eastAsia="宋体" w:hAnsi="宋体" w:hint="eastAsia"/>
          <w:color w:val="FF0000"/>
          <w:kern w:val="2"/>
          <w:sz w:val="21"/>
          <w:lang w:eastAsia="zh-CN"/>
        </w:rPr>
        <w:t>参加谈判的供应商谈判代表应在本项目谈判当日9:15-9:30（应答文件提交截止时间为上午时适用），14:15-14:30（应答文件提交截止时间为下午时适用）到谈判现场（深圳市南山区西丽街道沙河西路3185号智谷产业园A座深圳交易集团总部大楼3楼），填写谈判供应商签到表。供应商授权代表需提供法定代表人（负责人）授权委托书（加盖公章）、授权委托人身份证（港澳台居民可提供来往通行证；非中国国籍管辖范围人员，可提供公安部门认可的身份证明材料）原件以及电脑和电子密钥证书（即政府采购网登录秘钥），到政府集中采购机构指定签到地点按现场工作人员指引填写签到表。</w:t>
      </w:r>
    </w:p>
    <w:p>
      <w:pPr>
        <w:widowControl w:val="0"/>
        <w:spacing w:before="60" w:beforeLines="25" w:after="60" w:afterLines="25"/>
        <w:ind w:firstLine="449" w:firstLineChars="187"/>
        <w:jc w:val="both"/>
        <w:rPr>
          <w:rFonts w:eastAsia="宋体"/>
          <w:b/>
          <w:bCs/>
          <w:color w:val="000000"/>
          <w:kern w:val="2"/>
          <w:lang w:eastAsia="zh-CN"/>
        </w:rPr>
      </w:pPr>
    </w:p>
    <w:p>
      <w:pPr>
        <w:widowControl/>
        <w:jc w:val="left"/>
        <w:rPr>
          <w:rFonts w:eastAsia="宋体"/>
          <w:kern w:val="2"/>
          <w:sz w:val="21"/>
          <w:szCs w:val="20"/>
          <w:lang w:eastAsia="zh-CN"/>
        </w:rPr>
      </w:pPr>
      <w:r>
        <w:rPr>
          <w:rFonts w:eastAsia="宋体"/>
          <w:kern w:val="2"/>
          <w:sz w:val="21"/>
          <w:lang w:eastAsia="zh-CN"/>
        </w:rPr>
        <w:br w:type="page"/>
      </w:r>
    </w:p>
    <w:p>
      <w:pPr>
        <w:widowControl w:val="0"/>
        <w:spacing w:before="60" w:beforeLines="25" w:after="60" w:afterLines="25"/>
        <w:ind w:firstLine="393" w:firstLineChars="187"/>
        <w:jc w:val="both"/>
        <w:rPr>
          <w:rFonts w:eastAsia="宋体"/>
          <w:kern w:val="2"/>
          <w:sz w:val="21"/>
          <w:szCs w:val="20"/>
          <w:lang w:eastAsia="zh-CN"/>
        </w:rPr>
      </w:pP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 xml:space="preserve">第二章 </w:t>
      </w:r>
      <w:bookmarkStart w:id="25" w:name="_Hlk71926094"/>
      <w:r>
        <w:rPr>
          <w:rFonts w:ascii="宋体" w:eastAsia="宋体" w:hAnsi="宋体" w:hint="eastAsia"/>
          <w:b/>
          <w:bCs/>
          <w:sz w:val="28"/>
          <w:szCs w:val="28"/>
          <w:lang w:eastAsia="zh-CN"/>
        </w:rPr>
        <w:t>对谈判须知条款的补充内容及其他关键信息</w:t>
      </w:r>
      <w:bookmarkEnd w:id="25"/>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26" w:name="_Toc101074876"/>
      <w:bookmarkStart w:id="27" w:name="_Toc73518117"/>
      <w:bookmarkStart w:id="28" w:name="_Toc73521547"/>
      <w:bookmarkStart w:id="29" w:name="_Toc73517639"/>
      <w:bookmarkStart w:id="30" w:name="_Toc60560625"/>
      <w:bookmarkStart w:id="31" w:name="_Toc100052364"/>
      <w:bookmarkStart w:id="32" w:name="_Toc73521635"/>
      <w:bookmarkStart w:id="33" w:name="_Toc60631620"/>
      <w:r>
        <w:rPr>
          <w:rFonts w:ascii="宋体" w:eastAsia="宋体" w:hAnsi="宋体" w:hint="eastAsia"/>
          <w:b/>
          <w:bCs/>
          <w:lang w:eastAsia="zh-CN"/>
        </w:rPr>
        <w:t>一、对谈判须知条款的补充内容</w:t>
      </w:r>
    </w:p>
    <w:bookmarkEnd w:id="26"/>
    <w:bookmarkEnd w:id="27"/>
    <w:bookmarkEnd w:id="28"/>
    <w:bookmarkEnd w:id="29"/>
    <w:bookmarkEnd w:id="30"/>
    <w:bookmarkEnd w:id="31"/>
    <w:bookmarkEnd w:id="32"/>
    <w:bookmarkEnd w:id="33"/>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97"/>
        <w:gridCol w:w="2456"/>
        <w:gridCol w:w="5076"/>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b/>
                <w:bCs/>
                <w:kern w:val="2"/>
                <w:sz w:val="21"/>
                <w:lang w:eastAsia="zh-CN"/>
              </w:rPr>
            </w:pPr>
            <w:bookmarkStart w:id="34" w:name="_Hlk72218097"/>
            <w:r>
              <w:rPr>
                <w:rFonts w:ascii="宋体" w:eastAsia="宋体" w:hAnsi="宋体" w:hint="eastAsia"/>
                <w:b/>
                <w:bCs/>
                <w:kern w:val="2"/>
                <w:sz w:val="21"/>
                <w:lang w:eastAsia="zh-CN"/>
              </w:rPr>
              <w:t>通用条款序号</w:t>
            </w:r>
          </w:p>
        </w:tc>
        <w:tc>
          <w:tcPr>
            <w:tcW w:w="2409"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98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本项目为自行采购项目，相关事宜按照谈判文件要求及采购单位内控制度执行。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409"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深圳市民政局</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r>
              <w:rPr>
                <w:rFonts w:ascii="宋体" w:eastAsia="宋体" w:hAnsi="宋体" w:hint="eastAsia"/>
                <w:kern w:val="2"/>
                <w:sz w:val="21"/>
                <w:lang w:eastAsia="zh-CN"/>
              </w:rPr>
              <w:t>/1</w:t>
            </w:r>
            <w:r>
              <w:rPr>
                <w:rFonts w:ascii="宋体" w:eastAsia="宋体" w:hAnsi="宋体"/>
                <w:kern w:val="2"/>
                <w:sz w:val="21"/>
                <w:lang w:eastAsia="zh-CN"/>
              </w:rPr>
              <w:t>1</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应答文件的澄清和修改</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应答截止日三日前，供应商有义务在采购期间在政府集中采购机构网站浏览与本项目有关的澄清和修改信息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谈判应答有效期</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20</w:t>
            </w:r>
            <w:r>
              <w:rPr>
                <w:rFonts w:ascii="宋体" w:eastAsia="宋体" w:hAnsi="宋体" w:hint="eastAsia"/>
                <w:kern w:val="2"/>
                <w:sz w:val="21"/>
                <w:lang w:eastAsia="zh-CN"/>
              </w:rPr>
              <w:t>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供应商的替代方案</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应答文件的大小</w:t>
            </w:r>
          </w:p>
        </w:tc>
        <w:tc>
          <w:tcPr>
            <w:tcW w:w="498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应答文件大小不得超过100MB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980"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 xml:space="preserve"> 最低评标价法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980"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44.8</w:t>
            </w:r>
          </w:p>
        </w:tc>
        <w:tc>
          <w:tcPr>
            <w:tcW w:w="2409"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投诉</w:t>
            </w:r>
          </w:p>
        </w:tc>
        <w:tc>
          <w:tcPr>
            <w:tcW w:w="4980" w:type="dxa"/>
            <w:vAlign w:val="center"/>
          </w:tcPr>
          <w:p>
            <w:pPr>
              <w:widowControl w:val="0"/>
              <w:jc w:val="left"/>
              <w:rPr>
                <w:rFonts w:ascii="宋体" w:eastAsia="宋体" w:hAnsi="宋体" w:hint="eastAsia"/>
                <w:b/>
                <w:kern w:val="2"/>
                <w:sz w:val="21"/>
                <w:highlight w:val="yellow"/>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备注：本表是谈判须知条款相关条款的补充和明确，如与谈判须知条款内容相冲突的，以本表为准。</w:t>
      </w:r>
    </w:p>
    <w:bookmarkEnd w:id="34"/>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35" w:name="_Hlk72218117"/>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bookmarkStart w:id="36" w:name="_Hlk72579427"/>
      <w:r>
        <w:rPr>
          <w:rFonts w:eastAsia="宋体" w:hint="eastAsia"/>
          <w:b/>
          <w:bCs/>
          <w:kern w:val="2"/>
          <w:sz w:val="21"/>
          <w:lang w:eastAsia="zh-CN"/>
        </w:rPr>
        <w:t>（一）与“对通用条款的补充内容”章节相关的事项</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1、评审信息</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12"/>
        <w:gridCol w:w="56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844" w:type="dxa"/>
          </w:tcPr>
          <w:p>
            <w:pPr>
              <w:widowControl w:val="0"/>
              <w:jc w:val="center"/>
              <w:rPr>
                <w:rFonts w:eastAsia="宋体"/>
                <w:kern w:val="2"/>
                <w:sz w:val="21"/>
                <w:lang w:eastAsia="zh-CN"/>
              </w:rPr>
            </w:pPr>
            <w:r>
              <w:rPr>
                <w:rFonts w:eastAsia="宋体" w:hint="eastAsia"/>
                <w:kern w:val="2"/>
                <w:sz w:val="21"/>
                <w:lang w:eastAsia="zh-CN"/>
              </w:rPr>
              <w:t>评标方法</w:t>
            </w:r>
          </w:p>
        </w:tc>
        <w:tc>
          <w:tcPr>
            <w:tcW w:w="5486" w:type="dxa"/>
          </w:tcPr>
          <w:p>
            <w:pPr>
              <w:widowControl w:val="0"/>
              <w:jc w:val="center"/>
              <w:rPr>
                <w:rFonts w:eastAsia="宋体"/>
                <w:kern w:val="2"/>
                <w:sz w:val="21"/>
                <w:lang w:eastAsia="zh-CN"/>
              </w:rPr>
            </w:pPr>
            <w:r>
              <w:rPr>
                <w:rFonts w:eastAsia="宋体" w:hint="eastAsia"/>
                <w:kern w:val="2"/>
                <w:sz w:val="21"/>
                <w:lang w:eastAsia="zh-CN"/>
              </w:rPr>
              <w:t>最低价法</w:t>
            </w:r>
          </w:p>
        </w:tc>
      </w:tr>
      <w:tr>
        <w:tblPrEx>
          <w:tblW w:w="5000" w:type="pct"/>
          <w:tblInd w:w="0" w:type="dxa"/>
          <w:tblLayout w:type="fixed"/>
          <w:tblCellMar>
            <w:top w:w="0" w:type="dxa"/>
            <w:left w:w="108" w:type="dxa"/>
            <w:bottom w:w="0" w:type="dxa"/>
            <w:right w:w="108" w:type="dxa"/>
          </w:tblCellMar>
        </w:tblPrEx>
        <w:tc>
          <w:tcPr>
            <w:tcW w:w="2844" w:type="dxa"/>
          </w:tcPr>
          <w:p>
            <w:pPr>
              <w:widowControl w:val="0"/>
              <w:jc w:val="center"/>
              <w:rPr>
                <w:rFonts w:eastAsia="宋体"/>
                <w:kern w:val="2"/>
                <w:sz w:val="21"/>
                <w:lang w:eastAsia="zh-CN"/>
              </w:rPr>
            </w:pPr>
            <w:r>
              <w:rPr>
                <w:rFonts w:eastAsia="宋体" w:hint="eastAsia"/>
                <w:kern w:val="2"/>
                <w:sz w:val="21"/>
                <w:lang w:eastAsia="zh-CN"/>
              </w:rPr>
              <w:t>候选成交供应商家数</w:t>
            </w:r>
          </w:p>
        </w:tc>
        <w:tc>
          <w:tcPr>
            <w:tcW w:w="5486" w:type="dxa"/>
          </w:tcPr>
          <w:p>
            <w:pPr>
              <w:widowControl w:val="0"/>
              <w:jc w:val="center"/>
              <w:rPr>
                <w:rFonts w:eastAsia="宋体"/>
                <w:kern w:val="2"/>
                <w:sz w:val="21"/>
                <w:highlight w:val="yellow"/>
                <w:lang w:eastAsia="zh-CN"/>
              </w:rPr>
            </w:pPr>
            <w:r>
              <w:rPr>
                <w:rFonts w:eastAsia="宋体" w:hint="eastAsia"/>
                <w:kern w:val="2"/>
                <w:sz w:val="21"/>
                <w:highlight w:val="yellow"/>
                <w:lang w:eastAsia="zh-CN"/>
              </w:rPr>
              <w:t>1</w:t>
            </w:r>
          </w:p>
        </w:tc>
      </w:tr>
      <w:tr>
        <w:tblPrEx>
          <w:tblW w:w="5000" w:type="pct"/>
          <w:tblInd w:w="0" w:type="dxa"/>
          <w:tblLayout w:type="fixed"/>
          <w:tblCellMar>
            <w:top w:w="0" w:type="dxa"/>
            <w:left w:w="108" w:type="dxa"/>
            <w:bottom w:w="0" w:type="dxa"/>
            <w:right w:w="108" w:type="dxa"/>
          </w:tblCellMar>
        </w:tblPrEx>
        <w:tc>
          <w:tcPr>
            <w:tcW w:w="2844" w:type="dxa"/>
          </w:tcPr>
          <w:p>
            <w:pPr>
              <w:widowControl w:val="0"/>
              <w:jc w:val="center"/>
              <w:rPr>
                <w:rFonts w:eastAsia="宋体"/>
                <w:kern w:val="2"/>
                <w:sz w:val="21"/>
                <w:lang w:eastAsia="zh-CN"/>
              </w:rPr>
            </w:pPr>
            <w:r>
              <w:rPr>
                <w:rFonts w:eastAsia="宋体" w:hint="eastAsia"/>
                <w:kern w:val="2"/>
                <w:sz w:val="21"/>
                <w:lang w:eastAsia="zh-CN"/>
              </w:rPr>
              <w:t>成交供应商家数</w:t>
            </w:r>
          </w:p>
        </w:tc>
        <w:tc>
          <w:tcPr>
            <w:tcW w:w="5486" w:type="dxa"/>
          </w:tcPr>
          <w:p>
            <w:pPr>
              <w:widowControl w:val="0"/>
              <w:jc w:val="center"/>
              <w:rPr>
                <w:rFonts w:eastAsia="宋体"/>
                <w:kern w:val="2"/>
                <w:sz w:val="21"/>
                <w:lang w:eastAsia="zh-CN"/>
              </w:rPr>
            </w:pPr>
            <w:r>
              <w:rPr>
                <w:rFonts w:eastAsia="宋体" w:hint="eastAsia"/>
                <w:kern w:val="2"/>
                <w:sz w:val="21"/>
                <w:lang w:eastAsia="zh-CN"/>
              </w:rPr>
              <w:t>1</w:t>
            </w:r>
          </w:p>
        </w:tc>
      </w:tr>
    </w:tbl>
    <w:p>
      <w:pPr>
        <w:widowControl w:val="0"/>
        <w:jc w:val="both"/>
        <w:rPr>
          <w:rFonts w:eastAsia="宋体"/>
          <w:b/>
          <w:bCs/>
          <w:kern w:val="2"/>
          <w:sz w:val="21"/>
          <w:lang w:eastAsia="zh-CN"/>
        </w:rPr>
      </w:pPr>
    </w:p>
    <w:p>
      <w:pPr>
        <w:widowControl w:val="0"/>
        <w:ind w:firstLine="420" w:firstLineChars="200"/>
        <w:jc w:val="both"/>
        <w:rPr>
          <w:rFonts w:asciiTheme="minorEastAsia" w:eastAsiaTheme="minorEastAsia" w:hAnsiTheme="minorEastAsia" w:cstheme="minorEastAsia" w:hint="eastAsia"/>
          <w:b/>
          <w:kern w:val="2"/>
          <w:sz w:val="21"/>
          <w:szCs w:val="21"/>
          <w:lang w:eastAsia="zh-CN"/>
        </w:rPr>
      </w:pPr>
      <w:bookmarkStart w:id="37" w:name="_Hlk73641770"/>
      <w:r>
        <w:rPr>
          <w:rFonts w:asciiTheme="minorEastAsia" w:eastAsiaTheme="minorEastAsia" w:hAnsiTheme="minorEastAsia" w:cstheme="minorEastAsia" w:hint="eastAsia"/>
          <w:b/>
          <w:kern w:val="2"/>
          <w:sz w:val="21"/>
          <w:szCs w:val="21"/>
          <w:lang w:eastAsia="zh-CN"/>
        </w:rPr>
        <w:t>（二）其他事项</w:t>
      </w:r>
      <w:bookmarkEnd w:id="36"/>
    </w:p>
    <w:p>
      <w:pPr>
        <w:widowControl w:val="0"/>
        <w:ind w:firstLine="420" w:firstLineChars="200"/>
        <w:jc w:val="both"/>
        <w:rPr>
          <w:rFonts w:asciiTheme="minorEastAsia" w:eastAsiaTheme="minorEastAsia" w:hAnsiTheme="minorEastAsia" w:cstheme="minorEastAsia" w:hint="eastAsia"/>
          <w:color w:val="0000FF"/>
          <w:kern w:val="2"/>
          <w:sz w:val="21"/>
          <w:szCs w:val="21"/>
          <w:lang w:eastAsia="zh-CN"/>
        </w:rPr>
      </w:pPr>
      <w:r>
        <w:rPr>
          <w:rFonts w:asciiTheme="minorEastAsia" w:eastAsiaTheme="minorEastAsia" w:hAnsiTheme="minorEastAsia" w:cstheme="minorEastAsia" w:hint="eastAsia"/>
          <w:b/>
          <w:bCs/>
          <w:kern w:val="2"/>
          <w:sz w:val="21"/>
          <w:szCs w:val="21"/>
          <w:lang w:eastAsia="zh-CN"/>
        </w:rPr>
        <w:t>1、</w:t>
      </w:r>
      <w:r>
        <w:rPr>
          <w:rFonts w:asciiTheme="minorEastAsia" w:eastAsiaTheme="minorEastAsia" w:hAnsiTheme="minorEastAsia" w:cstheme="minorEastAsia" w:hint="eastAsia"/>
          <w:b/>
          <w:kern w:val="2"/>
          <w:sz w:val="21"/>
          <w:szCs w:val="21"/>
          <w:lang w:eastAsia="zh-CN"/>
        </w:rPr>
        <w:t>关于采购订单融资政策</w:t>
      </w:r>
    </w:p>
    <w:p>
      <w:pPr>
        <w:widowControl w:val="0"/>
        <w:wordWrap w:val="0"/>
        <w:ind w:firstLine="420" w:firstLineChars="200"/>
        <w:jc w:val="both"/>
        <w:rPr>
          <w:rFonts w:asciiTheme="minorEastAsia" w:eastAsiaTheme="minorEastAsia" w:hAnsiTheme="minorEastAsia" w:cstheme="minorEastAsia" w:hint="eastAsia"/>
          <w:color w:val="0000FF"/>
          <w:kern w:val="2"/>
          <w:sz w:val="21"/>
          <w:szCs w:val="21"/>
          <w:lang w:eastAsia="zh-CN"/>
        </w:rPr>
      </w:pPr>
      <w:r>
        <w:rPr>
          <w:rFonts w:asciiTheme="minorEastAsia" w:eastAsiaTheme="minorEastAsia" w:hAnsiTheme="minorEastAsia" w:cstheme="minorEastAsia" w:hint="eastAsia"/>
          <w:kern w:val="2"/>
          <w:sz w:val="21"/>
          <w:szCs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37"/>
    <w:p>
      <w:pPr>
        <w:widowControl w:val="0"/>
        <w:ind w:firstLine="420" w:firstLineChars="200"/>
        <w:jc w:val="both"/>
        <w:rPr>
          <w:rFonts w:asciiTheme="minorEastAsia" w:eastAsiaTheme="minorEastAsia" w:hAnsiTheme="minorEastAsia" w:cstheme="minorEastAsia" w:hint="eastAsia"/>
          <w:b/>
          <w:kern w:val="2"/>
          <w:sz w:val="21"/>
          <w:szCs w:val="21"/>
          <w:lang w:eastAsia="zh-CN"/>
        </w:rPr>
      </w:pPr>
      <w:r>
        <w:rPr>
          <w:rFonts w:asciiTheme="minorEastAsia" w:eastAsiaTheme="minorEastAsia" w:hAnsiTheme="minorEastAsia" w:cstheme="minorEastAsia" w:hint="eastAsia"/>
          <w:b/>
          <w:kern w:val="2"/>
          <w:sz w:val="21"/>
          <w:szCs w:val="21"/>
          <w:lang w:eastAsia="zh-CN"/>
        </w:rPr>
        <w:t>2、</w:t>
      </w:r>
      <w:bookmarkStart w:id="38" w:name="_Hlk72594729"/>
      <w:bookmarkStart w:id="39" w:name="_Hlk76855768"/>
      <w:r>
        <w:rPr>
          <w:rFonts w:asciiTheme="minorEastAsia" w:eastAsiaTheme="minorEastAsia" w:hAnsiTheme="minorEastAsia" w:cstheme="minorEastAsia" w:hint="eastAsia"/>
          <w:b/>
          <w:kern w:val="2"/>
          <w:sz w:val="21"/>
          <w:szCs w:val="21"/>
          <w:lang w:eastAsia="zh-CN"/>
        </w:rPr>
        <w:t>本项目为代理服务项目，将向中标（成交）供应商收取代理服务费。</w:t>
      </w:r>
    </w:p>
    <w:bookmarkEnd w:id="38"/>
    <w:bookmarkEnd w:id="39"/>
    <w:p>
      <w:pPr>
        <w:widowControl w:val="0"/>
        <w:ind w:firstLine="420" w:firstLineChars="200"/>
        <w:jc w:val="both"/>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asciiTheme="minorEastAsia" w:eastAsiaTheme="minorEastAsia" w:hAnsiTheme="minorEastAsia" w:cstheme="minorEastAsia" w:hint="eastAsia"/>
          <w:b/>
          <w:color w:val="FF0000"/>
          <w:kern w:val="2"/>
          <w:sz w:val="21"/>
          <w:szCs w:val="21"/>
          <w:lang w:eastAsia="zh-CN"/>
        </w:rPr>
        <w:t>本项目类型为服务采购：</w:t>
      </w:r>
    </w:p>
    <w:p>
      <w:pPr>
        <w:widowControl w:val="0"/>
        <w:ind w:firstLine="420" w:firstLineChars="200"/>
        <w:jc w:val="both"/>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（1）代理服务费以《中标（成交）通知书》确定的中标（成交）金额作为计算基数，按差额定率累进法的80%计算（即打八折）。</w:t>
      </w:r>
    </w:p>
    <w:p>
      <w:pPr>
        <w:widowControl w:val="0"/>
        <w:ind w:firstLine="420" w:firstLineChars="200"/>
        <w:jc w:val="both"/>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中标（成交）金额</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货物采购</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服务采购</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100万元以下</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100万元（含）-500万元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1.1%</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0.8%</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500万元（含）-1000万元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0.8%</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0.45%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1000万元（含）-5000万元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0.25%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5000万元（含）-1亿元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0.25%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0.1%</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1亿元（含）-5亿元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5亿元（含）-10亿元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0.035%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0.035%</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10亿元（含）-50亿元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0.008%</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0.008%</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50亿元（含）-100亿元</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0.006%</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0.006%</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100亿元（含）以上</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0.004%</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0.004%</w:t>
            </w:r>
          </w:p>
        </w:tc>
        <w:tc>
          <w:tcPr>
            <w:tcW w:w="1799" w:type="dxa"/>
            <w:vAlign w:val="center"/>
          </w:tcPr>
          <w:p>
            <w:pPr>
              <w:widowControl/>
              <w:spacing w:line="360" w:lineRule="auto"/>
              <w:jc w:val="center"/>
              <w:rPr>
                <w:rFonts w:asciiTheme="minorEastAsia" w:eastAsiaTheme="minorEastAsia" w:hAnsiTheme="minorEastAsia" w:cstheme="minorEastAsia" w:hint="eastAsia"/>
                <w:kern w:val="2"/>
                <w:sz w:val="21"/>
                <w:szCs w:val="21"/>
                <w:lang w:eastAsia="zh-CN"/>
              </w:rPr>
            </w:pPr>
            <w:r>
              <w:rPr>
                <w:rFonts w:asciiTheme="minorEastAsia" w:eastAsiaTheme="minorEastAsia" w:hAnsiTheme="minorEastAsia" w:cstheme="minorEastAsia" w:hint="eastAsia"/>
                <w:kern w:val="2"/>
                <w:sz w:val="21"/>
                <w:szCs w:val="21"/>
                <w:lang w:eastAsia="zh-CN"/>
              </w:rPr>
              <w:t>0.004%</w:t>
            </w:r>
          </w:p>
        </w:tc>
      </w:tr>
    </w:tbl>
    <w:p>
      <w:pPr>
        <w:ind w:firstLine="420" w:firstLineChars="2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备注：1.每宗交易代理服务费不低于 5000 元；</w:t>
      </w:r>
    </w:p>
    <w:p>
      <w:pPr>
        <w:ind w:firstLine="420" w:firstLineChars="2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2.对于报总价的采购类项目，中标（成交）价为中标（成交）金额；对于报单价、折扣或费率的采购类项目，中标（成交）价为预算上限金额或经委托方与代理方确定的支付上限金额；</w:t>
      </w:r>
    </w:p>
    <w:p>
      <w:pPr>
        <w:ind w:firstLine="420" w:firstLineChars="200"/>
        <w:rPr>
          <w:rFonts w:asciiTheme="minorEastAsia" w:eastAsiaTheme="minorEastAsia" w:hAnsiTheme="minorEastAsia" w:cstheme="minorEastAsia" w:hint="eastAsia"/>
          <w:sz w:val="21"/>
          <w:szCs w:val="21"/>
        </w:rPr>
      </w:pPr>
    </w:p>
    <w:p>
      <w:pPr>
        <w:ind w:firstLine="420" w:firstLineChars="2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如某货物采购项目，中标（成交）金额为600万元，总共交纳的代理服务费的具体计算过程如下：</w:t>
      </w:r>
    </w:p>
    <w:p>
      <w:pPr>
        <w:ind w:firstLine="420" w:firstLineChars="2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标准代理服务费＝（100万以下部分的代理服务费）+（100万～500万部分的代理服务费）+（500万～600万部分的代理服务费）＝100万元×1.5%+（500-100）万元×1.1%+（600-500）万元×0.8%=1.5万元+4.4万元+0.8万元＝6.7万元</w:t>
      </w:r>
    </w:p>
    <w:p>
      <w:pPr>
        <w:numPr>
          <w:ilvl w:val="0"/>
          <w:numId w:val="1"/>
        </w:numPr>
        <w:ind w:firstLine="420" w:firstLineChars="200"/>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中标（成交）供应商中标（成交）后，必须按规定采用银行对公转账方式向深圳交易集团有限公司直接交纳代理服务费，交纳信息及要求按照缴款（付款）通知书执行。</w:t>
      </w:r>
    </w:p>
    <w:p>
      <w:pPr>
        <w:widowControl w:val="0"/>
        <w:ind w:firstLine="420" w:firstLineChars="200"/>
        <w:jc w:val="left"/>
        <w:rPr>
          <w:rFonts w:asciiTheme="minorEastAsia" w:eastAsiaTheme="minorEastAsia" w:hAnsiTheme="minorEastAsia" w:cstheme="minorEastAsia" w:hint="eastAsia"/>
          <w:b/>
          <w:color w:val="000000"/>
          <w:kern w:val="2"/>
          <w:sz w:val="21"/>
          <w:szCs w:val="21"/>
          <w:highlight w:val="yellow"/>
          <w:lang w:eastAsia="zh-CN"/>
        </w:rPr>
      </w:pPr>
    </w:p>
    <w:p>
      <w:pPr>
        <w:widowControl w:val="0"/>
        <w:wordWrap w:val="0"/>
        <w:ind w:firstLine="420"/>
        <w:jc w:val="both"/>
        <w:rPr>
          <w:rFonts w:asciiTheme="minorEastAsia" w:eastAsiaTheme="minorEastAsia" w:hAnsiTheme="minorEastAsia" w:cstheme="minorEastAsia" w:hint="eastAsia"/>
          <w:b/>
          <w:color w:val="FF0000"/>
          <w:kern w:val="2"/>
          <w:sz w:val="21"/>
          <w:szCs w:val="21"/>
          <w:lang w:eastAsia="zh-CN"/>
        </w:rPr>
      </w:pPr>
    </w:p>
    <w:p>
      <w:pPr>
        <w:widowControl w:val="0"/>
        <w:ind w:firstLine="420" w:firstLineChars="200"/>
        <w:jc w:val="both"/>
        <w:rPr>
          <w:rFonts w:eastAsia="宋体"/>
          <w:b/>
          <w:color w:val="FF0000"/>
          <w:kern w:val="2"/>
          <w:sz w:val="21"/>
          <w:lang w:eastAsia="zh-CN"/>
        </w:rPr>
        <w:sectPr>
          <w:pgSz w:w="11907" w:h="16840"/>
          <w:pgMar w:top="1440" w:right="1797" w:bottom="1440" w:left="1797" w:header="851" w:footer="992" w:gutter="0"/>
          <w:cols w:num="1" w:space="425"/>
          <w:titlePg/>
          <w:docGrid w:linePitch="462" w:charSpace="0"/>
        </w:sectPr>
      </w:pPr>
    </w:p>
    <w:bookmarkEnd w:id="35"/>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4282"/>
        <w:gridCol w:w="339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428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3396"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851"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4282" w:type="dxa"/>
            <w:vAlign w:val="center"/>
          </w:tcPr>
          <w:p>
            <w:pPr>
              <w:jc w:val="center"/>
              <w:rPr>
                <w:rFonts w:eastAsia="宋体"/>
                <w:b/>
                <w:bCs/>
                <w:color w:val="FF0000"/>
                <w:kern w:val="2"/>
                <w:sz w:val="21"/>
                <w:szCs w:val="21"/>
                <w:lang w:eastAsia="zh-CN"/>
              </w:rPr>
            </w:pPr>
            <w:r>
              <w:rPr>
                <w:rFonts w:eastAsia="宋体" w:hint="eastAsia"/>
                <w:b/>
                <w:bCs/>
                <w:color w:val="FF0000"/>
                <w:kern w:val="2"/>
                <w:sz w:val="21"/>
                <w:szCs w:val="21"/>
                <w:lang w:eastAsia="zh-CN"/>
              </w:rPr>
              <w:t>深圳医学科学院粤港澳大湾区国际临床试验中心场地租赁</w:t>
            </w:r>
          </w:p>
        </w:tc>
        <w:tc>
          <w:tcPr>
            <w:tcW w:w="3396" w:type="dxa"/>
            <w:vAlign w:val="center"/>
          </w:tcPr>
          <w:p>
            <w:pPr>
              <w:jc w:val="center"/>
              <w:rPr>
                <w:rFonts w:eastAsia="宋体"/>
                <w:bCs/>
                <w:color w:val="FF0000"/>
                <w:kern w:val="2"/>
                <w:sz w:val="21"/>
                <w:szCs w:val="21"/>
                <w:lang w:eastAsia="zh-CN"/>
              </w:rPr>
            </w:pPr>
            <w:r>
              <w:rPr>
                <w:rFonts w:eastAsia="宋体" w:hint="eastAsia"/>
                <w:bCs/>
                <w:color w:val="FF0000"/>
                <w:kern w:val="2"/>
                <w:sz w:val="21"/>
                <w:szCs w:val="21"/>
                <w:lang w:eastAsia="zh-CN"/>
              </w:rPr>
              <w:t>7429993.01</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二、项目概况</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深圳医学科学院粤港澳大湾区国际临床试验中心作为贯彻落实《河套深港科技创新合作区深圳园区发展规划》的关键举措，肩负着推动粤港澳大湾区生物医药产业高质量发展的重要使命。其依托深圳医学科学院的科研实力与资源优势，致力于打造一个集临床研究、资源统筹、能力提升、机制创新及国际交流合作于一体的综合性公共服务平台，在大湾区生物医药创新生态中占据核心地位。中心积极响应生物医药产业创新发展的迫切需求，致力于打造国际一流的临床试验公共服务平台。为实现这一目标，中心经审慎决策，计划租赁河套创新中心 A 栋 5 层 502/503 室作为核心办公场地。本项目针对所需的场地进行租赁服务招采。</w:t>
      </w:r>
    </w:p>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三、</w:t>
      </w:r>
      <w:bookmarkStart w:id="40" w:name="_Hlk72073432"/>
      <w:r>
        <w:rPr>
          <w:rFonts w:ascii="宋体" w:eastAsia="宋体" w:hAnsi="宋体" w:hint="eastAsia"/>
          <w:b/>
          <w:bCs/>
          <w:lang w:eastAsia="zh-CN"/>
        </w:rPr>
        <w:t>服务需求明细</w:t>
      </w:r>
      <w:bookmarkEnd w:id="40"/>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9"/>
        <w:gridCol w:w="5563"/>
        <w:gridCol w:w="1016"/>
        <w:gridCol w:w="116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5433"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99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1134"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Ind w:w="0" w:type="dxa"/>
          <w:tblLayout w:type="fixed"/>
          <w:tblCellMar>
            <w:top w:w="0" w:type="dxa"/>
            <w:left w:w="108" w:type="dxa"/>
            <w:bottom w:w="0" w:type="dxa"/>
            <w:right w:w="108" w:type="dxa"/>
          </w:tblCellMar>
        </w:tblPrEx>
        <w:trPr>
          <w:trHeight w:val="170"/>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5433"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深圳医学科学院粤港澳大湾区国际临床试验中心场地租赁</w:t>
            </w:r>
          </w:p>
        </w:tc>
        <w:tc>
          <w:tcPr>
            <w:tcW w:w="99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134"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项</w:t>
            </w:r>
          </w:p>
        </w:tc>
      </w:tr>
    </w:tbl>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2"/>
        <w:gridCol w:w="78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62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1</w:t>
            </w:r>
          </w:p>
        </w:tc>
        <w:tc>
          <w:tcPr>
            <w:tcW w:w="7625" w:type="dxa"/>
          </w:tcPr>
          <w:p>
            <w:pPr>
              <w:widowControl w:val="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满足本项目标★的条款要求</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7625" w:type="dxa"/>
          </w:tcPr>
          <w:p>
            <w:pPr>
              <w:widowControl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★投标人满足《保安服务管理条例》《公安机关实施保安服务管理条例办法》等有关规定要求的从业许可和备案要求。</w:t>
            </w:r>
          </w:p>
        </w:tc>
      </w:tr>
    </w:tbl>
    <w:p>
      <w:pPr>
        <w:widowControl w:val="0"/>
        <w:jc w:val="both"/>
        <w:rPr>
          <w:rFonts w:ascii="宋体" w:eastAsia="宋体" w:hAnsi="宋体" w:cs="宋体" w:hint="eastAsia"/>
          <w:b/>
          <w:sz w:val="21"/>
          <w:szCs w:val="21"/>
          <w:lang w:eastAsia="zh-CN"/>
        </w:rPr>
      </w:pPr>
      <w:r>
        <w:rPr>
          <w:rFonts w:ascii="宋体" w:eastAsia="宋体" w:hAnsi="宋体" w:cs="宋体" w:hint="eastAsia"/>
          <w:b/>
          <w:sz w:val="21"/>
          <w:szCs w:val="21"/>
          <w:lang w:eastAsia="zh-CN"/>
        </w:rPr>
        <w:t>注：上表所列内容为不可负偏离条款，负偏离将视为未实质性满足谈判文件要求和条件作应答无效处理。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五、技术要求</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（一）租赁物业的交付和返还</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
          <w:bCs/>
          <w:kern w:val="2"/>
          <w:sz w:val="21"/>
          <w:szCs w:val="21"/>
          <w:lang w:eastAsia="zh-CN"/>
        </w:rPr>
        <w:t>1、交付</w:t>
      </w:r>
      <w:r>
        <w:rPr>
          <w:rFonts w:eastAsia="宋体" w:hint="eastAsia"/>
          <w:bCs/>
          <w:kern w:val="2"/>
          <w:sz w:val="21"/>
          <w:szCs w:val="21"/>
          <w:lang w:eastAsia="zh-CN"/>
        </w:rPr>
        <w:t>：</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（1）供应商应于 2025   年 2  月 13  日前将租赁房屋交付给采购人，并保证房屋及其附属设施安全、合格（含空气质量）。</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（2）采购人有权在交接时对物业 状况进行验收，并将验收结果及时告知供应商。如发现损坏或其他问题，采购人有权要求供应商及时维修或解决。</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（3）采购人应在供应商交付租赁房屋时入内检查租赁房屋的现有设备及设施，双方应当共同签署《房屋交付确认书》完成交付。</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2、返还：</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 租赁期限届满或本合同解除之日起 7 日内，</w:t>
      </w:r>
      <w:r>
        <w:rPr>
          <w:rFonts w:eastAsia="宋体" w:hint="eastAsia"/>
          <w:bCs/>
          <w:kern w:val="2"/>
          <w:sz w:val="21"/>
          <w:szCs w:val="21"/>
          <w:lang w:eastAsia="zh-CN"/>
        </w:rPr>
        <w:t>供应商</w:t>
      </w:r>
      <w:r>
        <w:rPr>
          <w:rFonts w:eastAsia="宋体" w:hint="eastAsia"/>
          <w:bCs/>
          <w:kern w:val="2"/>
          <w:sz w:val="21"/>
          <w:szCs w:val="21"/>
          <w:lang w:eastAsia="zh-CN"/>
        </w:rPr>
        <w:t>应当及时清空搬离租赁房屋，并将房屋及附属设施交还甲方。</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w:t>
      </w:r>
      <w:r>
        <w:rPr>
          <w:rFonts w:eastAsia="宋体" w:hint="eastAsia"/>
          <w:bCs/>
          <w:kern w:val="2"/>
          <w:sz w:val="21"/>
          <w:szCs w:val="21"/>
          <w:lang w:eastAsia="zh-CN"/>
        </w:rPr>
        <w:t>供应商</w:t>
      </w:r>
      <w:r>
        <w:rPr>
          <w:rFonts w:eastAsia="宋体" w:hint="eastAsia"/>
          <w:bCs/>
          <w:kern w:val="2"/>
          <w:sz w:val="21"/>
          <w:szCs w:val="21"/>
          <w:lang w:eastAsia="zh-CN"/>
        </w:rPr>
        <w:t>返还房屋后遗留的物品，视为</w:t>
      </w:r>
      <w:r>
        <w:rPr>
          <w:rFonts w:eastAsia="宋体" w:hint="eastAsia"/>
          <w:bCs/>
          <w:kern w:val="2"/>
          <w:sz w:val="21"/>
          <w:szCs w:val="21"/>
          <w:lang w:eastAsia="zh-CN"/>
        </w:rPr>
        <w:t>供应商</w:t>
      </w:r>
      <w:r>
        <w:rPr>
          <w:rFonts w:eastAsia="宋体" w:hint="eastAsia"/>
          <w:bCs/>
          <w:kern w:val="2"/>
          <w:sz w:val="21"/>
          <w:szCs w:val="21"/>
          <w:lang w:eastAsia="zh-CN"/>
        </w:rPr>
        <w:t>放弃所有权，甲方有权将其作为废弃物处理。甲方因处理</w:t>
      </w:r>
      <w:r>
        <w:rPr>
          <w:rFonts w:eastAsia="宋体" w:hint="eastAsia"/>
          <w:bCs/>
          <w:kern w:val="2"/>
          <w:sz w:val="21"/>
          <w:szCs w:val="21"/>
          <w:lang w:eastAsia="zh-CN"/>
        </w:rPr>
        <w:t>供应商</w:t>
      </w:r>
      <w:r>
        <w:rPr>
          <w:rFonts w:eastAsia="宋体" w:hint="eastAsia"/>
          <w:bCs/>
          <w:kern w:val="2"/>
          <w:sz w:val="21"/>
          <w:szCs w:val="21"/>
          <w:lang w:eastAsia="zh-CN"/>
        </w:rPr>
        <w:t>遗留废弃物产生的费用，有权要求</w:t>
      </w:r>
      <w:r>
        <w:rPr>
          <w:rFonts w:eastAsia="宋体" w:hint="eastAsia"/>
          <w:bCs/>
          <w:kern w:val="2"/>
          <w:sz w:val="21"/>
          <w:szCs w:val="21"/>
          <w:lang w:eastAsia="zh-CN"/>
        </w:rPr>
        <w:t>供应商</w:t>
      </w:r>
      <w:r>
        <w:rPr>
          <w:rFonts w:eastAsia="宋体" w:hint="eastAsia"/>
          <w:bCs/>
          <w:kern w:val="2"/>
          <w:sz w:val="21"/>
          <w:szCs w:val="21"/>
          <w:lang w:eastAsia="zh-CN"/>
        </w:rPr>
        <w:t>承担。</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（3）房屋返还时，双方当事人应当对房屋和附属物品、设施设备及水电气等使用情况进行交验，并在《房屋交还确认书》中签字或盖章。</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在采购人正常办妥所有退租手续后，如采购人向供应商交付租赁物业时，供应商拒绝接收或不予回复，采购人采取如下方式即可视为交付：将相关可邮寄物品（如钥匙）邮寄给供应商（快递发出之日起三日视为已交付）；将应交与供应商的相关物品留置在房产内；搬离租赁房产，并拍摄视频、图片通过微信、邮件等方式发送给供应商等。</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（二）租赁物业装修</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租赁期内，采购人在不改变租赁物业内部结构和功能的前提下，可根据实际需要，进行内部装修，但不得改建、扩建或加建；在装修前，采购人须将装修方案交供应商或供应商指定单位审查同意后方可施工，外墙外挂需经甲方同意并用专业钻孔设备钻孔。否则供应商有权向采购人主张违约责任并要求赔偿甲方因此遭受的相应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2、租赁期内，采购人可根据经营需要自行添加其他设备设施或其他财产，费用由采购人承担，产权归采购人所有。</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为避免采购人对甲方安装的电表（或水表）有异议，采购人指派专人会同供应商共同购置、安装供应商规定品牌的水电表，相关费用由采购人承担。采购人后期因生产生活需要而需更换的水电表需经过供应商核准后才可以安装使用。采购人私自更换则应承担等额于上月水、电费用3倍的罚款。</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4、装修期间，采购人应做好一切安全、卫生及防护措施，确保其装修不影响其他租户的正常经营与办公。如果采购人或其委托的装修公司给甲方或任何第三方等造成任何损失的，采购人须承担相应赔偿责任。</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5、租赁期届满时或因采购人违约（或违法）导致供应商提前解除本合同时，采购人用于装修、改善的全部费用供应商无需给予采购人补偿。</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（三）租赁物业及附属设施的维护</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消防：如采购人对物业进行二次装修，由采购人自行申报，需供应商配合的供应商应予以配合，所需的消防设施由采购人自行安装，相关费用由采购人自行承担。经有关部门验收合格后采购人方可使用。采购人应自行定期或不定期对租赁物业全部消防系统及设施进行维护，确保其正常安全使用，并通过消防部门年检。</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采购人应合理使用并爱护租赁物业及其他附属设施。因采购人保管不当或不合理使用，致使租赁物业、附属设施发生损坏或故障的，采购人应负责维修或承担赔偿责任。如采购人拒不维修，供应商可代为维修或购置新物，费用由采购人承担（需附真实有效的单据），如果因此造成供应商损失的，采购人需承担相应的赔偿责任。</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3、对于采购人的装修、改善和增设的他物，供应商不承担维修的义务。</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租赁期间，供应商保证该租赁物业及其附属设施处于正常的可使用和安全的状态。对于租赁物业的工程质量问题、附属设施的自然损耗以及建筑公共部分的附属设施承担维修责任，供应商应当在接到采购人的报障通知后的5个工作日内进行维修。特别指出的是，即使供应商与工程施工单位签订的施工合同约定的质保期结束，供应商仍应保证物业公共部分的附属设施处于正常的可使用和安全的状态，因非采购人原因导致的工程质量和公共部分的附属设施的损耗老化，均由供应商负责免费维修或更换。</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（四）所有权的变动</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供应商承诺租赁期内租赁物业所有权的变动不影响采购人的正常使用。供应商保证采购人在合同有效期内，对租赁物业享有在本合同下约定的所有权利，不因租赁物业所有权的变动而受影响。如因租赁物业所有权变动影响采购人的正常使用，采购人有权单方解除本合同，供应商须按当期6个月的租金补偿采购人，并承担采购人因此造成的一切损失。</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（五）保密条款</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双方对在签订、履行合同过程中知悉的对方商业秘密、对方提供的资料及合同的内容负有保密义务，不得向第三方公开、泄露及不正当的使用。公开、泄露或不正当使用该商业秘密，须支付当月租金的两倍款项作为违约金，并承担对方因此造成的一切损失。</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（六）安全生产责任</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1、采购人的生产经营活动应符合国家安全生产法律、法规的规定，单独承担在租赁物业使用过程中的消防安全责任，并履行如下义务：</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（1）采购人应加强危险物品管理，防止因危险物品管理不善导致安全生产事故。</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（2）采购人必须在所租赁物业中配备必要的消防设施，并经常进行自查和维护，保证其能够正常使用。</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（3）双方必须保证租赁物业消防通道畅通，确保在消防事故发生时员工能够及时逃生。</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（4）非紧急情况下采购人未经供应商同意，不得私自撕毁供应商已封的消火栓封条或使用消防水（包括宿舍）。如违反，供应商将对采购人处以不低于 500 元/次的罚款，造成供应商消防设施损坏的按原价赔偿，并承担供应商因此造成的相应损失。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（5）供应商或其物业公司应定期开展对采购人员工的消防知识培训活动，提高员工的消防安全意识和培训员工的消防安全技能，确保人身及财产安全。</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（6）采购人承租的租赁物业除正常生产经营等需要外，严禁有明火。</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（7）实施保障租赁物业消防安全的其他有效措施。</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2、若采购人违反以上规定，造成重大消防安全隐患或发生严重消防安全事故，供应商有权单方解除合同并收回物业，且有权按照合同规定追究采购人违约责任，并有权要求采购人赔偿供应商的实际损失。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3、采购人所属车辆、生产设备、办公用品、生产材料、半成品、成品等自有物资（含宿舍物品）由采购人自行保管，如有丢失，损失自行承担。</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（七）项目合同的解除</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1、经双方协商一致，可以解除项目合同。</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2、有下列情形之一的，本合同终止，双方互不承担违约责任：</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（1）该租赁物业因城市建设需要被依法列入拆迁范围的。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（2）因地震、火灾、瘟疫、政府行为、法律法规及政策的变更等不可抗力，致使项目合同无法继续履行的。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因上述原因而终止项目合同的，租金及其他费用按照实际使用时间计算，不足整月的按天数计算，多退少补。采购人无权向供应商请求已经投入的租赁物业改建、加建、扩建、装修、装饰的任何费用补偿。</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3、供应商有下列情形之一的，采购人有权单方解除合同：</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（1）延迟交付租赁物业60天以上的。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（2）交付的租赁物业不符合合同约定，严重影响采购人使用的。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（3）交付的租赁物业危及采购人安全的。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（4）交付的租赁物业有权属争议并影响采购人使用的。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4、采购人有下列情形之一的，供应商有权单方解除合同，收回该租赁物业：</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（1）未按合同约定时间足额支付租金、保证金、及其他费用（包括但不限于电费、水费、物业管理费等），逾期时间30日以上的。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（2）擅自改变租赁物业用途的。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（3）擅自拆改、变动或损坏租赁物业主体结构的。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（4）擅自将租赁物业转租或许可给第三人使用的。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（5）利用租赁物业从事违法活动的。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（6）对供应商或其他的租户造成滋扰、骚扰、不便、损害或危险，且未能按照供应商的书面通知的要求改正的。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（7）采购人在收到供应商要求补足押金差额的通知后一个月内仍未交付的。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（8）采购人违反其在本合同项下的任何主要义务，并在收到供应商书面违约通知书后20个工作日内未能纠正的。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（9）其他违法行为或违约行为导致合同目的不能实现的。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（10）由于采购人原因致使租赁房屋因法院或行政机构采取强制措施的。。</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（八）违约责任</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租赁期内，如供应商需提前收回该租赁物业，应提前三个月书面通知采购人，并按解除当期租金的三倍作为补偿支付给采购人。如因供应商原因未能提前三个月书面通知采购人，则按解除当期租金的六倍作为补偿支付给采购人。若补偿金不足以弥补采购人的损失，则供应商应当对差额部分予以补足。</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 xml:space="preserve">2、租赁期内，如采购人需提前退租的，应提前三个月书面通知供应商，向供应商补缴本合同约定的免租期相对应的租金，据实结清租金及其他费用，按解除当期租金的三倍作为补偿支付给供应商。如因采购人原因未能提前三个月申请退租，则按解除当期租金的六倍作为补偿支付给供应商。若补偿金不足以弥补供应商的损失，则采购人应当对差额部分予以补足。 </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3、采购人不按约定缴纳租金及其他费用超过10日的（以10日供应商账户信息为准），供应商将从当月5日开始计收采购人应付而未付款项的 0.05% 作为每日的迟延履行金。</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采购人未按约定时间返还租赁物业或者未在合同解除后注销与租赁场所相关的所有备案、登记手续的，逾期5天内（含5天），每逾期一天按采购人实际日租金的双倍支付日租金；超过5天的部分按采购人实际日租金的三倍支付日租金。</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5、供应商有下列情形之一的，视为供应商违约：</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（1）延迟交付租赁物业60天以上的。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（2）交付的租赁物业不符合合同约定，严重影响采购人使用的。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（3）交付的租赁物业危及采购人安全的。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（4）交付的租赁物业有权属争议并影响采购人使用的。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供应商有上述行为，采购人有权视情况采取以下一种或者多种方式维护自身权益：</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（1）要求供应商限期改正，并赔偿对采购人造成影响期间的实际损失。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（2）解除合同，要求供应商另外支付解除当期租金的三倍作为对采购人的补偿，若补偿金不足以弥补</w:t>
      </w:r>
      <w:r>
        <w:rPr>
          <w:rFonts w:eastAsia="宋体" w:hint="eastAsia"/>
          <w:bCs/>
          <w:kern w:val="2"/>
          <w:sz w:val="21"/>
          <w:szCs w:val="21"/>
          <w:lang w:eastAsia="zh-CN"/>
        </w:rPr>
        <w:t>供应商</w:t>
      </w:r>
      <w:r>
        <w:rPr>
          <w:rFonts w:eastAsia="宋体" w:hint="eastAsia"/>
          <w:bCs/>
          <w:kern w:val="2"/>
          <w:sz w:val="21"/>
          <w:szCs w:val="21"/>
          <w:lang w:eastAsia="zh-CN"/>
        </w:rPr>
        <w:t>的损失，则供应商应当对差额部分予以补足。</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6、采购人有下列情形之一的，视为采购人违约：</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（1）未按合同约定时间足额支付租金、保证金、及其他费用（包括但不限于电费、水费、物业管理费等），逾期时间30日以上的。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（2）擅自改变租赁物业用途的。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（3）擅自拆改、变动或损坏租赁物业主体结构的。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（4）擅自将租赁物业转租或许可给第三人使用的。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（5）利用租赁物业从事违法活动的。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（6）对供应商或其他的租户造成滋扰、骚扰、不便、损害或危险，且未能按照供应商的书面通知的要求改正的。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（7）采购人在收到供应商要求补足押金差额的通知后一个月内仍未交付的。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（8）采购人违反其在本合同项下的任何主要义务，并在收到供应商书面违约通知书后20个工作日内未能纠的。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（9）其他违法行为或违约行为导致合同目的不能实现的。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（10）由于采购人原因致使租赁房屋因法院或行政机构采取强制措施的。</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采购人有上述行为，供应商有权视情况采取以下一种或者多种方式维护自身权益：</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（1）要求采购人限期改正，并赔偿对供应商造成影响期间的实际损失。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（2）直接扣减租赁保证金，并要求采购人及时补足或重新缴纳租赁保证金。</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（3）解除合同，没收采购人租赁保证金。同时，采购人应另外支付解除当期租金的三倍作为对供应商的补偿，若补偿金不足以弥补供应商的损失，则采购人应当对差额部分予以补足。</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7、采购人未经供应商同意擅自对该租赁物业进行装修、装饰，供应商有权要求采购人恢复原状并赔偿供应商因此遭受的一切损失。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8、采购人租赁期内，如需搬运生产设备需提前三天书面通知供应商，在经供应商对采购人经营情况评估后，采购人需取得供应商出具并盖章的书面文件方可离开园区，此种情况采购人可不向供应商补交当期三个月的租金作为风险保证金。否则，供应商仍有权力限制采购人的车辆、机器设备、生产材料、半成品及成品等出厂。</w:t>
      </w:r>
      <w:r>
        <w:rPr>
          <w:rFonts w:eastAsia="宋体" w:hint="eastAsia"/>
          <w:bCs/>
          <w:kern w:val="2"/>
          <w:sz w:val="21"/>
          <w:szCs w:val="21"/>
          <w:lang w:eastAsia="zh-CN"/>
        </w:rPr>
        <w:tab/>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9 、本合同到期或终止前三个月内如采购人不再续租，采购人应在不影响正常生产经营的可行范围内积极配合供应商重新招租此物业。</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10、采购人有严重逃租行为，且供应商发现该行为后一周内，通过双方认可的多种通讯手段、通讯地址多次联系不到采购人的，视为采购人自愿放弃租赁物业内全部动产与不动产的所有权，供应商有权自行处置或委托第三方采取拍卖、变卖、遗弃等方式予以清理处分。</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11、出现合同约定的其他违约情形的，违约方应向守约方支付当期租金的三倍作为赔偿守约方的一切损失。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12、若因采购人原因导致租赁物业将被法院查封或受到权利限制的，供应商有权立即终止合同并有权将采购人留置租赁物业内的物品全部搬离且无需征得采购人同意。</w:t>
      </w:r>
    </w:p>
    <w:p>
      <w:pPr>
        <w:widowControl w:val="0"/>
        <w:adjustRightInd w:val="0"/>
        <w:snapToGrid w:val="0"/>
        <w:spacing w:before="60" w:beforeLines="25" w:after="60" w:afterLines="25"/>
        <w:ind w:firstLine="420" w:firstLineChars="200"/>
        <w:jc w:val="both"/>
        <w:rPr>
          <w:rFonts w:eastAsia="宋体"/>
          <w:b/>
          <w:bCs/>
          <w:kern w:val="2"/>
          <w:sz w:val="21"/>
          <w:szCs w:val="21"/>
          <w:lang w:eastAsia="zh-CN"/>
        </w:rPr>
      </w:pPr>
      <w:r>
        <w:rPr>
          <w:rFonts w:eastAsia="宋体" w:hint="eastAsia"/>
          <w:b/>
          <w:bCs/>
          <w:kern w:val="2"/>
          <w:sz w:val="21"/>
          <w:szCs w:val="21"/>
          <w:lang w:eastAsia="zh-CN"/>
        </w:rPr>
        <w:t>（九）其他约定事项</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1、租赁期间，若采购人变更工商登记、税务登记等企业信息，需提前书面告知供应商，并将变更后的相关证照复印件需提交供应商备案。如因采购人未提前书面告知供应商而导致供应商损失的，责任由采购人承担。</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2、供应商应允许采购人在租赁场地的主立面设置logo（须取得城管部门等政府主管部门的批准）。未经供应商书面同意，采购人不能擅自在租赁物业范围内设立立面广告；供应商可根据租赁物业的功能情况有偿提供广告位给采购人使用，相关费用等事项由双方另行协商确定。</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3、租赁场地交付标准为供应商完成全部施工并完成内部验收、取得消防备案，且满足采购人入驻条件（租赁场地不存在任何权属纠纷、租赁场地所有电梯均具备安全检验合格证明等）。若采购人入驻之后发现租赁场地不具备前述交付标准，则采购人有权单方解除本合同并要求供应商赔偿因此产生的全部损失。</w:t>
      </w:r>
    </w:p>
    <w:p>
      <w:pPr>
        <w:widowControl w:val="0"/>
        <w:adjustRightInd w:val="0"/>
        <w:snapToGrid w:val="0"/>
        <w:spacing w:before="60" w:beforeLines="25" w:after="60" w:afterLines="25"/>
        <w:ind w:firstLine="420" w:firstLineChars="200"/>
        <w:jc w:val="both"/>
        <w:rPr>
          <w:rFonts w:eastAsia="宋体"/>
          <w:bCs/>
          <w:kern w:val="2"/>
          <w:sz w:val="21"/>
          <w:szCs w:val="21"/>
          <w:lang w:eastAsia="zh-CN"/>
        </w:rPr>
      </w:pPr>
      <w:r>
        <w:rPr>
          <w:rFonts w:eastAsia="宋体" w:hint="eastAsia"/>
          <w:bCs/>
          <w:kern w:val="2"/>
          <w:sz w:val="21"/>
          <w:szCs w:val="21"/>
          <w:lang w:eastAsia="zh-CN"/>
        </w:rPr>
        <w:t>4、租赁期间，如采购人进行改造、装修，供应商应保证采购人对租赁场地装修所需的供水、供电、消防、固话、网络等需求，并同意接入原建筑的相关系统中。如原系统预留量不足采购人使用的，由供应商自行补足；固话和网络系统，楼宇宽带资源优先供采购人使用，如因采购人特殊科研设施导致宽带需求不能满足的，由双方协商解决。</w:t>
      </w:r>
    </w:p>
    <w:p>
      <w:pPr>
        <w:widowControl w:val="0"/>
        <w:ind w:firstLine="480" w:firstLineChars="200"/>
        <w:jc w:val="left"/>
        <w:rPr>
          <w:rFonts w:ascii="宋体" w:eastAsia="宋体" w:hAnsi="宋体" w:hint="eastAsia"/>
          <w:kern w:val="2"/>
          <w:sz w:val="21"/>
          <w:lang w:eastAsia="zh-CN"/>
        </w:rPr>
      </w:pPr>
      <w:r>
        <w:rPr>
          <w:rFonts w:hint="eastAsia"/>
          <w:bCs/>
          <w:szCs w:val="21"/>
        </w:rPr>
        <w:t>5、如需办理租赁备案，供应商须配合，因办理租赁备案产生的一切费用由采购人承担。</w:t>
      </w:r>
    </w:p>
    <w:p>
      <w:pPr>
        <w:widowControl w:val="0"/>
        <w:jc w:val="both"/>
        <w:rPr>
          <w:rFonts w:eastAsia="宋体" w:hint="eastAsia"/>
          <w:b/>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六、商务要求</w:t>
      </w:r>
    </w:p>
    <w:p>
      <w:pPr>
        <w:keepNext/>
        <w:keepLines/>
        <w:adjustRightInd w:val="0"/>
        <w:snapToGrid w:val="0"/>
        <w:ind w:firstLine="420" w:firstLineChars="200"/>
        <w:outlineLvl w:val="0"/>
        <w:rPr>
          <w:rFonts w:ascii="宋体" w:eastAsia="宋体" w:hAnsi="宋体" w:cs="宋体" w:hint="eastAsia"/>
          <w:b/>
          <w:bCs/>
          <w:kern w:val="44"/>
          <w:sz w:val="21"/>
          <w:szCs w:val="21"/>
        </w:rPr>
      </w:pPr>
      <w:r>
        <w:rPr>
          <w:rFonts w:ascii="宋体" w:eastAsia="宋体" w:hAnsi="宋体" w:cs="宋体" w:hint="eastAsia"/>
          <w:b/>
          <w:bCs/>
          <w:kern w:val="44"/>
          <w:sz w:val="21"/>
          <w:szCs w:val="21"/>
        </w:rPr>
        <w:t>（一）租赁物业及其基本情况</w:t>
      </w:r>
    </w:p>
    <w:p>
      <w:pPr>
        <w:ind w:firstLine="420" w:firstLineChars="200"/>
        <w:rPr>
          <w:rFonts w:ascii="宋体" w:eastAsia="宋体" w:hAnsi="宋体" w:cs="宋体" w:hint="eastAsia"/>
          <w:sz w:val="21"/>
          <w:szCs w:val="21"/>
        </w:rPr>
      </w:pPr>
      <w:bookmarkStart w:id="41" w:name="_Toc3896"/>
      <w:r>
        <w:rPr>
          <w:rFonts w:ascii="宋体" w:eastAsia="宋体" w:hAnsi="宋体" w:cs="宋体" w:hint="eastAsia"/>
          <w:sz w:val="21"/>
          <w:szCs w:val="21"/>
        </w:rPr>
        <w:t>1、租赁物业座落于 深圳市福田区河套科创中心；</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2、租赁物业具体需求为：</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 xml:space="preserve">     </w:t>
      </w:r>
      <w:r>
        <w:rPr>
          <w:rFonts w:ascii="宋体" w:eastAsia="宋体" w:hAnsi="宋体" w:cs="宋体" w:hint="eastAsia"/>
          <w:kern w:val="2"/>
          <w:sz w:val="21"/>
          <w:szCs w:val="21"/>
          <w:lang w:eastAsia="zh-CN"/>
        </w:rPr>
        <w:t xml:space="preserve"> （1）办公室：A栋5楼02、03号</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3、租赁物业由供应商按采购人需求交付租赁，并提供相应图纸给采购人。</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4、承租方（采购人）应与深圳市国贸物业管理有限公司另行签订《园区物业综合服务协议》。</w:t>
      </w:r>
    </w:p>
    <w:p>
      <w:pPr>
        <w:keepNext/>
        <w:keepLines/>
        <w:adjustRightInd w:val="0"/>
        <w:snapToGrid w:val="0"/>
        <w:ind w:firstLine="420" w:firstLineChars="200"/>
        <w:outlineLvl w:val="0"/>
        <w:rPr>
          <w:rFonts w:ascii="宋体" w:eastAsia="宋体" w:hAnsi="宋体" w:cs="宋体" w:hint="eastAsia"/>
          <w:b/>
          <w:bCs/>
          <w:kern w:val="44"/>
          <w:sz w:val="21"/>
          <w:szCs w:val="21"/>
        </w:rPr>
      </w:pPr>
      <w:r>
        <w:rPr>
          <w:rFonts w:ascii="宋体" w:eastAsia="宋体" w:hAnsi="宋体" w:cs="宋体" w:hint="eastAsia"/>
          <w:b/>
          <w:bCs/>
          <w:kern w:val="44"/>
          <w:sz w:val="21"/>
          <w:szCs w:val="21"/>
        </w:rPr>
        <w:t>（二）租赁物业的权属状况</w:t>
      </w:r>
      <w:bookmarkEnd w:id="41"/>
    </w:p>
    <w:p>
      <w:pPr>
        <w:ind w:firstLine="420" w:firstLineChars="200"/>
        <w:rPr>
          <w:rFonts w:ascii="宋体" w:eastAsia="宋体" w:hAnsi="宋体" w:cs="宋体" w:hint="eastAsia"/>
          <w:sz w:val="21"/>
          <w:szCs w:val="21"/>
        </w:rPr>
      </w:pPr>
      <w:bookmarkStart w:id="42" w:name="_Toc14543"/>
      <w:r>
        <w:rPr>
          <w:rFonts w:ascii="宋体" w:eastAsia="宋体" w:hAnsi="宋体" w:cs="宋体" w:hint="eastAsia"/>
          <w:sz w:val="21"/>
          <w:szCs w:val="21"/>
        </w:rPr>
        <w:t>供应商保证对本合同项下的租赁物业拥有合法的权利。供应商在租赁期间内不另行出租给第三方，并保证不因租赁物业的产权纠纷影响采购人对租赁物业的正常经营使用。如因租赁物业产权纠纷影响采购人的正常使用，视为供应商违约，采购人有权单方解除本合同，供应商须按当期6个月的租金补偿采购人，并承担采购人因此造成的一切损失。</w:t>
      </w:r>
    </w:p>
    <w:p>
      <w:pPr>
        <w:keepNext/>
        <w:keepLines/>
        <w:adjustRightInd w:val="0"/>
        <w:snapToGrid w:val="0"/>
        <w:ind w:firstLine="420" w:firstLineChars="200"/>
        <w:outlineLvl w:val="0"/>
        <w:rPr>
          <w:rFonts w:ascii="宋体" w:eastAsia="宋体" w:hAnsi="宋体" w:cs="宋体" w:hint="eastAsia"/>
          <w:b/>
          <w:bCs/>
          <w:kern w:val="44"/>
          <w:sz w:val="21"/>
          <w:szCs w:val="21"/>
        </w:rPr>
      </w:pPr>
      <w:r>
        <w:rPr>
          <w:rFonts w:ascii="宋体" w:eastAsia="宋体" w:hAnsi="宋体" w:cs="宋体" w:hint="eastAsia"/>
          <w:b/>
          <w:bCs/>
          <w:kern w:val="44"/>
          <w:sz w:val="21"/>
          <w:szCs w:val="21"/>
        </w:rPr>
        <w:t>（三）租赁期限</w:t>
      </w:r>
      <w:bookmarkEnd w:id="42"/>
    </w:p>
    <w:p>
      <w:pPr>
        <w:ind w:firstLine="420" w:firstLineChars="200"/>
        <w:rPr>
          <w:rFonts w:ascii="宋体" w:eastAsia="宋体" w:hAnsi="宋体" w:cs="宋体" w:hint="eastAsia"/>
          <w:sz w:val="21"/>
          <w:szCs w:val="21"/>
        </w:rPr>
      </w:pPr>
      <w:bookmarkStart w:id="43" w:name="_Toc5676"/>
      <w:r>
        <w:rPr>
          <w:rFonts w:ascii="宋体" w:eastAsia="宋体" w:hAnsi="宋体" w:cs="宋体" w:hint="eastAsia"/>
          <w:sz w:val="21"/>
          <w:szCs w:val="21"/>
        </w:rPr>
        <w:t>1、租赁期限截止日为2028年12月31日，自供应商将物业交付给采购人之日（双方暂约定为2025年2月13日）起计算租赁起始时间，按规定支付租金。</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2、租赁期满时，按以下方式办理退租或续租手续：</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1）采购人应在租期届满前三个月向供应商提出书面续租申请，在同等条件下，采购人享有优先承租的权利，续租的租赁协议由双方协商后签订。如采购人未申请或未提前三个月申请的，采购人将不再享有优先承租权。</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2）若租期届满前三个月，采购人未向供应商提出书面续租申请，则视为采购人不需继续租用租赁物业，供应商有权重新寻找其他承租方，采购人积极配合给与便利，并在租赁期限届满后按照本合同的约定返还租赁物业。</w:t>
      </w:r>
    </w:p>
    <w:p>
      <w:pPr>
        <w:keepNext/>
        <w:keepLines/>
        <w:adjustRightInd w:val="0"/>
        <w:snapToGrid w:val="0"/>
        <w:ind w:firstLine="420" w:firstLineChars="200"/>
        <w:outlineLvl w:val="0"/>
        <w:rPr>
          <w:rFonts w:ascii="宋体" w:eastAsia="宋体" w:hAnsi="宋体" w:cs="宋体" w:hint="eastAsia"/>
          <w:b/>
          <w:bCs/>
          <w:kern w:val="44"/>
          <w:sz w:val="21"/>
          <w:szCs w:val="21"/>
        </w:rPr>
      </w:pPr>
      <w:r>
        <w:rPr>
          <w:rFonts w:ascii="宋体" w:eastAsia="宋体" w:hAnsi="宋体" w:cs="宋体" w:hint="eastAsia"/>
          <w:b/>
          <w:bCs/>
          <w:kern w:val="44"/>
          <w:sz w:val="21"/>
          <w:szCs w:val="21"/>
        </w:rPr>
        <w:t>（四）租赁物业的租赁用途</w:t>
      </w:r>
      <w:bookmarkEnd w:id="43"/>
    </w:p>
    <w:p>
      <w:pPr>
        <w:ind w:firstLine="420" w:firstLineChars="200"/>
        <w:rPr>
          <w:rFonts w:ascii="宋体" w:eastAsia="宋体" w:hAnsi="宋体" w:cs="宋体" w:hint="eastAsia"/>
          <w:sz w:val="21"/>
          <w:szCs w:val="21"/>
        </w:rPr>
      </w:pPr>
      <w:bookmarkStart w:id="44" w:name="_Toc17947"/>
      <w:r>
        <w:rPr>
          <w:rFonts w:ascii="宋体" w:eastAsia="宋体" w:hAnsi="宋体" w:cs="宋体" w:hint="eastAsia"/>
          <w:sz w:val="21"/>
          <w:szCs w:val="21"/>
        </w:rPr>
        <w:t>采购人承租本合同项下的租赁物业用作办公、会议、培训等经营用途。在租赁期内，采购人未征得供应商书面同意以及按规定经有关部门审核批准前，不得擅自改变该租赁物业的用途。</w:t>
      </w:r>
    </w:p>
    <w:p>
      <w:pPr>
        <w:keepNext/>
        <w:keepLines/>
        <w:adjustRightInd w:val="0"/>
        <w:snapToGrid w:val="0"/>
        <w:ind w:firstLine="420" w:firstLineChars="200"/>
        <w:outlineLvl w:val="0"/>
        <w:rPr>
          <w:rFonts w:ascii="宋体" w:eastAsia="宋体" w:hAnsi="宋体" w:cs="宋体" w:hint="eastAsia"/>
          <w:kern w:val="44"/>
          <w:sz w:val="21"/>
          <w:szCs w:val="21"/>
        </w:rPr>
      </w:pPr>
      <w:r>
        <w:rPr>
          <w:rFonts w:ascii="宋体" w:eastAsia="宋体" w:hAnsi="宋体" w:cs="宋体" w:hint="eastAsia"/>
          <w:b/>
          <w:bCs/>
          <w:kern w:val="44"/>
          <w:sz w:val="21"/>
          <w:szCs w:val="21"/>
        </w:rPr>
        <w:t>（五）租金费用</w:t>
      </w:r>
      <w:bookmarkEnd w:id="44"/>
    </w:p>
    <w:p>
      <w:pPr>
        <w:ind w:firstLine="420" w:firstLineChars="200"/>
        <w:rPr>
          <w:rFonts w:ascii="宋体" w:eastAsia="宋体" w:hAnsi="宋体" w:cs="宋体" w:hint="eastAsia"/>
          <w:sz w:val="21"/>
          <w:szCs w:val="21"/>
        </w:rPr>
      </w:pPr>
      <w:bookmarkStart w:id="45" w:name="OLE_LINK1"/>
      <w:bookmarkStart w:id="46" w:name="OLE_LINK2"/>
      <w:bookmarkStart w:id="47" w:name="_Toc6889"/>
      <w:r>
        <w:rPr>
          <w:rFonts w:ascii="宋体" w:eastAsia="宋体" w:hAnsi="宋体" w:cs="宋体" w:hint="eastAsia"/>
          <w:sz w:val="21"/>
          <w:szCs w:val="21"/>
        </w:rPr>
        <w:t>1、租赁面积共：</w:t>
      </w:r>
      <w:r>
        <w:rPr>
          <w:rFonts w:ascii="宋体" w:eastAsia="宋体" w:hAnsi="宋体" w:cs="宋体" w:hint="eastAsia"/>
          <w:sz w:val="21"/>
          <w:szCs w:val="21"/>
          <w:u w:val="single"/>
        </w:rPr>
        <w:t xml:space="preserve">1254.15 </w:t>
      </w:r>
      <w:r>
        <w:rPr>
          <w:rFonts w:ascii="宋体" w:eastAsia="宋体" w:hAnsi="宋体" w:cs="宋体" w:hint="eastAsia"/>
          <w:sz w:val="21"/>
          <w:szCs w:val="21"/>
        </w:rPr>
        <w:t>平方米（其中套内建筑面积：</w:t>
      </w:r>
      <w:r>
        <w:rPr>
          <w:rFonts w:ascii="宋体" w:eastAsia="宋体" w:hAnsi="宋体" w:cs="宋体" w:hint="eastAsia"/>
          <w:sz w:val="21"/>
          <w:szCs w:val="21"/>
          <w:u w:val="single"/>
        </w:rPr>
        <w:t xml:space="preserve">    786.47   </w:t>
      </w:r>
      <w:r>
        <w:rPr>
          <w:rFonts w:ascii="宋体" w:eastAsia="宋体" w:hAnsi="宋体" w:cs="宋体" w:hint="eastAsia"/>
          <w:sz w:val="21"/>
          <w:szCs w:val="21"/>
        </w:rPr>
        <w:t>平方米，公摊面积：</w:t>
      </w:r>
      <w:r>
        <w:rPr>
          <w:rFonts w:ascii="宋体" w:eastAsia="宋体" w:hAnsi="宋体" w:cs="宋体" w:hint="eastAsia"/>
          <w:sz w:val="21"/>
          <w:szCs w:val="21"/>
          <w:u w:val="single"/>
        </w:rPr>
        <w:t xml:space="preserve"> 467.68    </w:t>
      </w:r>
      <w:r>
        <w:rPr>
          <w:rFonts w:ascii="宋体" w:eastAsia="宋体" w:hAnsi="宋体" w:cs="宋体" w:hint="eastAsia"/>
          <w:sz w:val="21"/>
          <w:szCs w:val="21"/>
        </w:rPr>
        <w:t>平方米），房屋租赁用途：</w:t>
      </w:r>
      <w:r>
        <w:rPr>
          <w:rFonts w:ascii="宋体" w:eastAsia="宋体" w:hAnsi="宋体" w:cs="宋体" w:hint="eastAsia"/>
          <w:sz w:val="21"/>
          <w:szCs w:val="21"/>
          <w:u w:val="single"/>
        </w:rPr>
        <w:t xml:space="preserve">  新型产业</w:t>
      </w:r>
      <w:r>
        <w:rPr>
          <w:rFonts w:ascii="宋体" w:eastAsia="宋体" w:hAnsi="宋体" w:cs="宋体" w:hint="eastAsia"/>
          <w:sz w:val="21"/>
          <w:szCs w:val="21"/>
        </w:rPr>
        <w:t>（租赁面积详见下表）</w:t>
      </w:r>
    </w:p>
    <w:tbl>
      <w:tblPr>
        <w:tblStyle w:val="TableNormal"/>
        <w:tblW w:w="5000" w:type="pct"/>
        <w:tblInd w:w="9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top w:w="0" w:type="dxa"/>
          <w:left w:w="108" w:type="dxa"/>
          <w:bottom w:w="0" w:type="dxa"/>
          <w:right w:w="108" w:type="dxa"/>
        </w:tblCellMar>
      </w:tblPr>
      <w:tblGrid>
        <w:gridCol w:w="2822"/>
        <w:gridCol w:w="1721"/>
        <w:gridCol w:w="1033"/>
        <w:gridCol w:w="2953"/>
      </w:tblGrid>
      <w:tr>
        <w:tblPrEx>
          <w:tblW w:w="5000" w:type="pct"/>
          <w:tblInd w:w="9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top w:w="0" w:type="dxa"/>
            <w:left w:w="108" w:type="dxa"/>
            <w:bottom w:w="0" w:type="dxa"/>
            <w:right w:w="108" w:type="dxa"/>
          </w:tblCellMar>
        </w:tblPrEx>
        <w:trPr>
          <w:trHeight w:val="647"/>
        </w:trPr>
        <w:tc>
          <w:tcPr>
            <w:tcW w:w="2661" w:type="dxa"/>
            <w:tcBorders>
              <w:bottom w:val="single" w:sz="4" w:space="0" w:color="000000"/>
              <w:right w:val="single" w:sz="4" w:space="0" w:color="000000"/>
            </w:tcBorders>
            <w:noWrap/>
            <w:vAlign w:val="center"/>
          </w:tcPr>
          <w:p>
            <w:pPr>
              <w:widowControl/>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租赁楼层</w:t>
            </w:r>
          </w:p>
        </w:tc>
        <w:tc>
          <w:tcPr>
            <w:tcW w:w="1623" w:type="dxa"/>
            <w:tcBorders>
              <w:left w:val="single" w:sz="4" w:space="0" w:color="000000"/>
              <w:bottom w:val="single" w:sz="4" w:space="0" w:color="000000"/>
              <w:right w:val="single" w:sz="4" w:space="0" w:color="000000"/>
            </w:tcBorders>
            <w:vAlign w:val="center"/>
          </w:tcPr>
          <w:p>
            <w:pPr>
              <w:widowControl/>
              <w:snapToGrid w:val="0"/>
              <w:jc w:val="center"/>
              <w:textAlignment w:val="center"/>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类型</w:t>
            </w:r>
          </w:p>
        </w:tc>
        <w:tc>
          <w:tcPr>
            <w:tcW w:w="974" w:type="dxa"/>
            <w:tcBorders>
              <w:left w:val="single" w:sz="4" w:space="0" w:color="000000"/>
              <w:bottom w:val="single" w:sz="4" w:space="0" w:color="000000"/>
              <w:right w:val="single" w:sz="4" w:space="0" w:color="000000"/>
            </w:tcBorders>
            <w:vAlign w:val="center"/>
          </w:tcPr>
          <w:p>
            <w:pPr>
              <w:widowControl/>
              <w:snapToGrid w:val="0"/>
              <w:jc w:val="center"/>
              <w:textAlignment w:val="center"/>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层高</w:t>
            </w:r>
          </w:p>
          <w:p>
            <w:pPr>
              <w:widowControl/>
              <w:snapToGrid w:val="0"/>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（m）</w:t>
            </w:r>
          </w:p>
        </w:tc>
        <w:tc>
          <w:tcPr>
            <w:tcW w:w="2784" w:type="dxa"/>
            <w:tcBorders>
              <w:left w:val="single" w:sz="4" w:space="0" w:color="000000"/>
              <w:bottom w:val="single" w:sz="4" w:space="0" w:color="000000"/>
              <w:right w:val="single" w:sz="4" w:space="0" w:color="000000"/>
            </w:tcBorders>
            <w:vAlign w:val="center"/>
          </w:tcPr>
          <w:p>
            <w:pPr>
              <w:widowControl/>
              <w:snapToGrid w:val="0"/>
              <w:jc w:val="center"/>
              <w:textAlignment w:val="center"/>
              <w:rPr>
                <w:rFonts w:ascii="宋体" w:eastAsia="宋体" w:hAnsi="宋体" w:cs="宋体" w:hint="eastAsia"/>
                <w:color w:val="000000"/>
                <w:sz w:val="21"/>
                <w:szCs w:val="21"/>
                <w:lang w:bidi="ar"/>
              </w:rPr>
            </w:pPr>
            <w:r>
              <w:rPr>
                <w:rFonts w:ascii="宋体" w:eastAsia="宋体" w:hAnsi="宋体" w:cs="宋体" w:hint="eastAsia"/>
                <w:color w:val="000000"/>
                <w:sz w:val="21"/>
                <w:szCs w:val="21"/>
                <w:lang w:bidi="ar"/>
              </w:rPr>
              <w:t>租赁面积</w:t>
            </w:r>
          </w:p>
          <w:p>
            <w:pPr>
              <w:widowControl/>
              <w:snapToGrid w:val="0"/>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lang w:bidi="ar"/>
              </w:rPr>
              <w:t>（㎡）</w:t>
            </w:r>
          </w:p>
        </w:tc>
      </w:tr>
      <w:tr>
        <w:tblPrEx>
          <w:tblW w:w="5000" w:type="pct"/>
          <w:tblInd w:w="93" w:type="dxa"/>
          <w:tblLayout w:type="fixed"/>
          <w:tblCellMar>
            <w:top w:w="0" w:type="dxa"/>
            <w:left w:w="108" w:type="dxa"/>
            <w:bottom w:w="0" w:type="dxa"/>
            <w:right w:w="108" w:type="dxa"/>
          </w:tblCellMar>
        </w:tblPrEx>
        <w:trPr>
          <w:trHeight w:val="474"/>
        </w:trPr>
        <w:tc>
          <w:tcPr>
            <w:tcW w:w="2661" w:type="dxa"/>
            <w:tcBorders>
              <w:top w:val="single" w:sz="4" w:space="0" w:color="000000"/>
              <w:bottom w:val="single" w:sz="4" w:space="0" w:color="000000"/>
              <w:right w:val="single" w:sz="4" w:space="0" w:color="000000"/>
            </w:tcBorders>
            <w:noWrap/>
            <w:vAlign w:val="center"/>
          </w:tcPr>
          <w:p>
            <w:pPr>
              <w:widowControl/>
              <w:snapToGrid w:val="0"/>
              <w:jc w:val="center"/>
              <w:textAlignment w:val="center"/>
              <w:rPr>
                <w:rFonts w:ascii="宋体" w:eastAsia="宋体" w:hAnsi="宋体" w:cs="宋体" w:hint="eastAsia"/>
                <w:color w:val="000000"/>
                <w:sz w:val="21"/>
                <w:szCs w:val="21"/>
              </w:rPr>
            </w:pPr>
            <w:r>
              <w:rPr>
                <w:rFonts w:ascii="宋体" w:eastAsia="宋体" w:hAnsi="宋体" w:cs="宋体" w:hint="eastAsia"/>
                <w:color w:val="000000"/>
                <w:sz w:val="21"/>
                <w:szCs w:val="21"/>
                <w:u w:val="single"/>
                <w:lang w:bidi="ar"/>
              </w:rPr>
              <w:t>5层02</w:t>
            </w:r>
            <w:r>
              <w:rPr>
                <w:rFonts w:ascii="宋体" w:eastAsia="宋体" w:hAnsi="宋体" w:cs="宋体" w:hint="eastAsia"/>
                <w:sz w:val="21"/>
                <w:szCs w:val="21"/>
                <w:u w:val="single"/>
              </w:rPr>
              <w:t>、</w:t>
            </w:r>
            <w:r>
              <w:rPr>
                <w:rFonts w:ascii="宋体" w:eastAsia="宋体" w:hAnsi="宋体" w:cs="宋体" w:hint="eastAsia"/>
                <w:color w:val="000000"/>
                <w:sz w:val="21"/>
                <w:szCs w:val="21"/>
                <w:u w:val="single"/>
                <w:lang w:bidi="ar"/>
              </w:rPr>
              <w:t>03号</w:t>
            </w:r>
          </w:p>
        </w:tc>
        <w:tc>
          <w:tcPr>
            <w:tcW w:w="1623" w:type="dxa"/>
            <w:tcBorders>
              <w:top w:val="single" w:sz="4" w:space="0" w:color="000000"/>
              <w:left w:val="single" w:sz="4" w:space="0" w:color="000000"/>
              <w:bottom w:val="single" w:sz="4" w:space="0" w:color="000000"/>
              <w:right w:val="single" w:sz="4" w:space="0" w:color="000000"/>
            </w:tcBorders>
            <w:noWrap/>
            <w:vAlign w:val="center"/>
          </w:tcPr>
          <w:p>
            <w:pPr>
              <w:widowControl/>
              <w:snapToGrid w:val="0"/>
              <w:jc w:val="center"/>
              <w:textAlignment w:val="center"/>
              <w:rPr>
                <w:rFonts w:ascii="宋体" w:eastAsia="宋体" w:hAnsi="宋体" w:cs="宋体" w:hint="eastAsia"/>
                <w:color w:val="000000"/>
                <w:sz w:val="21"/>
                <w:szCs w:val="21"/>
                <w:u w:val="single"/>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pPr>
              <w:widowControl/>
              <w:snapToGrid w:val="0"/>
              <w:jc w:val="center"/>
              <w:textAlignment w:val="center"/>
              <w:rPr>
                <w:rFonts w:ascii="宋体" w:eastAsia="宋体" w:hAnsi="宋体" w:cs="宋体" w:hint="eastAsia"/>
                <w:color w:val="000000"/>
                <w:sz w:val="21"/>
                <w:szCs w:val="21"/>
                <w:u w:val="single"/>
              </w:rPr>
            </w:pPr>
          </w:p>
        </w:tc>
        <w:tc>
          <w:tcPr>
            <w:tcW w:w="2784" w:type="dxa"/>
            <w:tcBorders>
              <w:top w:val="single" w:sz="4" w:space="0" w:color="000000"/>
              <w:left w:val="single" w:sz="4" w:space="0" w:color="000000"/>
              <w:bottom w:val="single" w:sz="4" w:space="0" w:color="000000"/>
              <w:right w:val="single" w:sz="4" w:space="0" w:color="000000"/>
            </w:tcBorders>
            <w:noWrap/>
            <w:vAlign w:val="center"/>
          </w:tcPr>
          <w:p>
            <w:pPr>
              <w:widowControl/>
              <w:snapToGrid w:val="0"/>
              <w:jc w:val="center"/>
              <w:textAlignment w:val="center"/>
              <w:rPr>
                <w:rFonts w:ascii="宋体" w:eastAsia="宋体" w:hAnsi="宋体" w:cs="宋体" w:hint="eastAsia"/>
                <w:color w:val="000000"/>
                <w:sz w:val="21"/>
                <w:szCs w:val="21"/>
              </w:rPr>
            </w:pPr>
            <w:r>
              <w:rPr>
                <w:rFonts w:ascii="宋体" w:eastAsia="宋体" w:hAnsi="宋体" w:cs="宋体" w:hint="eastAsia"/>
                <w:sz w:val="21"/>
                <w:szCs w:val="21"/>
                <w:u w:val="single"/>
              </w:rPr>
              <w:t>1254.15</w:t>
            </w:r>
          </w:p>
        </w:tc>
      </w:tr>
    </w:tbl>
    <w:p>
      <w:pPr>
        <w:widowControl w:val="0"/>
        <w:spacing w:line="360" w:lineRule="auto"/>
        <w:jc w:val="both"/>
        <w:rPr>
          <w:rFonts w:ascii="宋体" w:eastAsia="宋体" w:hAnsi="宋体" w:cs="宋体" w:hint="eastAsia"/>
          <w:kern w:val="2"/>
          <w:sz w:val="21"/>
          <w:szCs w:val="21"/>
          <w:lang w:eastAsia="zh-CN"/>
        </w:rPr>
      </w:pPr>
    </w:p>
    <w:p>
      <w:pPr>
        <w:ind w:firstLine="420" w:firstLineChars="200"/>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lang w:eastAsia="zh-CN"/>
        </w:rPr>
        <w:t>2</w:t>
      </w:r>
      <w:r>
        <w:rPr>
          <w:rFonts w:ascii="宋体" w:eastAsia="宋体" w:hAnsi="宋体" w:cs="宋体" w:hint="eastAsia"/>
          <w:sz w:val="21"/>
          <w:szCs w:val="21"/>
        </w:rPr>
        <w:t>、杂费： 水费、电费及其他杂费依据采购人与深圳市国贸物业管理有限公司签订的《园区物业综合服务协议》相关条款，由深圳市国贸物业管理有限公司收取。相关收费标准需依据成本及政府有关规定计取，由供应商协调时代高科公司定期进行成本公示。</w:t>
      </w:r>
    </w:p>
    <w:p>
      <w:pPr>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rPr>
        <w:t>、物业管理费：依据采购人与深圳市国贸物业管理有限公司签订的《园区物业综合服务协议》相关条款，由深圳市国贸物业管理有限公司收取。</w:t>
      </w:r>
      <w:bookmarkEnd w:id="45"/>
      <w:bookmarkEnd w:id="46"/>
    </w:p>
    <w:p>
      <w:pPr>
        <w:keepNext/>
        <w:keepLines/>
        <w:adjustRightInd w:val="0"/>
        <w:snapToGrid w:val="0"/>
        <w:ind w:firstLine="420" w:firstLineChars="200"/>
        <w:outlineLvl w:val="0"/>
        <w:rPr>
          <w:rFonts w:ascii="宋体" w:eastAsia="宋体" w:hAnsi="宋体" w:cs="宋体" w:hint="eastAsia"/>
          <w:b/>
          <w:bCs/>
          <w:kern w:val="44"/>
          <w:sz w:val="21"/>
          <w:szCs w:val="21"/>
        </w:rPr>
      </w:pPr>
      <w:r>
        <w:rPr>
          <w:rFonts w:ascii="宋体" w:eastAsia="宋体" w:hAnsi="宋体" w:cs="宋体" w:hint="eastAsia"/>
          <w:b/>
          <w:bCs/>
          <w:kern w:val="44"/>
          <w:sz w:val="21"/>
          <w:szCs w:val="21"/>
        </w:rPr>
        <w:t>（六）租金、费用支付方式</w:t>
      </w:r>
      <w:bookmarkEnd w:id="47"/>
    </w:p>
    <w:p>
      <w:pPr>
        <w:ind w:firstLine="420" w:firstLineChars="200"/>
        <w:rPr>
          <w:rFonts w:ascii="宋体" w:eastAsia="宋体" w:hAnsi="宋体" w:cs="宋体" w:hint="eastAsia"/>
          <w:sz w:val="21"/>
          <w:szCs w:val="21"/>
        </w:rPr>
      </w:pPr>
      <w:r>
        <w:rPr>
          <w:rFonts w:ascii="宋体" w:eastAsia="宋体" w:hAnsi="宋体" w:cs="宋体" w:hint="eastAsia"/>
          <w:sz w:val="21"/>
          <w:szCs w:val="21"/>
        </w:rPr>
        <w:t>1、采购人须在每月政府相关预算资金下达采购人账户后 15 个工作日之内（含本数）缴清当月的租金，供应商应开具同等金额真实有效的发票，发票类型根据采购人书面指示具体选择。</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2、现金支票或者现金支付的，需缴付至供应商以下指定账户（供应商申明：供应商未授权任何现场管理人员以任何理由和名目收取现金、现金支票之资格，否则由此引发的经济和法律责任供应商均不承担）。</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3、银行转账，供应商指定的租金收取账户信息如下：</w:t>
      </w:r>
    </w:p>
    <w:p>
      <w:pPr>
        <w:rPr>
          <w:rFonts w:ascii="宋体" w:eastAsia="宋体" w:hAnsi="宋体" w:cs="宋体" w:hint="eastAsia"/>
          <w:sz w:val="21"/>
          <w:szCs w:val="21"/>
        </w:rPr>
      </w:pPr>
      <w:r>
        <w:rPr>
          <w:rFonts w:ascii="宋体" w:eastAsia="宋体" w:hAnsi="宋体" w:cs="宋体" w:hint="eastAsia"/>
          <w:sz w:val="21"/>
          <w:szCs w:val="21"/>
        </w:rPr>
        <w:t xml:space="preserve">       开 户 行: 中国建设银行福田保税区支行       </w:t>
      </w:r>
    </w:p>
    <w:p>
      <w:pPr>
        <w:rPr>
          <w:rFonts w:ascii="宋体" w:eastAsia="宋体" w:hAnsi="宋体" w:cs="宋体" w:hint="eastAsia"/>
          <w:sz w:val="21"/>
          <w:szCs w:val="21"/>
        </w:rPr>
      </w:pPr>
      <w:r>
        <w:rPr>
          <w:rFonts w:ascii="宋体" w:eastAsia="宋体" w:hAnsi="宋体" w:cs="宋体" w:hint="eastAsia"/>
          <w:sz w:val="21"/>
          <w:szCs w:val="21"/>
        </w:rPr>
        <w:t xml:space="preserve">       户    名: 深圳深港科技创新合作区发展有限公司   </w:t>
      </w:r>
    </w:p>
    <w:p>
      <w:pPr>
        <w:rPr>
          <w:rFonts w:ascii="宋体" w:eastAsia="宋体" w:hAnsi="宋体" w:cs="宋体" w:hint="eastAsia"/>
          <w:sz w:val="21"/>
          <w:szCs w:val="21"/>
        </w:rPr>
      </w:pPr>
      <w:r>
        <w:rPr>
          <w:rFonts w:ascii="宋体" w:eastAsia="宋体" w:hAnsi="宋体" w:cs="宋体" w:hint="eastAsia"/>
          <w:sz w:val="21"/>
          <w:szCs w:val="21"/>
        </w:rPr>
        <w:t xml:space="preserve">       银行账号：44250100006600001817               </w:t>
      </w:r>
    </w:p>
    <w:p>
      <w:pPr>
        <w:keepNext/>
        <w:keepLines/>
        <w:adjustRightInd w:val="0"/>
        <w:snapToGrid w:val="0"/>
        <w:ind w:firstLine="420" w:firstLineChars="200"/>
        <w:outlineLvl w:val="0"/>
        <w:rPr>
          <w:rFonts w:ascii="宋体" w:eastAsia="宋体" w:hAnsi="宋体" w:cs="宋体" w:hint="eastAsia"/>
          <w:b/>
          <w:bCs/>
          <w:kern w:val="44"/>
          <w:sz w:val="21"/>
          <w:szCs w:val="21"/>
        </w:rPr>
      </w:pPr>
      <w:r>
        <w:rPr>
          <w:rFonts w:ascii="宋体" w:eastAsia="宋体" w:hAnsi="宋体" w:cs="宋体" w:hint="eastAsia"/>
          <w:b/>
          <w:bCs/>
          <w:kern w:val="44"/>
          <w:sz w:val="21"/>
          <w:szCs w:val="21"/>
        </w:rPr>
        <w:t>（七）合同争议条款的解决方法</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1、项目合同适用中华人民共和国法律。</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2、项目合同项下发生的争议，由双方当事人协商解决或申请调解解决；协商或调解不成的，依法向租赁物业所在地有管辖权人民法院起诉。</w:t>
      </w:r>
    </w:p>
    <w:p>
      <w:pPr>
        <w:spacing w:before="120" w:beforeLines="50" w:after="120" w:afterLines="50"/>
        <w:rPr>
          <w:rFonts w:ascii="宋体" w:eastAsia="宋体" w:hAnsi="宋体" w:cs="宋体" w:hint="eastAsia"/>
          <w:sz w:val="21"/>
          <w:szCs w:val="21"/>
        </w:rPr>
      </w:pPr>
      <w:r>
        <w:rPr>
          <w:rFonts w:ascii="宋体" w:eastAsia="宋体" w:hAnsi="宋体" w:cs="宋体" w:hint="eastAsia"/>
          <w:sz w:val="21"/>
          <w:szCs w:val="21"/>
        </w:rPr>
        <w:t>3、项目合同争议期间，除争议事项外，双方须继续履行合同项下的其他条款。</w:t>
      </w:r>
    </w:p>
    <w:p>
      <w:pPr>
        <w:widowControl w:val="0"/>
        <w:jc w:val="both"/>
        <w:rPr>
          <w:rFonts w:ascii="宋体" w:eastAsia="宋体" w:hAnsi="宋体" w:hint="eastAsia"/>
          <w:kern w:val="2"/>
          <w:sz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七、其他重要条款</w:t>
      </w:r>
    </w:p>
    <w:p>
      <w:pPr>
        <w:widowControl w:val="0"/>
        <w:ind w:firstLine="420" w:firstLineChars="200"/>
        <w:jc w:val="both"/>
        <w:rPr>
          <w:rFonts w:eastAsia="宋体"/>
          <w:bCs/>
          <w:kern w:val="2"/>
          <w:sz w:val="21"/>
          <w:szCs w:val="21"/>
          <w:lang w:eastAsia="zh-CN"/>
        </w:rPr>
      </w:pPr>
      <w:bookmarkStart w:id="48" w:name="_Hlk72257111"/>
      <w:r>
        <w:rPr>
          <w:rFonts w:eastAsia="宋体" w:hint="eastAsia"/>
          <w:bCs/>
          <w:kern w:val="2"/>
          <w:sz w:val="21"/>
          <w:szCs w:val="21"/>
          <w:lang w:eastAsia="zh-CN"/>
        </w:rPr>
        <w:t>1、本项目应答报价采用包干制，应包括成本、法定税费和相应的利润，应涵盖本项目采购范围和采购文件所列的各项内容中所述的全部。由应答人根据采购需求自行测算应答报价；一经成交，应答报价即作为成交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、应答人应充分了解项目的位置、情况、道路及任何其他足以影响应答报价的情况，任何因忽视或误解项目情况而导致的索赔或服务期限延长申请将不获批准。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、应答人不得期望通过索赔等方式获取补偿，否则，除可能遭到拒绝外，还可能将被作为不良行为记录在案，并可能影响其以后参加政府采购的项目应答。各应答人在应答报价时，应充分考虑应答报价的风险。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val="0"/>
        <w:ind w:firstLine="420" w:firstLineChars="200"/>
        <w:jc w:val="both"/>
        <w:rPr>
          <w:rFonts w:eastAsia="宋体"/>
          <w:bCs/>
          <w:kern w:val="2"/>
          <w:sz w:val="21"/>
          <w:szCs w:val="21"/>
          <w:lang w:eastAsia="zh-CN"/>
        </w:rPr>
        <w:sectPr>
          <w:pgSz w:w="11907" w:h="16840"/>
          <w:pgMar w:top="1440" w:right="1797" w:bottom="1440" w:left="1797" w:header="851" w:footer="992" w:gutter="0"/>
          <w:cols w:num="1" w:space="425"/>
          <w:titlePg/>
          <w:docGrid w:linePitch="462" w:charSpace="0"/>
        </w:sect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48"/>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第四章</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 xml:space="preserve"> 应答文件组成要求及格式</w:t>
      </w:r>
    </w:p>
    <w:p>
      <w:pPr>
        <w:widowControl w:val="0"/>
        <w:jc w:val="both"/>
        <w:rPr>
          <w:rFonts w:ascii="黑体" w:eastAsia="黑体"/>
          <w:bCs/>
          <w:kern w:val="2"/>
          <w:lang w:eastAsia="zh-CN"/>
        </w:rPr>
      </w:pPr>
      <w:r>
        <w:rPr>
          <w:rFonts w:ascii="黑体" w:eastAsia="黑体" w:hint="eastAsia"/>
          <w:bCs/>
          <w:kern w:val="2"/>
          <w:lang w:eastAsia="zh-CN"/>
        </w:rPr>
        <w:t>特别提醒：</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1、应答文件正文将对外公开，应答文件附件不公开。供应商在编辑应答文件时，在应答文件目录中属于本节点内容的必须在本节点中填写，填写到其他节点或附件的将可能导致应答无效，一切后果由供应商自行承担。</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2、应答文件正文（信息公开部分）必须编制于“正文（公开部分）”部分，应答文件附件（非信息公开部分）必须编制于“附件（不公开部分）”部分。</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3、政府集中采购机构公布应答文件正文（信息公开部分）时，如供应商误将涉及个人隐私的信息放入应答文件正文，相关后果由供应商自负；如供应商将必须放于应答文件正文（信息公开部分）的内容放入应答文件附件（非信息公开部分），将作应答无效处理。</w:t>
      </w:r>
    </w:p>
    <w:p>
      <w:pPr>
        <w:widowControl w:val="0"/>
        <w:jc w:val="both"/>
        <w:rPr>
          <w:rFonts w:ascii="仿宋_GB2312" w:eastAsia="仿宋_GB2312"/>
          <w:kern w:val="2"/>
          <w:lang w:eastAsia="zh-CN"/>
        </w:rPr>
      </w:pPr>
    </w:p>
    <w:p>
      <w:pPr>
        <w:widowControl w:val="0"/>
        <w:jc w:val="both"/>
        <w:rPr>
          <w:rFonts w:ascii="仿宋_GB2312" w:eastAsia="仿宋_GB2312"/>
          <w:kern w:val="2"/>
          <w:lang w:eastAsia="zh-CN"/>
        </w:rPr>
      </w:pPr>
    </w:p>
    <w:p>
      <w:pPr>
        <w:widowControl w:val="0"/>
        <w:jc w:val="both"/>
        <w:outlineLvl w:val="0"/>
        <w:rPr>
          <w:rFonts w:ascii="黑体" w:eastAsia="黑体"/>
          <w:bCs/>
          <w:kern w:val="2"/>
          <w:sz w:val="28"/>
          <w:szCs w:val="28"/>
          <w:lang w:eastAsia="zh-CN"/>
        </w:rPr>
      </w:pPr>
      <w:r>
        <w:rPr>
          <w:rFonts w:ascii="黑体" w:eastAsia="黑体" w:hint="eastAsia"/>
          <w:bCs/>
          <w:kern w:val="2"/>
          <w:sz w:val="28"/>
          <w:szCs w:val="28"/>
          <w:lang w:eastAsia="zh-CN"/>
        </w:rPr>
        <w:t>应答文件组成：</w:t>
      </w:r>
    </w:p>
    <w:p>
      <w:pPr>
        <w:widowControl w:val="0"/>
        <w:jc w:val="center"/>
        <w:rPr>
          <w:rFonts w:eastAsia="宋体"/>
          <w:kern w:val="2"/>
          <w:sz w:val="21"/>
          <w:lang w:eastAsia="zh-CN"/>
        </w:rPr>
      </w:pPr>
      <w:r>
        <w:rPr>
          <w:rFonts w:eastAsia="宋体" w:hint="eastAsia"/>
          <w:kern w:val="2"/>
          <w:sz w:val="21"/>
          <w:lang w:eastAsia="zh-CN"/>
        </w:rPr>
        <w:t>1.应答文件正文</w:t>
      </w:r>
      <w:r>
        <w:rPr>
          <w:rFonts w:eastAsia="宋体" w:hint="eastAsia"/>
          <w:b/>
          <w:color w:val="FF0000"/>
          <w:kern w:val="2"/>
          <w:sz w:val="21"/>
          <w:lang w:eastAsia="zh-CN"/>
        </w:rPr>
        <w:t>（信息公开部分）</w:t>
      </w:r>
      <w:r>
        <w:rPr>
          <w:rFonts w:eastAsia="宋体" w:hint="eastAsia"/>
          <w:kern w:val="2"/>
          <w:sz w:val="21"/>
          <w:lang w:eastAsia="zh-CN"/>
        </w:rPr>
        <w:t>，主要包括以下内容：</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（1）应答书</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（2）采购应答及履约承诺函</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）供应商情况及资格证明文件</w:t>
      </w:r>
    </w:p>
    <w:p>
      <w:pPr>
        <w:widowControl w:val="0"/>
        <w:ind w:left="821" w:firstLine="1418" w:leftChars="342" w:firstLineChars="675"/>
        <w:jc w:val="both"/>
        <w:rPr>
          <w:rFonts w:eastAsia="宋体"/>
          <w:kern w:val="2"/>
          <w:sz w:val="21"/>
          <w:szCs w:val="21"/>
          <w:lang w:eastAsia="zh-CN"/>
        </w:rPr>
      </w:pPr>
      <w:bookmarkStart w:id="49"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p>
    <w:p>
      <w:pPr>
        <w:widowControl w:val="0"/>
        <w:ind w:left="821" w:firstLine="1418" w:leftChars="342" w:firstLineChars="675"/>
        <w:jc w:val="both"/>
        <w:rPr>
          <w:rFonts w:eastAsia="宋体" w:hint="eastAsia"/>
          <w:kern w:val="2"/>
          <w:sz w:val="21"/>
          <w:szCs w:val="21"/>
          <w:lang w:eastAsia="zh-CN"/>
        </w:rPr>
      </w:pPr>
      <w:r>
        <w:rPr>
          <w:rFonts w:eastAsia="宋体" w:hint="eastAsia"/>
          <w:kern w:val="2"/>
          <w:sz w:val="21"/>
          <w:szCs w:val="21"/>
          <w:lang w:eastAsia="zh-CN"/>
        </w:rPr>
        <w:t>（5）其他招标文件要求或投标人认为需要补充的内容（公开）</w:t>
      </w:r>
    </w:p>
    <w:bookmarkEnd w:id="49"/>
    <w:p>
      <w:pPr>
        <w:widowControl w:val="0"/>
        <w:ind w:left="821" w:firstLine="1418" w:leftChars="342" w:firstLineChars="675"/>
        <w:jc w:val="left"/>
        <w:rPr>
          <w:rFonts w:eastAsia="宋体"/>
          <w:kern w:val="2"/>
          <w:sz w:val="21"/>
          <w:highlight w:val="yellow"/>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r>
        <w:rPr>
          <w:rFonts w:eastAsia="宋体" w:hint="eastAsia"/>
          <w:kern w:val="2"/>
          <w:sz w:val="21"/>
          <w:lang w:eastAsia="zh-CN"/>
        </w:rPr>
        <w:t>2.应答文件附件</w:t>
      </w:r>
      <w:r>
        <w:rPr>
          <w:rFonts w:eastAsia="宋体" w:hint="eastAsia"/>
          <w:b/>
          <w:color w:val="FF0000"/>
          <w:kern w:val="2"/>
          <w:sz w:val="21"/>
          <w:lang w:eastAsia="zh-CN"/>
        </w:rPr>
        <w:t>（信息不公开部分）</w:t>
      </w:r>
      <w:r>
        <w:rPr>
          <w:rFonts w:eastAsia="宋体" w:hint="eastAsia"/>
          <w:kern w:val="2"/>
          <w:sz w:val="21"/>
          <w:lang w:eastAsia="zh-CN"/>
        </w:rPr>
        <w:t>：主要包括以下内容：</w:t>
      </w:r>
    </w:p>
    <w:p>
      <w:pPr>
        <w:widowControl w:val="0"/>
        <w:ind w:firstLine="2100" w:firstLineChars="1000"/>
        <w:jc w:val="both"/>
        <w:rPr>
          <w:rFonts w:eastAsia="宋体"/>
          <w:kern w:val="2"/>
          <w:sz w:val="21"/>
          <w:szCs w:val="21"/>
          <w:lang w:eastAsia="zh-CN"/>
        </w:rPr>
      </w:pPr>
      <w:r>
        <w:rPr>
          <w:rFonts w:eastAsia="宋体" w:hint="eastAsia"/>
          <w:kern w:val="2"/>
          <w:sz w:val="21"/>
          <w:szCs w:val="21"/>
          <w:lang w:eastAsia="zh-CN"/>
        </w:rPr>
        <w:t>（1）法定代表人（负责人）证明书</w:t>
      </w:r>
    </w:p>
    <w:p>
      <w:pPr>
        <w:widowControl w:val="0"/>
        <w:ind w:left="821" w:firstLine="1418" w:leftChars="342" w:firstLineChars="675"/>
        <w:jc w:val="both"/>
        <w:rPr>
          <w:rFonts w:eastAsia="宋体"/>
          <w:kern w:val="2"/>
          <w:sz w:val="21"/>
          <w:szCs w:val="21"/>
          <w:lang w:eastAsia="zh-CN"/>
        </w:rPr>
      </w:pPr>
      <w:r>
        <w:rPr>
          <w:rFonts w:eastAsia="宋体" w:hint="eastAsia"/>
          <w:kern w:val="2"/>
          <w:sz w:val="21"/>
          <w:szCs w:val="21"/>
          <w:lang w:eastAsia="zh-CN"/>
        </w:rPr>
        <w:t>（2）谈判应答文件签署授权委托书</w:t>
      </w:r>
    </w:p>
    <w:p>
      <w:pPr>
        <w:widowControl w:val="0"/>
        <w:ind w:firstLine="2100" w:firstLineChars="1000"/>
        <w:jc w:val="both"/>
        <w:rPr>
          <w:rFonts w:eastAsia="宋体"/>
          <w:kern w:val="2"/>
          <w:sz w:val="21"/>
          <w:szCs w:val="21"/>
          <w:lang w:eastAsia="zh-CN"/>
        </w:rPr>
      </w:pPr>
      <w:bookmarkStart w:id="50" w:name="OLE_LINK164"/>
      <w:r>
        <w:rPr>
          <w:rFonts w:eastAsia="宋体" w:hint="eastAsia"/>
          <w:kern w:val="2"/>
          <w:sz w:val="21"/>
          <w:szCs w:val="21"/>
          <w:lang w:eastAsia="zh-CN"/>
        </w:rPr>
        <w:t>（3）</w:t>
      </w:r>
      <w:bookmarkEnd w:id="50"/>
      <w:r>
        <w:rPr>
          <w:rFonts w:eastAsia="宋体"/>
          <w:kern w:val="2"/>
          <w:sz w:val="21"/>
          <w:szCs w:val="21"/>
          <w:lang w:eastAsia="zh-CN"/>
        </w:rPr>
        <w:t>实质性条款响应情况表</w:t>
      </w:r>
    </w:p>
    <w:p>
      <w:pPr>
        <w:widowControl w:val="0"/>
        <w:ind w:firstLine="2100" w:firstLineChars="1000"/>
        <w:jc w:val="both"/>
        <w:rPr>
          <w:rFonts w:eastAsia="宋体"/>
          <w:kern w:val="2"/>
          <w:sz w:val="21"/>
          <w:szCs w:val="21"/>
          <w:lang w:eastAsia="zh-CN"/>
        </w:rPr>
      </w:pPr>
      <w:r>
        <w:rPr>
          <w:rFonts w:eastAsia="宋体" w:hint="eastAsia"/>
          <w:kern w:val="2"/>
          <w:sz w:val="21"/>
          <w:szCs w:val="21"/>
          <w:lang w:eastAsia="zh-CN"/>
        </w:rPr>
        <w:t>（4）其他招标文件要求或投标人认为需要补充的内容（非公开）</w:t>
      </w:r>
    </w:p>
    <w:p>
      <w:pPr>
        <w:widowControl w:val="0"/>
        <w:ind w:left="821" w:firstLine="1418" w:leftChars="342" w:firstLineChars="675"/>
        <w:jc w:val="both"/>
        <w:rPr>
          <w:rFonts w:eastAsia="宋体"/>
          <w:kern w:val="2"/>
          <w:sz w:val="21"/>
          <w:szCs w:val="21"/>
          <w:lang w:eastAsia="zh-CN"/>
        </w:rPr>
      </w:pPr>
    </w:p>
    <w:p>
      <w:pPr>
        <w:widowControl w:val="0"/>
        <w:ind w:left="821" w:firstLine="1418" w:leftChars="342" w:firstLineChars="675"/>
        <w:jc w:val="both"/>
        <w:rPr>
          <w:rFonts w:eastAsia="宋体"/>
          <w:kern w:val="2"/>
          <w:sz w:val="21"/>
          <w:szCs w:val="21"/>
          <w:lang w:eastAsia="zh-CN"/>
        </w:rPr>
      </w:pPr>
    </w:p>
    <w:p>
      <w:pPr>
        <w:widowControl w:val="0"/>
        <w:ind w:firstLine="424" w:firstLineChars="202"/>
        <w:jc w:val="both"/>
        <w:rPr>
          <w:rFonts w:ascii="宋体" w:eastAsia="宋体" w:hAnsi="宋体" w:hint="eastAsia"/>
          <w:b/>
          <w:kern w:val="2"/>
          <w:sz w:val="21"/>
          <w:szCs w:val="21"/>
          <w:highlight w:val="yellow"/>
          <w:lang w:eastAsia="zh-CN"/>
        </w:rPr>
      </w:pPr>
      <w:r>
        <w:rPr>
          <w:rFonts w:ascii="宋体" w:eastAsia="宋体" w:hAnsi="宋体" w:hint="eastAsia"/>
          <w:b/>
          <w:kern w:val="2"/>
          <w:sz w:val="21"/>
          <w:szCs w:val="21"/>
          <w:highlight w:val="yellow"/>
          <w:lang w:eastAsia="zh-CN"/>
        </w:rPr>
        <w:t>备注：</w:t>
      </w:r>
    </w:p>
    <w:p>
      <w:pPr>
        <w:widowControl w:val="0"/>
        <w:ind w:firstLine="424" w:firstLineChars="202"/>
        <w:jc w:val="both"/>
        <w:rPr>
          <w:rFonts w:ascii="宋体" w:eastAsia="宋体" w:hAnsi="宋体" w:hint="eastAsia"/>
          <w:b/>
          <w:kern w:val="2"/>
          <w:sz w:val="21"/>
          <w:szCs w:val="21"/>
          <w:highlight w:val="yellow"/>
          <w:lang w:eastAsia="zh-CN"/>
        </w:rPr>
      </w:pPr>
      <w:r>
        <w:rPr>
          <w:rFonts w:ascii="宋体" w:eastAsia="宋体" w:hAnsi="宋体" w:hint="eastAsia"/>
          <w:b/>
          <w:kern w:val="2"/>
          <w:sz w:val="21"/>
          <w:szCs w:val="21"/>
          <w:highlight w:val="yellow"/>
          <w:lang w:eastAsia="zh-CN"/>
        </w:rPr>
        <w:t>1.本项目为网上电子应答项目，应答文件不需法人或授权委托人另行签字，无需加盖单位公章，采购文件另有规定的除外。</w:t>
      </w:r>
    </w:p>
    <w:p>
      <w:pPr>
        <w:widowControl w:val="0"/>
        <w:spacing w:line="360" w:lineRule="auto"/>
        <w:jc w:val="both"/>
        <w:rPr>
          <w:rFonts w:eastAsia="宋体"/>
          <w:b/>
          <w:bCs/>
          <w:kern w:val="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t>应答文件正文（信息公开部分）</w:t>
      </w: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一、应答书</w:t>
      </w:r>
    </w:p>
    <w:p>
      <w:pPr>
        <w:widowControl w:val="0"/>
        <w:jc w:val="both"/>
        <w:rPr>
          <w:rFonts w:ascii="宋体" w:eastAsia="宋体" w:hAnsi="宋体" w:hint="eastAsia"/>
          <w:color w:val="FF0000"/>
          <w:kern w:val="2"/>
          <w:lang w:eastAsia="zh-CN"/>
        </w:rPr>
      </w:pPr>
    </w:p>
    <w:p>
      <w:pPr>
        <w:widowControl w:val="0"/>
        <w:spacing w:line="36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致：深圳公共资源交易中心</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1、根据已收到贵单位的项目编号为</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项目的谈判公告，遵照《深圳经济特区政府采购条例》和《深圳网上政府采购管理暂行办法》等有关规定，我单位经研究谈判文件后，</w:t>
      </w:r>
      <w:r>
        <w:rPr>
          <w:rFonts w:ascii="宋体" w:eastAsia="宋体" w:hAnsi="宋体" w:hint="eastAsia"/>
          <w:kern w:val="2"/>
          <w:sz w:val="21"/>
          <w:szCs w:val="21"/>
          <w:lang w:eastAsia="zh-CN"/>
        </w:rPr>
        <w:t>代表</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（姓名、职务）经正式授权并代表</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（供应商名称、地址）提交电子谈判应答文件一份。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、谈判价格具体见“项目详细报价”，具体以谈判最终报价为准。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、如果我单位获得成交资格，我单位将按照谈判文件的要求足额提交履约担保。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w:t>
      </w:r>
      <w:r>
        <w:rPr>
          <w:rFonts w:ascii="宋体" w:eastAsia="宋体" w:hAnsi="宋体" w:hint="eastAsia"/>
          <w:kern w:val="2"/>
          <w:sz w:val="21"/>
          <w:szCs w:val="21"/>
          <w:lang w:eastAsia="zh-CN"/>
        </w:rPr>
        <w:t>、我单位同意所递交的应答文件在“对谈判须知条款的补充内容”中明确的谈判应答有效期内有效，在此期间内我单位有可能获得成交资格，我单位将受此约束，履行合同责任和义务。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5</w:t>
      </w:r>
      <w:r>
        <w:rPr>
          <w:rFonts w:ascii="宋体" w:eastAsia="宋体" w:hAnsi="宋体" w:hint="eastAsia"/>
          <w:kern w:val="2"/>
          <w:sz w:val="21"/>
          <w:szCs w:val="21"/>
          <w:lang w:eastAsia="zh-CN"/>
        </w:rPr>
        <w:t>、除非另外达成协议并生效，贵单位的成交通知书和本应答文件（含谈判过程中的其他承诺）将构成合同的重要内容。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6</w:t>
      </w:r>
      <w:r>
        <w:rPr>
          <w:rFonts w:ascii="宋体" w:eastAsia="宋体" w:hAnsi="宋体" w:hint="eastAsia"/>
          <w:kern w:val="2"/>
          <w:sz w:val="21"/>
          <w:szCs w:val="21"/>
          <w:lang w:eastAsia="zh-CN"/>
        </w:rPr>
        <w:t>、我单位理解贵单位将不受必须接受所收到的最低报价或其它任何应答文件的约束。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7、如我单位提交样品，且未在规定时间内取回样品的，视同放弃取回，同意深圳公共资源交易中心对我单位提交的样品进行清理。</w:t>
      </w:r>
    </w:p>
    <w:p>
      <w:pPr>
        <w:widowControl w:val="0"/>
        <w:spacing w:line="360" w:lineRule="auto"/>
        <w:jc w:val="both"/>
        <w:rPr>
          <w:rFonts w:ascii="宋体" w:eastAsia="宋体" w:hAnsi="宋体" w:hint="eastAsia"/>
          <w:kern w:val="2"/>
          <w:sz w:val="21"/>
          <w:szCs w:val="21"/>
          <w:lang w:eastAsia="zh-CN"/>
        </w:rPr>
      </w:pP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供应商名称：</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法定代表人（负责人）或其授权委托代理人：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开户银行账号 ：</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传真：</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560"/>
        <w:jc w:val="both"/>
        <w:rPr>
          <w:rFonts w:ascii="宋体" w:eastAsia="宋体" w:hAnsi="宋体" w:hint="eastAsia"/>
          <w:kern w:val="2"/>
          <w:sz w:val="21"/>
          <w:szCs w:val="21"/>
          <w:lang w:eastAsia="zh-CN"/>
        </w:rPr>
      </w:pPr>
    </w:p>
    <w:p>
      <w:pPr>
        <w:widowControl w:val="0"/>
        <w:spacing w:line="360" w:lineRule="auto"/>
        <w:ind w:firstLine="560"/>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ind w:firstLine="560"/>
        <w:jc w:val="both"/>
        <w:rPr>
          <w:rFonts w:eastAsia="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二、采购应答及履约承诺函</w:t>
      </w:r>
    </w:p>
    <w:p>
      <w:pPr>
        <w:widowControl w:val="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致：</w:t>
      </w:r>
      <w:r>
        <w:rPr>
          <w:rFonts w:ascii="宋体" w:eastAsia="宋体" w:hAnsi="宋体" w:hint="eastAsia"/>
          <w:color w:val="FF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bCs/>
          <w:kern w:val="2"/>
          <w:sz w:val="21"/>
          <w:szCs w:val="21"/>
          <w:lang w:eastAsia="zh-CN"/>
        </w:rPr>
        <w:t>我单位参与本项目所投标（响应）的货物、工程或服务，不存在侵犯知识产权的情况。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w:t>
      </w:r>
      <w:r>
        <w:rPr>
          <w:rFonts w:eastAsia="宋体" w:hint="eastAsia"/>
          <w:kern w:val="2"/>
          <w:sz w:val="21"/>
          <w:highlight w:val="yellow"/>
          <w:lang w:eastAsia="zh-CN"/>
        </w:rPr>
        <w:t>符合采购文件关于联合体及进口产品的相关资格要求。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9.我单位承诺成交后项目不转包，未经采购人同意不进行分包。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我单位保证，若所响应货物涉及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号）列明的政府采购强制产品，则所响应产品符合节能产品的认证要求。若所投产品包括数据中心相关设备的，应满足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12.我单位已知悉并同意中标（成交）结果信息公示（公开）的内容。</w:t>
      </w:r>
    </w:p>
    <w:p>
      <w:pPr>
        <w:widowControl w:val="0"/>
        <w:ind w:firstLine="420" w:firstLineChars="200"/>
        <w:jc w:val="both"/>
        <w:rPr>
          <w:rFonts w:ascii="宋体" w:eastAsia="宋体" w:hAnsi="宋体" w:cs="宋体" w:hint="eastAsia"/>
          <w:b/>
          <w:color w:val="FF0000"/>
          <w:sz w:val="21"/>
          <w:szCs w:val="21"/>
          <w:lang w:eastAsia="zh-CN"/>
        </w:rPr>
      </w:pPr>
      <w:r>
        <w:rPr>
          <w:rFonts w:ascii="宋体" w:eastAsia="宋体" w:hAnsi="宋体" w:cs="宋体" w:hint="eastAsia"/>
          <w:bCs/>
          <w:sz w:val="21"/>
          <w:szCs w:val="21"/>
          <w:lang w:eastAsia="zh-CN"/>
        </w:rPr>
        <w:t>13.</w:t>
      </w:r>
      <w:r>
        <w:rPr>
          <w:rFonts w:ascii="宋体" w:eastAsia="宋体" w:hAnsi="宋体"/>
          <w:bCs/>
          <w:kern w:val="2"/>
          <w:sz w:val="21"/>
          <w:lang w:eastAsia="zh-CN"/>
        </w:rPr>
        <w:t>我单位保证，符合《中华人民共和国政府采购法实施条例》第十八条规定，与其他</w:t>
      </w:r>
      <w:r>
        <w:rPr>
          <w:rFonts w:ascii="宋体" w:eastAsia="宋体" w:hAnsi="宋体" w:hint="eastAsia"/>
          <w:bCs/>
          <w:kern w:val="2"/>
          <w:sz w:val="21"/>
          <w:lang w:eastAsia="zh-CN"/>
        </w:rPr>
        <w:t>应答</w:t>
      </w:r>
      <w:r>
        <w:rPr>
          <w:rFonts w:ascii="宋体" w:eastAsia="宋体" w:hAnsi="宋体"/>
          <w:bCs/>
          <w:kern w:val="2"/>
          <w:sz w:val="21"/>
          <w:lang w:eastAsia="zh-CN"/>
        </w:rPr>
        <w:t>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lang w:eastAsia="zh-CN"/>
        </w:rPr>
        <w:t>14.我单位清楚，如存在违反应答承诺行为情节严重的，将根据《深圳市财政局关于印发&lt;深圳市财政局政府采购供应商信用信息管理办法&gt;的通知》，依法被列入失信信息。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kern w:val="2"/>
          <w:sz w:val="21"/>
          <w:lang w:eastAsia="zh-CN"/>
        </w:rPr>
      </w:pPr>
      <w:r>
        <w:rPr>
          <w:rFonts w:ascii="宋体" w:eastAsia="宋体" w:hAnsi="宋体"/>
          <w:bCs/>
          <w:kern w:val="2"/>
          <w:sz w:val="21"/>
          <w:highlight w:val="yellow"/>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line="360" w:lineRule="auto"/>
        <w:ind w:firstLine="5460" w:firstLineChars="2600"/>
        <w:jc w:val="both"/>
        <w:rPr>
          <w:rFonts w:eastAsia="宋体"/>
          <w:color w:val="FF0000"/>
          <w:kern w:val="2"/>
          <w:sz w:val="21"/>
          <w:szCs w:val="21"/>
          <w:lang w:eastAsia="zh-CN"/>
        </w:rPr>
      </w:pPr>
    </w:p>
    <w:p>
      <w:pPr>
        <w:widowControl w:val="0"/>
        <w:spacing w:line="360" w:lineRule="auto"/>
        <w:ind w:firstLine="5460" w:firstLineChars="2600"/>
        <w:jc w:val="both"/>
        <w:rPr>
          <w:rFonts w:ascii="宋体" w:eastAsia="宋体" w:hAnsi="宋体" w:hint="eastAsia"/>
          <w:kern w:val="2"/>
          <w:sz w:val="21"/>
          <w:szCs w:val="21"/>
          <w:lang w:eastAsia="zh-CN"/>
        </w:rPr>
      </w:pPr>
      <w:r>
        <w:rPr>
          <w:rFonts w:eastAsia="宋体" w:hint="eastAsia"/>
          <w:kern w:val="2"/>
          <w:sz w:val="21"/>
          <w:szCs w:val="21"/>
          <w:lang w:eastAsia="zh-CN"/>
        </w:rPr>
        <w:t>供应商：</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645"/>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日  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ind w:firstLine="560"/>
        <w:jc w:val="both"/>
        <w:rPr>
          <w:rFonts w:eastAsia="宋体"/>
          <w:kern w:val="2"/>
          <w:lang w:eastAsia="zh-CN"/>
        </w:rPr>
      </w:pPr>
    </w:p>
    <w:p>
      <w:pPr>
        <w:widowControl w:val="0"/>
        <w:spacing w:line="360" w:lineRule="auto"/>
        <w:ind w:firstLine="560"/>
        <w:jc w:val="both"/>
        <w:rPr>
          <w:rFonts w:eastAsia="宋体"/>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三、供应商情况及资格证明文件</w:t>
      </w:r>
    </w:p>
    <w:p>
      <w:pPr>
        <w:widowControl w:val="0"/>
        <w:ind w:firstLine="2640" w:firstLineChars="1100"/>
        <w:jc w:val="both"/>
        <w:outlineLvl w:val="3"/>
        <w:rPr>
          <w:rFonts w:ascii="黑体" w:eastAsia="黑体" w:hAnsi="宋体" w:hint="eastAsia"/>
          <w:bCs/>
          <w:szCs w:val="32"/>
          <w:lang w:eastAsia="zh-CN"/>
        </w:rPr>
      </w:pPr>
      <w:r>
        <w:rPr>
          <w:rFonts w:ascii="黑体" w:eastAsia="黑体" w:hAnsi="宋体" w:hint="eastAsia"/>
          <w:bCs/>
          <w:szCs w:val="32"/>
          <w:lang w:eastAsia="zh-CN"/>
        </w:rPr>
        <w:t>（一）供应商资格证明文件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【特别提示：供应商须按本谈判文件第一章谈判公告 “申请人的资格要求”（即供应商资格要求）提供相关的资格证明资料，未提供或提供不完整、不符合要求的，将作应答无效处理，其中要求提供《采购应答及履约承诺函》且已在“二、采购应答及履约承诺函”章节中提供了，此处可不重复提供。】</w:t>
      </w:r>
    </w:p>
    <w:p>
      <w:pPr>
        <w:widowControl w:val="0"/>
        <w:jc w:val="both"/>
        <w:rPr>
          <w:rFonts w:eastAsia="宋体" w:hint="eastAsia"/>
          <w:b/>
          <w:bCs/>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四、项目详细报价</w:t>
      </w:r>
    </w:p>
    <w:p>
      <w:pPr>
        <w:widowControl w:val="0"/>
        <w:spacing w:line="360" w:lineRule="auto"/>
        <w:jc w:val="center"/>
        <w:rPr>
          <w:rFonts w:eastAsia="宋体"/>
          <w:kern w:val="2"/>
          <w:lang w:eastAsia="zh-CN"/>
        </w:rPr>
      </w:pPr>
      <w:r>
        <w:rPr>
          <w:rFonts w:eastAsia="宋体" w:hint="eastAsia"/>
          <w:b/>
          <w:bCs/>
          <w:kern w:val="2"/>
          <w:lang w:eastAsia="zh-CN"/>
        </w:rPr>
        <w:t>（一）</w:t>
      </w:r>
      <w:r>
        <w:rPr>
          <w:rFonts w:eastAsia="宋体" w:hint="eastAsia"/>
          <w:b/>
          <w:kern w:val="2"/>
          <w:lang w:eastAsia="zh-CN"/>
        </w:rPr>
        <w:t>分项报价表</w:t>
      </w:r>
    </w:p>
    <w:tbl>
      <w:tblPr>
        <w:tblStyle w:val="TableNormal"/>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23"/>
        <w:gridCol w:w="1241"/>
        <w:gridCol w:w="1238"/>
        <w:gridCol w:w="1003"/>
        <w:gridCol w:w="1119"/>
        <w:gridCol w:w="1605"/>
      </w:tblGrid>
      <w:tr>
        <w:tblPrEx>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3"/>
        </w:trPr>
        <w:tc>
          <w:tcPr>
            <w:tcW w:w="1360" w:type="pct"/>
            <w:vAlign w:val="center"/>
          </w:tcPr>
          <w:p>
            <w:pPr>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租金缴纳周期</w:t>
            </w:r>
          </w:p>
        </w:tc>
        <w:tc>
          <w:tcPr>
            <w:tcW w:w="727" w:type="pct"/>
            <w:vAlign w:val="center"/>
          </w:tcPr>
          <w:p>
            <w:pPr>
              <w:widowControl/>
              <w:ind w:left="-120" w:right="-120" w:leftChars="-50" w:rightChars="-50"/>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租赁时限</w:t>
            </w:r>
          </w:p>
          <w:p>
            <w:pPr>
              <w:pStyle w:val="BodyText"/>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（月）</w:t>
            </w:r>
          </w:p>
        </w:tc>
        <w:tc>
          <w:tcPr>
            <w:tcW w:w="726" w:type="pct"/>
            <w:vAlign w:val="center"/>
          </w:tcPr>
          <w:p>
            <w:pPr>
              <w:widowControl/>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租赁面积</w:t>
            </w:r>
          </w:p>
          <w:p>
            <w:pPr>
              <w:widowControl/>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w:t>
            </w:r>
          </w:p>
        </w:tc>
        <w:tc>
          <w:tcPr>
            <w:tcW w:w="588" w:type="pct"/>
            <w:vAlign w:val="center"/>
          </w:tcPr>
          <w:p>
            <w:pPr>
              <w:ind w:left="-120" w:right="-120" w:leftChars="-50" w:rightChars="-50"/>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月报价</w:t>
            </w:r>
          </w:p>
          <w:p>
            <w:pPr>
              <w:ind w:left="-120" w:right="-120" w:leftChars="-50" w:rightChars="-5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bCs/>
                <w:sz w:val="21"/>
                <w:szCs w:val="21"/>
              </w:rPr>
              <w:t>（元/月）</w:t>
            </w:r>
          </w:p>
        </w:tc>
        <w:tc>
          <w:tcPr>
            <w:tcW w:w="655" w:type="pct"/>
            <w:vAlign w:val="center"/>
          </w:tcPr>
          <w:p>
            <w:pPr>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月报价上限</w:t>
            </w:r>
          </w:p>
          <w:p>
            <w:pPr>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（元/月）</w:t>
            </w:r>
          </w:p>
        </w:tc>
        <w:tc>
          <w:tcPr>
            <w:tcW w:w="940" w:type="pct"/>
            <w:vAlign w:val="center"/>
          </w:tcPr>
          <w:p>
            <w:pPr>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年报价合计</w:t>
            </w:r>
          </w:p>
          <w:p>
            <w:pPr>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（元）</w:t>
            </w: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2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13 </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u w:val="single"/>
                <w:lang w:val="en-US" w:eastAsia="zh-CN"/>
              </w:rPr>
              <w:t>2</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u w:val="single"/>
                <w:lang w:val="en-US" w:eastAsia="zh-CN"/>
              </w:rPr>
              <w:t>28</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日</w:t>
            </w:r>
          </w:p>
        </w:tc>
        <w:tc>
          <w:tcPr>
            <w:tcW w:w="727" w:type="pct"/>
            <w:vAlign w:val="center"/>
          </w:tcPr>
          <w:p>
            <w:pPr>
              <w:widowControl/>
              <w:spacing w:line="300" w:lineRule="auto"/>
              <w:jc w:val="center"/>
              <w:rPr>
                <w:rFonts w:eastAsia="宋体" w:asciiTheme="minorEastAsia" w:hAnsiTheme="minorEastAsia" w:cstheme="minorEastAsia" w:hint="default"/>
                <w:sz w:val="21"/>
                <w:szCs w:val="21"/>
                <w:u w:val="single"/>
                <w:lang w:val="en-US" w:eastAsia="zh-CN"/>
              </w:rPr>
            </w:pPr>
            <w:r>
              <w:rPr>
                <w:rFonts w:asciiTheme="minorEastAsia" w:eastAsiaTheme="minorEastAsia" w:hAnsiTheme="minorEastAsia" w:cstheme="minorEastAsia" w:hint="eastAsia"/>
                <w:sz w:val="21"/>
                <w:szCs w:val="21"/>
                <w:u w:val="single"/>
                <w:lang w:val="en-US" w:eastAsia="zh-CN"/>
              </w:rPr>
              <w:t>16天</w:t>
            </w:r>
          </w:p>
        </w:tc>
        <w:tc>
          <w:tcPr>
            <w:tcW w:w="726" w:type="pct"/>
            <w:vAlign w:val="center"/>
          </w:tcPr>
          <w:p>
            <w:pPr>
              <w:widowControl/>
              <w:spacing w:line="300" w:lineRule="auto"/>
              <w:jc w:val="center"/>
              <w:rPr>
                <w:rFonts w:asciiTheme="minorEastAsia" w:eastAsiaTheme="minorEastAsia" w:hAnsiTheme="minorEastAsia" w:cstheme="minorEastAsia" w:hint="eastAsia"/>
                <w:sz w:val="21"/>
                <w:szCs w:val="21"/>
                <w:u w:val="single"/>
              </w:rPr>
            </w:pPr>
            <w:r>
              <w:rPr>
                <w:rFonts w:asciiTheme="minorEastAsia" w:eastAsiaTheme="minorEastAsia" w:hAnsiTheme="minorEastAsia" w:cstheme="minorEastAsia" w:hint="eastAsia"/>
                <w:sz w:val="21"/>
                <w:szCs w:val="21"/>
                <w:u w:val="single"/>
              </w:rPr>
              <w:t>1254.15</w:t>
            </w:r>
          </w:p>
        </w:tc>
        <w:tc>
          <w:tcPr>
            <w:tcW w:w="588" w:type="pct"/>
            <w:vAlign w:val="center"/>
          </w:tcPr>
          <w:p>
            <w:pPr>
              <w:widowControl/>
              <w:jc w:val="center"/>
              <w:textAlignment w:val="center"/>
              <w:rPr>
                <w:rFonts w:asciiTheme="minorEastAsia" w:eastAsiaTheme="minorEastAsia" w:hAnsiTheme="minorEastAsia" w:cstheme="minorEastAsia" w:hint="eastAsia"/>
                <w:color w:val="000000"/>
                <w:sz w:val="21"/>
                <w:szCs w:val="21"/>
              </w:rPr>
            </w:pPr>
          </w:p>
        </w:tc>
        <w:tc>
          <w:tcPr>
            <w:tcW w:w="655" w:type="pct"/>
            <w:vAlign w:val="center"/>
          </w:tcPr>
          <w:p>
            <w:pPr>
              <w:widowControl/>
              <w:jc w:val="center"/>
              <w:textAlignment w:val="center"/>
              <w:rPr>
                <w:rFonts w:eastAsia="宋体" w:asciiTheme="minorEastAsia" w:hAnsiTheme="minorEastAsia" w:cstheme="minorEastAsia" w:hint="default"/>
                <w:color w:val="000000"/>
                <w:sz w:val="21"/>
                <w:szCs w:val="21"/>
                <w:lang w:val="en-US" w:eastAsia="zh-CN"/>
              </w:rPr>
            </w:pPr>
            <w:r>
              <w:rPr>
                <w:rFonts w:eastAsia="宋体" w:hint="eastAsia"/>
                <w:lang w:val="en-US" w:eastAsia="zh-CN"/>
              </w:rPr>
              <w:t>0.00</w:t>
            </w:r>
          </w:p>
        </w:tc>
        <w:tc>
          <w:tcPr>
            <w:tcW w:w="940" w:type="pct"/>
            <w:vMerge w:val="restart"/>
            <w:vAlign w:val="center"/>
          </w:tcPr>
          <w:p>
            <w:pPr>
              <w:widowControl/>
              <w:jc w:val="center"/>
              <w:textAlignment w:val="center"/>
              <w:rPr>
                <w:rFonts w:asciiTheme="minorEastAsia" w:eastAsiaTheme="minorEastAsia" w:hAnsiTheme="minorEastAsia" w:cstheme="minorEastAsia" w:hint="eastAsia"/>
                <w:b/>
                <w:bCs/>
                <w:color w:val="000000"/>
                <w:kern w:val="0"/>
                <w:sz w:val="21"/>
                <w:szCs w:val="21"/>
                <w:lang w:bidi="ar"/>
              </w:rPr>
            </w:pPr>
            <w:r>
              <w:rPr>
                <w:rFonts w:asciiTheme="minorEastAsia" w:eastAsiaTheme="minorEastAsia" w:hAnsiTheme="minorEastAsia" w:cstheme="minorEastAsia" w:hint="eastAsia"/>
                <w:b/>
                <w:bCs/>
                <w:color w:val="000000"/>
                <w:kern w:val="0"/>
                <w:sz w:val="21"/>
                <w:szCs w:val="21"/>
                <w:lang w:bidi="ar"/>
              </w:rPr>
              <w:t>1318133.98</w:t>
            </w:r>
          </w:p>
          <w:p>
            <w:pPr>
              <w:widowControl/>
              <w:jc w:val="center"/>
              <w:textAlignment w:val="center"/>
              <w:rPr>
                <w:rFonts w:asciiTheme="minorEastAsia" w:eastAsiaTheme="minorEastAsia" w:hAnsiTheme="minorEastAsia" w:cstheme="minorEastAsia" w:hint="eastAsia"/>
                <w:b/>
                <w:bCs/>
                <w:color w:val="000000"/>
                <w:kern w:val="0"/>
                <w:sz w:val="21"/>
                <w:szCs w:val="21"/>
                <w:lang w:eastAsia="zh-CN" w:bidi="ar"/>
              </w:rPr>
            </w:pPr>
            <w:r>
              <w:rPr>
                <w:rFonts w:asciiTheme="minorEastAsia" w:eastAsiaTheme="minorEastAsia" w:hAnsiTheme="minorEastAsia" w:cstheme="minorEastAsia" w:hint="eastAsia"/>
                <w:b/>
                <w:bCs/>
                <w:color w:val="000000"/>
                <w:kern w:val="0"/>
                <w:sz w:val="21"/>
                <w:szCs w:val="21"/>
                <w:lang w:eastAsia="zh-CN" w:bidi="ar"/>
              </w:rPr>
              <w:t>（</w:t>
            </w:r>
            <w:r>
              <w:rPr>
                <w:rFonts w:asciiTheme="minorEastAsia" w:eastAsiaTheme="minorEastAsia" w:hAnsiTheme="minorEastAsia" w:cstheme="minorEastAsia" w:hint="eastAsia"/>
                <w:b/>
                <w:bCs/>
                <w:color w:val="000000"/>
                <w:kern w:val="0"/>
                <w:sz w:val="21"/>
                <w:szCs w:val="21"/>
                <w:lang w:val="en-US" w:eastAsia="zh-CN" w:bidi="ar"/>
              </w:rPr>
              <w:t>60天免租期</w:t>
            </w:r>
            <w:r>
              <w:rPr>
                <w:rFonts w:asciiTheme="minorEastAsia" w:eastAsiaTheme="minorEastAsia" w:hAnsiTheme="minorEastAsia" w:cstheme="minorEastAsia" w:hint="eastAsia"/>
                <w:b/>
                <w:bCs/>
                <w:color w:val="000000"/>
                <w:kern w:val="0"/>
                <w:sz w:val="21"/>
                <w:szCs w:val="21"/>
                <w:lang w:eastAsia="zh-CN" w:bidi="ar"/>
              </w:rPr>
              <w:t>）</w:t>
            </w: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widowControl/>
              <w:snapToGrid w:val="0"/>
              <w:jc w:val="center"/>
              <w:rPr>
                <w:rFonts w:asciiTheme="minorEastAsia" w:eastAsiaTheme="minorEastAsia" w:hAnsiTheme="minorEastAsia" w:cstheme="minorEastAsia" w:hint="eastAsia"/>
                <w:sz w:val="21"/>
                <w:szCs w:val="21"/>
              </w:rPr>
            </w:pPr>
            <w:bookmarkStart w:id="51" w:name="OLE_LINK3"/>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lang w:val="en-US" w:eastAsia="zh-CN"/>
              </w:rPr>
              <w:t>3</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u w:val="single"/>
                <w:lang w:val="en-US" w:eastAsia="zh-CN"/>
              </w:rPr>
              <w:t>3</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31 </w:t>
            </w:r>
            <w:r>
              <w:rPr>
                <w:rFonts w:asciiTheme="minorEastAsia" w:eastAsiaTheme="minorEastAsia" w:hAnsiTheme="minorEastAsia" w:cstheme="minorEastAsia" w:hint="eastAsia"/>
                <w:sz w:val="21"/>
                <w:szCs w:val="21"/>
              </w:rPr>
              <w:t>日</w:t>
            </w:r>
            <w:bookmarkEnd w:id="51"/>
          </w:p>
        </w:tc>
        <w:tc>
          <w:tcPr>
            <w:tcW w:w="727" w:type="pct"/>
            <w:vAlign w:val="center"/>
          </w:tcPr>
          <w:p>
            <w:pPr>
              <w:widowControl/>
              <w:spacing w:line="300" w:lineRule="auto"/>
              <w:jc w:val="center"/>
              <w:rPr>
                <w:rFonts w:eastAsia="宋体" w:asciiTheme="minorEastAsia" w:hAnsiTheme="minorEastAsia" w:cstheme="minorEastAsia" w:hint="default"/>
                <w:sz w:val="21"/>
                <w:szCs w:val="21"/>
                <w:u w:val="single"/>
                <w:lang w:val="en-US" w:eastAsia="zh-CN"/>
              </w:rPr>
            </w:pPr>
            <w:r>
              <w:rPr>
                <w:rFonts w:asciiTheme="minorEastAsia" w:eastAsiaTheme="minorEastAsia" w:hAnsiTheme="minorEastAsia" w:cstheme="minorEastAsia" w:hint="eastAsia"/>
                <w:sz w:val="21"/>
                <w:szCs w:val="21"/>
                <w:u w:val="single"/>
                <w:lang w:val="en-US" w:eastAsia="zh-CN"/>
              </w:rPr>
              <w:t>1月</w:t>
            </w:r>
          </w:p>
        </w:tc>
        <w:tc>
          <w:tcPr>
            <w:tcW w:w="726" w:type="pct"/>
            <w:vAlign w:val="center"/>
          </w:tcPr>
          <w:p>
            <w:pPr>
              <w:widowControl/>
              <w:spacing w:line="300" w:lineRule="auto"/>
              <w:jc w:val="center"/>
              <w:rPr>
                <w:rFonts w:asciiTheme="minorEastAsia" w:eastAsiaTheme="minorEastAsia" w:hAnsiTheme="minorEastAsia" w:cstheme="minorEastAsia" w:hint="eastAsia"/>
                <w:sz w:val="21"/>
                <w:szCs w:val="21"/>
              </w:rPr>
            </w:pPr>
            <w:bookmarkStart w:id="52" w:name="OLE_LINK4"/>
            <w:r>
              <w:rPr>
                <w:rFonts w:asciiTheme="minorEastAsia" w:eastAsiaTheme="minorEastAsia" w:hAnsiTheme="minorEastAsia" w:cstheme="minorEastAsia" w:hint="eastAsia"/>
                <w:sz w:val="21"/>
                <w:szCs w:val="21"/>
                <w:u w:val="single"/>
              </w:rPr>
              <w:t>1254.15</w:t>
            </w:r>
            <w:bookmarkEnd w:id="52"/>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 xml:space="preserve"> </w:t>
            </w:r>
          </w:p>
        </w:tc>
        <w:tc>
          <w:tcPr>
            <w:tcW w:w="588" w:type="pct"/>
            <w:vAlign w:val="center"/>
          </w:tcPr>
          <w:p>
            <w:pPr>
              <w:widowControl/>
              <w:jc w:val="center"/>
              <w:textAlignment w:val="center"/>
              <w:rPr>
                <w:rFonts w:asciiTheme="minorEastAsia" w:eastAsiaTheme="minorEastAsia" w:hAnsiTheme="minorEastAsia" w:cstheme="minorEastAsia" w:hint="eastAsia"/>
                <w:color w:val="000000"/>
                <w:sz w:val="21"/>
                <w:szCs w:val="21"/>
              </w:rPr>
            </w:pPr>
          </w:p>
        </w:tc>
        <w:tc>
          <w:tcPr>
            <w:tcW w:w="655" w:type="pct"/>
            <w:vAlign w:val="center"/>
          </w:tcPr>
          <w:p>
            <w:pPr>
              <w:widowControl/>
              <w:jc w:val="center"/>
              <w:textAlignment w:val="center"/>
              <w:rPr>
                <w:rFonts w:asciiTheme="minorEastAsia" w:eastAsiaTheme="minorEastAsia" w:hAnsiTheme="minorEastAsia" w:cstheme="minorEastAsia" w:hint="default"/>
                <w:sz w:val="21"/>
                <w:szCs w:val="21"/>
                <w:lang w:val="en-US" w:eastAsia="zh-CN"/>
              </w:rPr>
            </w:pPr>
            <w:r>
              <w:rPr>
                <w:rFonts w:asciiTheme="minorEastAsia" w:eastAsiaTheme="minorEastAsia" w:hAnsiTheme="minorEastAsia" w:cstheme="minorEastAsia" w:hint="eastAsia"/>
                <w:color w:val="000000"/>
                <w:sz w:val="21"/>
                <w:szCs w:val="21"/>
                <w:lang w:val="en-US" w:eastAsia="zh-CN"/>
              </w:rPr>
              <w:t>0.00</w:t>
            </w:r>
          </w:p>
        </w:tc>
        <w:tc>
          <w:tcPr>
            <w:tcW w:w="940" w:type="pct"/>
            <w:vMerge/>
            <w:vAlign w:val="center"/>
          </w:tcPr>
          <w:p>
            <w:pPr>
              <w:widowControl/>
              <w:jc w:val="center"/>
              <w:textAlignment w:val="center"/>
              <w:rPr>
                <w:rFonts w:asciiTheme="minorEastAsia" w:eastAsiaTheme="minorEastAsia" w:hAnsiTheme="minorEastAsia" w:cstheme="minorEastAsia" w:hint="eastAsia"/>
                <w:b/>
                <w:bCs/>
                <w:color w:val="000000"/>
                <w:kern w:val="0"/>
                <w:sz w:val="21"/>
                <w:szCs w:val="21"/>
                <w:lang w:bidi="ar"/>
              </w:rPr>
            </w:pP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lang w:val="en-US" w:eastAsia="zh-CN"/>
              </w:rPr>
              <w:t>4</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u w:val="single"/>
                <w:lang w:val="en-US" w:eastAsia="zh-CN"/>
              </w:rPr>
              <w:t>4</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w:t>
            </w:r>
            <w:r>
              <w:rPr>
                <w:rFonts w:asciiTheme="minorEastAsia" w:eastAsiaTheme="minorEastAsia" w:hAnsiTheme="minorEastAsia" w:cstheme="minorEastAsia" w:hint="eastAsia"/>
                <w:sz w:val="21"/>
                <w:szCs w:val="21"/>
                <w:u w:val="single"/>
                <w:lang w:val="en-US" w:eastAsia="zh-CN"/>
              </w:rPr>
              <w:t>0</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日</w:t>
            </w:r>
          </w:p>
        </w:tc>
        <w:tc>
          <w:tcPr>
            <w:tcW w:w="727" w:type="pct"/>
            <w:vAlign w:val="center"/>
          </w:tcPr>
          <w:p>
            <w:pPr>
              <w:widowControl/>
              <w:spacing w:line="300" w:lineRule="auto"/>
              <w:jc w:val="center"/>
              <w:rPr>
                <w:rFonts w:asciiTheme="minorEastAsia" w:eastAsiaTheme="minorEastAsia" w:hAnsiTheme="minorEastAsia" w:cstheme="minorEastAsia" w:hint="eastAsia"/>
                <w:sz w:val="21"/>
                <w:szCs w:val="21"/>
                <w:u w:val="single"/>
                <w:lang w:val="en-US" w:eastAsia="zh-CN"/>
              </w:rPr>
            </w:pPr>
            <w:r>
              <w:rPr>
                <w:rFonts w:asciiTheme="minorEastAsia" w:eastAsiaTheme="minorEastAsia" w:hAnsiTheme="minorEastAsia" w:cstheme="minorEastAsia" w:hint="eastAsia"/>
                <w:sz w:val="21"/>
                <w:szCs w:val="21"/>
                <w:u w:val="single"/>
                <w:lang w:val="en-US" w:eastAsia="zh-CN"/>
              </w:rPr>
              <w:t>1月</w:t>
            </w:r>
          </w:p>
        </w:tc>
        <w:tc>
          <w:tcPr>
            <w:tcW w:w="726" w:type="pct"/>
            <w:vAlign w:val="center"/>
          </w:tcPr>
          <w:p>
            <w:pPr>
              <w:widowControl/>
              <w:spacing w:line="300" w:lineRule="auto"/>
              <w:jc w:val="center"/>
              <w:rPr>
                <w:rFonts w:asciiTheme="minorEastAsia" w:eastAsiaTheme="minorEastAsia" w:hAnsiTheme="minorEastAsia" w:cstheme="minorEastAsia" w:hint="eastAsia"/>
                <w:sz w:val="21"/>
                <w:szCs w:val="21"/>
                <w:u w:val="single"/>
              </w:rPr>
            </w:pPr>
            <w:r>
              <w:rPr>
                <w:rFonts w:asciiTheme="minorEastAsia" w:eastAsiaTheme="minorEastAsia" w:hAnsiTheme="minorEastAsia" w:cstheme="minorEastAsia" w:hint="eastAsia"/>
                <w:sz w:val="21"/>
                <w:szCs w:val="21"/>
                <w:u w:val="single"/>
              </w:rPr>
              <w:t>1254.15</w:t>
            </w:r>
          </w:p>
        </w:tc>
        <w:tc>
          <w:tcPr>
            <w:tcW w:w="588" w:type="pct"/>
            <w:vAlign w:val="center"/>
          </w:tcPr>
          <w:p>
            <w:pPr>
              <w:widowControl/>
              <w:jc w:val="center"/>
              <w:textAlignment w:val="center"/>
              <w:rPr>
                <w:rFonts w:asciiTheme="minorEastAsia" w:eastAsiaTheme="minorEastAsia" w:hAnsiTheme="minorEastAsia" w:cstheme="minorEastAsia" w:hint="eastAsia"/>
                <w:color w:val="000000"/>
                <w:sz w:val="21"/>
                <w:szCs w:val="21"/>
              </w:rPr>
            </w:pPr>
          </w:p>
        </w:tc>
        <w:tc>
          <w:tcPr>
            <w:tcW w:w="655" w:type="pct"/>
            <w:vAlign w:val="center"/>
          </w:tcPr>
          <w:p>
            <w:pPr>
              <w:widowControl/>
              <w:jc w:val="center"/>
              <w:textAlignment w:val="center"/>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87191.74</w:t>
            </w:r>
          </w:p>
        </w:tc>
        <w:tc>
          <w:tcPr>
            <w:tcW w:w="940" w:type="pct"/>
            <w:vMerge/>
            <w:vAlign w:val="center"/>
          </w:tcPr>
          <w:p>
            <w:pPr>
              <w:widowControl/>
              <w:jc w:val="center"/>
              <w:textAlignment w:val="center"/>
              <w:rPr>
                <w:rFonts w:asciiTheme="minorEastAsia" w:eastAsiaTheme="minorEastAsia" w:hAnsiTheme="minorEastAsia" w:cstheme="minorEastAsia" w:hint="eastAsia"/>
                <w:b/>
                <w:bCs/>
                <w:color w:val="000000"/>
                <w:kern w:val="0"/>
                <w:sz w:val="21"/>
                <w:szCs w:val="21"/>
                <w:lang w:bidi="ar"/>
              </w:rPr>
            </w:pPr>
          </w:p>
        </w:tc>
      </w:tr>
      <w:tr>
        <w:tblPrEx>
          <w:tblW w:w="5000" w:type="pct"/>
          <w:tblInd w:w="-601" w:type="dxa"/>
          <w:tblLayout w:type="fixed"/>
          <w:tblCellMar>
            <w:top w:w="0" w:type="dxa"/>
            <w:left w:w="108" w:type="dxa"/>
            <w:bottom w:w="0" w:type="dxa"/>
            <w:right w:w="108" w:type="dxa"/>
          </w:tblCellMar>
        </w:tblPrEx>
        <w:trPr>
          <w:trHeight w:val="567"/>
        </w:trPr>
        <w:tc>
          <w:tcPr>
            <w:tcW w:w="1360" w:type="pct"/>
            <w:shd w:val="clear" w:color="auto" w:fill="auto"/>
            <w:vAlign w:val="center"/>
          </w:tcPr>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lang w:val="en-US" w:eastAsia="zh-CN"/>
              </w:rPr>
              <w:t>5</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lang w:val="en-US" w:eastAsia="en-US" w:bidi="ar-SA"/>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5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u w:val="single"/>
                <w:lang w:val="en-US" w:eastAsia="zh-CN"/>
              </w:rPr>
              <w:t>12</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31 </w:t>
            </w:r>
            <w:r>
              <w:rPr>
                <w:rFonts w:asciiTheme="minorEastAsia" w:eastAsiaTheme="minorEastAsia" w:hAnsiTheme="minorEastAsia" w:cstheme="minorEastAsia" w:hint="eastAsia"/>
                <w:sz w:val="21"/>
                <w:szCs w:val="21"/>
              </w:rPr>
              <w:t>日</w:t>
            </w:r>
          </w:p>
        </w:tc>
        <w:tc>
          <w:tcPr>
            <w:tcW w:w="727" w:type="pct"/>
            <w:shd w:val="clear" w:color="auto" w:fill="auto"/>
            <w:vAlign w:val="center"/>
          </w:tcPr>
          <w:p>
            <w:pPr>
              <w:widowControl/>
              <w:spacing w:line="300" w:lineRule="auto"/>
              <w:jc w:val="center"/>
              <w:rPr>
                <w:rFonts w:eastAsia="宋体" w:asciiTheme="minorEastAsia" w:hAnsiTheme="minorEastAsia" w:cstheme="minorEastAsia" w:hint="default"/>
                <w:sz w:val="21"/>
                <w:szCs w:val="21"/>
                <w:u w:val="single"/>
                <w:lang w:val="en-US" w:eastAsia="zh-CN" w:bidi="ar-SA"/>
              </w:rPr>
            </w:pPr>
            <w:r>
              <w:rPr>
                <w:rFonts w:asciiTheme="minorEastAsia" w:eastAsiaTheme="minorEastAsia" w:hAnsiTheme="minorEastAsia" w:cstheme="minorEastAsia" w:hint="eastAsia"/>
                <w:sz w:val="21"/>
                <w:szCs w:val="21"/>
                <w:u w:val="single"/>
                <w:lang w:val="en-US" w:eastAsia="zh-CN"/>
              </w:rPr>
              <w:t>8月</w:t>
            </w:r>
          </w:p>
        </w:tc>
        <w:tc>
          <w:tcPr>
            <w:tcW w:w="726" w:type="pct"/>
            <w:shd w:val="clear" w:color="auto" w:fill="auto"/>
            <w:vAlign w:val="center"/>
          </w:tcPr>
          <w:p>
            <w:pPr>
              <w:widowControl/>
              <w:spacing w:line="300" w:lineRule="auto"/>
              <w:jc w:val="center"/>
              <w:rPr>
                <w:rFonts w:asciiTheme="minorEastAsia" w:eastAsiaTheme="minorEastAsia" w:hAnsiTheme="minorEastAsia" w:cstheme="minorEastAsia" w:hint="eastAsia"/>
                <w:sz w:val="21"/>
                <w:szCs w:val="21"/>
                <w:lang w:val="en-US" w:eastAsia="en-US" w:bidi="ar-SA"/>
              </w:rPr>
            </w:pPr>
            <w:r>
              <w:rPr>
                <w:rFonts w:asciiTheme="minorEastAsia" w:eastAsiaTheme="minorEastAsia" w:hAnsiTheme="minorEastAsia" w:cstheme="minorEastAsia" w:hint="eastAsia"/>
                <w:sz w:val="21"/>
                <w:szCs w:val="21"/>
                <w:u w:val="single"/>
              </w:rPr>
              <w:t xml:space="preserve">1254.15 </w:t>
            </w:r>
            <w:r>
              <w:rPr>
                <w:rFonts w:asciiTheme="minorEastAsia" w:eastAsiaTheme="minorEastAsia" w:hAnsiTheme="minorEastAsia" w:cstheme="minorEastAsia" w:hint="eastAsia"/>
                <w:sz w:val="21"/>
                <w:szCs w:val="21"/>
              </w:rPr>
              <w:t xml:space="preserve"> </w:t>
            </w:r>
          </w:p>
        </w:tc>
        <w:tc>
          <w:tcPr>
            <w:tcW w:w="588" w:type="pct"/>
            <w:shd w:val="clear" w:color="auto" w:fill="auto"/>
            <w:vAlign w:val="center"/>
          </w:tcPr>
          <w:p>
            <w:pPr>
              <w:widowControl/>
              <w:jc w:val="center"/>
              <w:textAlignment w:val="center"/>
              <w:rPr>
                <w:rFonts w:asciiTheme="minorEastAsia" w:eastAsiaTheme="minorEastAsia" w:hAnsiTheme="minorEastAsia" w:cstheme="minorEastAsia" w:hint="eastAsia"/>
                <w:color w:val="000000"/>
                <w:sz w:val="21"/>
                <w:szCs w:val="21"/>
                <w:lang w:val="en-US" w:eastAsia="en-US" w:bidi="ar-SA"/>
              </w:rPr>
            </w:pPr>
          </w:p>
        </w:tc>
        <w:tc>
          <w:tcPr>
            <w:tcW w:w="655" w:type="pct"/>
            <w:shd w:val="clear" w:color="auto" w:fill="auto"/>
            <w:vAlign w:val="center"/>
          </w:tcPr>
          <w:p>
            <w:pPr>
              <w:widowControl/>
              <w:jc w:val="center"/>
              <w:textAlignment w:val="center"/>
              <w:rPr>
                <w:rFonts w:asciiTheme="minorEastAsia" w:eastAsiaTheme="minorEastAsia" w:hAnsiTheme="minorEastAsia" w:cstheme="minorEastAsia" w:hint="eastAsia"/>
                <w:sz w:val="21"/>
                <w:szCs w:val="21"/>
                <w:lang w:val="en-US" w:eastAsia="en-US" w:bidi="ar-SA"/>
              </w:rPr>
            </w:pPr>
            <w:r>
              <w:rPr>
                <w:rFonts w:asciiTheme="minorEastAsia" w:eastAsiaTheme="minorEastAsia" w:hAnsiTheme="minorEastAsia" w:cstheme="minorEastAsia" w:hint="eastAsia"/>
                <w:color w:val="000000"/>
                <w:sz w:val="21"/>
                <w:szCs w:val="21"/>
              </w:rPr>
              <w:t>153867.78</w:t>
            </w:r>
          </w:p>
        </w:tc>
        <w:tc>
          <w:tcPr>
            <w:tcW w:w="940" w:type="pct"/>
            <w:vMerge/>
            <w:shd w:val="clear" w:color="auto" w:fill="auto"/>
            <w:vAlign w:val="center"/>
          </w:tcPr>
          <w:p>
            <w:pPr>
              <w:widowControl/>
              <w:jc w:val="center"/>
              <w:textAlignment w:val="center"/>
              <w:rPr>
                <w:rFonts w:asciiTheme="minorEastAsia" w:eastAsiaTheme="minorEastAsia" w:hAnsiTheme="minorEastAsia" w:cstheme="minorEastAsia" w:hint="eastAsia"/>
                <w:b/>
                <w:bCs/>
                <w:color w:val="000000"/>
                <w:kern w:val="0"/>
                <w:sz w:val="21"/>
                <w:szCs w:val="21"/>
                <w:lang w:val="en-US" w:eastAsia="en-US" w:bidi="ar"/>
              </w:rPr>
            </w:pP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6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6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12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31 </w:t>
            </w:r>
            <w:r>
              <w:rPr>
                <w:rFonts w:asciiTheme="minorEastAsia" w:eastAsiaTheme="minorEastAsia" w:hAnsiTheme="minorEastAsia" w:cstheme="minorEastAsia" w:hint="eastAsia"/>
                <w:sz w:val="21"/>
                <w:szCs w:val="21"/>
              </w:rPr>
              <w:t>日</w:t>
            </w:r>
          </w:p>
        </w:tc>
        <w:tc>
          <w:tcPr>
            <w:tcW w:w="727" w:type="pct"/>
            <w:vAlign w:val="center"/>
          </w:tcPr>
          <w:p>
            <w:pPr>
              <w:widowControl/>
              <w:spacing w:line="300" w:lineRule="auto"/>
              <w:jc w:val="center"/>
              <w:rPr>
                <w:rFonts w:asciiTheme="minorEastAsia" w:eastAsiaTheme="minorEastAsia" w:hAnsiTheme="minorEastAsia" w:cstheme="minorEastAsia" w:hint="eastAsia"/>
                <w:sz w:val="21"/>
                <w:szCs w:val="21"/>
                <w:u w:val="single"/>
              </w:rPr>
            </w:pPr>
            <w:r>
              <w:rPr>
                <w:rFonts w:asciiTheme="minorEastAsia" w:eastAsiaTheme="minorEastAsia" w:hAnsiTheme="minorEastAsia" w:cstheme="minorEastAsia" w:hint="eastAsia"/>
                <w:sz w:val="21"/>
                <w:szCs w:val="21"/>
                <w:u w:val="single"/>
              </w:rPr>
              <w:t>12</w:t>
            </w:r>
            <w:r>
              <w:rPr>
                <w:rFonts w:asciiTheme="minorEastAsia" w:eastAsiaTheme="minorEastAsia" w:hAnsiTheme="minorEastAsia" w:cstheme="minorEastAsia" w:hint="eastAsia"/>
                <w:sz w:val="21"/>
                <w:szCs w:val="21"/>
                <w:u w:val="single"/>
                <w:lang w:val="en-US" w:eastAsia="zh-CN"/>
              </w:rPr>
              <w:t>月</w:t>
            </w:r>
          </w:p>
        </w:tc>
        <w:tc>
          <w:tcPr>
            <w:tcW w:w="726" w:type="pct"/>
            <w:vAlign w:val="center"/>
          </w:tcPr>
          <w:p>
            <w:pPr>
              <w:widowControl/>
              <w:spacing w:line="300" w:lineRule="auto"/>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u w:val="single"/>
              </w:rPr>
              <w:t>1254.15</w:t>
            </w:r>
          </w:p>
        </w:tc>
        <w:tc>
          <w:tcPr>
            <w:tcW w:w="588" w:type="pct"/>
            <w:vAlign w:val="center"/>
          </w:tcPr>
          <w:p>
            <w:pPr>
              <w:widowControl/>
              <w:jc w:val="center"/>
              <w:textAlignment w:val="center"/>
              <w:rPr>
                <w:rFonts w:asciiTheme="minorEastAsia" w:eastAsiaTheme="minorEastAsia" w:hAnsiTheme="minorEastAsia" w:cstheme="minorEastAsia"/>
                <w:sz w:val="21"/>
                <w:szCs w:val="21"/>
              </w:rPr>
            </w:pPr>
          </w:p>
        </w:tc>
        <w:tc>
          <w:tcPr>
            <w:tcW w:w="655" w:type="pct"/>
            <w:vAlign w:val="center"/>
          </w:tcPr>
          <w:p>
            <w:pPr>
              <w:widowControl/>
              <w:jc w:val="center"/>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sz w:val="21"/>
                <w:szCs w:val="21"/>
              </w:rPr>
              <w:t>161561.17</w:t>
            </w:r>
          </w:p>
        </w:tc>
        <w:tc>
          <w:tcPr>
            <w:tcW w:w="940" w:type="pct"/>
            <w:vAlign w:val="center"/>
          </w:tcPr>
          <w:p>
            <w:pPr>
              <w:widowControl/>
              <w:jc w:val="center"/>
              <w:textAlignment w:val="center"/>
              <w:rPr>
                <w:rFonts w:asciiTheme="minorEastAsia" w:eastAsiaTheme="minorEastAsia" w:hAnsiTheme="minorEastAsia" w:cstheme="minorEastAsia" w:hint="default"/>
                <w:b/>
                <w:bCs/>
                <w:color w:val="000000"/>
                <w:kern w:val="0"/>
                <w:sz w:val="21"/>
                <w:szCs w:val="21"/>
                <w:lang w:val="en-US" w:eastAsia="zh-CN" w:bidi="ar"/>
              </w:rPr>
            </w:pPr>
            <w:r>
              <w:rPr>
                <w:rFonts w:asciiTheme="minorEastAsia" w:eastAsiaTheme="minorEastAsia" w:hAnsiTheme="minorEastAsia" w:cstheme="minorEastAsia" w:hint="eastAsia"/>
                <w:b/>
                <w:bCs/>
                <w:color w:val="000000"/>
                <w:kern w:val="0"/>
                <w:sz w:val="21"/>
                <w:szCs w:val="21"/>
                <w:lang w:val="en-US" w:eastAsia="zh-CN" w:bidi="ar"/>
              </w:rPr>
              <w:t>1938734.03</w:t>
            </w: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7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7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12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31 </w:t>
            </w:r>
            <w:r>
              <w:rPr>
                <w:rFonts w:asciiTheme="minorEastAsia" w:eastAsiaTheme="minorEastAsia" w:hAnsiTheme="minorEastAsia" w:cstheme="minorEastAsia" w:hint="eastAsia"/>
                <w:sz w:val="21"/>
                <w:szCs w:val="21"/>
              </w:rPr>
              <w:t>日</w:t>
            </w:r>
          </w:p>
        </w:tc>
        <w:tc>
          <w:tcPr>
            <w:tcW w:w="727" w:type="pct"/>
            <w:vAlign w:val="center"/>
          </w:tcPr>
          <w:p>
            <w:pPr>
              <w:widowControl/>
              <w:spacing w:line="300" w:lineRule="auto"/>
              <w:jc w:val="center"/>
              <w:rPr>
                <w:rFonts w:asciiTheme="minorEastAsia" w:eastAsiaTheme="minorEastAsia" w:hAnsiTheme="minorEastAsia" w:cstheme="minorEastAsia" w:hint="eastAsia"/>
                <w:sz w:val="21"/>
                <w:szCs w:val="21"/>
                <w:u w:val="single"/>
              </w:rPr>
            </w:pPr>
            <w:r>
              <w:rPr>
                <w:rFonts w:asciiTheme="minorEastAsia" w:eastAsiaTheme="minorEastAsia" w:hAnsiTheme="minorEastAsia" w:cstheme="minorEastAsia" w:hint="eastAsia"/>
                <w:sz w:val="21"/>
                <w:szCs w:val="21"/>
                <w:u w:val="single"/>
              </w:rPr>
              <w:t>12</w:t>
            </w:r>
            <w:r>
              <w:rPr>
                <w:rFonts w:asciiTheme="minorEastAsia" w:eastAsiaTheme="minorEastAsia" w:hAnsiTheme="minorEastAsia" w:cstheme="minorEastAsia" w:hint="eastAsia"/>
                <w:sz w:val="21"/>
                <w:szCs w:val="21"/>
                <w:u w:val="single"/>
                <w:lang w:val="en-US" w:eastAsia="zh-CN"/>
              </w:rPr>
              <w:t>月</w:t>
            </w:r>
          </w:p>
        </w:tc>
        <w:tc>
          <w:tcPr>
            <w:tcW w:w="726" w:type="pct"/>
            <w:vAlign w:val="center"/>
          </w:tcPr>
          <w:p>
            <w:pPr>
              <w:widowControl/>
              <w:spacing w:line="300" w:lineRule="auto"/>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u w:val="single"/>
              </w:rPr>
              <w:t>1254.15</w:t>
            </w:r>
          </w:p>
        </w:tc>
        <w:tc>
          <w:tcPr>
            <w:tcW w:w="588" w:type="pct"/>
            <w:vAlign w:val="center"/>
          </w:tcPr>
          <w:p>
            <w:pPr>
              <w:widowControl/>
              <w:jc w:val="center"/>
              <w:textAlignment w:val="center"/>
              <w:rPr>
                <w:rFonts w:asciiTheme="minorEastAsia" w:eastAsiaTheme="minorEastAsia" w:hAnsiTheme="minorEastAsia" w:cstheme="minorEastAsia"/>
                <w:sz w:val="21"/>
                <w:szCs w:val="21"/>
              </w:rPr>
            </w:pPr>
          </w:p>
        </w:tc>
        <w:tc>
          <w:tcPr>
            <w:tcW w:w="655" w:type="pct"/>
            <w:vAlign w:val="center"/>
          </w:tcPr>
          <w:p>
            <w:pPr>
              <w:widowControl/>
              <w:jc w:val="center"/>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sz w:val="21"/>
                <w:szCs w:val="21"/>
              </w:rPr>
              <w:t>169639.23</w:t>
            </w:r>
          </w:p>
        </w:tc>
        <w:tc>
          <w:tcPr>
            <w:tcW w:w="940" w:type="pct"/>
            <w:vAlign w:val="center"/>
          </w:tcPr>
          <w:p>
            <w:pPr>
              <w:widowControl/>
              <w:jc w:val="center"/>
              <w:textAlignment w:val="center"/>
              <w:rPr>
                <w:rFonts w:asciiTheme="minorEastAsia" w:eastAsiaTheme="minorEastAsia" w:hAnsiTheme="minorEastAsia" w:cstheme="minorEastAsia" w:hint="default"/>
                <w:b/>
                <w:bCs/>
                <w:color w:val="000000"/>
                <w:kern w:val="0"/>
                <w:sz w:val="21"/>
                <w:szCs w:val="21"/>
                <w:lang w:val="en-US" w:eastAsia="zh-CN" w:bidi="ar"/>
              </w:rPr>
            </w:pPr>
            <w:r>
              <w:rPr>
                <w:rFonts w:asciiTheme="minorEastAsia" w:eastAsiaTheme="minorEastAsia" w:hAnsiTheme="minorEastAsia" w:cstheme="minorEastAsia" w:hint="eastAsia"/>
                <w:b/>
                <w:bCs/>
                <w:color w:val="000000"/>
                <w:kern w:val="0"/>
                <w:sz w:val="21"/>
                <w:szCs w:val="21"/>
                <w:lang w:val="en-US" w:eastAsia="zh-CN" w:bidi="ar"/>
              </w:rPr>
              <w:t>2035670.73</w:t>
            </w: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8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1 </w:t>
            </w:r>
            <w:r>
              <w:rPr>
                <w:rFonts w:asciiTheme="minorEastAsia" w:eastAsiaTheme="minorEastAsia" w:hAnsiTheme="minorEastAsia" w:cstheme="minorEastAsia" w:hint="eastAsia"/>
                <w:sz w:val="21"/>
                <w:szCs w:val="21"/>
              </w:rPr>
              <w:t>日</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至</w:t>
            </w:r>
          </w:p>
          <w:p>
            <w:pPr>
              <w:widowControl/>
              <w:snapToGrid w:val="0"/>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u w:val="single"/>
              </w:rPr>
              <w:t xml:space="preserve"> 8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u w:val="single"/>
              </w:rPr>
              <w:t xml:space="preserve"> 12 </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u w:val="single"/>
              </w:rPr>
              <w:t xml:space="preserve"> 31 </w:t>
            </w:r>
            <w:r>
              <w:rPr>
                <w:rFonts w:asciiTheme="minorEastAsia" w:eastAsiaTheme="minorEastAsia" w:hAnsiTheme="minorEastAsia" w:cstheme="minorEastAsia" w:hint="eastAsia"/>
                <w:sz w:val="21"/>
                <w:szCs w:val="21"/>
              </w:rPr>
              <w:t>日</w:t>
            </w:r>
          </w:p>
        </w:tc>
        <w:tc>
          <w:tcPr>
            <w:tcW w:w="727" w:type="pct"/>
            <w:vAlign w:val="center"/>
          </w:tcPr>
          <w:p>
            <w:pPr>
              <w:widowControl/>
              <w:spacing w:line="300" w:lineRule="auto"/>
              <w:jc w:val="center"/>
              <w:rPr>
                <w:rFonts w:asciiTheme="minorEastAsia" w:eastAsiaTheme="minorEastAsia" w:hAnsiTheme="minorEastAsia" w:cstheme="minorEastAsia" w:hint="eastAsia"/>
                <w:sz w:val="21"/>
                <w:szCs w:val="21"/>
                <w:u w:val="single"/>
              </w:rPr>
            </w:pPr>
            <w:r>
              <w:rPr>
                <w:rFonts w:asciiTheme="minorEastAsia" w:eastAsiaTheme="minorEastAsia" w:hAnsiTheme="minorEastAsia" w:cstheme="minorEastAsia" w:hint="eastAsia"/>
                <w:sz w:val="21"/>
                <w:szCs w:val="21"/>
                <w:u w:val="single"/>
              </w:rPr>
              <w:t>12</w:t>
            </w:r>
            <w:r>
              <w:rPr>
                <w:rFonts w:asciiTheme="minorEastAsia" w:eastAsiaTheme="minorEastAsia" w:hAnsiTheme="minorEastAsia" w:cstheme="minorEastAsia" w:hint="eastAsia"/>
                <w:sz w:val="21"/>
                <w:szCs w:val="21"/>
                <w:u w:val="single"/>
                <w:lang w:val="en-US" w:eastAsia="zh-CN"/>
              </w:rPr>
              <w:t>月</w:t>
            </w:r>
          </w:p>
        </w:tc>
        <w:tc>
          <w:tcPr>
            <w:tcW w:w="726" w:type="pct"/>
            <w:vAlign w:val="center"/>
          </w:tcPr>
          <w:p>
            <w:pPr>
              <w:widowControl/>
              <w:spacing w:line="300" w:lineRule="auto"/>
              <w:jc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u w:val="single"/>
              </w:rPr>
              <w:t>1254.15</w:t>
            </w:r>
          </w:p>
        </w:tc>
        <w:tc>
          <w:tcPr>
            <w:tcW w:w="588" w:type="pct"/>
            <w:vAlign w:val="center"/>
          </w:tcPr>
          <w:p>
            <w:pPr>
              <w:widowControl/>
              <w:jc w:val="center"/>
              <w:textAlignment w:val="center"/>
              <w:rPr>
                <w:rFonts w:asciiTheme="minorEastAsia" w:eastAsiaTheme="minorEastAsia" w:hAnsiTheme="minorEastAsia" w:cstheme="minorEastAsia"/>
                <w:sz w:val="21"/>
                <w:szCs w:val="21"/>
              </w:rPr>
            </w:pPr>
          </w:p>
        </w:tc>
        <w:tc>
          <w:tcPr>
            <w:tcW w:w="655" w:type="pct"/>
            <w:vAlign w:val="center"/>
          </w:tcPr>
          <w:p>
            <w:pPr>
              <w:widowControl/>
              <w:jc w:val="center"/>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sz w:val="21"/>
                <w:szCs w:val="21"/>
              </w:rPr>
              <w:t>178121.19</w:t>
            </w:r>
          </w:p>
        </w:tc>
        <w:tc>
          <w:tcPr>
            <w:tcW w:w="940" w:type="pct"/>
            <w:vAlign w:val="center"/>
          </w:tcPr>
          <w:p>
            <w:pPr>
              <w:widowControl/>
              <w:jc w:val="center"/>
              <w:textAlignment w:val="center"/>
              <w:rPr>
                <w:rFonts w:asciiTheme="minorEastAsia" w:eastAsiaTheme="minorEastAsia" w:hAnsiTheme="minorEastAsia" w:cstheme="minorEastAsia" w:hint="default"/>
                <w:b/>
                <w:bCs/>
                <w:color w:val="000000"/>
                <w:kern w:val="0"/>
                <w:sz w:val="21"/>
                <w:szCs w:val="21"/>
                <w:lang w:val="en-US" w:eastAsia="zh-CN" w:bidi="ar"/>
              </w:rPr>
            </w:pPr>
            <w:r>
              <w:rPr>
                <w:rFonts w:asciiTheme="minorEastAsia" w:eastAsiaTheme="minorEastAsia" w:hAnsiTheme="minorEastAsia" w:cstheme="minorEastAsia" w:hint="eastAsia"/>
                <w:b/>
                <w:bCs/>
                <w:color w:val="000000"/>
                <w:kern w:val="0"/>
                <w:sz w:val="21"/>
                <w:szCs w:val="21"/>
                <w:lang w:val="en-US" w:eastAsia="zh-CN" w:bidi="ar"/>
              </w:rPr>
              <w:t>2137454.27</w:t>
            </w:r>
          </w:p>
        </w:tc>
      </w:tr>
      <w:tr>
        <w:tblPrEx>
          <w:tblW w:w="5000" w:type="pct"/>
          <w:tblInd w:w="-601" w:type="dxa"/>
          <w:tblLayout w:type="fixed"/>
          <w:tblCellMar>
            <w:top w:w="0" w:type="dxa"/>
            <w:left w:w="108" w:type="dxa"/>
            <w:bottom w:w="0" w:type="dxa"/>
            <w:right w:w="108" w:type="dxa"/>
          </w:tblCellMar>
        </w:tblPrEx>
        <w:trPr>
          <w:trHeight w:val="567"/>
        </w:trPr>
        <w:tc>
          <w:tcPr>
            <w:tcW w:w="1360" w:type="pct"/>
            <w:vAlign w:val="center"/>
          </w:tcPr>
          <w:p>
            <w:pPr>
              <w:spacing w:line="300" w:lineRule="auto"/>
              <w:ind w:left="-120" w:right="-120" w:leftChars="-50" w:rightChars="-50"/>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合计</w:t>
            </w:r>
          </w:p>
        </w:tc>
        <w:tc>
          <w:tcPr>
            <w:tcW w:w="727" w:type="pct"/>
            <w:vAlign w:val="center"/>
          </w:tcPr>
          <w:p>
            <w:pPr>
              <w:widowControl/>
              <w:spacing w:line="300" w:lineRule="auto"/>
              <w:ind w:left="-120" w:right="-120" w:leftChars="-50" w:rightChars="-50"/>
              <w:jc w:val="center"/>
              <w:rPr>
                <w:rFonts w:eastAsia="宋体" w:asciiTheme="minorEastAsia" w:hAnsiTheme="minorEastAsia" w:cstheme="minorEastAsia" w:hint="default"/>
                <w:b/>
                <w:bCs/>
                <w:sz w:val="21"/>
                <w:szCs w:val="21"/>
                <w:lang w:val="en-US" w:eastAsia="zh-CN"/>
              </w:rPr>
            </w:pPr>
            <w:r>
              <w:rPr>
                <w:rFonts w:asciiTheme="minorEastAsia" w:eastAsiaTheme="minorEastAsia" w:hAnsiTheme="minorEastAsia" w:cstheme="minorEastAsia" w:hint="eastAsia"/>
                <w:b/>
                <w:bCs/>
                <w:sz w:val="21"/>
                <w:szCs w:val="21"/>
                <w:lang w:val="en-US" w:eastAsia="zh-CN"/>
              </w:rPr>
              <w:t>46月16天</w:t>
            </w:r>
          </w:p>
        </w:tc>
        <w:tc>
          <w:tcPr>
            <w:tcW w:w="1970" w:type="pct"/>
            <w:gridSpan w:val="3"/>
            <w:vAlign w:val="center"/>
          </w:tcPr>
          <w:p>
            <w:pPr>
              <w:widowControl/>
              <w:ind w:left="-120" w:right="-120" w:leftChars="-50" w:rightChars="-50"/>
              <w:jc w:val="left"/>
              <w:textAlignment w:val="center"/>
              <w:rPr>
                <w:rFonts w:asciiTheme="minorEastAsia" w:eastAsiaTheme="minorEastAsia" w:hAnsiTheme="minorEastAsia" w:cstheme="minorEastAsia" w:hint="eastAsia"/>
                <w:color w:val="000000"/>
                <w:kern w:val="0"/>
                <w:sz w:val="21"/>
                <w:szCs w:val="21"/>
                <w:lang w:val="en-US" w:eastAsia="zh-CN" w:bidi="ar"/>
              </w:rPr>
            </w:pPr>
            <w:r>
              <w:rPr>
                <w:rFonts w:asciiTheme="minorEastAsia" w:eastAsiaTheme="minorEastAsia" w:hAnsiTheme="minorEastAsia" w:cstheme="minorEastAsia" w:hint="eastAsia"/>
                <w:b/>
                <w:bCs/>
                <w:color w:val="000000"/>
                <w:kern w:val="0"/>
                <w:sz w:val="21"/>
                <w:szCs w:val="21"/>
                <w:lang w:bidi="ar"/>
              </w:rPr>
              <w:t>投标报价（元）</w:t>
            </w:r>
            <w:r>
              <w:rPr>
                <w:rFonts w:asciiTheme="minorEastAsia" w:eastAsiaTheme="minorEastAsia" w:hAnsiTheme="minorEastAsia" w:cstheme="minorEastAsia" w:hint="eastAsia"/>
                <w:color w:val="000000"/>
                <w:kern w:val="0"/>
                <w:sz w:val="21"/>
                <w:szCs w:val="21"/>
                <w:lang w:val="en-US" w:eastAsia="zh-CN" w:bidi="ar"/>
              </w:rPr>
              <w:t>大写：</w:t>
            </w:r>
          </w:p>
          <w:p>
            <w:pPr>
              <w:widowControl/>
              <w:ind w:left="-120" w:right="-120" w:leftChars="-50" w:rightChars="-50"/>
              <w:jc w:val="center"/>
              <w:textAlignment w:val="center"/>
              <w:rPr>
                <w:rFonts w:asciiTheme="minorEastAsia" w:eastAsiaTheme="minorEastAsia" w:hAnsiTheme="minorEastAsia" w:cstheme="minorEastAsia" w:hint="eastAsia"/>
                <w:b/>
                <w:bCs/>
                <w:color w:val="000000"/>
                <w:kern w:val="0"/>
                <w:sz w:val="21"/>
                <w:szCs w:val="21"/>
                <w:lang w:bidi="ar"/>
              </w:rPr>
            </w:pPr>
            <w:r>
              <w:rPr>
                <w:rFonts w:asciiTheme="minorEastAsia" w:eastAsiaTheme="minorEastAsia" w:hAnsiTheme="minorEastAsia" w:cstheme="minorEastAsia" w:hint="eastAsia"/>
                <w:color w:val="000000"/>
                <w:kern w:val="0"/>
                <w:sz w:val="21"/>
                <w:szCs w:val="21"/>
                <w:lang w:val="en-US" w:eastAsia="zh-CN" w:bidi="ar"/>
              </w:rPr>
              <w:t>小写：</w:t>
            </w:r>
          </w:p>
        </w:tc>
        <w:tc>
          <w:tcPr>
            <w:tcW w:w="940" w:type="pct"/>
            <w:vAlign w:val="center"/>
          </w:tcPr>
          <w:p>
            <w:pPr>
              <w:pStyle w:val="BodyText"/>
              <w:jc w:val="left"/>
              <w:rPr>
                <w:rFonts w:asciiTheme="minorEastAsia" w:eastAsiaTheme="minorEastAsia" w:hAnsiTheme="minorEastAsia" w:cstheme="minorEastAsia" w:hint="default"/>
                <w:sz w:val="21"/>
                <w:szCs w:val="21"/>
                <w:lang w:val="en-US" w:eastAsia="zh-CN"/>
              </w:rPr>
            </w:pPr>
            <w:r>
              <w:rPr>
                <w:rFonts w:asciiTheme="minorEastAsia" w:eastAsiaTheme="minorEastAsia" w:hAnsiTheme="minorEastAsia" w:cstheme="minorEastAsia" w:hint="eastAsia"/>
                <w:color w:val="000000"/>
                <w:kern w:val="0"/>
                <w:sz w:val="21"/>
                <w:szCs w:val="21"/>
                <w:lang w:val="en-US" w:eastAsia="zh-CN" w:bidi="ar"/>
              </w:rPr>
              <w:t>7429993.01</w:t>
            </w:r>
          </w:p>
        </w:tc>
      </w:tr>
    </w:tbl>
    <w:p>
      <w:pPr>
        <w:ind w:left="630" w:hanging="630" w:hangingChars="300"/>
        <w:rPr>
          <w:b/>
          <w:color w:val="0000FF"/>
          <w:sz w:val="21"/>
          <w:szCs w:val="21"/>
        </w:rPr>
      </w:pPr>
      <w:r>
        <w:rPr>
          <w:rFonts w:hint="eastAsia"/>
          <w:b/>
          <w:color w:val="0000FF"/>
          <w:sz w:val="21"/>
          <w:szCs w:val="21"/>
        </w:rPr>
        <w:t>注：</w:t>
      </w:r>
    </w:p>
    <w:p>
      <w:pPr>
        <w:ind w:left="630" w:hanging="630" w:hangingChars="300"/>
        <w:rPr>
          <w:b/>
          <w:color w:val="0000FF"/>
          <w:sz w:val="21"/>
          <w:szCs w:val="21"/>
        </w:rPr>
      </w:pPr>
      <w:r>
        <w:rPr>
          <w:rFonts w:hint="eastAsia"/>
          <w:b/>
          <w:color w:val="0000FF"/>
          <w:sz w:val="21"/>
          <w:szCs w:val="21"/>
        </w:rPr>
        <w:t>1、年报价=月报价*对应的租赁时限</w:t>
      </w:r>
    </w:p>
    <w:p>
      <w:pPr>
        <w:ind w:left="630" w:hanging="630" w:hangingChars="300"/>
        <w:rPr>
          <w:rFonts w:hint="eastAsia"/>
          <w:b/>
          <w:color w:val="0000FF"/>
          <w:sz w:val="21"/>
          <w:szCs w:val="21"/>
        </w:rPr>
      </w:pPr>
      <w:r>
        <w:rPr>
          <w:rFonts w:hint="eastAsia"/>
          <w:b/>
          <w:color w:val="0000FF"/>
          <w:sz w:val="21"/>
          <w:szCs w:val="21"/>
        </w:rPr>
        <w:t>2、投标报价（元）=租金缴纳周期内所有年报价合计金额之和</w:t>
      </w:r>
    </w:p>
    <w:p>
      <w:pPr>
        <w:widowControl w:val="0"/>
        <w:tabs>
          <w:tab w:val="left" w:pos="720"/>
        </w:tabs>
        <w:jc w:val="center"/>
        <w:rPr>
          <w:rFonts w:eastAsia="宋体"/>
          <w:b/>
          <w:kern w:val="2"/>
          <w:lang w:eastAsia="zh-CN"/>
        </w:rPr>
      </w:pPr>
      <w:r>
        <w:rPr>
          <w:rFonts w:eastAsia="宋体" w:hint="eastAsia"/>
          <w:b/>
          <w:kern w:val="2"/>
          <w:lang w:eastAsia="zh-CN"/>
        </w:rPr>
        <w:t>（二）供应商认为需要涉及的其他内容报价清单</w:t>
      </w:r>
    </w:p>
    <w:p>
      <w:pPr>
        <w:widowControl w:val="0"/>
        <w:spacing w:line="360" w:lineRule="auto"/>
        <w:ind w:firstLine="560"/>
        <w:jc w:val="both"/>
        <w:rPr>
          <w:rFonts w:eastAsia="宋体"/>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五、其他招标文件要求或投标人认为需要补充的内容（公开）</w:t>
      </w:r>
    </w:p>
    <w:p>
      <w:pPr>
        <w:widowControl w:val="0"/>
        <w:spacing w:line="360" w:lineRule="auto"/>
        <w:jc w:val="both"/>
        <w:rPr>
          <w:rFonts w:eastAsia="宋体"/>
          <w:kern w:val="2"/>
          <w:lang w:eastAsia="zh-CN"/>
        </w:rPr>
      </w:pPr>
    </w:p>
    <w:p>
      <w:pPr>
        <w:widowControl w:val="0"/>
        <w:ind w:firstLine="720" w:firstLineChars="30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p>
      <w:pPr>
        <w:widowControl w:val="0"/>
        <w:spacing w:line="360" w:lineRule="auto"/>
        <w:ind w:firstLine="560"/>
        <w:jc w:val="both"/>
        <w:rPr>
          <w:rFonts w:eastAsia="宋体"/>
          <w:kern w:val="2"/>
          <w:lang w:eastAsia="zh-CN"/>
        </w:rPr>
        <w:sectPr>
          <w:pgSz w:w="11907" w:h="16840"/>
          <w:pgMar w:top="1440" w:right="1797" w:bottom="1440" w:left="1797" w:header="851" w:footer="992" w:gutter="0"/>
          <w:cols w:num="1" w:space="425"/>
          <w:titlePg/>
          <w:docGrid w:linePitch="462" w:charSpace="0"/>
        </w:sectPr>
      </w:pPr>
    </w:p>
    <w:p>
      <w:pPr>
        <w:widowControl w:val="0"/>
        <w:jc w:val="both"/>
        <w:outlineLvl w:val="1"/>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t>应答文件附件（信息不公开部分）</w:t>
      </w:r>
    </w:p>
    <w:p>
      <w:pPr>
        <w:widowControl w:val="0"/>
        <w:ind w:left="821" w:firstLine="1418" w:leftChars="342" w:firstLineChars="675"/>
        <w:jc w:val="both"/>
        <w:rPr>
          <w:rFonts w:eastAsia="宋体"/>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一、</w:t>
      </w:r>
      <w:bookmarkStart w:id="53" w:name="_Hlk72092499"/>
      <w:r>
        <w:rPr>
          <w:rFonts w:ascii="黑体" w:eastAsia="黑体" w:hAnsi="宋体" w:hint="eastAsia"/>
          <w:bCs/>
          <w:kern w:val="2"/>
          <w:szCs w:val="32"/>
          <w:lang w:eastAsia="zh-CN"/>
        </w:rPr>
        <w:t>法定代表人（负责人）证明书</w:t>
      </w:r>
      <w:bookmarkEnd w:id="53"/>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说明：1、法定代表人为供应商（企业事业单位、国家机关、社会团体）的主要行政负责人。</w:t>
      </w:r>
    </w:p>
    <w:p>
      <w:pPr>
        <w:widowControl w:val="0"/>
        <w:numPr>
          <w:ilvl w:val="0"/>
          <w:numId w:val="2"/>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2"/>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Hans"/>
        </w:rPr>
        <w:t>本项目</w:t>
      </w:r>
      <w:r>
        <w:rPr>
          <w:rFonts w:eastAsia="宋体" w:hint="eastAsia"/>
          <w:kern w:val="2"/>
          <w:sz w:val="21"/>
          <w:szCs w:val="21"/>
          <w:lang w:eastAsia="zh-CN"/>
        </w:rPr>
        <w:t>应答</w:t>
      </w:r>
      <w:r>
        <w:rPr>
          <w:rFonts w:eastAsia="宋体" w:hint="eastAsia"/>
          <w:kern w:val="2"/>
          <w:sz w:val="21"/>
          <w:szCs w:val="21"/>
          <w:lang w:eastAsia="zh-Hans"/>
        </w:rPr>
        <w:t>授权代表为法定代表人（负责人）的，无需提供</w:t>
      </w:r>
      <w:r>
        <w:rPr>
          <w:rFonts w:eastAsia="宋体" w:hint="eastAsia"/>
          <w:kern w:val="2"/>
          <w:sz w:val="21"/>
          <w:szCs w:val="21"/>
          <w:lang w:eastAsia="zh-CN"/>
        </w:rPr>
        <w:t>《谈判应答文件签署授权委托书》</w:t>
      </w:r>
      <w:r>
        <w:rPr>
          <w:rFonts w:eastAsia="宋体" w:hint="eastAsia"/>
          <w:kern w:val="2"/>
          <w:sz w:val="21"/>
          <w:szCs w:val="21"/>
          <w:lang w:eastAsia="zh-Hans"/>
        </w:rPr>
        <w:t>。</w:t>
      </w:r>
    </w:p>
    <w:p>
      <w:pPr>
        <w:widowControl w:val="0"/>
        <w:numPr>
          <w:ilvl w:val="0"/>
          <w:numId w:val="2"/>
        </w:numPr>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widowControl w:val="0"/>
              <w:jc w:val="center"/>
              <w:rPr>
                <w:rFonts w:eastAsia="宋体"/>
                <w:kern w:val="2"/>
                <w:sz w:val="21"/>
                <w:lang w:eastAsia="zh-CN"/>
              </w:rPr>
            </w:pPr>
            <w:r>
              <w:rPr>
                <w:rFonts w:eastAsia="宋体" w:hint="eastAsia"/>
                <w:kern w:val="2"/>
                <w:sz w:val="21"/>
                <w:lang w:eastAsia="zh-CN"/>
              </w:rPr>
              <w:t>证件扫描件正面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c>
          <w:tcPr>
            <w:tcW w:w="4265" w:type="dxa"/>
          </w:tcPr>
          <w:p>
            <w:pPr>
              <w:widowControl w:val="0"/>
              <w:jc w:val="center"/>
              <w:rPr>
                <w:rFonts w:eastAsia="宋体"/>
                <w:kern w:val="2"/>
                <w:sz w:val="21"/>
                <w:lang w:eastAsia="zh-CN"/>
              </w:rPr>
            </w:pPr>
            <w:r>
              <w:rPr>
                <w:rFonts w:eastAsia="宋体" w:hint="eastAsia"/>
                <w:kern w:val="2"/>
                <w:sz w:val="21"/>
                <w:lang w:eastAsia="zh-CN"/>
              </w:rPr>
              <w:t>证件扫描件反面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r>
    </w:tbl>
    <w:p>
      <w:pPr>
        <w:widowControl w:val="0"/>
        <w:jc w:val="both"/>
        <w:rPr>
          <w:rFonts w:eastAsia="宋体"/>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二、谈判应答文件签署授权委托书</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（供应商名称）的法定代表人（负责人），现授权委托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（姓名）为我单位签署本项目已递交的谈判应答文件的法定代表人（负责人）的授权委托代理人，</w:t>
      </w:r>
      <w:r>
        <w:rPr>
          <w:rFonts w:ascii="宋体" w:eastAsia="宋体" w:hAnsi="宋体" w:hint="eastAsia"/>
          <w:kern w:val="2"/>
          <w:sz w:val="21"/>
          <w:szCs w:val="21"/>
          <w:lang w:eastAsia="zh-CN"/>
        </w:rPr>
        <w:t>代理人全权代表我所签署的本项目已递交的谈判应答文件内容，以及本项目谈判组织实施过程中对谈判应答文件的修改和补充内容我均承认。</w:t>
      </w:r>
    </w:p>
    <w:p>
      <w:pPr>
        <w:widowControl w:val="0"/>
        <w:spacing w:line="360" w:lineRule="auto"/>
        <w:ind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widowControl w:val="0"/>
              <w:jc w:val="center"/>
              <w:rPr>
                <w:rFonts w:eastAsia="宋体"/>
                <w:kern w:val="2"/>
                <w:sz w:val="21"/>
                <w:lang w:eastAsia="zh-CN"/>
              </w:rPr>
            </w:pPr>
            <w:r>
              <w:rPr>
                <w:rFonts w:eastAsia="宋体" w:hint="eastAsia"/>
                <w:kern w:val="2"/>
                <w:sz w:val="21"/>
                <w:lang w:eastAsia="zh-CN"/>
              </w:rPr>
              <w:t>证件扫描件正面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c>
          <w:tcPr>
            <w:tcW w:w="4265" w:type="dxa"/>
          </w:tcPr>
          <w:p>
            <w:pPr>
              <w:widowControl w:val="0"/>
              <w:jc w:val="center"/>
              <w:rPr>
                <w:rFonts w:eastAsia="宋体"/>
                <w:kern w:val="2"/>
                <w:sz w:val="21"/>
                <w:lang w:eastAsia="zh-CN"/>
              </w:rPr>
            </w:pPr>
            <w:r>
              <w:rPr>
                <w:rFonts w:eastAsia="宋体" w:hint="eastAsia"/>
                <w:kern w:val="2"/>
                <w:sz w:val="21"/>
                <w:lang w:eastAsia="zh-CN"/>
              </w:rPr>
              <w:t>证件扫描件反面</w:t>
            </w:r>
          </w:p>
          <w:p>
            <w:pPr>
              <w:widowControl w:val="0"/>
              <w:spacing w:line="360" w:lineRule="auto"/>
              <w:jc w:val="center"/>
              <w:rPr>
                <w:rFonts w:eastAsia="宋体"/>
                <w:b/>
                <w:bCs/>
                <w:kern w:val="2"/>
                <w:lang w:eastAsia="zh-CN"/>
              </w:rPr>
            </w:pPr>
          </w:p>
          <w:p>
            <w:pPr>
              <w:widowControl w:val="0"/>
              <w:spacing w:line="360" w:lineRule="auto"/>
              <w:jc w:val="center"/>
              <w:rPr>
                <w:rFonts w:eastAsia="宋体"/>
                <w:kern w:val="2"/>
                <w:lang w:eastAsia="zh-CN"/>
              </w:rPr>
            </w:pPr>
          </w:p>
        </w:tc>
      </w:tr>
    </w:tbl>
    <w:p>
      <w:pPr>
        <w:widowControl w:val="0"/>
        <w:spacing w:line="360" w:lineRule="auto"/>
        <w:ind w:firstLine="420" w:firstLineChars="200"/>
        <w:jc w:val="both"/>
        <w:rPr>
          <w:rFonts w:eastAsia="宋体"/>
          <w:b/>
          <w:color w:val="FF0000"/>
          <w:kern w:val="2"/>
          <w:sz w:val="21"/>
          <w:szCs w:val="21"/>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三、实质性条款响应情况表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3213"/>
        <w:gridCol w:w="2670"/>
        <w:gridCol w:w="1174"/>
        <w:gridCol w:w="7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3095"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2572"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谈判响应</w:t>
            </w:r>
          </w:p>
        </w:tc>
        <w:tc>
          <w:tcPr>
            <w:tcW w:w="1131"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7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both"/>
              <w:rPr>
                <w:rFonts w:ascii="宋体" w:eastAsia="宋体" w:hAnsi="宋体" w:hint="eastAsia"/>
                <w:sz w:val="21"/>
                <w:szCs w:val="21"/>
                <w:lang w:eastAsia="zh-CN"/>
              </w:rPr>
            </w:pPr>
            <w:r>
              <w:rPr>
                <w:rFonts w:ascii="宋体" w:eastAsia="宋体" w:hAnsi="宋体" w:hint="eastAsia"/>
                <w:sz w:val="21"/>
                <w:szCs w:val="21"/>
                <w:lang w:eastAsia="zh-CN"/>
              </w:rPr>
              <w:t>1</w:t>
            </w:r>
          </w:p>
        </w:tc>
        <w:tc>
          <w:tcPr>
            <w:tcW w:w="3095" w:type="dxa"/>
            <w:vAlign w:val="center"/>
          </w:tcPr>
          <w:p>
            <w:pPr>
              <w:widowControl w:val="0"/>
              <w:adjustRightInd w:val="0"/>
              <w:snapToGrid w:val="0"/>
              <w:spacing w:line="360" w:lineRule="auto"/>
              <w:jc w:val="center"/>
              <w:rPr>
                <w:rFonts w:eastAsia="宋体" w:hAnsi="宋体" w:hint="eastAsia"/>
                <w:sz w:val="21"/>
                <w:szCs w:val="21"/>
                <w:lang w:eastAsia="zh-CN"/>
              </w:rPr>
            </w:pPr>
            <w:r>
              <w:rPr>
                <w:rFonts w:eastAsia="宋体" w:hint="eastAsia"/>
                <w:kern w:val="2"/>
                <w:sz w:val="21"/>
                <w:lang w:eastAsia="zh-CN"/>
              </w:rPr>
              <w:t>满足本项目标★的条款要求</w:t>
            </w:r>
          </w:p>
        </w:tc>
        <w:tc>
          <w:tcPr>
            <w:tcW w:w="2572" w:type="dxa"/>
          </w:tcPr>
          <w:p>
            <w:pPr>
              <w:widowControl w:val="0"/>
              <w:adjustRightInd w:val="0"/>
              <w:snapToGrid w:val="0"/>
              <w:spacing w:line="360" w:lineRule="auto"/>
              <w:jc w:val="both"/>
              <w:rPr>
                <w:rFonts w:ascii="宋体" w:eastAsia="宋体" w:hAnsi="宋体" w:hint="eastAsia"/>
                <w:sz w:val="21"/>
                <w:szCs w:val="21"/>
                <w:lang w:eastAsia="zh-CN"/>
              </w:rPr>
            </w:pPr>
          </w:p>
        </w:tc>
        <w:tc>
          <w:tcPr>
            <w:tcW w:w="1131" w:type="dxa"/>
          </w:tcPr>
          <w:p>
            <w:pPr>
              <w:widowControl w:val="0"/>
              <w:adjustRightInd w:val="0"/>
              <w:snapToGrid w:val="0"/>
              <w:spacing w:line="360" w:lineRule="auto"/>
              <w:jc w:val="both"/>
              <w:rPr>
                <w:rFonts w:ascii="宋体" w:eastAsia="宋体" w:hAnsi="宋体" w:hint="eastAsia"/>
                <w:sz w:val="21"/>
                <w:szCs w:val="21"/>
                <w:lang w:eastAsia="zh-CN"/>
              </w:rPr>
            </w:pPr>
          </w:p>
        </w:tc>
        <w:tc>
          <w:tcPr>
            <w:tcW w:w="714"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p>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numPr>
          <w:ilvl w:val="12"/>
          <w:numId w:val="0"/>
        </w:numPr>
        <w:ind w:left="0" w:firstLine="480" w:firstLineChars="200"/>
        <w:jc w:val="both"/>
        <w:rPr>
          <w:rFonts w:eastAsia="宋体"/>
          <w:b/>
          <w:kern w:val="2"/>
          <w:szCs w:val="22"/>
          <w:lang w:eastAsia="zh-CN"/>
        </w:rPr>
      </w:pPr>
      <w:r>
        <w:rPr>
          <w:rFonts w:eastAsia="宋体" w:hint="eastAsia"/>
          <w:b/>
          <w:kern w:val="2"/>
          <w:szCs w:val="22"/>
          <w:lang w:eastAsia="zh-CN"/>
        </w:rPr>
        <w:t>2.“谈判响应”一栏应当详细填写供应商自身响应情况，而不能不合理照搬照抄谈判文件实质性条款具体内容。</w:t>
      </w:r>
    </w:p>
    <w:p>
      <w:pPr>
        <w:widowControl w:val="0"/>
        <w:ind w:firstLine="480" w:firstLineChars="200"/>
        <w:jc w:val="both"/>
        <w:rPr>
          <w:rFonts w:eastAsia="宋体"/>
          <w:b/>
          <w:kern w:val="2"/>
          <w:lang w:eastAsia="zh-CN"/>
        </w:rPr>
      </w:pPr>
      <w:r>
        <w:rPr>
          <w:rFonts w:eastAsia="宋体" w:hint="eastAsia"/>
          <w:b/>
          <w:kern w:val="2"/>
          <w:szCs w:val="22"/>
          <w:lang w:eastAsia="zh-CN"/>
        </w:rPr>
        <w:t>3</w:t>
      </w:r>
      <w:r>
        <w:rPr>
          <w:rFonts w:eastAsia="宋体"/>
          <w:b/>
          <w:kern w:val="2"/>
          <w:szCs w:val="22"/>
          <w:lang w:eastAsia="zh-CN"/>
        </w:rPr>
        <w:t>.</w:t>
      </w:r>
      <w:r>
        <w:rPr>
          <w:rFonts w:eastAsia="宋体" w:hint="eastAsia"/>
          <w:b/>
          <w:kern w:val="2"/>
          <w:szCs w:val="22"/>
          <w:lang w:eastAsia="zh-CN"/>
        </w:rPr>
        <w:t>“偏离情况”一栏应填写“正偏离”、“负偏离”或“无偏离”，</w:t>
      </w:r>
      <w:r>
        <w:rPr>
          <w:rFonts w:eastAsia="宋体" w:hint="eastAsia"/>
          <w:b/>
          <w:kern w:val="2"/>
          <w:lang w:eastAsia="zh-CN"/>
        </w:rPr>
        <w:t>“正偏离”表示“投标（应答）响应优于实质性条款具体内容要求”，“负偏离”表示“投标（应答）响应不满足实质性条款具体内容要求”，“无偏离”表示“投标（应答）响应与实质性条款具体内容要求一致”。</w:t>
      </w:r>
    </w:p>
    <w:p>
      <w:pPr>
        <w:widowControl w:val="0"/>
        <w:ind w:firstLine="480" w:firstLineChars="200"/>
        <w:jc w:val="both"/>
        <w:rPr>
          <w:rFonts w:eastAsia="宋体"/>
          <w:b/>
          <w:kern w:val="2"/>
          <w:lang w:eastAsia="zh-CN"/>
        </w:rPr>
      </w:pPr>
      <w:r>
        <w:rPr>
          <w:rFonts w:eastAsia="宋体"/>
          <w:b/>
          <w:kern w:val="2"/>
          <w:lang w:eastAsia="zh-CN"/>
        </w:rPr>
        <w:t>4.</w:t>
      </w:r>
      <w:r>
        <w:rPr>
          <w:rFonts w:eastAsia="宋体" w:hint="eastAsia"/>
          <w:b/>
          <w:kern w:val="2"/>
          <w:lang w:eastAsia="zh-CN"/>
        </w:rPr>
        <w:t>谈判小组有权对谈判响应情况作出判断（作出评审结论）。</w:t>
      </w:r>
    </w:p>
    <w:p>
      <w:pPr>
        <w:widowControl w:val="0"/>
        <w:ind w:firstLine="480" w:firstLineChars="200"/>
        <w:jc w:val="both"/>
        <w:rPr>
          <w:rFonts w:eastAsia="宋体"/>
          <w:b/>
          <w:kern w:val="2"/>
          <w:szCs w:val="22"/>
          <w:lang w:eastAsia="zh-CN"/>
        </w:rPr>
      </w:pPr>
      <w:r>
        <w:rPr>
          <w:rFonts w:eastAsia="宋体"/>
          <w:b/>
          <w:kern w:val="2"/>
          <w:szCs w:val="22"/>
          <w:lang w:eastAsia="zh-CN"/>
        </w:rPr>
        <w:t>5</w:t>
      </w:r>
      <w:r>
        <w:rPr>
          <w:rFonts w:eastAsia="宋体" w:hint="eastAsia"/>
          <w:b/>
          <w:kern w:val="2"/>
          <w:szCs w:val="22"/>
          <w:lang w:eastAsia="zh-CN"/>
        </w:rPr>
        <w:t>.实质性响应条款“谈判响应”情况与应答文件其它内容冲突的，以实质性响应条款“谈判响应”内容为准。</w:t>
      </w:r>
    </w:p>
    <w:p>
      <w:pPr>
        <w:widowControl w:val="0"/>
        <w:ind w:firstLine="480" w:firstLineChars="200"/>
        <w:jc w:val="both"/>
        <w:rPr>
          <w:rFonts w:eastAsia="宋体"/>
          <w:b/>
          <w:kern w:val="2"/>
          <w:szCs w:val="22"/>
          <w:lang w:eastAsia="zh-CN"/>
        </w:rPr>
      </w:pPr>
      <w:r>
        <w:rPr>
          <w:rFonts w:eastAsia="宋体" w:hint="eastAsia"/>
          <w:b/>
          <w:kern w:val="2"/>
          <w:szCs w:val="22"/>
          <w:lang w:eastAsia="zh-CN"/>
        </w:rPr>
        <w:t>6.要求提供证明资料，在“说明”一栏中列明证明资料的位置，以便谈判；未要求提供证明材料的，供应商可以不提供。</w:t>
      </w:r>
    </w:p>
    <w:p>
      <w:pPr>
        <w:widowControl w:val="0"/>
        <w:ind w:firstLine="480" w:firstLineChars="200"/>
        <w:jc w:val="both"/>
        <w:rPr>
          <w:rFonts w:eastAsia="宋体"/>
          <w:b/>
          <w:kern w:val="2"/>
          <w:szCs w:val="22"/>
          <w:lang w:eastAsia="zh-CN"/>
        </w:rPr>
      </w:pPr>
    </w:p>
    <w:p>
      <w:pPr>
        <w:widowControl w:val="0"/>
        <w:jc w:val="both"/>
        <w:rPr>
          <w:rFonts w:eastAsia="宋体"/>
          <w:b/>
          <w:kern w:val="2"/>
          <w:sz w:val="22"/>
          <w:highlight w:val="yellow"/>
          <w:lang w:eastAsia="zh-CN"/>
        </w:rPr>
      </w:pPr>
    </w:p>
    <w:p>
      <w:pPr>
        <w:widowControl w:val="0"/>
        <w:jc w:val="left"/>
        <w:rPr>
          <w:rFonts w:ascii="黑体" w:eastAsia="黑体" w:hAnsi="宋体" w:hint="eastAsia"/>
          <w:bCs/>
          <w:szCs w:val="32"/>
          <w:highlight w:val="yellow"/>
          <w:lang w:eastAsia="zh-CN"/>
        </w:rPr>
      </w:pPr>
    </w:p>
    <w:p>
      <w:pPr>
        <w:keepNext/>
        <w:keepLines/>
        <w:widowControl w:val="0"/>
        <w:spacing w:before="260" w:after="260" w:line="240" w:lineRule="auto"/>
        <w:jc w:val="center"/>
        <w:outlineLvl w:val="2"/>
        <w:rPr>
          <w:rFonts w:ascii="黑体" w:eastAsia="黑体" w:hAnsi="宋体"/>
          <w:bCs/>
          <w:lang w:eastAsia="zh-CN"/>
        </w:rPr>
      </w:pPr>
      <w:r>
        <w:rPr>
          <w:rFonts w:ascii="黑体" w:eastAsia="黑体" w:hAnsi="宋体" w:hint="eastAsia"/>
          <w:bCs/>
          <w:lang w:eastAsia="zh-CN"/>
        </w:rPr>
        <w:t>四、</w:t>
      </w:r>
      <w:bookmarkStart w:id="54" w:name="_Hlk72260576"/>
      <w:r>
        <w:rPr>
          <w:rFonts w:ascii="黑体" w:eastAsia="黑体" w:hAnsi="宋体" w:hint="eastAsia"/>
          <w:bCs/>
          <w:lang w:eastAsia="zh-CN"/>
        </w:rPr>
        <w:t>其他招标文件要求或投标人认为需要补充的内容（非公开）</w:t>
      </w:r>
    </w:p>
    <w:bookmarkEnd w:id="54"/>
    <w:p>
      <w:pPr>
        <w:widowControl w:val="0"/>
        <w:jc w:val="both"/>
        <w:rPr>
          <w:rFonts w:eastAsia="宋体"/>
          <w:kern w:val="2"/>
          <w:lang w:eastAsia="zh-CN"/>
        </w:rPr>
      </w:pPr>
    </w:p>
    <w:p>
      <w:pPr>
        <w:widowControl/>
        <w:jc w:val="center"/>
        <w:rPr>
          <w:rFonts w:ascii="黑体" w:eastAsia="黑体" w:hAnsi="宋体" w:hint="eastAsia"/>
          <w:lang w:eastAsia="zh-CN"/>
        </w:rPr>
      </w:pPr>
      <w:r>
        <w:rPr>
          <w:rFonts w:ascii="黑体" w:eastAsia="黑体" w:hAnsi="黑体" w:hint="eastAsia"/>
          <w:lang w:eastAsia="zh-CN"/>
        </w:rPr>
        <w:t>（一）采购违法行为风险知悉确认书</w:t>
      </w:r>
    </w:p>
    <w:p>
      <w:pPr>
        <w:widowControl/>
        <w:jc w:val="center"/>
        <w:rPr>
          <w:rFonts w:ascii="黑体" w:eastAsia="黑体" w:hAnsi="宋体" w:hint="eastAsia"/>
          <w:lang w:eastAsia="zh-CN"/>
        </w:rPr>
      </w:pPr>
      <w:r>
        <w:rPr>
          <w:rFonts w:ascii="黑体" w:eastAsia="黑体" w:hAnsi="宋体" w:hint="eastAsia"/>
          <w:lang w:eastAsia="zh-CN"/>
        </w:rPr>
        <w:t xml:space="preserve"> </w:t>
      </w:r>
    </w:p>
    <w:p>
      <w:pPr>
        <w:widowControl w:val="0"/>
        <w:ind w:firstLine="420" w:firstLineChars="200"/>
        <w:jc w:val="both"/>
        <w:rPr>
          <w:rFonts w:eastAsia="宋体"/>
          <w:kern w:val="2"/>
          <w:sz w:val="21"/>
          <w:szCs w:val="21"/>
          <w:lang w:eastAsia="zh-CN"/>
        </w:rPr>
      </w:pPr>
      <w:r>
        <w:rPr>
          <w:rFonts w:ascii="宋体" w:eastAsia="宋体" w:hAnsi="宋体" w:hint="eastAsia"/>
          <w:kern w:val="2"/>
          <w:sz w:val="21"/>
          <w:lang w:eastAsia="zh-CN"/>
        </w:rPr>
        <w:t>本公司在应答前已充分知悉以下情形为参与采购活动时的重大风险事项，并承诺已对下述风险提示事项重点排查，做到严谨、诚信、依法依规参与采购活动。</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一、本公司已充分知悉</w:t>
      </w:r>
      <w:r>
        <w:rPr>
          <w:rFonts w:eastAsia="宋体" w:hint="eastAsia"/>
          <w:b/>
          <w:bCs/>
          <w:kern w:val="2"/>
          <w:sz w:val="21"/>
          <w:lang w:eastAsia="zh-CN"/>
        </w:rPr>
        <w:t>“隐瞒真实情况，提供虚假资料”的法定情形，相关情形包括但不限于：</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（一）通过转让或者租借等方式从其他单位获取资格或者资质证书投标（应答）的。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（二）由其他单位或者其他单位负责人在投标（应答）供应商编制的投标（应答）文件上加盖印章或者签字的。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（四）投标（应答）保证金不是从投标（应答）供应商基本账户转出的。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（五）其他隐瞒真实情况、提供虚假资料的行为。</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二、本公司已充分知悉</w:t>
      </w:r>
      <w:r>
        <w:rPr>
          <w:rFonts w:eastAsia="宋体" w:hint="eastAsia"/>
          <w:b/>
          <w:bCs/>
          <w:kern w:val="2"/>
          <w:sz w:val="21"/>
          <w:lang w:eastAsia="zh-CN"/>
        </w:rPr>
        <w:t>“与其他采购参加人串通投标”的法定情形，相关情形包括但不限于：</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（一）投标（应答）供应商之间相互约定给予未中标的供应商利益补偿。</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（二）不同投标（应答）供应商的法定代表人、主要经营负责人、项目投标授权代表人、项目负责人、主要技术人员为同一人、属同一单位或者在同一单位缴纳社会保险。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（三）不同投标（应答）供应商的投标文件由同一单位或者同一人编制，或者由同一人分阶段参与编制的。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（四）不同投标（应答）供应商的投标文件或部分投标文件相互混装。</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（五）不同投标（应答）供应商的投标文件内容存在非正常一致。</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（七）不同供应商的投标（应答）报价呈规律性差异。</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（八）不同供应商的投标（应答）保证金从同一单位或者个人的账户转出。</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（九）主管部门依照法律、法规认定的其他情形。</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三、本公司已充分知悉下列情形所对应的法律风险，并在应答前已对相关风险事项进行排查。</w:t>
      </w:r>
    </w:p>
    <w:p>
      <w:pPr>
        <w:widowControl w:val="0"/>
        <w:ind w:firstLine="420" w:firstLineChars="200"/>
        <w:jc w:val="both"/>
        <w:rPr>
          <w:rFonts w:eastAsia="宋体"/>
          <w:b/>
          <w:bCs/>
          <w:kern w:val="2"/>
          <w:sz w:val="21"/>
          <w:lang w:eastAsia="zh-CN"/>
        </w:rPr>
      </w:pPr>
      <w:r>
        <w:rPr>
          <w:rFonts w:ascii="宋体" w:eastAsia="宋体" w:hAnsi="宋体" w:hint="eastAsia"/>
          <w:kern w:val="2"/>
          <w:sz w:val="21"/>
          <w:lang w:eastAsia="zh-CN"/>
        </w:rPr>
        <w:t>（一）对于从其他主体获取的投标（应答）资料，供应商应审慎核查，确保投标（应答）资料的真实性。</w:t>
      </w:r>
      <w:r>
        <w:rPr>
          <w:rFonts w:ascii="宋体" w:eastAsia="宋体" w:hAnsi="宋体" w:hint="eastAsia"/>
          <w:b/>
          <w:bCs/>
          <w:kern w:val="2"/>
          <w:sz w:val="21"/>
          <w:lang w:eastAsia="zh-CN"/>
        </w:rPr>
        <w:t>如主管部门查实投标（应答）文件中存在虚假资料的，无论相关资料是否由第三方或本公司员工提供，均不影响主管部门对供应商存在</w:t>
      </w:r>
      <w:r>
        <w:rPr>
          <w:rFonts w:eastAsia="宋体" w:hint="eastAsia"/>
          <w:b/>
          <w:bCs/>
          <w:kern w:val="2"/>
          <w:sz w:val="21"/>
          <w:lang w:eastAsia="zh-CN"/>
        </w:rPr>
        <w:t>“隐瞒真实情况，提供虚假资料”违法行为的认定。</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（三）对于涉及安全生产、特种作业、抢险救灾、防疫等政府采购项目，供应商实施提供虚假资料、串通投标（应答）等违法行为的，主管部门将依法从严处理。</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四）供应商应严格规范项目授权代表、员工参与采购活动的行为，加强对投标（应答）文件的审核。项目授权代表、员工编制、上传投标（应答）文件等行为违反政府采购法律法规或谈判文件要求的，供应商应当依法承担相应法律责任。</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六）单位负责人为同一人或者存在直接控股、管理关系的不同供应商，不得参加同一合同项下的采购活动。相关情形如查实，依法作投标（应答）无效处理；涉嫌串通投标等违法行为的，主管部门将依法调查处理。</w:t>
      </w:r>
    </w:p>
    <w:p>
      <w:pPr>
        <w:widowControl w:val="0"/>
        <w:ind w:firstLine="420" w:firstLineChars="200"/>
        <w:jc w:val="both"/>
        <w:rPr>
          <w:rFonts w:eastAsia="宋体"/>
          <w:b/>
          <w:bCs/>
          <w:kern w:val="2"/>
          <w:sz w:val="21"/>
          <w:lang w:eastAsia="zh-CN"/>
        </w:rPr>
      </w:pPr>
      <w:r>
        <w:rPr>
          <w:rFonts w:ascii="宋体" w:eastAsia="宋体" w:hAnsi="宋体" w:hint="eastAsia"/>
          <w:b/>
          <w:bCs/>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ascii="宋体" w:eastAsia="宋体" w:hAnsi="宋体" w:hint="eastAsia"/>
          <w:kern w:val="2"/>
          <w:sz w:val="21"/>
          <w:lang w:eastAsia="zh-CN"/>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eastAsia="宋体" w:hAnsi="宋体" w:hint="eastAsia"/>
          <w:kern w:val="2"/>
          <w:sz w:val="21"/>
          <w:highlight w:val="yellow"/>
          <w:lang w:eastAsia="zh-CN"/>
        </w:rPr>
        <w:t>以下文字请供应商抄写并确认：</w:t>
      </w:r>
      <w:r>
        <w:rPr>
          <w:rFonts w:eastAsia="宋体" w:hint="eastAsia"/>
          <w:kern w:val="2"/>
          <w:sz w:val="21"/>
          <w:highlight w:val="yellow"/>
          <w:lang w:eastAsia="zh-CN"/>
        </w:rPr>
        <w:t>“本公司已仔细阅读《政府采购违法行为风险知悉确认书》，充分知悉违法行为的法律后果，并承诺将严谨、诚信、依法依规参与采购活动”。</w:t>
      </w:r>
    </w:p>
    <w:tbl>
      <w:tblPr>
        <w:tblStyle w:val="1"/>
        <w:tblW w:w="5000" w:type="pct"/>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widowControl w:val="0"/>
              <w:autoSpaceDE w:val="0"/>
              <w:autoSpaceDN w:val="0"/>
              <w:spacing w:line="400" w:lineRule="exact"/>
              <w:ind w:firstLine="1866"/>
              <w:jc w:val="both"/>
              <w:rPr>
                <w:rFonts w:ascii="宋体" w:eastAsia="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负责人/谈判授权代表签名：</w:t>
      </w:r>
      <w:r>
        <w:rPr>
          <w:rFonts w:ascii="宋体" w:eastAsia="宋体" w:hAnsi="宋体" w:hint="eastAsia"/>
          <w:spacing w:val="-4"/>
          <w:sz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知悉人（公章）：</w:t>
      </w:r>
      <w:r>
        <w:rPr>
          <w:rFonts w:ascii="宋体" w:eastAsia="宋体" w:hAnsi="宋体" w:hint="eastAsia"/>
          <w:spacing w:val="-4"/>
          <w:sz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u w:val="single"/>
          <w:lang w:eastAsia="zh-CN"/>
        </w:rPr>
      </w:pPr>
      <w:r>
        <w:rPr>
          <w:rFonts w:ascii="宋体" w:eastAsia="宋体" w:hAnsi="宋体" w:hint="eastAsia"/>
          <w:spacing w:val="-4"/>
          <w:sz w:val="21"/>
          <w:lang w:eastAsia="zh-CN"/>
        </w:rPr>
        <w:t xml:space="preserve">     日期：</w:t>
      </w:r>
      <w:r>
        <w:rPr>
          <w:rFonts w:ascii="宋体" w:eastAsia="宋体" w:hAnsi="宋体" w:hint="eastAsia"/>
          <w:spacing w:val="-4"/>
          <w:sz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lang w:eastAsia="zh-CN"/>
        </w:rPr>
      </w:pP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lang w:eastAsia="zh-CN"/>
        </w:rPr>
        <w:t>注：1.</w:t>
      </w:r>
      <w:r>
        <w:rPr>
          <w:rFonts w:ascii="宋体" w:eastAsia="宋体" w:hAnsi="宋体" w:hint="eastAsia"/>
          <w:b/>
          <w:bCs/>
          <w:color w:val="FF0000"/>
          <w:spacing w:val="-4"/>
          <w:sz w:val="21"/>
          <w:szCs w:val="21"/>
          <w:lang w:eastAsia="zh-CN"/>
        </w:rPr>
        <w:t>根据《深圳市财政局关于采购文件增加风险告知有关事项的通知》（深财购〔2022〕22号），该风险知悉确认书用于对供应商违法行为的警示，</w:t>
      </w:r>
      <w:r>
        <w:rPr>
          <w:rFonts w:ascii="宋体" w:eastAsia="宋体" w:hAnsi="宋体" w:hint="eastAsia"/>
          <w:b/>
          <w:bCs/>
          <w:color w:val="FF0000"/>
          <w:spacing w:val="-4"/>
          <w:sz w:val="21"/>
          <w:lang w:eastAsia="zh-CN"/>
        </w:rPr>
        <w:t>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lang w:eastAsia="zh-CN"/>
        </w:rPr>
      </w:pPr>
      <w:r>
        <w:rPr>
          <w:rFonts w:ascii="宋体" w:eastAsia="宋体" w:hAnsi="宋体" w:hint="eastAsia"/>
          <w:b/>
          <w:bCs/>
          <w:color w:val="FF0000"/>
          <w:spacing w:val="-4"/>
          <w:sz w:val="21"/>
          <w:lang w:eastAsia="zh-CN"/>
        </w:rPr>
        <w:t>2.供应商负责人或谈判授权代表签字并加盖单位公章后，扫描上传至应答文件一并提交。</w:t>
      </w: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autoSpaceDE w:val="0"/>
        <w:autoSpaceDN w:val="0"/>
        <w:spacing w:line="400" w:lineRule="exact"/>
        <w:ind w:right="808" w:firstLine="420" w:firstLineChars="200"/>
        <w:jc w:val="right"/>
        <w:rPr>
          <w:rFonts w:ascii="宋体" w:eastAsia="宋体" w:hAnsi="宋体" w:hint="eastAsia"/>
          <w:spacing w:val="-4"/>
          <w:sz w:val="21"/>
          <w:u w:val="single"/>
          <w:lang w:eastAsia="zh-CN"/>
        </w:rPr>
      </w:pPr>
    </w:p>
    <w:p>
      <w:pPr>
        <w:widowControl w:val="0"/>
        <w:jc w:val="both"/>
        <w:rPr>
          <w:rFonts w:eastAsia="宋体"/>
          <w:kern w:val="2"/>
          <w:sz w:val="21"/>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（二）供应商认为需要加以说明的其他内容（格式自定）</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sectPr>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第五章  合同条款及格式</w:t>
      </w:r>
    </w:p>
    <w:p>
      <w:pPr>
        <w:widowControl w:val="0"/>
        <w:jc w:val="center"/>
        <w:outlineLvl w:val="0"/>
        <w:rPr>
          <w:rFonts w:eastAsia="宋体"/>
          <w:kern w:val="2"/>
          <w:sz w:val="21"/>
          <w:lang w:eastAsia="zh-CN"/>
        </w:rPr>
      </w:pPr>
      <w:bookmarkStart w:id="55" w:name="_Hlk72260917"/>
      <w:r>
        <w:rPr>
          <w:rFonts w:eastAsia="宋体" w:hint="eastAsia"/>
          <w:b/>
          <w:kern w:val="2"/>
          <w:lang w:eastAsia="zh-CN"/>
        </w:rPr>
        <w:t>（仅供参考，具体以项目需求及采购结果为准）</w:t>
      </w:r>
    </w:p>
    <w:bookmarkEnd w:id="55"/>
    <w:p>
      <w:pPr>
        <w:widowControl w:val="0"/>
        <w:jc w:val="both"/>
        <w:rPr>
          <w:rFonts w:eastAsia="宋体"/>
          <w:kern w:val="2"/>
          <w:sz w:val="21"/>
          <w:lang w:eastAsia="zh-CN"/>
        </w:rPr>
      </w:pP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单位为中标（成交）人。按照《中华人民共和国民法典》（第三编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１、应按照采购文件、投标（响应）文件要求按期完成本项目服务工作。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成交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1、乙方应配备成交项目所需的足够数量的仪器、仪表以及工具等设备。用户不需向乙方提供施工工具和仪器、仪表。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3、验收依据为采购文件、投标（响应）文件，国家和行业有关规范、规程和标准。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１、乙方应完全地按照采购文件的要求和乙方投标（响应）文件的承诺完成本项目，出于自身财务、技术、人力等原因导致项目失败的，应承担全部责任。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响应）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1、本合同与采购文件、乙方投标（响应）文件如有抵触之处，以本合同条款为准。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（1）号采购文件、答疑及补充通知；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（2）投标（响应）文件；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eastAsia="宋体"/>
          <w:kern w:val="2"/>
          <w:sz w:val="21"/>
          <w:lang w:eastAsia="zh-CN"/>
        </w:rPr>
      </w:pPr>
      <w:r>
        <w:rPr>
          <w:rFonts w:ascii="宋体" w:eastAsia="宋体" w:hAnsi="宋体" w:hint="eastAsia"/>
          <w:kern w:val="2"/>
          <w:sz w:val="21"/>
          <w:szCs w:val="21"/>
          <w:lang w:eastAsia="zh-CN"/>
        </w:rPr>
        <w:t>委托代理人：                     委托代理人：</w:t>
      </w:r>
    </w:p>
    <w:p>
      <w:pPr>
        <w:widowControl w:val="0"/>
        <w:jc w:val="both"/>
        <w:rPr>
          <w:rFonts w:eastAsia="宋体"/>
          <w:kern w:val="2"/>
          <w:sz w:val="21"/>
          <w:lang w:eastAsia="zh-CN"/>
        </w:rPr>
        <w:sectPr>
          <w:headerReference w:type="default" r:id="rId7"/>
          <w:footerReference w:type="default" r:id="rId8"/>
          <w:pgSz w:w="11907" w:h="16840"/>
          <w:pgMar w:top="1440" w:right="1797" w:bottom="1440" w:left="1797" w:header="851" w:footer="992" w:gutter="0"/>
          <w:cols w:num="1" w:space="425"/>
          <w:titlePg/>
          <w:docGrid w:linePitch="462" w:charSpace="0"/>
        </w:sectPr>
      </w:pPr>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 xml:space="preserve">第六章 </w:t>
      </w:r>
      <w:r>
        <w:rPr>
          <w:rFonts w:ascii="宋体" w:eastAsia="宋体" w:hAnsi="宋体"/>
          <w:b/>
          <w:bCs/>
          <w:kern w:val="2"/>
          <w:szCs w:val="20"/>
          <w:lang w:eastAsia="zh-CN"/>
        </w:rPr>
        <w:t xml:space="preserve"> </w:t>
      </w:r>
      <w:r>
        <w:rPr>
          <w:rFonts w:ascii="宋体" w:eastAsia="宋体" w:hAnsi="宋体" w:hint="eastAsia"/>
          <w:b/>
          <w:bCs/>
          <w:kern w:val="2"/>
          <w:szCs w:val="20"/>
          <w:lang w:eastAsia="zh-CN"/>
        </w:rPr>
        <w:t>谈判须知</w:t>
      </w:r>
    </w:p>
    <w:p>
      <w:pPr>
        <w:keepNext/>
        <w:keepLines/>
        <w:widowControl w:val="0"/>
        <w:adjustRightInd w:val="0"/>
        <w:spacing w:before="260" w:after="260" w:line="240" w:lineRule="auto"/>
        <w:jc w:val="center"/>
        <w:textAlignment w:val="baseline"/>
        <w:outlineLvl w:val="1"/>
        <w:rPr>
          <w:rFonts w:ascii="宋体" w:eastAsia="宋体" w:hAnsi="宋体" w:hint="eastAsia"/>
          <w:b/>
          <w:bCs/>
          <w:kern w:val="2"/>
          <w:szCs w:val="20"/>
          <w:lang w:eastAsia="zh-CN"/>
        </w:rPr>
      </w:pPr>
      <w:r>
        <w:rPr>
          <w:rFonts w:ascii="宋体" w:eastAsia="宋体" w:hAnsi="宋体" w:hint="eastAsia"/>
          <w:b/>
          <w:bCs/>
          <w:kern w:val="2"/>
          <w:szCs w:val="20"/>
          <w:lang w:eastAsia="zh-CN"/>
        </w:rPr>
        <w:t>一、总则</w:t>
      </w:r>
    </w:p>
    <w:p>
      <w:pPr>
        <w:widowControl w:val="0"/>
        <w:jc w:val="both"/>
        <w:rPr>
          <w:rFonts w:ascii="黑体" w:eastAsia="黑体" w:hAnsi="宋体" w:hint="eastAsia"/>
          <w:kern w:val="2"/>
          <w:lang w:eastAsia="zh-CN"/>
        </w:rPr>
      </w:pPr>
      <w:r>
        <w:rPr>
          <w:rFonts w:ascii="黑体" w:eastAsia="黑体" w:hAnsi="宋体" w:hint="eastAsia"/>
          <w:kern w:val="2"/>
          <w:lang w:eastAsia="zh-CN"/>
        </w:rPr>
        <w:t>1. 谈判须知说明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1.1政府集中采购机构发出谈判文件谈判须知，列出深圳市政府采购项目进行竞争性谈判</w:t>
      </w:r>
      <w:r>
        <w:rPr>
          <w:rFonts w:ascii="宋体" w:eastAsia="宋体" w:hAnsi="宋体"/>
          <w:kern w:val="2"/>
          <w:sz w:val="21"/>
          <w:szCs w:val="21"/>
          <w:lang w:eastAsia="zh-CN"/>
        </w:rPr>
        <w:t>/</w:t>
      </w:r>
      <w:r>
        <w:rPr>
          <w:rFonts w:ascii="宋体" w:eastAsia="宋体" w:hAnsi="宋体" w:hint="eastAsia"/>
          <w:kern w:val="2"/>
          <w:sz w:val="21"/>
          <w:szCs w:val="21"/>
          <w:lang w:eastAsia="zh-CN"/>
        </w:rPr>
        <w:t>单一来源采购所适用的一般性须知内容。如有需要，政府集中采购机构可以对谈判须知的内容进行补充。</w:t>
      </w:r>
    </w:p>
    <w:p>
      <w:pPr>
        <w:widowControl w:val="0"/>
        <w:jc w:val="both"/>
        <w:rPr>
          <w:rFonts w:ascii="黑体" w:eastAsia="黑体" w:hAnsi="宋体" w:hint="eastAsia"/>
          <w:kern w:val="2"/>
          <w:lang w:eastAsia="zh-CN"/>
        </w:rPr>
      </w:pPr>
      <w:r>
        <w:rPr>
          <w:rFonts w:ascii="黑体" w:eastAsia="黑体" w:hAnsi="宋体"/>
          <w:kern w:val="2"/>
          <w:lang w:eastAsia="zh-CN"/>
        </w:rPr>
        <w:t>2．</w:t>
      </w:r>
      <w:r>
        <w:rPr>
          <w:rFonts w:ascii="黑体" w:eastAsia="黑体" w:hAnsi="宋体" w:hint="eastAsia"/>
          <w:kern w:val="2"/>
          <w:lang w:eastAsia="zh-CN"/>
        </w:rPr>
        <w:t>谈判说明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b/>
          <w:bCs/>
          <w:color w:val="FF0000"/>
          <w:kern w:val="2"/>
          <w:sz w:val="21"/>
          <w:szCs w:val="21"/>
          <w:lang w:eastAsia="zh-CN"/>
        </w:rPr>
        <w:t>本项目为自行采购项目，</w:t>
      </w:r>
      <w:r>
        <w:rPr>
          <w:rFonts w:ascii="宋体" w:eastAsia="宋体" w:hAnsi="宋体" w:hint="eastAsia"/>
          <w:kern w:val="2"/>
          <w:sz w:val="21"/>
          <w:szCs w:val="21"/>
          <w:lang w:eastAsia="zh-CN"/>
        </w:rPr>
        <w:t>参照《深圳经济特区政府采购条例》、《深圳经济特区政府采购条例实施细则》及政府采购其他法律法规，按照采购人内控制度要求，确定成交供应商。</w:t>
      </w:r>
    </w:p>
    <w:p>
      <w:pPr>
        <w:widowControl w:val="0"/>
        <w:jc w:val="both"/>
        <w:rPr>
          <w:rFonts w:ascii="黑体" w:eastAsia="黑体" w:hAnsi="宋体" w:hint="eastAsia"/>
          <w:kern w:val="2"/>
          <w:lang w:eastAsia="zh-CN"/>
        </w:rPr>
      </w:pPr>
      <w:r>
        <w:rPr>
          <w:rFonts w:ascii="黑体" w:eastAsia="黑体" w:hAnsi="宋体"/>
          <w:kern w:val="2"/>
          <w:lang w:eastAsia="zh-CN"/>
        </w:rPr>
        <w:t>3</w:t>
      </w:r>
      <w:r>
        <w:rPr>
          <w:rFonts w:ascii="黑体" w:eastAsia="黑体" w:hAnsi="宋体" w:hint="eastAsia"/>
          <w:kern w:val="2"/>
          <w:lang w:eastAsia="zh-CN"/>
        </w:rPr>
        <w:t>．定义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谈判</w:t>
      </w:r>
      <w:r>
        <w:rPr>
          <w:rFonts w:ascii="宋体" w:eastAsia="宋体" w:hAnsi="宋体"/>
          <w:kern w:val="2"/>
          <w:sz w:val="21"/>
          <w:szCs w:val="21"/>
          <w:lang w:eastAsia="zh-CN"/>
        </w:rPr>
        <w:t>文件中下列术语应解释为：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“采购人”：指利用财政性资金依法进行自行采购的国家机关、事业单位、团体组织；</w:t>
      </w:r>
      <w:r>
        <w:rPr>
          <w:rFonts w:ascii="宋体" w:eastAsia="宋体" w:hAnsi="宋体"/>
          <w:kern w:val="2"/>
          <w:sz w:val="21"/>
          <w:szCs w:val="21"/>
          <w:lang w:eastAsia="zh-CN"/>
        </w:rPr>
        <w:t xml:space="preserve">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.2 “政府集中采购机构”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.3“供应商”，即谈判供应商，指参加谈判竞争并愿意按照谈判文件要求向采购人提供货物、工程或者服务的依法成立的法人、其他组织或者自然人；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.4“谈判小组”是依据《深圳经济特区政府采购条例》、《深圳经济特区政府采购条例实施细则》等有关规定组建的专门负责本次谈判工作的临时性机构；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.6“合同”指由本次所采购产生的合同或合约文件；</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.7“电子投标文件”即谈判应答文件，指利用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市自行采购系统投标文件制作专用软件（以下简称：投标文件制作软件）制作并加密的投标（应答）文件,适用于网上投标（应答）；（投标文件制作软件可从“下载地址：https://www.szggzy.com/jyfw/details.html?contentId=2053275深圳市自行采购系统投标文件编制工具”下载）</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.8“网上投标”指通过</w:t>
      </w:r>
      <w:r>
        <w:rPr>
          <w:rFonts w:ascii="宋体" w:eastAsia="宋体" w:hAnsi="宋体" w:hint="eastAsia"/>
          <w:b/>
          <w:bCs/>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网站上传电子投标</w:t>
      </w:r>
      <w:r>
        <w:rPr>
          <w:rFonts w:ascii="宋体" w:eastAsia="宋体" w:hAnsi="宋体" w:hint="eastAsia"/>
          <w:kern w:val="2"/>
          <w:sz w:val="21"/>
          <w:lang w:eastAsia="zh-CN"/>
        </w:rPr>
        <w:t>（应答）</w:t>
      </w:r>
      <w:r>
        <w:rPr>
          <w:rFonts w:ascii="宋体" w:eastAsia="宋体" w:hAnsi="宋体" w:hint="eastAsia"/>
          <w:kern w:val="2"/>
          <w:sz w:val="21"/>
          <w:szCs w:val="21"/>
          <w:lang w:eastAsia="zh-CN"/>
        </w:rPr>
        <w:t>文件；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.9谈判文件中的标题或题名仅起引导作用，而不应视为对谈判文件内容的理解和解释。</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w:t>
      </w:r>
      <w:r>
        <w:rPr>
          <w:rFonts w:ascii="黑体" w:eastAsia="黑体" w:hAnsi="宋体" w:hint="eastAsia"/>
          <w:kern w:val="2"/>
          <w:lang w:eastAsia="zh-CN"/>
        </w:rPr>
        <w:t>自行采购供应商责任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4.2谈判供应商应当遵循公平竞争的原则，不得恶意串通，不得妨碍其他谈判供应商的竞争行为，不得损害采购人或者其他谈判供应商的合法权益。如违反上述要求，经核实后，供应商的谈判应答无效。</w:t>
      </w:r>
    </w:p>
    <w:p>
      <w:pPr>
        <w:widowControl w:val="0"/>
        <w:jc w:val="both"/>
        <w:rPr>
          <w:rFonts w:ascii="黑体" w:eastAsia="黑体" w:hAnsi="宋体" w:hint="eastAsia"/>
          <w:kern w:val="2"/>
          <w:lang w:eastAsia="zh-CN"/>
        </w:rPr>
      </w:pPr>
      <w:r>
        <w:rPr>
          <w:rFonts w:ascii="黑体" w:eastAsia="黑体" w:hAnsi="宋体" w:hint="eastAsia"/>
          <w:kern w:val="2"/>
          <w:lang w:eastAsia="zh-CN"/>
        </w:rPr>
        <w:t>5．供应商参加采购的条件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5.1供应商应在参与谈判前到</w:t>
      </w:r>
      <w:r>
        <w:rPr>
          <w:rFonts w:ascii="宋体" w:eastAsia="宋体" w:hAnsi="宋体" w:hint="eastAsia"/>
          <w:b/>
          <w:bCs/>
          <w:kern w:val="2"/>
          <w:sz w:val="21"/>
          <w:szCs w:val="21"/>
          <w:lang w:eastAsia="zh-CN"/>
        </w:rPr>
        <w:t>深圳市自行采购系统（具体在深圳交易集团有限公司政府采购业务分公司进行办理）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5.2供应商资格要求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参加本项目的供应商应具备的资格条件详见本项目谈判公告中“申请人的资格要求”（即供应商资格要求）的内容。</w:t>
      </w:r>
    </w:p>
    <w:p>
      <w:pPr>
        <w:widowControl w:val="0"/>
        <w:jc w:val="both"/>
        <w:rPr>
          <w:rFonts w:ascii="黑体" w:eastAsia="黑体" w:hAnsi="宋体" w:hint="eastAsia"/>
          <w:kern w:val="2"/>
          <w:lang w:eastAsia="zh-CN"/>
        </w:rPr>
      </w:pPr>
      <w:r>
        <w:rPr>
          <w:rFonts w:ascii="黑体" w:eastAsia="黑体" w:hAnsi="宋体" w:hint="eastAsia"/>
          <w:kern w:val="2"/>
          <w:lang w:eastAsia="zh-CN"/>
        </w:rPr>
        <w:t>6．政策导向</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6.1</w:t>
      </w:r>
      <w:r>
        <w:rPr>
          <w:rFonts w:ascii="宋体" w:eastAsia="宋体" w:hAnsi="宋体"/>
          <w:kern w:val="2"/>
          <w:sz w:val="21"/>
          <w:lang w:eastAsia="zh-CN"/>
        </w:rPr>
        <w:t xml:space="preserve">  </w:t>
      </w:r>
      <w:r>
        <w:rPr>
          <w:rFonts w:ascii="宋体" w:eastAsia="宋体" w:hAnsi="宋体" w:hint="eastAsia"/>
          <w:kern w:val="2"/>
          <w:sz w:val="21"/>
          <w:lang w:eastAsia="zh-CN"/>
        </w:rPr>
        <w:t>自行采购</w:t>
      </w:r>
      <w:r>
        <w:rPr>
          <w:rFonts w:eastAsia="宋体" w:hint="eastAsia"/>
          <w:kern w:val="2"/>
          <w:sz w:val="21"/>
          <w:lang w:eastAsia="zh-CN"/>
        </w:rPr>
        <w:t>支持本国产品、支持中小企业、监狱企业和残疾人福利性单位发展，支持乡村产业振兴，支持创新、节能减排、绿色环保等。</w:t>
      </w:r>
    </w:p>
    <w:p>
      <w:pPr>
        <w:widowControl w:val="0"/>
        <w:ind w:firstLine="405"/>
        <w:jc w:val="both"/>
        <w:rPr>
          <w:rFonts w:ascii="宋体" w:eastAsia="宋体" w:hAnsi="宋体" w:hint="eastAsia"/>
          <w:kern w:val="2"/>
          <w:sz w:val="21"/>
          <w:lang w:eastAsia="zh-CN"/>
        </w:rPr>
      </w:pPr>
      <w:r>
        <w:rPr>
          <w:rFonts w:ascii="宋体" w:eastAsia="宋体" w:hAnsi="宋体" w:hint="eastAsia"/>
          <w:kern w:val="2"/>
          <w:sz w:val="21"/>
          <w:lang w:eastAsia="zh-CN"/>
        </w:rPr>
        <w:t>6.2</w:t>
      </w:r>
      <w:r>
        <w:rPr>
          <w:rFonts w:ascii="宋体" w:eastAsia="宋体" w:hAnsi="宋体"/>
          <w:kern w:val="2"/>
          <w:sz w:val="21"/>
          <w:lang w:eastAsia="zh-CN"/>
        </w:rPr>
        <w:t xml:space="preserve">  </w:t>
      </w:r>
      <w:r>
        <w:rPr>
          <w:rFonts w:ascii="宋体" w:eastAsia="宋体" w:hAnsi="宋体" w:hint="eastAsia"/>
          <w:kern w:val="2"/>
          <w:sz w:val="21"/>
          <w:lang w:eastAsia="zh-CN"/>
        </w:rPr>
        <w:t>本项目落实深圳市政府采购供应商诚信管理政策要求。</w:t>
      </w:r>
    </w:p>
    <w:p>
      <w:pPr>
        <w:widowControl w:val="0"/>
        <w:ind w:firstLine="405"/>
        <w:jc w:val="both"/>
        <w:rPr>
          <w:rFonts w:eastAsia="宋体"/>
          <w:kern w:val="2"/>
          <w:sz w:val="21"/>
          <w:shd w:val="clear" w:color="auto" w:fill="FFFFFF"/>
          <w:lang w:eastAsia="zh-CN"/>
        </w:rPr>
      </w:pPr>
      <w:r>
        <w:rPr>
          <w:rFonts w:ascii="宋体" w:eastAsia="宋体" w:hAnsi="宋体" w:hint="eastAsia"/>
          <w:kern w:val="2"/>
          <w:sz w:val="21"/>
          <w:lang w:eastAsia="zh-CN"/>
        </w:rPr>
        <w:t>6.3  本项目支持供应商性别平等的相关政策。</w:t>
      </w:r>
    </w:p>
    <w:p>
      <w:pPr>
        <w:widowControl w:val="0"/>
        <w:jc w:val="both"/>
        <w:rPr>
          <w:rFonts w:ascii="黑体" w:eastAsia="黑体" w:hAnsi="宋体" w:hint="eastAsia"/>
          <w:kern w:val="2"/>
          <w:lang w:eastAsia="zh-CN"/>
        </w:rPr>
      </w:pPr>
      <w:r>
        <w:rPr>
          <w:rFonts w:ascii="黑体" w:eastAsia="黑体" w:hAnsi="宋体" w:hint="eastAsia"/>
          <w:kern w:val="2"/>
          <w:lang w:eastAsia="zh-CN"/>
        </w:rPr>
        <w:t>7. 本项目若涉及采购货物，则合格的货物及相应服务应满足以下要求：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 xml:space="preserve">.1 </w:t>
      </w:r>
      <w:r>
        <w:rPr>
          <w:rFonts w:ascii="宋体" w:eastAsia="宋体" w:hAnsi="宋体" w:hint="eastAsia"/>
          <w:kern w:val="2"/>
          <w:sz w:val="21"/>
          <w:lang w:eastAsia="zh-CN"/>
        </w:rPr>
        <w:t>必须是全新、未使用过的原装合格正品（包括零部件），如安装或配置了软件的，须为正版软件。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7.2 国产的货物及其有关服务必须符合中华人民共和国的设计、制造生产标准及行业标准。谈判公告有其他要求的，亦应符合其要求。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3</w:t>
      </w:r>
      <w:r>
        <w:rPr>
          <w:rFonts w:ascii="宋体" w:eastAsia="宋体" w:hAnsi="宋体"/>
          <w:kern w:val="2"/>
          <w:sz w:val="21"/>
          <w:lang w:eastAsia="zh-CN"/>
        </w:rPr>
        <w:t xml:space="preserve"> </w:t>
      </w:r>
      <w:r>
        <w:rPr>
          <w:rFonts w:ascii="宋体" w:eastAsia="宋体" w:hAnsi="宋体" w:hint="eastAsia"/>
          <w:kern w:val="2"/>
          <w:sz w:val="21"/>
          <w:lang w:eastAsia="zh-CN"/>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w:t>
      </w:r>
      <w:r>
        <w:rPr>
          <w:rFonts w:ascii="宋体" w:eastAsia="宋体" w:hAnsi="宋体"/>
          <w:kern w:val="2"/>
          <w:sz w:val="21"/>
          <w:lang w:eastAsia="zh-CN"/>
        </w:rPr>
        <w:t>.</w:t>
      </w:r>
      <w:r>
        <w:rPr>
          <w:rFonts w:ascii="宋体" w:eastAsia="宋体" w:hAnsi="宋体" w:hint="eastAsia"/>
          <w:kern w:val="2"/>
          <w:sz w:val="21"/>
          <w:lang w:eastAsia="zh-CN"/>
        </w:rPr>
        <w:t>4</w:t>
      </w:r>
      <w:r>
        <w:rPr>
          <w:rFonts w:ascii="宋体" w:eastAsia="宋体" w:hAnsi="宋体"/>
          <w:kern w:val="2"/>
          <w:sz w:val="21"/>
          <w:lang w:eastAsia="zh-CN"/>
        </w:rPr>
        <w:t xml:space="preserve"> </w:t>
      </w:r>
      <w:bookmarkStart w:id="56" w:name="_Hlk72152753"/>
      <w:r>
        <w:rPr>
          <w:rFonts w:ascii="宋体" w:eastAsia="宋体" w:hAnsi="宋体" w:hint="eastAsia"/>
          <w:kern w:val="2"/>
          <w:sz w:val="21"/>
          <w:lang w:eastAsia="zh-CN"/>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56"/>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 xml:space="preserve">7.6 </w:t>
      </w:r>
      <w:bookmarkStart w:id="57" w:name="_Hlk72399342"/>
      <w:r>
        <w:rPr>
          <w:rFonts w:ascii="宋体" w:eastAsia="宋体" w:hAnsi="宋体" w:hint="eastAsia"/>
          <w:kern w:val="2"/>
          <w:sz w:val="21"/>
          <w:lang w:eastAsia="zh-CN"/>
        </w:rPr>
        <w:t>工期要求：供应商在谈判时对其所投项目应提交交货进度、交货计划等，在合同规定的时间内完成项目实施工作。</w:t>
      </w:r>
      <w:bookmarkEnd w:id="57"/>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7.7</w:t>
      </w:r>
      <w:bookmarkStart w:id="58" w:name="_Hlk72665183"/>
      <w:r>
        <w:rPr>
          <w:rFonts w:ascii="宋体" w:eastAsia="宋体" w:hAnsi="宋体" w:hint="eastAsia"/>
          <w:kern w:val="2"/>
          <w:sz w:val="21"/>
          <w:lang w:eastAsia="zh-CN"/>
        </w:rPr>
        <w:t>成交供应商必须承担货物运输、安装调试、验收检测和提供设备操作说明书、图纸等其他相关及类似的义务。</w:t>
      </w:r>
      <w:bookmarkEnd w:id="58"/>
    </w:p>
    <w:p>
      <w:pPr>
        <w:widowControl w:val="0"/>
        <w:jc w:val="both"/>
        <w:rPr>
          <w:rFonts w:ascii="黑体" w:eastAsia="黑体" w:hAnsi="宋体" w:hint="eastAsia"/>
          <w:kern w:val="2"/>
          <w:lang w:eastAsia="zh-CN"/>
        </w:rPr>
      </w:pPr>
      <w:r>
        <w:rPr>
          <w:rFonts w:ascii="黑体" w:eastAsia="黑体" w:hAnsi="宋体" w:hint="eastAsia"/>
          <w:kern w:val="2"/>
          <w:lang w:eastAsia="zh-CN"/>
        </w:rPr>
        <w:t>8．谈判费用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不论谈判结果如何，供应商应承担其编制应答文件与递交应答文件所涉及的一切费用。</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二、谈判文件</w:t>
      </w:r>
    </w:p>
    <w:p>
      <w:pPr>
        <w:widowControl w:val="0"/>
        <w:jc w:val="both"/>
        <w:rPr>
          <w:rFonts w:ascii="黑体" w:eastAsia="黑体" w:hAnsi="宋体" w:hint="eastAsia"/>
          <w:kern w:val="2"/>
          <w:lang w:eastAsia="zh-CN"/>
        </w:rPr>
      </w:pPr>
      <w:r>
        <w:rPr>
          <w:rFonts w:ascii="黑体" w:eastAsia="黑体" w:hAnsi="宋体" w:hint="eastAsia"/>
          <w:kern w:val="2"/>
          <w:lang w:eastAsia="zh-CN"/>
        </w:rPr>
        <w:t>9</w:t>
      </w:r>
      <w:r>
        <w:rPr>
          <w:rFonts w:ascii="黑体" w:eastAsia="黑体" w:hAnsi="宋体"/>
          <w:kern w:val="2"/>
          <w:lang w:eastAsia="zh-CN"/>
        </w:rPr>
        <w:t>.</w:t>
      </w:r>
      <w:r>
        <w:rPr>
          <w:rFonts w:ascii="黑体" w:eastAsia="黑体" w:hAnsi="宋体" w:hint="eastAsia"/>
          <w:kern w:val="2"/>
          <w:lang w:eastAsia="zh-CN"/>
        </w:rPr>
        <w:t>谈判文件的编制与组成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.1谈判文件除以下内容外，政府集中采购机构在谈判期间发出的澄清或修改等相关公告或通知内容，均是谈判文件的组成部分，对供应商起约束作用；</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谈判文件包括下列内容：</w:t>
      </w:r>
    </w:p>
    <w:p>
      <w:pPr>
        <w:widowControl w:val="0"/>
        <w:ind w:left="1234" w:leftChars="514"/>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第一章  谈判公告</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第二章  对谈判须知条款的补充内容及其他关键信息</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第三章 </w:t>
      </w:r>
      <w:r>
        <w:rPr>
          <w:rFonts w:eastAsia="宋体"/>
          <w:kern w:val="2"/>
          <w:sz w:val="21"/>
          <w:szCs w:val="21"/>
          <w:lang w:eastAsia="zh-CN"/>
        </w:rPr>
        <w:t xml:space="preserve"> </w:t>
      </w:r>
      <w:r>
        <w:rPr>
          <w:rFonts w:eastAsia="宋体" w:hint="eastAsia"/>
          <w:kern w:val="2"/>
          <w:sz w:val="21"/>
          <w:szCs w:val="21"/>
          <w:lang w:eastAsia="zh-CN"/>
        </w:rPr>
        <w:t>用户需求书</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谈判应答文件组成要求及格式</w:t>
      </w:r>
    </w:p>
    <w:p>
      <w:pPr>
        <w:widowControl/>
        <w:wordWrap w:val="0"/>
        <w:ind w:firstLine="1260" w:firstLineChars="600"/>
        <w:jc w:val="left"/>
        <w:textAlignment w:val="top"/>
        <w:rPr>
          <w:rFonts w:eastAsia="宋体"/>
          <w:kern w:val="2"/>
          <w:sz w:val="21"/>
          <w:szCs w:val="21"/>
          <w:lang w:eastAsia="zh-CN"/>
        </w:rPr>
      </w:pPr>
      <w:r>
        <w:rPr>
          <w:rFonts w:eastAsia="宋体" w:hint="eastAsia"/>
          <w:kern w:val="2"/>
          <w:sz w:val="21"/>
          <w:szCs w:val="21"/>
          <w:lang w:eastAsia="zh-CN"/>
        </w:rPr>
        <w:t>第五章  合同条款及格式</w:t>
      </w:r>
    </w:p>
    <w:p>
      <w:pPr>
        <w:widowControl w:val="0"/>
        <w:ind w:left="720" w:firstLine="622" w:leftChars="300" w:firstLineChars="296"/>
        <w:jc w:val="both"/>
        <w:rPr>
          <w:rFonts w:ascii="宋体" w:eastAsia="宋体" w:hAnsi="宋体" w:hint="eastAsia"/>
          <w:kern w:val="2"/>
          <w:sz w:val="21"/>
          <w:szCs w:val="21"/>
          <w:lang w:eastAsia="zh-CN"/>
        </w:rPr>
      </w:pPr>
      <w:r>
        <w:rPr>
          <w:rFonts w:eastAsia="宋体" w:hint="eastAsia"/>
          <w:kern w:val="2"/>
          <w:sz w:val="21"/>
          <w:szCs w:val="21"/>
          <w:lang w:eastAsia="zh-CN"/>
        </w:rPr>
        <w:t xml:space="preserve">第六章 </w:t>
      </w:r>
      <w:r>
        <w:rPr>
          <w:rFonts w:eastAsia="宋体"/>
          <w:kern w:val="2"/>
          <w:sz w:val="21"/>
          <w:szCs w:val="21"/>
          <w:lang w:eastAsia="zh-CN"/>
        </w:rPr>
        <w:t xml:space="preserve"> </w:t>
      </w:r>
      <w:r>
        <w:rPr>
          <w:rFonts w:eastAsia="宋体" w:hint="eastAsia"/>
          <w:kern w:val="2"/>
          <w:sz w:val="21"/>
          <w:szCs w:val="21"/>
          <w:lang w:eastAsia="zh-CN"/>
        </w:rPr>
        <w:t>谈判须知</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.2 供应商下载谈判文件后，应仔细检查谈判文件的所有内容，如有疑问应在答疑截止时间之前向政府集中采购机构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.3</w:t>
      </w:r>
      <w:r>
        <w:rPr>
          <w:rFonts w:ascii="宋体" w:eastAsia="宋体" w:hAnsi="宋体" w:hint="eastAsia"/>
          <w:kern w:val="2"/>
          <w:sz w:val="21"/>
          <w:lang w:eastAsia="zh-CN"/>
        </w:rPr>
        <w:t>任何人或任何组织向供应商提交的任何书面或口头资料，未经政府集中采购机构在网上发布或书面通知，均作无效处理，不得作为谈判文件的组成部分。政府集中采购机构对供应商由此而做出的推论、理解和结论概不负责。</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0</w:t>
      </w:r>
      <w:r>
        <w:rPr>
          <w:rFonts w:ascii="黑体" w:eastAsia="黑体" w:hAnsi="宋体" w:hint="eastAsia"/>
          <w:kern w:val="2"/>
          <w:lang w:eastAsia="zh-CN"/>
        </w:rPr>
        <w:t>．谈判文件的澄清</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.1谈判文件澄清的目的是澄清、解答供应商在查阅谈判文件后可能提出的与谈判有关的疑问或询问。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.2供应商如对谈判文件内容有疑问，应当在谈判公告规定的澄清（提问）截止时间前</w:t>
      </w:r>
      <w:r>
        <w:rPr>
          <w:rFonts w:ascii="宋体" w:eastAsia="宋体" w:hAnsi="宋体" w:hint="eastAsia"/>
          <w:color w:val="FF0000"/>
          <w:kern w:val="2"/>
          <w:sz w:val="21"/>
          <w:szCs w:val="21"/>
          <w:highlight w:val="yellow"/>
          <w:lang w:eastAsia="zh-CN"/>
        </w:rPr>
        <w:t>将疑问内容加盖公章书面提交至政府集中采购机构。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3不论是政府集中采购机构根据需要主动对谈判文件进行必要的澄清或是根据供应商的要求对谈判文件做出澄清，政府集中采购机构都将在谈判截止日期前以书面形式（包括政府集中采购机构网站发布方式）答复或发送给所有供应商。答复内容是谈判文件的组成部分，对供应商起约束作用，其有效性按照本谈判须知第1</w:t>
      </w:r>
      <w:r>
        <w:rPr>
          <w:rFonts w:ascii="宋体" w:eastAsia="宋体" w:hAnsi="宋体"/>
          <w:kern w:val="2"/>
          <w:sz w:val="21"/>
          <w:szCs w:val="21"/>
          <w:lang w:eastAsia="zh-CN"/>
        </w:rPr>
        <w:t>1.3</w:t>
      </w:r>
      <w:r>
        <w:rPr>
          <w:rFonts w:ascii="宋体" w:eastAsia="宋体" w:hAnsi="宋体" w:hint="eastAsia"/>
          <w:kern w:val="2"/>
          <w:sz w:val="21"/>
          <w:szCs w:val="21"/>
          <w:lang w:eastAsia="zh-CN"/>
        </w:rPr>
        <w:t>、1</w:t>
      </w:r>
      <w:r>
        <w:rPr>
          <w:rFonts w:ascii="宋体" w:eastAsia="宋体" w:hAnsi="宋体"/>
          <w:kern w:val="2"/>
          <w:sz w:val="21"/>
          <w:szCs w:val="21"/>
          <w:lang w:eastAsia="zh-CN"/>
        </w:rPr>
        <w:t>1.4</w:t>
      </w:r>
      <w:r>
        <w:rPr>
          <w:rFonts w:ascii="宋体" w:eastAsia="宋体" w:hAnsi="宋体" w:hint="eastAsia"/>
          <w:kern w:val="2"/>
          <w:sz w:val="21"/>
          <w:szCs w:val="21"/>
          <w:lang w:eastAsia="zh-CN"/>
        </w:rPr>
        <w:t>款规定执行。</w:t>
      </w:r>
    </w:p>
    <w:p>
      <w:pPr>
        <w:widowControl w:val="0"/>
        <w:jc w:val="both"/>
        <w:rPr>
          <w:rFonts w:ascii="黑体" w:eastAsia="黑体" w:hAnsi="宋体" w:hint="eastAsia"/>
          <w:kern w:val="2"/>
          <w:lang w:eastAsia="zh-CN"/>
        </w:rPr>
      </w:pPr>
      <w:r>
        <w:rPr>
          <w:rFonts w:ascii="黑体" w:eastAsia="黑体" w:hAnsi="宋体"/>
          <w:kern w:val="2"/>
          <w:lang w:eastAsia="zh-CN"/>
        </w:rPr>
        <w:t>11</w:t>
      </w:r>
      <w:r>
        <w:rPr>
          <w:rFonts w:ascii="黑体" w:eastAsia="黑体" w:hAnsi="宋体" w:hint="eastAsia"/>
          <w:kern w:val="2"/>
          <w:lang w:eastAsia="zh-CN"/>
        </w:rPr>
        <w:t>．谈判文件的修改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.1谈判文件发出后，在谈判截止日期前任何时候，确需要变更谈判文件内容的，政府集中采购机构可主动或在解答供应商提出的澄清问题时对谈判文件进行修改。</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.2谈判文件的修改以书面形式（包括政府集中采购机构网站发布方式，如更正公告等）发送给所有供应商，谈判文件的修改内容作为谈判文件的组成部分，并具有约束力。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3谈判文件、谈判文件澄清答复内容、谈判文件修改补充内容均以书面形式（包括政府集中采购机构网站公开发布方式，如更正公告等）明确的内容为准。当谈判文件、修改补充通知、谈判文件澄清答复内容相互矛盾时，以最后发出的内容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11</w:t>
      </w:r>
      <w:r>
        <w:rPr>
          <w:rFonts w:ascii="宋体" w:eastAsia="宋体" w:hAnsi="宋体" w:hint="eastAsia"/>
          <w:kern w:val="2"/>
          <w:sz w:val="21"/>
          <w:szCs w:val="21"/>
          <w:lang w:eastAsia="zh-CN"/>
        </w:rPr>
        <w:t>.4政府集中采购机构保证谈判文件澄清答复内容和谈判文件修改补充内容在谈判截止时间前以书面形式（包括政府集中采购机构网站发布方式，如更正公告等）发送给所有供应商。为使供应商在编制谈判文件时有充分时间对谈判文件的修改部分进行研究，政府集中采购机构可以酌情延长递交应答文件的截止日期。</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三、应答文件</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2.</w:t>
      </w:r>
      <w:r>
        <w:rPr>
          <w:rFonts w:ascii="黑体" w:eastAsia="黑体" w:hAnsi="宋体" w:hint="eastAsia"/>
          <w:kern w:val="2"/>
          <w:lang w:eastAsia="zh-CN"/>
        </w:rPr>
        <w:t>应答文件的语言及度量单位</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 供应商与政府集中采购机构之间与谈判有关的所有往来通知、函件和应答文件均用中文表述。供应商随应答文件提供的证明文件和资料可以为其它语言，但必须附中文译文。翻译的中文资料与外文资料如果出现差异时，以中文为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.2 除技术规范另有规定外，应答文件使用的度量单位，均采用中华人民共和国法定计量单位。</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3.</w:t>
      </w:r>
      <w:r>
        <w:rPr>
          <w:rFonts w:ascii="黑体" w:eastAsia="黑体" w:hAnsi="宋体" w:hint="eastAsia"/>
          <w:kern w:val="2"/>
          <w:lang w:eastAsia="zh-CN"/>
        </w:rPr>
        <w:t>应答文件组成</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具体要求在第四章“</w:t>
      </w:r>
      <w:r>
        <w:rPr>
          <w:rFonts w:eastAsia="宋体" w:hint="eastAsia"/>
          <w:kern w:val="2"/>
          <w:sz w:val="21"/>
          <w:lang w:eastAsia="zh-CN"/>
        </w:rPr>
        <w:t>应答文件组成要求及格式”</w:t>
      </w:r>
      <w:r>
        <w:rPr>
          <w:rFonts w:ascii="宋体" w:eastAsia="宋体" w:hAnsi="宋体" w:hint="eastAsia"/>
          <w:kern w:val="2"/>
          <w:sz w:val="21"/>
          <w:szCs w:val="21"/>
          <w:lang w:eastAsia="zh-CN"/>
        </w:rPr>
        <w:t>进行规定。</w:t>
      </w:r>
    </w:p>
    <w:p>
      <w:pPr>
        <w:widowControl w:val="0"/>
        <w:jc w:val="both"/>
        <w:rPr>
          <w:rFonts w:ascii="黑体" w:eastAsia="黑体" w:hAnsi="宋体" w:hint="eastAsia"/>
          <w:kern w:val="2"/>
          <w:lang w:eastAsia="zh-CN"/>
        </w:rPr>
      </w:pPr>
      <w:r>
        <w:rPr>
          <w:rFonts w:ascii="黑体" w:eastAsia="黑体" w:hAnsi="宋体"/>
          <w:kern w:val="2"/>
          <w:lang w:eastAsia="zh-CN"/>
        </w:rPr>
        <w:t>14</w:t>
      </w:r>
      <w:r>
        <w:rPr>
          <w:rFonts w:ascii="黑体" w:eastAsia="黑体" w:hAnsi="宋体" w:hint="eastAsia"/>
          <w:kern w:val="2"/>
          <w:lang w:eastAsia="zh-CN"/>
        </w:rPr>
        <w:t>.应答</w:t>
      </w:r>
      <w:r>
        <w:rPr>
          <w:rFonts w:ascii="黑体" w:eastAsia="黑体" w:hAnsi="宋体"/>
          <w:kern w:val="2"/>
          <w:lang w:eastAsia="zh-CN"/>
        </w:rPr>
        <w:t>文件格式</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如</w:t>
      </w:r>
      <w:r>
        <w:rPr>
          <w:rFonts w:ascii="宋体" w:eastAsia="宋体" w:hAnsi="宋体" w:hint="eastAsia"/>
          <w:kern w:val="2"/>
          <w:sz w:val="21"/>
          <w:szCs w:val="21"/>
          <w:lang w:eastAsia="zh-CN"/>
        </w:rPr>
        <w:t>谈判</w:t>
      </w:r>
      <w:r>
        <w:rPr>
          <w:rFonts w:ascii="宋体" w:eastAsia="宋体" w:hAnsi="宋体"/>
          <w:kern w:val="2"/>
          <w:sz w:val="21"/>
          <w:szCs w:val="21"/>
          <w:lang w:eastAsia="zh-CN"/>
        </w:rPr>
        <w:t>文件提供了</w:t>
      </w:r>
      <w:r>
        <w:rPr>
          <w:rFonts w:ascii="宋体" w:eastAsia="宋体" w:hAnsi="宋体" w:hint="eastAsia"/>
          <w:kern w:val="2"/>
          <w:sz w:val="21"/>
          <w:szCs w:val="21"/>
          <w:lang w:eastAsia="zh-CN"/>
        </w:rPr>
        <w:t>应答</w:t>
      </w:r>
      <w:r>
        <w:rPr>
          <w:rFonts w:ascii="宋体" w:eastAsia="宋体" w:hAnsi="宋体"/>
          <w:kern w:val="2"/>
          <w:sz w:val="21"/>
          <w:szCs w:val="21"/>
          <w:lang w:eastAsia="zh-CN"/>
        </w:rPr>
        <w:t>文件格式，则</w:t>
      </w:r>
      <w:r>
        <w:rPr>
          <w:rFonts w:ascii="宋体" w:eastAsia="宋体" w:hAnsi="宋体" w:hint="eastAsia"/>
          <w:b/>
          <w:bCs/>
          <w:kern w:val="2"/>
          <w:sz w:val="21"/>
          <w:szCs w:val="21"/>
          <w:lang w:eastAsia="zh-CN"/>
        </w:rPr>
        <w:t>供应商提交的应答文件应毫无例外地使用谈判文件所提供的相应格式</w:t>
      </w:r>
      <w:r>
        <w:rPr>
          <w:rFonts w:ascii="宋体" w:eastAsia="宋体" w:hAnsi="宋体" w:hint="eastAsia"/>
          <w:kern w:val="2"/>
          <w:sz w:val="21"/>
          <w:szCs w:val="21"/>
          <w:lang w:eastAsia="zh-CN"/>
        </w:rPr>
        <w:t>（表格均可按同样格式扩展）。</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5.</w:t>
      </w:r>
      <w:r>
        <w:rPr>
          <w:rFonts w:ascii="黑体" w:eastAsia="黑体" w:hAnsi="宋体" w:hint="eastAsia"/>
          <w:kern w:val="2"/>
          <w:lang w:eastAsia="zh-CN"/>
        </w:rPr>
        <w:t>谈判报价货币</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本项目的谈判应答报价应以人民币计。</w:t>
      </w:r>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6.</w:t>
      </w:r>
      <w:r>
        <w:rPr>
          <w:rFonts w:ascii="黑体" w:eastAsia="黑体" w:hAnsi="宋体" w:hint="eastAsia"/>
          <w:kern w:val="2"/>
          <w:lang w:eastAsia="zh-CN"/>
        </w:rPr>
        <w:t>证明应答文件技术方案的合格性和符合谈判文件规定的文件要求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 xml:space="preserve">6.1 </w:t>
      </w:r>
      <w:r>
        <w:rPr>
          <w:rFonts w:ascii="宋体" w:eastAsia="宋体" w:hAnsi="宋体" w:hint="eastAsia"/>
          <w:kern w:val="2"/>
          <w:sz w:val="21"/>
          <w:szCs w:val="21"/>
          <w:lang w:eastAsia="zh-CN"/>
        </w:rPr>
        <w:t>供应商应提交证明文件，证明其应答技术方案项下的货物和服务的合格性符合谈判文件规定。该应答技术方案及其证明文件均作为应答文件组成部分。</w:t>
      </w:r>
    </w:p>
    <w:p>
      <w:pPr>
        <w:widowControl w:val="0"/>
        <w:ind w:firstLine="412" w:firstLineChars="196"/>
        <w:jc w:val="both"/>
        <w:rPr>
          <w:rFonts w:ascii="宋体" w:eastAsia="宋体" w:hAnsi="宋体" w:hint="eastAsia"/>
          <w:kern w:val="2"/>
          <w:sz w:val="21"/>
          <w:szCs w:val="21"/>
          <w:lang w:eastAsia="zh-CN"/>
        </w:rPr>
      </w:pPr>
      <w:bookmarkStart w:id="59" w:name="_Hlk72665367"/>
      <w:r>
        <w:rPr>
          <w:rFonts w:ascii="宋体" w:eastAsia="宋体" w:hAnsi="宋体"/>
          <w:kern w:val="2"/>
          <w:sz w:val="21"/>
          <w:szCs w:val="21"/>
          <w:lang w:eastAsia="zh-CN"/>
        </w:rPr>
        <w:t xml:space="preserve">16.2 </w:t>
      </w:r>
      <w:r>
        <w:rPr>
          <w:rFonts w:ascii="宋体" w:eastAsia="宋体" w:hAnsi="宋体" w:hint="eastAsia"/>
          <w:kern w:val="2"/>
          <w:sz w:val="21"/>
          <w:szCs w:val="21"/>
          <w:lang w:eastAsia="zh-CN"/>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.2.1主要技术指标和性能的详细说明。</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w:t>
      </w:r>
      <w:r>
        <w:rPr>
          <w:rFonts w:ascii="宋体" w:eastAsia="宋体" w:hAnsi="宋体"/>
          <w:kern w:val="2"/>
          <w:sz w:val="21"/>
          <w:szCs w:val="21"/>
          <w:lang w:eastAsia="zh-CN"/>
        </w:rPr>
        <w:t>2</w:t>
      </w:r>
      <w:r>
        <w:rPr>
          <w:rFonts w:ascii="宋体" w:eastAsia="宋体" w:hAnsi="宋体" w:hint="eastAsia"/>
          <w:kern w:val="2"/>
          <w:sz w:val="21"/>
          <w:szCs w:val="21"/>
          <w:lang w:eastAsia="zh-CN"/>
        </w:rPr>
        <w:t>相关产品从采购人开始使用至谈判文件中规定的周期内正常、连续地使用所必须的备件和专用工具清单，包括备件和专用工具的货源及现行价格。</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w:t>
      </w:r>
      <w:r>
        <w:rPr>
          <w:rFonts w:ascii="宋体" w:eastAsia="宋体" w:hAnsi="宋体"/>
          <w:kern w:val="2"/>
          <w:sz w:val="21"/>
          <w:szCs w:val="21"/>
          <w:lang w:eastAsia="zh-CN"/>
        </w:rPr>
        <w:t>3</w:t>
      </w:r>
      <w:r>
        <w:rPr>
          <w:rFonts w:ascii="宋体" w:eastAsia="宋体" w:hAnsi="宋体" w:hint="eastAsia"/>
          <w:kern w:val="2"/>
          <w:sz w:val="21"/>
          <w:szCs w:val="21"/>
          <w:lang w:eastAsia="zh-CN"/>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eastAsia="宋体" w:hint="eastAsia"/>
          <w:kern w:val="2"/>
          <w:sz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.3相关资料不符合1</w:t>
      </w:r>
      <w:r>
        <w:rPr>
          <w:rFonts w:ascii="宋体" w:eastAsia="宋体" w:hAnsi="宋体"/>
          <w:kern w:val="2"/>
          <w:sz w:val="21"/>
          <w:szCs w:val="21"/>
          <w:lang w:eastAsia="zh-CN"/>
        </w:rPr>
        <w:t>6</w:t>
      </w:r>
      <w:r>
        <w:rPr>
          <w:rFonts w:ascii="宋体" w:eastAsia="宋体" w:hAnsi="宋体" w:hint="eastAsia"/>
          <w:kern w:val="2"/>
          <w:sz w:val="21"/>
          <w:szCs w:val="21"/>
          <w:lang w:eastAsia="zh-CN"/>
        </w:rPr>
        <w:t>.2款要求的，谈判小组有权认定为应答技术方案不合格响应，其相关分数予以扣减或作应答无效处理。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16.</w:t>
      </w:r>
      <w:r>
        <w:rPr>
          <w:rFonts w:ascii="宋体" w:eastAsia="宋体" w:hAnsi="宋体" w:hint="eastAsia"/>
          <w:kern w:val="2"/>
          <w:sz w:val="21"/>
          <w:szCs w:val="21"/>
          <w:lang w:eastAsia="zh-CN"/>
        </w:rPr>
        <w:t>4供应商在阐述上述第1</w:t>
      </w:r>
      <w:r>
        <w:rPr>
          <w:rFonts w:ascii="宋体" w:eastAsia="宋体" w:hAnsi="宋体"/>
          <w:kern w:val="2"/>
          <w:sz w:val="21"/>
          <w:szCs w:val="21"/>
          <w:lang w:eastAsia="zh-CN"/>
        </w:rPr>
        <w:t>6</w:t>
      </w:r>
      <w:r>
        <w:rPr>
          <w:rFonts w:ascii="宋体" w:eastAsia="宋体" w:hAnsi="宋体" w:hint="eastAsia"/>
          <w:kern w:val="2"/>
          <w:sz w:val="21"/>
          <w:szCs w:val="21"/>
          <w:lang w:eastAsia="zh-CN"/>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eastAsia="宋体" w:hint="eastAsia"/>
          <w:kern w:val="2"/>
          <w:sz w:val="21"/>
          <w:lang w:eastAsia="zh-CN"/>
        </w:rPr>
        <w:t>满足要求</w:t>
      </w:r>
      <w:r>
        <w:rPr>
          <w:rFonts w:ascii="宋体" w:eastAsia="宋体" w:hAnsi="宋体" w:hint="eastAsia"/>
          <w:kern w:val="2"/>
          <w:sz w:val="21"/>
          <w:szCs w:val="21"/>
          <w:lang w:eastAsia="zh-CN"/>
        </w:rPr>
        <w:t>，由谈判小组来评判。</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6</w:t>
      </w:r>
      <w:r>
        <w:rPr>
          <w:rFonts w:ascii="宋体" w:eastAsia="宋体" w:hAnsi="宋体" w:hint="eastAsia"/>
          <w:kern w:val="2"/>
          <w:sz w:val="21"/>
          <w:szCs w:val="21"/>
          <w:lang w:eastAsia="zh-CN"/>
        </w:rPr>
        <w:t>.5除非另有规定或说明，供应商对同一项目不得同时提供两套或两套以上的应答方案。</w:t>
      </w:r>
      <w:bookmarkEnd w:id="59"/>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7.</w:t>
      </w:r>
      <w:r>
        <w:rPr>
          <w:rFonts w:ascii="黑体" w:eastAsia="黑体" w:hAnsi="宋体" w:hint="eastAsia"/>
          <w:kern w:val="2"/>
          <w:lang w:eastAsia="zh-CN"/>
        </w:rPr>
        <w:t>应答文件其他证明文件的要求</w:t>
      </w:r>
    </w:p>
    <w:p>
      <w:pPr>
        <w:widowControl w:val="0"/>
        <w:jc w:val="both"/>
        <w:rPr>
          <w:rFonts w:ascii="宋体" w:eastAsia="宋体" w:hAnsi="宋体" w:hint="eastAsia"/>
          <w:color w:val="FF0000"/>
          <w:kern w:val="2"/>
          <w:sz w:val="21"/>
          <w:szCs w:val="21"/>
          <w:lang w:eastAsia="zh-CN"/>
        </w:rPr>
      </w:pPr>
      <w:r>
        <w:rPr>
          <w:rFonts w:ascii="黑体" w:eastAsia="黑体" w:hAnsi="宋体" w:hint="eastAsia"/>
          <w:kern w:val="2"/>
          <w:lang w:eastAsia="zh-CN"/>
        </w:rPr>
        <w:t xml:space="preserve">    </w:t>
      </w:r>
      <w:r>
        <w:rPr>
          <w:rFonts w:ascii="宋体" w:eastAsia="宋体" w:hAnsi="宋体" w:hint="eastAsia"/>
          <w:kern w:val="2"/>
          <w:sz w:val="21"/>
          <w:szCs w:val="21"/>
          <w:lang w:eastAsia="zh-CN"/>
        </w:rPr>
        <w:t>1</w:t>
      </w:r>
      <w:r>
        <w:rPr>
          <w:rFonts w:ascii="宋体" w:eastAsia="宋体" w:hAnsi="宋体"/>
          <w:kern w:val="2"/>
          <w:sz w:val="21"/>
          <w:szCs w:val="21"/>
          <w:lang w:eastAsia="zh-CN"/>
        </w:rPr>
        <w:t>7</w:t>
      </w:r>
      <w:r>
        <w:rPr>
          <w:rFonts w:ascii="宋体" w:eastAsia="宋体" w:hAnsi="宋体" w:hint="eastAsia"/>
          <w:kern w:val="2"/>
          <w:sz w:val="21"/>
          <w:szCs w:val="21"/>
          <w:lang w:eastAsia="zh-CN"/>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60" w:name="_Hlk71407299"/>
    </w:p>
    <w:bookmarkEnd w:id="60"/>
    <w:p>
      <w:pPr>
        <w:widowControl w:val="0"/>
        <w:ind w:firstLine="412" w:firstLineChars="196"/>
        <w:jc w:val="both"/>
        <w:rPr>
          <w:rFonts w:ascii="宋体" w:eastAsia="宋体" w:hAnsi="宋体" w:hint="eastAsia"/>
          <w:kern w:val="2"/>
          <w:sz w:val="21"/>
          <w:szCs w:val="21"/>
          <w:lang w:eastAsia="zh-CN"/>
        </w:rPr>
      </w:pPr>
      <w:bookmarkStart w:id="61" w:name="_Hlk72665714"/>
      <w:r>
        <w:rPr>
          <w:rFonts w:ascii="宋体" w:eastAsia="宋体" w:hAnsi="宋体" w:hint="eastAsia"/>
          <w:kern w:val="2"/>
          <w:sz w:val="21"/>
          <w:szCs w:val="21"/>
          <w:lang w:eastAsia="zh-CN"/>
        </w:rPr>
        <w:t>1</w:t>
      </w:r>
      <w:r>
        <w:rPr>
          <w:rFonts w:ascii="宋体" w:eastAsia="宋体" w:hAnsi="宋体"/>
          <w:kern w:val="2"/>
          <w:sz w:val="21"/>
          <w:szCs w:val="21"/>
          <w:lang w:eastAsia="zh-CN"/>
        </w:rPr>
        <w:t>7</w:t>
      </w:r>
      <w:r>
        <w:rPr>
          <w:rFonts w:ascii="宋体" w:eastAsia="宋体" w:hAnsi="宋体" w:hint="eastAsia"/>
          <w:kern w:val="2"/>
          <w:sz w:val="21"/>
          <w:szCs w:val="21"/>
          <w:lang w:eastAsia="zh-CN"/>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61"/>
    </w:p>
    <w:p>
      <w:pPr>
        <w:widowControl w:val="0"/>
        <w:jc w:val="both"/>
        <w:rPr>
          <w:rFonts w:ascii="黑体" w:eastAsia="黑体" w:hAnsi="宋体" w:hint="eastAsia"/>
          <w:kern w:val="2"/>
          <w:lang w:eastAsia="zh-CN"/>
        </w:rPr>
      </w:pPr>
      <w:r>
        <w:rPr>
          <w:rFonts w:ascii="黑体" w:eastAsia="黑体" w:hAnsi="宋体"/>
          <w:kern w:val="2"/>
          <w:lang w:eastAsia="zh-CN"/>
        </w:rPr>
        <w:t>18</w:t>
      </w:r>
      <w:r>
        <w:rPr>
          <w:rFonts w:ascii="黑体" w:eastAsia="黑体" w:hAnsi="宋体" w:hint="eastAsia"/>
          <w:kern w:val="2"/>
          <w:lang w:eastAsia="zh-CN"/>
        </w:rPr>
        <w:t>．谈判应答有效期</w:t>
      </w:r>
    </w:p>
    <w:p>
      <w:pPr>
        <w:widowControl w:val="0"/>
        <w:ind w:firstLine="412" w:firstLineChars="196"/>
        <w:jc w:val="both"/>
        <w:rPr>
          <w:rFonts w:ascii="宋体" w:eastAsia="宋体" w:hAnsi="宋体" w:hint="eastAsia"/>
          <w:kern w:val="2"/>
          <w:sz w:val="21"/>
          <w:szCs w:val="21"/>
          <w:lang w:eastAsia="zh-CN"/>
        </w:rPr>
      </w:pPr>
      <w:bookmarkStart w:id="62" w:name="_Hlk72665501"/>
      <w:r>
        <w:rPr>
          <w:rFonts w:ascii="宋体" w:eastAsia="宋体" w:hAnsi="宋体"/>
          <w:kern w:val="2"/>
          <w:sz w:val="21"/>
          <w:szCs w:val="21"/>
          <w:lang w:eastAsia="zh-CN"/>
        </w:rPr>
        <w:t>18</w:t>
      </w:r>
      <w:r>
        <w:rPr>
          <w:rFonts w:ascii="宋体" w:eastAsia="宋体" w:hAnsi="宋体" w:hint="eastAsia"/>
          <w:kern w:val="2"/>
          <w:sz w:val="21"/>
          <w:szCs w:val="21"/>
          <w:lang w:eastAsia="zh-CN"/>
        </w:rPr>
        <w:t>.1 谈判应答有效期为</w:t>
      </w:r>
      <w:r>
        <w:rPr>
          <w:rFonts w:ascii="Arial" w:eastAsia="宋体" w:hAnsi="Arial" w:cs="Arial" w:hint="eastAsia"/>
          <w:kern w:val="2"/>
          <w:sz w:val="21"/>
          <w:szCs w:val="21"/>
          <w:lang w:eastAsia="zh-CN"/>
        </w:rPr>
        <w:t>从谈判截止之日算起的日历天数。</w:t>
      </w:r>
      <w:r>
        <w:rPr>
          <w:rFonts w:ascii="宋体" w:eastAsia="宋体" w:hAnsi="宋体" w:hint="eastAsia"/>
          <w:kern w:val="2"/>
          <w:sz w:val="21"/>
          <w:szCs w:val="21"/>
          <w:lang w:eastAsia="zh-CN"/>
        </w:rPr>
        <w:t>在此期限内，所有应答文件均保持有效。</w:t>
      </w:r>
    </w:p>
    <w:p>
      <w:pPr>
        <w:widowControl w:val="0"/>
        <w:ind w:firstLine="412" w:firstLineChars="196"/>
        <w:jc w:val="both"/>
        <w:rPr>
          <w:rFonts w:ascii="宋体" w:eastAsia="宋体" w:hAnsi="宋体" w:hint="eastAsia"/>
          <w:kern w:val="2"/>
          <w:sz w:val="21"/>
          <w:szCs w:val="21"/>
          <w:lang w:eastAsia="zh-CN"/>
        </w:rPr>
      </w:pPr>
      <w:bookmarkStart w:id="63" w:name="_Hlk72665771"/>
      <w:r>
        <w:rPr>
          <w:rFonts w:ascii="宋体" w:eastAsia="宋体" w:hAnsi="宋体"/>
          <w:kern w:val="2"/>
          <w:sz w:val="21"/>
          <w:szCs w:val="21"/>
          <w:lang w:eastAsia="zh-CN"/>
        </w:rPr>
        <w:t>18</w:t>
      </w:r>
      <w:r>
        <w:rPr>
          <w:rFonts w:ascii="宋体" w:eastAsia="宋体" w:hAnsi="宋体" w:hint="eastAsia"/>
          <w:kern w:val="2"/>
          <w:sz w:val="21"/>
          <w:szCs w:val="21"/>
          <w:lang w:eastAsia="zh-CN"/>
        </w:rPr>
        <w:t>.2 在特殊情况下，政府集中采购机构在原定的谈判应答有效期满之前，政府集中采购机构可以根据需要以书面形式（包括政府集中采购机构网站公开发布方式）向供应商提出延长谈判应答有效期的要求，对此要求供应商须以书面形式予以答复，供应商可以拒绝政府集中采购机构此项要求，其应答在原谈判应答有效期满后不再有效。同意延长谈判应答有效期的供应商不能要求也不允许修改其应答文件。</w:t>
      </w:r>
      <w:bookmarkEnd w:id="63"/>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18.3</w:t>
      </w:r>
      <w:r>
        <w:rPr>
          <w:rFonts w:ascii="宋体" w:eastAsia="宋体" w:hAnsi="宋体" w:hint="eastAsia"/>
          <w:kern w:val="2"/>
          <w:sz w:val="21"/>
          <w:szCs w:val="21"/>
          <w:lang w:eastAsia="zh-CN"/>
        </w:rPr>
        <w:t xml:space="preserve"> 成交供应商的应答文件有效期，截止于完成本谈判文件规定的全部项目内容，并通过竣工验收及保修期结束。</w:t>
      </w:r>
      <w:bookmarkEnd w:id="62"/>
    </w:p>
    <w:p>
      <w:pPr>
        <w:widowControl w:val="0"/>
        <w:jc w:val="both"/>
        <w:rPr>
          <w:rFonts w:ascii="黑体" w:eastAsia="黑体" w:hAnsi="宋体" w:hint="eastAsia"/>
          <w:kern w:val="2"/>
          <w:lang w:eastAsia="zh-CN"/>
        </w:rPr>
      </w:pPr>
      <w:r>
        <w:rPr>
          <w:rFonts w:ascii="黑体" w:eastAsia="黑体" w:hAnsi="宋体" w:hint="eastAsia"/>
          <w:kern w:val="2"/>
          <w:lang w:eastAsia="zh-CN"/>
        </w:rPr>
        <w:t>1</w:t>
      </w:r>
      <w:r>
        <w:rPr>
          <w:rFonts w:ascii="黑体" w:eastAsia="黑体" w:hAnsi="宋体"/>
          <w:kern w:val="2"/>
          <w:lang w:eastAsia="zh-CN"/>
        </w:rPr>
        <w:t>9.</w:t>
      </w:r>
      <w:r>
        <w:rPr>
          <w:rFonts w:ascii="黑体" w:eastAsia="黑体" w:hAnsi="宋体" w:hint="eastAsia"/>
          <w:kern w:val="2"/>
          <w:lang w:eastAsia="zh-CN"/>
        </w:rPr>
        <w:t xml:space="preserve">关于谈判保证金 </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19</w:t>
      </w:r>
      <w:r>
        <w:rPr>
          <w:rFonts w:ascii="宋体" w:eastAsia="宋体" w:hAnsi="宋体" w:hint="eastAsia"/>
          <w:kern w:val="2"/>
          <w:sz w:val="21"/>
          <w:szCs w:val="21"/>
          <w:lang w:eastAsia="zh-CN"/>
        </w:rPr>
        <w:t xml:space="preserve">.1 </w:t>
      </w:r>
      <w:r>
        <w:rPr>
          <w:rFonts w:eastAsia="宋体" w:hint="eastAsia"/>
          <w:kern w:val="2"/>
          <w:sz w:val="21"/>
          <w:lang w:eastAsia="zh-CN"/>
        </w:rPr>
        <w:t>根据《深圳市财政局关于调整政府采购投标（响应）保证金管理政策的通知</w:t>
      </w:r>
      <w:r>
        <w:rPr>
          <w:rFonts w:eastAsia="宋体" w:hint="eastAsia"/>
          <w:kern w:val="2"/>
          <w:sz w:val="21"/>
          <w:lang w:eastAsia="zh-CN"/>
        </w:rPr>
        <w:tab/>
      </w:r>
      <w:r>
        <w:rPr>
          <w:rFonts w:eastAsia="宋体" w:hint="eastAsia"/>
          <w:kern w:val="2"/>
          <w:sz w:val="21"/>
          <w:lang w:eastAsia="zh-CN"/>
        </w:rPr>
        <w:t>》（深财购〔2021〕51号）文的规定，本项目不收取谈判保证金。</w:t>
      </w:r>
    </w:p>
    <w:p>
      <w:pPr>
        <w:widowControl w:val="0"/>
        <w:jc w:val="both"/>
        <w:rPr>
          <w:rFonts w:ascii="黑体" w:eastAsia="黑体" w:hAnsi="宋体" w:hint="eastAsia"/>
          <w:kern w:val="2"/>
          <w:lang w:eastAsia="zh-CN"/>
        </w:rPr>
      </w:pPr>
      <w:r>
        <w:rPr>
          <w:rFonts w:ascii="黑体" w:eastAsia="黑体" w:hAnsi="宋体"/>
          <w:kern w:val="2"/>
          <w:lang w:eastAsia="zh-CN"/>
        </w:rPr>
        <w:t>20.</w:t>
      </w:r>
      <w:r>
        <w:rPr>
          <w:rFonts w:ascii="黑体" w:eastAsia="黑体" w:hAnsi="宋体" w:hint="eastAsia"/>
          <w:kern w:val="2"/>
          <w:lang w:eastAsia="zh-CN"/>
        </w:rPr>
        <w:t>供应商的替代方案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0</w:t>
      </w:r>
      <w:r>
        <w:rPr>
          <w:rFonts w:ascii="宋体" w:eastAsia="宋体" w:hAnsi="宋体" w:hint="eastAsia"/>
          <w:kern w:val="2"/>
          <w:sz w:val="21"/>
          <w:szCs w:val="21"/>
          <w:lang w:eastAsia="zh-CN"/>
        </w:rPr>
        <w:t>.1供应商所提交的应答文件应完全满足谈判文件（包括图纸和技术规范所示的基本技术设计）的要求。除非项目明确允许供应商提交替代方案，否则供应商有关替代方案的条款将初审不通过，作应答无效处理。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0</w:t>
      </w:r>
      <w:r>
        <w:rPr>
          <w:rFonts w:ascii="宋体" w:eastAsia="宋体" w:hAnsi="宋体" w:hint="eastAsia"/>
          <w:kern w:val="2"/>
          <w:sz w:val="21"/>
          <w:szCs w:val="21"/>
          <w:lang w:eastAsia="zh-CN"/>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pPr>
        <w:widowControl w:val="0"/>
        <w:jc w:val="both"/>
        <w:rPr>
          <w:rFonts w:ascii="黑体" w:eastAsia="黑体" w:hAnsi="宋体" w:hint="eastAsia"/>
          <w:kern w:val="2"/>
          <w:lang w:eastAsia="zh-CN"/>
        </w:rPr>
      </w:pPr>
      <w:r>
        <w:rPr>
          <w:rFonts w:ascii="黑体" w:eastAsia="黑体" w:hAnsi="宋体" w:hint="eastAsia"/>
          <w:kern w:val="2"/>
          <w:lang w:eastAsia="zh-CN"/>
        </w:rPr>
        <w:t>2</w:t>
      </w:r>
      <w:r>
        <w:rPr>
          <w:rFonts w:ascii="黑体" w:eastAsia="黑体" w:hAnsi="宋体"/>
          <w:kern w:val="2"/>
          <w:lang w:eastAsia="zh-CN"/>
        </w:rPr>
        <w:t>1.</w:t>
      </w:r>
      <w:r>
        <w:rPr>
          <w:rFonts w:ascii="黑体" w:eastAsia="黑体" w:hAnsi="宋体" w:hint="eastAsia"/>
          <w:kern w:val="2"/>
          <w:lang w:eastAsia="zh-CN"/>
        </w:rPr>
        <w:t>应答</w:t>
      </w:r>
      <w:r>
        <w:rPr>
          <w:rFonts w:ascii="黑体" w:eastAsia="黑体" w:hAnsi="宋体"/>
          <w:kern w:val="2"/>
          <w:lang w:eastAsia="zh-CN"/>
        </w:rPr>
        <w:t>文件的</w:t>
      </w:r>
      <w:r>
        <w:rPr>
          <w:rFonts w:ascii="黑体" w:eastAsia="黑体" w:hAnsi="宋体" w:hint="eastAsia"/>
          <w:kern w:val="2"/>
          <w:lang w:eastAsia="zh-CN"/>
        </w:rPr>
        <w:t>制作</w:t>
      </w:r>
      <w:r>
        <w:rPr>
          <w:rFonts w:ascii="黑体" w:eastAsia="黑体" w:hAnsi="宋体"/>
          <w:kern w:val="2"/>
          <w:lang w:eastAsia="zh-CN"/>
        </w:rPr>
        <w:t>要求</w:t>
      </w:r>
    </w:p>
    <w:p>
      <w:pPr>
        <w:widowControl w:val="0"/>
        <w:ind w:firstLine="412" w:firstLineChars="196"/>
        <w:jc w:val="both"/>
        <w:rPr>
          <w:rFonts w:ascii="宋体" w:eastAsia="宋体" w:hAnsi="宋体" w:hint="eastAsia"/>
          <w:color w:val="FF0000"/>
          <w:kern w:val="2"/>
          <w:sz w:val="21"/>
          <w:lang w:eastAsia="zh-CN"/>
        </w:rPr>
      </w:pPr>
      <w:r>
        <w:rPr>
          <w:rFonts w:ascii="宋体" w:eastAsia="宋体" w:hAnsi="宋体" w:hint="eastAsia"/>
          <w:color w:val="FF0000"/>
          <w:kern w:val="2"/>
          <w:sz w:val="21"/>
          <w:lang w:eastAsia="zh-CN"/>
        </w:rPr>
        <w:t>2</w:t>
      </w:r>
      <w:r>
        <w:rPr>
          <w:rFonts w:ascii="宋体" w:eastAsia="宋体" w:hAnsi="宋体"/>
          <w:color w:val="FF0000"/>
          <w:kern w:val="2"/>
          <w:sz w:val="21"/>
          <w:lang w:eastAsia="zh-CN"/>
        </w:rPr>
        <w:t>1</w:t>
      </w:r>
      <w:r>
        <w:rPr>
          <w:rFonts w:ascii="宋体" w:eastAsia="宋体" w:hAnsi="宋体" w:hint="eastAsia"/>
          <w:color w:val="FF0000"/>
          <w:kern w:val="2"/>
          <w:sz w:val="21"/>
          <w:lang w:eastAsia="zh-CN"/>
        </w:rPr>
        <w:t>.1供应商应准备所投项目的电子应答文件（即应答文件）一份。</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.2供应商在使用《投标书编制软件》编制应答文件时须注意：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.2.1导入《投标书编制软件》的谈判文件项目编号、包号应与以此制作的应答文件项目编号、包号一致。例如，不能将甲项目A包的应答文件导入《投标书编制软件》，制作乙项目B包的应答文件。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.2.2不能用非本公司的电子密钥加密本公司的应答文件，或者用其它公司的登录用户上传本公司的应答文件。</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.2.3要求用《投标书编制软件》编制应答文件的包，不能用其它方式编制应答文件。编制应答文件时，电脑须连通互联网。</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.2.4应答文件不能带病毒。政府集中采购机构将用专业杀毒软件对应答文件进行病毒检测，如果这两种软件均报告发现病毒，则政府集中采购机构认为该应答文件带病毒。</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1</w:t>
      </w:r>
      <w:r>
        <w:rPr>
          <w:rFonts w:ascii="宋体" w:eastAsia="宋体" w:hAnsi="宋体" w:hint="eastAsia"/>
          <w:kern w:val="2"/>
          <w:sz w:val="21"/>
          <w:lang w:eastAsia="zh-CN"/>
        </w:rPr>
        <w:t>.2.5供应商在编辑应答文件时，</w:t>
      </w:r>
      <w:r>
        <w:rPr>
          <w:rFonts w:ascii="宋体" w:eastAsia="宋体" w:hAnsi="宋体" w:hint="eastAsia"/>
          <w:b/>
          <w:kern w:val="2"/>
          <w:sz w:val="21"/>
          <w:lang w:eastAsia="zh-CN"/>
        </w:rPr>
        <w:t>在应答文件目录中属于本节点内容的必须在本节点中填写，填写到其他节点或附件，</w:t>
      </w:r>
      <w:r>
        <w:rPr>
          <w:rFonts w:ascii="宋体" w:eastAsia="宋体" w:hAnsi="宋体" w:hint="eastAsia"/>
          <w:kern w:val="2"/>
          <w:sz w:val="21"/>
          <w:lang w:eastAsia="zh-CN"/>
        </w:rPr>
        <w:t>一切后果由供应商自行承担。</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highlight w:val="yellow"/>
          <w:lang w:eastAsia="zh-CN"/>
        </w:rPr>
        <w:t>23.2.6</w:t>
      </w:r>
      <w:r>
        <w:rPr>
          <w:rFonts w:ascii="宋体" w:eastAsia="宋体" w:hAnsi="宋体" w:hint="eastAsia"/>
          <w:kern w:val="2"/>
          <w:sz w:val="21"/>
          <w:lang w:eastAsia="zh-CN"/>
        </w:rPr>
        <w:t>政府集中采购机构不接受谈判截止时间后递交的纸质、电子、传真等所有形式的应答文件。由于对网上政府采购系统操作不熟悉或自身电脑、网络等原因导致不能在谈判截止时间之前上传应答文件（应答文件），政府集中采购机构概不负责。建议于谈判前一个工作日完成应答文件的制作与上传，如上传确有困难，</w:t>
      </w:r>
      <w:r>
        <w:rPr>
          <w:rFonts w:ascii="宋体" w:eastAsia="宋体" w:hAnsi="宋体" w:hint="eastAsia"/>
          <w:kern w:val="2"/>
          <w:sz w:val="21"/>
          <w:szCs w:val="21"/>
          <w:lang w:eastAsia="zh-CN"/>
        </w:rPr>
        <w:t>请及时咨询。</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23.2.7如果谈判时出现网络故障、技术故障，影响了谈判活动，政府集中采购机构有权采取措施如延期、接受无法从网上上传的应答文件等，以保障自行采购活动的公开、公平和公正。</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23.3电报、电话、传真形式的应答概不接受。</w:t>
      </w:r>
    </w:p>
    <w:p>
      <w:pPr>
        <w:widowControl w:val="0"/>
        <w:ind w:firstLine="412" w:firstLineChars="196"/>
        <w:jc w:val="both"/>
        <w:rPr>
          <w:rFonts w:ascii="宋体" w:eastAsia="宋体" w:hAnsi="宋体" w:hint="eastAsia"/>
          <w:b/>
          <w:color w:val="FF0000"/>
          <w:kern w:val="2"/>
          <w:sz w:val="21"/>
          <w:highlight w:val="yellow"/>
          <w:lang w:eastAsia="zh-CN"/>
        </w:rPr>
      </w:pPr>
      <w:r>
        <w:rPr>
          <w:rFonts w:ascii="宋体" w:eastAsia="宋体" w:hAnsi="宋体" w:hint="eastAsia"/>
          <w:color w:val="FF0000"/>
          <w:kern w:val="2"/>
          <w:sz w:val="21"/>
          <w:highlight w:val="yellow"/>
          <w:lang w:eastAsia="zh-CN"/>
        </w:rPr>
        <w:t>23.4全流程线上投标的投标文件无须盖章或签字，专用条款另有要求的除外。</w:t>
      </w:r>
    </w:p>
    <w:p>
      <w:pPr>
        <w:widowControl w:val="0"/>
        <w:spacing w:line="360" w:lineRule="auto"/>
        <w:ind w:firstLine="420" w:firstLineChars="200"/>
        <w:jc w:val="left"/>
        <w:rPr>
          <w:rFonts w:eastAsia="宋体"/>
          <w:kern w:val="2"/>
          <w:sz w:val="21"/>
          <w:lang w:eastAsia="zh-CN"/>
        </w:rPr>
      </w:pPr>
      <w:r>
        <w:rPr>
          <w:rFonts w:ascii="宋体" w:eastAsia="宋体" w:hAnsi="宋体" w:hint="eastAsia"/>
          <w:bCs/>
          <w:kern w:val="2"/>
          <w:sz w:val="21"/>
          <w:lang w:eastAsia="zh-CN"/>
        </w:rPr>
        <w:t>23.5</w:t>
      </w:r>
      <w:r>
        <w:rPr>
          <w:rFonts w:ascii="宋体" w:eastAsia="宋体" w:hAnsi="宋体" w:hint="eastAsia"/>
          <w:kern w:val="2"/>
          <w:sz w:val="21"/>
          <w:lang w:eastAsia="zh-CN"/>
        </w:rPr>
        <w:t xml:space="preserve"> 各类资格（资质）文件提供扫描件，另有专门要求的除外。</w:t>
      </w:r>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四、应答文件的递交</w:t>
      </w:r>
    </w:p>
    <w:p>
      <w:pPr>
        <w:widowControl w:val="0"/>
        <w:jc w:val="both"/>
        <w:rPr>
          <w:rFonts w:ascii="黑体" w:eastAsia="黑体" w:hAnsi="宋体" w:hint="eastAsia"/>
          <w:kern w:val="2"/>
          <w:lang w:eastAsia="zh-CN"/>
        </w:rPr>
      </w:pPr>
      <w:r>
        <w:rPr>
          <w:rFonts w:ascii="黑体" w:eastAsia="黑体" w:hAnsi="宋体" w:hint="eastAsia"/>
          <w:kern w:val="2"/>
          <w:lang w:eastAsia="zh-CN"/>
        </w:rPr>
        <w:t>24．应答文件的保密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color w:val="FF0000"/>
          <w:kern w:val="2"/>
          <w:sz w:val="21"/>
          <w:lang w:eastAsia="zh-CN"/>
        </w:rPr>
        <w:t>24.1</w:t>
      </w:r>
      <w:r>
        <w:rPr>
          <w:rFonts w:ascii="宋体" w:eastAsia="宋体" w:hAnsi="宋体" w:hint="eastAsia"/>
          <w:kern w:val="2"/>
          <w:sz w:val="21"/>
          <w:szCs w:val="21"/>
          <w:lang w:eastAsia="zh-CN"/>
        </w:rPr>
        <w:t>在应答文件制作完成后，生成后会选择是否加密投标（应答）文件，如不加密则直接点击生成文件即可，如需加密请插入CA锁，点击加密后生成文件，需输入CA锁密码即可加密成功。加密后会提示文件生成成功！(注意：加密的投标（应答）文件开标时须使用加密文件时使用的锁在项目规定时间内解密！)</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24.2若采购项目出现延期情况：</w:t>
      </w:r>
    </w:p>
    <w:p>
      <w:pPr>
        <w:widowControl w:val="0"/>
        <w:ind w:firstLine="420" w:firstLineChars="200"/>
        <w:jc w:val="both"/>
        <w:rPr>
          <w:rFonts w:ascii="黑体" w:eastAsia="黑体" w:hAnsi="宋体" w:hint="eastAsia"/>
          <w:b/>
          <w:kern w:val="2"/>
          <w:lang w:eastAsia="zh-CN"/>
        </w:rPr>
      </w:pPr>
      <w:r>
        <w:rPr>
          <w:rFonts w:ascii="宋体" w:eastAsia="宋体" w:hAnsi="宋体" w:hint="eastAsia"/>
          <w:b/>
          <w:kern w:val="2"/>
          <w:sz w:val="21"/>
          <w:lang w:eastAsia="zh-CN"/>
        </w:rPr>
        <w:t>如果供下载的谈判文件有更新，供应商必须重新下载谈判文件、重新制作应答文件、重新加密应答文件、重新上传应答文件；</w:t>
      </w:r>
    </w:p>
    <w:p>
      <w:pPr>
        <w:widowControl w:val="0"/>
        <w:jc w:val="both"/>
        <w:rPr>
          <w:rFonts w:ascii="黑体" w:eastAsia="黑体" w:hAnsi="宋体" w:hint="eastAsia"/>
          <w:kern w:val="2"/>
          <w:lang w:eastAsia="zh-CN"/>
        </w:rPr>
      </w:pPr>
      <w:bookmarkStart w:id="64" w:name="_Hlk72665941"/>
      <w:r>
        <w:rPr>
          <w:rFonts w:ascii="黑体" w:eastAsia="黑体" w:hAnsi="宋体" w:hint="eastAsia"/>
          <w:kern w:val="2"/>
          <w:lang w:eastAsia="zh-CN"/>
        </w:rPr>
        <w:t>25．上传应答文件及谈判截止日期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1实行网上投标（应答），供应商</w:t>
      </w:r>
      <w:r>
        <w:rPr>
          <w:rFonts w:ascii="宋体" w:eastAsia="宋体" w:hAnsi="宋体"/>
          <w:kern w:val="2"/>
          <w:sz w:val="21"/>
          <w:lang w:eastAsia="zh-CN"/>
        </w:rPr>
        <w:t>必须</w:t>
      </w:r>
      <w:r>
        <w:rPr>
          <w:rFonts w:ascii="宋体" w:eastAsia="宋体" w:hAnsi="宋体" w:hint="eastAsia"/>
          <w:kern w:val="2"/>
          <w:sz w:val="21"/>
          <w:lang w:eastAsia="zh-CN"/>
        </w:rPr>
        <w:t>在谈判</w:t>
      </w:r>
      <w:r>
        <w:rPr>
          <w:rFonts w:ascii="宋体" w:eastAsia="宋体" w:hAnsi="宋体"/>
          <w:kern w:val="2"/>
          <w:sz w:val="21"/>
          <w:lang w:eastAsia="zh-CN"/>
        </w:rPr>
        <w:t>文件规定的</w:t>
      </w:r>
      <w:r>
        <w:rPr>
          <w:rFonts w:ascii="宋体" w:eastAsia="宋体" w:hAnsi="宋体" w:hint="eastAsia"/>
          <w:kern w:val="2"/>
          <w:sz w:val="21"/>
          <w:lang w:eastAsia="zh-CN"/>
        </w:rPr>
        <w:t>谈判</w:t>
      </w:r>
      <w:r>
        <w:rPr>
          <w:rFonts w:ascii="宋体" w:eastAsia="宋体" w:hAnsi="宋体"/>
          <w:kern w:val="2"/>
          <w:sz w:val="21"/>
          <w:lang w:eastAsia="zh-CN"/>
        </w:rPr>
        <w:t>截止时间前</w:t>
      </w:r>
      <w:r>
        <w:rPr>
          <w:rFonts w:ascii="宋体" w:eastAsia="宋体" w:hAnsi="宋体" w:hint="eastAsia"/>
          <w:kern w:val="2"/>
          <w:sz w:val="21"/>
          <w:lang w:eastAsia="zh-CN"/>
        </w:rPr>
        <w:t>用电子密钥登录“</w:t>
      </w:r>
      <w:r>
        <w:rPr>
          <w:rFonts w:ascii="宋体" w:eastAsia="宋体" w:hAnsi="宋体" w:hint="eastAsia"/>
          <w:kern w:val="2"/>
          <w:sz w:val="21"/>
          <w:szCs w:val="21"/>
          <w:lang w:eastAsia="zh-CN"/>
        </w:rPr>
        <w:t>“深圳市自行采购系统（https://trade.szggzy.com/ggzy/center/#/login）”上传应答文件。如上传过程中遇到问题，可拨打采购公告中的技术支持电话。如多次上传均告失败，请在投标（应答）截止时间之前携带加密后的电子应答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w:t>
      </w:r>
      <w:r>
        <w:rPr>
          <w:rFonts w:ascii="宋体" w:eastAsia="宋体" w:hAnsi="宋体" w:hint="eastAsia"/>
          <w:b/>
          <w:bCs/>
          <w:kern w:val="2"/>
          <w:sz w:val="21"/>
          <w:szCs w:val="21"/>
          <w:lang w:eastAsia="zh-CN"/>
        </w:rPr>
        <w:t>（应答）</w:t>
      </w:r>
      <w:r>
        <w:rPr>
          <w:rFonts w:ascii="宋体" w:eastAsia="宋体" w:hAnsi="宋体"/>
          <w:b/>
          <w:bCs/>
          <w:kern w:val="2"/>
          <w:sz w:val="21"/>
          <w:szCs w:val="21"/>
          <w:lang w:eastAsia="zh-CN"/>
        </w:rPr>
        <w:t>截止时间到达仍无法上传成功的，由</w:t>
      </w:r>
      <w:r>
        <w:rPr>
          <w:rFonts w:ascii="宋体" w:eastAsia="宋体" w:hAnsi="宋体" w:hint="eastAsia"/>
          <w:b/>
          <w:bCs/>
          <w:kern w:val="2"/>
          <w:sz w:val="21"/>
          <w:szCs w:val="21"/>
          <w:lang w:eastAsia="zh-CN"/>
        </w:rPr>
        <w:t>供应商</w:t>
      </w:r>
      <w:r>
        <w:rPr>
          <w:rFonts w:ascii="宋体" w:eastAsia="宋体" w:hAnsi="宋体"/>
          <w:b/>
          <w:bCs/>
          <w:kern w:val="2"/>
          <w:sz w:val="21"/>
          <w:szCs w:val="21"/>
          <w:lang w:eastAsia="zh-CN"/>
        </w:rPr>
        <w:t>自行负责</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25.2政府集中采购机构可以按本通用条款第1</w:t>
      </w:r>
      <w:r>
        <w:rPr>
          <w:rFonts w:ascii="宋体" w:eastAsia="宋体" w:hAnsi="宋体"/>
          <w:kern w:val="2"/>
          <w:sz w:val="21"/>
          <w:lang w:eastAsia="zh-CN"/>
        </w:rPr>
        <w:t>1</w:t>
      </w:r>
      <w:r>
        <w:rPr>
          <w:rFonts w:ascii="宋体" w:eastAsia="宋体" w:hAnsi="宋体" w:hint="eastAsia"/>
          <w:kern w:val="2"/>
          <w:sz w:val="21"/>
          <w:lang w:eastAsia="zh-CN"/>
        </w:rPr>
        <w:t>条规定，通过修改谈判文件自行决定酌情延长谈判截止日期。在此情况下，政府集中采购机构、采购人和供应商受谈判截止期制约的所有权利和义务均应延长至新的截止期。</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25</w:t>
      </w:r>
      <w:r>
        <w:rPr>
          <w:rFonts w:ascii="宋体" w:eastAsia="宋体" w:hAnsi="宋体"/>
          <w:kern w:val="2"/>
          <w:sz w:val="21"/>
          <w:lang w:eastAsia="zh-CN"/>
        </w:rPr>
        <w:t>.</w:t>
      </w:r>
      <w:r>
        <w:rPr>
          <w:rFonts w:ascii="宋体" w:eastAsia="宋体" w:hAnsi="宋体" w:hint="eastAsia"/>
          <w:kern w:val="2"/>
          <w:sz w:val="21"/>
          <w:lang w:eastAsia="zh-CN"/>
        </w:rPr>
        <w:t>3谈判截止时间以后不得上传应答文件。</w:t>
      </w:r>
    </w:p>
    <w:p>
      <w:pPr>
        <w:widowControl w:val="0"/>
        <w:jc w:val="both"/>
        <w:rPr>
          <w:rFonts w:ascii="黑体" w:eastAsia="黑体" w:hAnsi="宋体" w:hint="eastAsia"/>
          <w:kern w:val="2"/>
          <w:lang w:eastAsia="zh-CN"/>
        </w:rPr>
      </w:pPr>
      <w:r>
        <w:rPr>
          <w:rFonts w:ascii="黑体" w:eastAsia="黑体" w:hAnsi="宋体"/>
          <w:kern w:val="2"/>
          <w:lang w:eastAsia="zh-CN"/>
        </w:rPr>
        <w:t>26</w:t>
      </w:r>
      <w:r>
        <w:rPr>
          <w:rFonts w:ascii="黑体" w:eastAsia="黑体" w:hAnsi="宋体" w:hint="eastAsia"/>
          <w:kern w:val="2"/>
          <w:lang w:eastAsia="zh-CN"/>
        </w:rPr>
        <w:t>．应答</w:t>
      </w:r>
      <w:r>
        <w:rPr>
          <w:rFonts w:ascii="黑体" w:eastAsia="黑体" w:hAnsi="宋体"/>
          <w:kern w:val="2"/>
          <w:lang w:eastAsia="zh-CN"/>
        </w:rPr>
        <w:t>文件的修改和撤销</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1供应商</w:t>
      </w:r>
      <w:r>
        <w:rPr>
          <w:rFonts w:ascii="宋体" w:eastAsia="宋体" w:hAnsi="宋体"/>
          <w:kern w:val="2"/>
          <w:sz w:val="21"/>
          <w:lang w:eastAsia="zh-CN"/>
        </w:rPr>
        <w:t>在提交</w:t>
      </w:r>
      <w:r>
        <w:rPr>
          <w:rFonts w:ascii="宋体" w:eastAsia="宋体" w:hAnsi="宋体" w:hint="eastAsia"/>
          <w:kern w:val="2"/>
          <w:sz w:val="21"/>
          <w:lang w:eastAsia="zh-CN"/>
        </w:rPr>
        <w:t>应答</w:t>
      </w:r>
      <w:r>
        <w:rPr>
          <w:rFonts w:ascii="宋体" w:eastAsia="宋体" w:hAnsi="宋体"/>
          <w:kern w:val="2"/>
          <w:sz w:val="21"/>
          <w:lang w:eastAsia="zh-CN"/>
        </w:rPr>
        <w:t>文件后可对其</w:t>
      </w:r>
      <w:r>
        <w:rPr>
          <w:rFonts w:ascii="宋体" w:eastAsia="宋体" w:hAnsi="宋体" w:hint="eastAsia"/>
          <w:kern w:val="2"/>
          <w:sz w:val="21"/>
          <w:lang w:eastAsia="zh-CN"/>
        </w:rPr>
        <w:t>应答</w:t>
      </w:r>
      <w:r>
        <w:rPr>
          <w:rFonts w:ascii="宋体" w:eastAsia="宋体" w:hAnsi="宋体"/>
          <w:kern w:val="2"/>
          <w:sz w:val="21"/>
          <w:lang w:eastAsia="zh-CN"/>
        </w:rPr>
        <w:t>文件进行修改</w:t>
      </w:r>
      <w:r>
        <w:rPr>
          <w:rFonts w:ascii="宋体" w:eastAsia="宋体" w:hAnsi="宋体" w:hint="eastAsia"/>
          <w:kern w:val="2"/>
          <w:sz w:val="21"/>
          <w:lang w:eastAsia="zh-CN"/>
        </w:rPr>
        <w:t>并重新上传应答文件</w:t>
      </w:r>
      <w:r>
        <w:rPr>
          <w:rFonts w:ascii="宋体" w:eastAsia="宋体" w:hAnsi="宋体"/>
          <w:kern w:val="2"/>
          <w:sz w:val="21"/>
          <w:lang w:eastAsia="zh-CN"/>
        </w:rPr>
        <w:t>或</w:t>
      </w:r>
      <w:r>
        <w:rPr>
          <w:rFonts w:ascii="宋体" w:eastAsia="宋体" w:hAnsi="宋体" w:hint="eastAsia"/>
          <w:kern w:val="2"/>
          <w:sz w:val="21"/>
          <w:lang w:eastAsia="zh-CN"/>
        </w:rPr>
        <w:t>在网上进行</w:t>
      </w:r>
      <w:r>
        <w:rPr>
          <w:rFonts w:ascii="宋体" w:eastAsia="宋体" w:hAnsi="宋体"/>
          <w:kern w:val="2"/>
          <w:sz w:val="21"/>
          <w:lang w:eastAsia="zh-CN"/>
        </w:rPr>
        <w:t>撤销</w:t>
      </w:r>
      <w:r>
        <w:rPr>
          <w:rFonts w:ascii="宋体" w:eastAsia="宋体" w:hAnsi="宋体" w:hint="eastAsia"/>
          <w:kern w:val="2"/>
          <w:sz w:val="21"/>
          <w:lang w:eastAsia="zh-CN"/>
        </w:rPr>
        <w:t>应答的操作</w:t>
      </w:r>
      <w:r>
        <w:rPr>
          <w:rFonts w:ascii="宋体" w:eastAsia="宋体" w:hAnsi="宋体"/>
          <w:kern w:val="2"/>
          <w:sz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2</w:t>
      </w:r>
      <w:bookmarkStart w:id="65" w:name="_Hlk72663776"/>
      <w:r>
        <w:rPr>
          <w:rFonts w:ascii="宋体" w:eastAsia="宋体" w:hAnsi="宋体" w:hint="eastAsia"/>
          <w:kern w:val="2"/>
          <w:sz w:val="21"/>
          <w:lang w:eastAsia="zh-CN"/>
        </w:rPr>
        <w:t>谈判</w:t>
      </w:r>
      <w:r>
        <w:rPr>
          <w:rFonts w:ascii="宋体" w:eastAsia="宋体" w:hAnsi="宋体"/>
          <w:kern w:val="2"/>
          <w:sz w:val="21"/>
          <w:lang w:eastAsia="zh-CN"/>
        </w:rPr>
        <w:t>截止时间以后不</w:t>
      </w:r>
      <w:r>
        <w:rPr>
          <w:rFonts w:ascii="宋体" w:eastAsia="宋体" w:hAnsi="宋体" w:hint="eastAsia"/>
          <w:kern w:val="2"/>
          <w:sz w:val="21"/>
          <w:lang w:eastAsia="zh-CN"/>
        </w:rPr>
        <w:t>能通过网上政府采购系统</w:t>
      </w:r>
      <w:r>
        <w:rPr>
          <w:rFonts w:ascii="宋体" w:eastAsia="宋体" w:hAnsi="宋体"/>
          <w:kern w:val="2"/>
          <w:sz w:val="21"/>
          <w:lang w:eastAsia="zh-CN"/>
        </w:rPr>
        <w:t>修改</w:t>
      </w:r>
      <w:r>
        <w:rPr>
          <w:rFonts w:ascii="宋体" w:eastAsia="宋体" w:hAnsi="宋体" w:hint="eastAsia"/>
          <w:kern w:val="2"/>
          <w:sz w:val="21"/>
          <w:lang w:eastAsia="zh-CN"/>
        </w:rPr>
        <w:t>应答</w:t>
      </w:r>
      <w:r>
        <w:rPr>
          <w:rFonts w:ascii="宋体" w:eastAsia="宋体" w:hAnsi="宋体"/>
          <w:kern w:val="2"/>
          <w:sz w:val="21"/>
          <w:lang w:eastAsia="zh-CN"/>
        </w:rPr>
        <w:t>文件。</w:t>
      </w:r>
      <w:bookmarkEnd w:id="65"/>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26.</w:t>
      </w:r>
      <w:r>
        <w:rPr>
          <w:rFonts w:ascii="宋体" w:eastAsia="宋体" w:hAnsi="宋体" w:hint="eastAsia"/>
          <w:kern w:val="2"/>
          <w:sz w:val="21"/>
          <w:lang w:eastAsia="zh-CN"/>
        </w:rPr>
        <w:t>3从应答截止期至供应商在应答文件中确定的谈判应答有效期之间的这段时间内，供应商不得撤回其谈判应答。</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6</w:t>
      </w:r>
      <w:r>
        <w:rPr>
          <w:rFonts w:ascii="宋体" w:eastAsia="宋体" w:hAnsi="宋体" w:hint="eastAsia"/>
          <w:kern w:val="2"/>
          <w:sz w:val="21"/>
          <w:szCs w:val="21"/>
          <w:lang w:eastAsia="zh-CN"/>
        </w:rPr>
        <w:t>.4政府集中采购机构不退还应答文件。</w:t>
      </w:r>
      <w:bookmarkEnd w:id="64"/>
    </w:p>
    <w:p>
      <w:pPr>
        <w:keepNext/>
        <w:keepLines/>
        <w:widowControl w:val="0"/>
        <w:adjustRightInd w:val="0"/>
        <w:spacing w:before="260" w:after="26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szCs w:val="20"/>
          <w:lang w:eastAsia="zh-CN"/>
        </w:rPr>
        <w:t>五、谈判</w:t>
      </w:r>
    </w:p>
    <w:p>
      <w:pPr>
        <w:widowControl w:val="0"/>
        <w:jc w:val="both"/>
        <w:rPr>
          <w:rFonts w:ascii="黑体" w:eastAsia="黑体" w:hAnsi="宋体" w:hint="eastAsia"/>
          <w:kern w:val="2"/>
          <w:lang w:eastAsia="zh-CN"/>
        </w:rPr>
      </w:pPr>
      <w:bookmarkStart w:id="66" w:name="_Toc78703964"/>
      <w:r>
        <w:rPr>
          <w:rFonts w:ascii="黑体" w:eastAsia="黑体" w:hAnsi="宋体"/>
          <w:kern w:val="2"/>
          <w:lang w:eastAsia="zh-CN"/>
        </w:rPr>
        <w:t>27.</w:t>
      </w:r>
      <w:r>
        <w:rPr>
          <w:rFonts w:ascii="黑体" w:eastAsia="黑体" w:hAnsi="宋体" w:hint="eastAsia"/>
          <w:kern w:val="2"/>
          <w:lang w:eastAsia="zh-CN"/>
        </w:rPr>
        <w:t>谈判</w:t>
      </w:r>
      <w:bookmarkEnd w:id="66"/>
      <w:r>
        <w:rPr>
          <w:rFonts w:ascii="黑体" w:eastAsia="黑体" w:hAnsi="宋体" w:hint="eastAsia"/>
          <w:kern w:val="2"/>
          <w:lang w:eastAsia="zh-CN"/>
        </w:rPr>
        <w:t>要求</w:t>
      </w:r>
    </w:p>
    <w:p>
      <w:pPr>
        <w:widowControl w:val="0"/>
        <w:tabs>
          <w:tab w:val="left" w:pos="-1080"/>
        </w:tabs>
        <w:wordWrap w:val="0"/>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1供应商须在谈判当日的谈判时间至解密截止时间内进行解密，逾期未解密的作应答无效处理。解密方法：登录“深圳市自行采购系统（https://trade.szggzy.com/ggzy/center/#/login）”，使用本单位制作电子应答文件同一个电子密钥进行在线解密、查询开标情况。本项目谈判小组将于谈判应答文件提交截止时间到后一定时间内即开始进行谈判。</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.2</w:t>
      </w:r>
      <w:r>
        <w:rPr>
          <w:rFonts w:ascii="宋体" w:eastAsia="宋体" w:hAnsi="宋体" w:hint="eastAsia"/>
          <w:kern w:val="2"/>
          <w:sz w:val="21"/>
          <w:szCs w:val="21"/>
          <w:lang w:eastAsia="zh-CN"/>
        </w:rPr>
        <w:t>政府集中采购机构将在满足开标条件（①解密时间结束，解密后的供应商数量满足开标要求或②解密时间结束前所有供应商均完成投标</w:t>
      </w:r>
      <w:r>
        <w:rPr>
          <w:rFonts w:ascii="宋体" w:eastAsia="宋体" w:hAnsi="宋体" w:hint="eastAsia"/>
          <w:kern w:val="2"/>
          <w:sz w:val="21"/>
          <w:lang w:eastAsia="zh-CN"/>
        </w:rPr>
        <w:t>（应答）</w:t>
      </w:r>
      <w:r>
        <w:rPr>
          <w:rFonts w:ascii="宋体" w:eastAsia="宋体" w:hAnsi="宋体" w:hint="eastAsia"/>
          <w:kern w:val="2"/>
          <w:sz w:val="21"/>
          <w:szCs w:val="21"/>
          <w:lang w:eastAsia="zh-CN"/>
        </w:rPr>
        <w:t>文件解密）后，对投标（应答）文件进行开标，并在网上公布开标结果。</w:t>
      </w:r>
    </w:p>
    <w:p>
      <w:pPr>
        <w:widowControl w:val="0"/>
        <w:ind w:firstLine="412" w:firstLineChars="196"/>
        <w:jc w:val="both"/>
        <w:rPr>
          <w:rFonts w:ascii="宋体" w:eastAsia="宋体" w:hAnsi="宋体" w:hint="eastAsia"/>
          <w:kern w:val="2"/>
          <w:sz w:val="21"/>
          <w:lang w:eastAsia="zh-CN"/>
        </w:rPr>
      </w:pPr>
      <w:r>
        <w:rPr>
          <w:rFonts w:ascii="宋体" w:eastAsia="宋体" w:hAnsi="宋体"/>
          <w:kern w:val="2"/>
          <w:sz w:val="21"/>
          <w:lang w:eastAsia="zh-CN"/>
        </w:rPr>
        <w:t>27</w:t>
      </w:r>
      <w:r>
        <w:rPr>
          <w:rFonts w:ascii="宋体" w:eastAsia="宋体" w:hAnsi="宋体" w:hint="eastAsia"/>
          <w:kern w:val="2"/>
          <w:sz w:val="21"/>
          <w:lang w:eastAsia="zh-CN"/>
        </w:rPr>
        <w:t>.3评审委员会（谈判小组成员）由采购人代表和评审专家组成，成员人数应当为</w:t>
      </w:r>
      <w:r>
        <w:rPr>
          <w:rFonts w:ascii="宋体" w:eastAsia="宋体" w:hAnsi="宋体"/>
          <w:kern w:val="2"/>
          <w:sz w:val="21"/>
          <w:lang w:eastAsia="zh-CN"/>
        </w:rPr>
        <w:t>3</w:t>
      </w:r>
      <w:r>
        <w:rPr>
          <w:rFonts w:ascii="宋体" w:eastAsia="宋体" w:hAnsi="宋体" w:hint="eastAsia"/>
          <w:kern w:val="2"/>
          <w:sz w:val="21"/>
          <w:lang w:eastAsia="zh-CN"/>
        </w:rPr>
        <w:t>人以上单数，其中评审专家（谈判小组成员）不得少于成员总数的三分之二。</w:t>
      </w:r>
    </w:p>
    <w:p>
      <w:pPr>
        <w:widowControl w:val="0"/>
        <w:jc w:val="both"/>
        <w:rPr>
          <w:rFonts w:ascii="黑体" w:eastAsia="黑体" w:hAnsi="宋体" w:hint="eastAsia"/>
          <w:kern w:val="2"/>
          <w:lang w:eastAsia="zh-CN"/>
        </w:rPr>
      </w:pPr>
      <w:r>
        <w:rPr>
          <w:rFonts w:ascii="黑体" w:eastAsia="黑体" w:hAnsi="宋体"/>
          <w:kern w:val="2"/>
          <w:lang w:eastAsia="zh-CN"/>
        </w:rPr>
        <w:t>28.</w:t>
      </w:r>
      <w:r>
        <w:rPr>
          <w:rFonts w:ascii="黑体" w:eastAsia="黑体" w:hAnsi="宋体" w:hint="eastAsia"/>
          <w:kern w:val="2"/>
          <w:lang w:eastAsia="zh-CN"/>
        </w:rPr>
        <w:t>谈判应答文件的审查</w:t>
      </w:r>
    </w:p>
    <w:p>
      <w:pPr>
        <w:widowControl w:val="0"/>
        <w:tabs>
          <w:tab w:val="left" w:pos="-1080"/>
        </w:tabs>
        <w:ind w:firstLine="420" w:firstLineChars="200"/>
        <w:jc w:val="both"/>
        <w:rPr>
          <w:rFonts w:ascii="宋体" w:eastAsia="宋体" w:hAnsi="宋体" w:hint="eastAsia"/>
          <w:b/>
          <w:bCs/>
          <w:kern w:val="2"/>
          <w:sz w:val="21"/>
          <w:lang w:eastAsia="zh-CN"/>
        </w:rPr>
      </w:pPr>
      <w:r>
        <w:rPr>
          <w:rFonts w:ascii="宋体" w:eastAsia="宋体" w:hAnsi="宋体"/>
          <w:kern w:val="2"/>
          <w:sz w:val="21"/>
          <w:lang w:eastAsia="zh-CN"/>
        </w:rPr>
        <w:t>28</w:t>
      </w:r>
      <w:r>
        <w:rPr>
          <w:rFonts w:ascii="宋体" w:eastAsia="宋体" w:hAnsi="宋体" w:hint="eastAsia"/>
          <w:kern w:val="2"/>
          <w:sz w:val="21"/>
          <w:lang w:eastAsia="zh-CN"/>
        </w:rPr>
        <w:t>.1 谈判前，谈判小组将对谈判应答文件进行审查，</w:t>
      </w:r>
      <w:r>
        <w:rPr>
          <w:rFonts w:ascii="宋体" w:eastAsia="宋体" w:hAnsi="宋体" w:hint="eastAsia"/>
          <w:b/>
          <w:bCs/>
          <w:kern w:val="2"/>
          <w:sz w:val="21"/>
          <w:lang w:eastAsia="zh-CN"/>
        </w:rPr>
        <w:t>当谈判应答文件出现下列情况之一的将视为无效，按应答无效处理，不得进入谈判：</w:t>
      </w:r>
    </w:p>
    <w:p>
      <w:pPr>
        <w:widowControl w:val="0"/>
        <w:tabs>
          <w:tab w:val="left" w:pos="-1080"/>
        </w:tabs>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具体内容见《资格性审查表》。</w:t>
      </w:r>
    </w:p>
    <w:p>
      <w:pPr>
        <w:widowControl w:val="0"/>
        <w:jc w:val="both"/>
        <w:rPr>
          <w:rFonts w:ascii="黑体" w:eastAsia="黑体" w:hAnsi="宋体" w:hint="eastAsia"/>
          <w:kern w:val="2"/>
          <w:lang w:eastAsia="zh-CN"/>
        </w:rPr>
      </w:pPr>
      <w:bookmarkStart w:id="67" w:name="_Toc78703965"/>
      <w:r>
        <w:rPr>
          <w:rFonts w:ascii="黑体" w:eastAsia="黑体" w:hAnsi="宋体"/>
          <w:kern w:val="2"/>
          <w:lang w:eastAsia="zh-CN"/>
        </w:rPr>
        <w:t>29.</w:t>
      </w:r>
      <w:r>
        <w:rPr>
          <w:rFonts w:ascii="黑体" w:eastAsia="黑体" w:hAnsi="宋体" w:hint="eastAsia"/>
          <w:kern w:val="2"/>
          <w:lang w:eastAsia="zh-CN"/>
        </w:rPr>
        <w:t>谈判应答文件的澄清或修改</w:t>
      </w:r>
      <w:bookmarkEnd w:id="67"/>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29</w:t>
      </w:r>
      <w:r>
        <w:rPr>
          <w:rFonts w:ascii="宋体" w:eastAsia="宋体" w:hAnsi="宋体" w:hint="eastAsia"/>
          <w:kern w:val="2"/>
          <w:sz w:val="21"/>
          <w:lang w:eastAsia="zh-CN"/>
        </w:rPr>
        <w:t>.1谈判小组可以要求供应商对谈判应答文件含义不明确的内容作必要的澄清或者说明，供应商应进行澄清、说明。</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29.2</w:t>
      </w:r>
      <w:r>
        <w:rPr>
          <w:rFonts w:ascii="宋体" w:eastAsia="宋体" w:hAnsi="宋体" w:hint="eastAsia"/>
          <w:kern w:val="2"/>
          <w:sz w:val="21"/>
          <w:lang w:eastAsia="zh-CN"/>
        </w:rPr>
        <w:t>允许供应商在谈判结束之前根据谈判小组提出的内容进行澄清、修改或完善，或对方案进行相应的调整。</w:t>
      </w:r>
    </w:p>
    <w:p>
      <w:pPr>
        <w:widowControl w:val="0"/>
        <w:jc w:val="both"/>
        <w:rPr>
          <w:rFonts w:ascii="黑体" w:eastAsia="黑体" w:hAnsi="宋体" w:hint="eastAsia"/>
          <w:kern w:val="2"/>
          <w:lang w:eastAsia="zh-CN"/>
        </w:rPr>
      </w:pPr>
      <w:bookmarkStart w:id="68" w:name="_Toc78703966"/>
      <w:r>
        <w:rPr>
          <w:rFonts w:ascii="黑体" w:eastAsia="黑体" w:hAnsi="宋体"/>
          <w:kern w:val="2"/>
          <w:lang w:eastAsia="zh-CN"/>
        </w:rPr>
        <w:t>30.</w:t>
      </w:r>
      <w:r>
        <w:rPr>
          <w:rFonts w:ascii="黑体" w:eastAsia="黑体" w:hAnsi="宋体" w:hint="eastAsia"/>
          <w:kern w:val="2"/>
          <w:lang w:eastAsia="zh-CN"/>
        </w:rPr>
        <w:t>谈判方式及程序</w:t>
      </w:r>
      <w:bookmarkEnd w:id="68"/>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szCs w:val="21"/>
          <w:lang w:eastAsia="zh-CN"/>
        </w:rPr>
        <w:t>30</w:t>
      </w:r>
      <w:r>
        <w:rPr>
          <w:rFonts w:ascii="宋体" w:eastAsia="宋体" w:hAnsi="宋体" w:hint="eastAsia"/>
          <w:kern w:val="2"/>
          <w:sz w:val="21"/>
          <w:szCs w:val="21"/>
          <w:lang w:eastAsia="zh-CN"/>
        </w:rPr>
        <w:t>.1谈判程序如下：</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2谈判主持人将在谈判现场宣布谈判规则和谈判纪律。</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3在谈判中，谈判小组将就服务方案、报价及其它相关事项跟供应商进行谈判。采购文件有实质性变更的，谈判小组应当通过深圳公共资源交易中心书面告知所有参加谈判的供应商。</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4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5谈判结束后，谈判小组根据供应商提供的谈判应答文件、谈判过程中产生的相关资料，对供应商谈判应答文件进行评估与比较，提出书面评审意见。</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30</w:t>
      </w:r>
      <w:r>
        <w:rPr>
          <w:rFonts w:ascii="宋体" w:eastAsia="宋体" w:hAnsi="宋体" w:hint="eastAsia"/>
          <w:kern w:val="2"/>
          <w:sz w:val="21"/>
          <w:lang w:eastAsia="zh-CN"/>
        </w:rPr>
        <w:t>.6谈判小组将对谈判过程进行记录，以存档备查。</w:t>
      </w:r>
    </w:p>
    <w:p>
      <w:pPr>
        <w:widowControl w:val="0"/>
        <w:tabs>
          <w:tab w:val="left" w:pos="-1080"/>
        </w:tabs>
        <w:ind w:firstLine="420" w:firstLineChars="200"/>
        <w:jc w:val="both"/>
        <w:rPr>
          <w:rFonts w:ascii="宋体" w:eastAsia="宋体" w:hAnsi="宋体" w:hint="eastAsia"/>
          <w:b/>
          <w:bCs/>
          <w:kern w:val="2"/>
          <w:sz w:val="21"/>
          <w:highlight w:val="yellow"/>
          <w:lang w:eastAsia="zh-CN"/>
        </w:rPr>
      </w:pP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六、成交</w:t>
      </w:r>
    </w:p>
    <w:p>
      <w:pPr>
        <w:widowControl w:val="0"/>
        <w:jc w:val="both"/>
        <w:rPr>
          <w:rFonts w:ascii="黑体" w:eastAsia="黑体" w:hAnsi="宋体" w:hint="eastAsia"/>
          <w:kern w:val="2"/>
          <w:lang w:eastAsia="zh-CN"/>
        </w:rPr>
      </w:pPr>
      <w:bookmarkStart w:id="69" w:name="_Toc78703968"/>
      <w:r>
        <w:rPr>
          <w:rFonts w:ascii="黑体" w:eastAsia="黑体" w:hAnsi="宋体"/>
          <w:kern w:val="2"/>
          <w:lang w:eastAsia="zh-CN"/>
        </w:rPr>
        <w:t>31.</w:t>
      </w:r>
      <w:r>
        <w:rPr>
          <w:rFonts w:ascii="黑体" w:eastAsia="黑体" w:hAnsi="宋体" w:hint="eastAsia"/>
          <w:kern w:val="2"/>
          <w:lang w:eastAsia="zh-CN"/>
        </w:rPr>
        <w:t>应答无效</w:t>
      </w:r>
    </w:p>
    <w:p>
      <w:pPr>
        <w:widowControl w:val="0"/>
        <w:tabs>
          <w:tab w:val="left" w:pos="-1080"/>
        </w:tabs>
        <w:ind w:firstLine="420" w:firstLineChars="200"/>
        <w:jc w:val="both"/>
        <w:rPr>
          <w:rFonts w:ascii="宋体" w:eastAsia="宋体" w:hAnsi="宋体" w:hint="eastAsia"/>
          <w:b/>
          <w:bCs/>
          <w:kern w:val="2"/>
          <w:sz w:val="21"/>
          <w:lang w:eastAsia="zh-CN"/>
        </w:rPr>
      </w:pPr>
      <w:r>
        <w:rPr>
          <w:rFonts w:ascii="宋体" w:eastAsia="宋体" w:hAnsi="宋体"/>
          <w:b/>
          <w:bCs/>
          <w:kern w:val="2"/>
          <w:sz w:val="21"/>
          <w:lang w:eastAsia="zh-CN"/>
        </w:rPr>
        <w:t>31</w:t>
      </w:r>
      <w:r>
        <w:rPr>
          <w:rFonts w:ascii="宋体" w:eastAsia="宋体" w:hAnsi="宋体" w:hint="eastAsia"/>
          <w:b/>
          <w:bCs/>
          <w:kern w:val="2"/>
          <w:sz w:val="21"/>
          <w:lang w:eastAsia="zh-CN"/>
        </w:rPr>
        <w:t>.1有下列情形之一的，该供应商的谈判作应答无效处理：</w:t>
      </w:r>
    </w:p>
    <w:p>
      <w:pPr>
        <w:widowControl w:val="0"/>
        <w:tabs>
          <w:tab w:val="left" w:pos="-1080"/>
        </w:tabs>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具体内容见</w:t>
      </w:r>
      <w:r>
        <w:rPr>
          <w:rFonts w:eastAsia="宋体" w:hint="eastAsia"/>
          <w:kern w:val="2"/>
          <w:sz w:val="21"/>
          <w:lang w:eastAsia="zh-CN"/>
        </w:rPr>
        <w:t>《</w:t>
      </w:r>
      <w:r>
        <w:rPr>
          <w:rFonts w:eastAsia="宋体" w:hint="eastAsia"/>
          <w:b/>
          <w:bCs/>
          <w:kern w:val="2"/>
          <w:sz w:val="21"/>
          <w:lang w:eastAsia="zh-CN"/>
        </w:rPr>
        <w:t>资格性审查表</w:t>
      </w:r>
      <w:r>
        <w:rPr>
          <w:rFonts w:eastAsia="宋体" w:hint="eastAsia"/>
          <w:kern w:val="2"/>
          <w:sz w:val="21"/>
          <w:lang w:eastAsia="zh-CN"/>
        </w:rPr>
        <w:t>》、</w:t>
      </w:r>
      <w:r>
        <w:rPr>
          <w:rFonts w:ascii="宋体" w:eastAsia="宋体" w:hAnsi="宋体" w:hint="eastAsia"/>
          <w:b/>
          <w:kern w:val="2"/>
          <w:sz w:val="21"/>
          <w:lang w:eastAsia="zh-CN"/>
        </w:rPr>
        <w:t>《符合性审查表》。</w:t>
      </w:r>
    </w:p>
    <w:p>
      <w:pPr>
        <w:widowControl w:val="0"/>
        <w:tabs>
          <w:tab w:val="left" w:pos="-1080"/>
        </w:tabs>
        <w:ind w:firstLine="420" w:firstLineChars="200"/>
        <w:jc w:val="both"/>
        <w:rPr>
          <w:rFonts w:ascii="宋体" w:eastAsia="宋体" w:hAnsi="宋体" w:hint="eastAsia"/>
          <w:b/>
          <w:kern w:val="2"/>
          <w:sz w:val="21"/>
          <w:lang w:eastAsia="zh-CN"/>
        </w:rPr>
      </w:pPr>
      <w:bookmarkStart w:id="70" w:name="_Hlk72665028"/>
      <w:r>
        <w:rPr>
          <w:rFonts w:ascii="宋体" w:eastAsia="宋体" w:hAnsi="宋体" w:hint="eastAsia"/>
          <w:b/>
          <w:kern w:val="2"/>
          <w:sz w:val="21"/>
          <w:lang w:eastAsia="zh-CN"/>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70"/>
    </w:p>
    <w:p>
      <w:pPr>
        <w:widowControl w:val="0"/>
        <w:jc w:val="both"/>
        <w:rPr>
          <w:rFonts w:ascii="黑体" w:eastAsia="黑体" w:hAnsi="宋体" w:hint="eastAsia"/>
          <w:kern w:val="2"/>
          <w:lang w:eastAsia="zh-CN"/>
        </w:rPr>
      </w:pPr>
      <w:r>
        <w:rPr>
          <w:rFonts w:ascii="黑体" w:eastAsia="黑体" w:hAnsi="宋体"/>
          <w:kern w:val="2"/>
          <w:lang w:eastAsia="zh-CN"/>
        </w:rPr>
        <w:t>32.</w:t>
      </w:r>
      <w:bookmarkEnd w:id="69"/>
      <w:r>
        <w:rPr>
          <w:rFonts w:ascii="黑体" w:eastAsia="黑体" w:hAnsi="宋体" w:hint="eastAsia"/>
          <w:kern w:val="2"/>
          <w:lang w:eastAsia="zh-CN"/>
        </w:rPr>
        <w:t>成交</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32</w:t>
      </w:r>
      <w:r>
        <w:rPr>
          <w:rFonts w:ascii="宋体" w:eastAsia="宋体" w:hAnsi="宋体" w:hint="eastAsia"/>
          <w:kern w:val="2"/>
          <w:sz w:val="21"/>
          <w:lang w:eastAsia="zh-CN"/>
        </w:rPr>
        <w:t>.1谈判小组依据本须知对谈判应答文件进行评审和比较，综合各家供应商最终的方案、服务和投资等谈判结果并按最低价法/综合评分法[以评审信息为准]进行评审。</w:t>
      </w:r>
      <w:bookmarkStart w:id="71" w:name="评标方法3"/>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最低价法，是指</w:t>
      </w:r>
      <w:r>
        <w:rPr>
          <w:rFonts w:ascii="宋体" w:eastAsia="宋体" w:hAnsi="宋体" w:hint="eastAsia"/>
          <w:kern w:val="2"/>
          <w:sz w:val="21"/>
          <w:lang w:eastAsia="zh-CN"/>
        </w:rPr>
        <w:t>应答文件</w:t>
      </w:r>
      <w:r>
        <w:rPr>
          <w:rFonts w:ascii="宋体" w:eastAsia="宋体" w:hAnsi="宋体"/>
          <w:kern w:val="2"/>
          <w:sz w:val="21"/>
          <w:lang w:eastAsia="zh-CN"/>
        </w:rPr>
        <w:t>满足</w:t>
      </w:r>
      <w:r>
        <w:rPr>
          <w:rFonts w:ascii="宋体" w:eastAsia="宋体" w:hAnsi="宋体" w:hint="eastAsia"/>
          <w:kern w:val="2"/>
          <w:sz w:val="21"/>
          <w:lang w:eastAsia="zh-CN"/>
        </w:rPr>
        <w:t>谈判</w:t>
      </w:r>
      <w:r>
        <w:rPr>
          <w:rFonts w:ascii="宋体" w:eastAsia="宋体" w:hAnsi="宋体"/>
          <w:kern w:val="2"/>
          <w:sz w:val="21"/>
          <w:lang w:eastAsia="zh-CN"/>
        </w:rPr>
        <w:t>文件实质性要求，</w:t>
      </w:r>
      <w:r>
        <w:rPr>
          <w:rFonts w:ascii="宋体" w:eastAsia="宋体" w:hAnsi="宋体" w:hint="eastAsia"/>
          <w:kern w:val="2"/>
          <w:sz w:val="21"/>
          <w:lang w:eastAsia="zh-CN"/>
        </w:rPr>
        <w:t>按照报价由低到高的顺序，以报价最低的供应商作为成交供应商的评审方法。</w:t>
      </w:r>
    </w:p>
    <w:bookmarkEnd w:id="71"/>
    <w:p>
      <w:pPr>
        <w:widowControl w:val="0"/>
        <w:tabs>
          <w:tab w:val="left" w:pos="-1080"/>
        </w:tabs>
        <w:ind w:firstLine="420" w:firstLineChars="200"/>
        <w:jc w:val="both"/>
        <w:rPr>
          <w:rFonts w:ascii="宋体" w:eastAsia="宋体" w:hAnsi="宋体" w:hint="eastAsia"/>
          <w:bCs/>
          <w:kern w:val="2"/>
          <w:sz w:val="21"/>
          <w:szCs w:val="21"/>
          <w:lang w:eastAsia="zh-CN"/>
        </w:rPr>
      </w:pPr>
      <w:r>
        <w:rPr>
          <w:rFonts w:ascii="宋体" w:eastAsia="宋体" w:hAnsi="宋体"/>
          <w:kern w:val="2"/>
          <w:sz w:val="21"/>
          <w:lang w:eastAsia="zh-CN"/>
        </w:rPr>
        <w:t>综合评分法，是指</w:t>
      </w:r>
      <w:r>
        <w:rPr>
          <w:rFonts w:ascii="宋体" w:eastAsia="宋体" w:hAnsi="宋体" w:hint="eastAsia"/>
          <w:kern w:val="2"/>
          <w:sz w:val="21"/>
          <w:lang w:eastAsia="zh-CN"/>
        </w:rPr>
        <w:t>应答</w:t>
      </w:r>
      <w:r>
        <w:rPr>
          <w:rFonts w:ascii="宋体" w:eastAsia="宋体" w:hAnsi="宋体"/>
          <w:kern w:val="2"/>
          <w:sz w:val="21"/>
          <w:lang w:eastAsia="zh-CN"/>
        </w:rPr>
        <w:t>文件满足</w:t>
      </w:r>
      <w:r>
        <w:rPr>
          <w:rFonts w:ascii="宋体" w:eastAsia="宋体" w:hAnsi="宋体" w:hint="eastAsia"/>
          <w:kern w:val="2"/>
          <w:sz w:val="21"/>
          <w:lang w:eastAsia="zh-CN"/>
        </w:rPr>
        <w:t>谈判</w:t>
      </w:r>
      <w:r>
        <w:rPr>
          <w:rFonts w:ascii="宋体" w:eastAsia="宋体" w:hAnsi="宋体"/>
          <w:kern w:val="2"/>
          <w:sz w:val="21"/>
          <w:lang w:eastAsia="zh-CN"/>
        </w:rPr>
        <w:t>文件全部实</w:t>
      </w:r>
      <w:r>
        <w:rPr>
          <w:rFonts w:eastAsia="宋体"/>
          <w:kern w:val="2"/>
          <w:sz w:val="21"/>
          <w:szCs w:val="21"/>
          <w:lang w:eastAsia="zh-CN"/>
        </w:rPr>
        <w:t>质性要求，且按照评审因素的量化指标评审得分最高的</w:t>
      </w:r>
      <w:r>
        <w:rPr>
          <w:rFonts w:eastAsia="宋体" w:hint="eastAsia"/>
          <w:kern w:val="2"/>
          <w:sz w:val="21"/>
          <w:szCs w:val="21"/>
          <w:lang w:eastAsia="zh-CN"/>
        </w:rPr>
        <w:t>供应商</w:t>
      </w:r>
      <w:r>
        <w:rPr>
          <w:rFonts w:eastAsia="宋体"/>
          <w:kern w:val="2"/>
          <w:sz w:val="21"/>
          <w:szCs w:val="21"/>
          <w:lang w:eastAsia="zh-CN"/>
        </w:rPr>
        <w:t>为</w:t>
      </w:r>
      <w:r>
        <w:rPr>
          <w:rFonts w:eastAsia="宋体" w:hint="eastAsia"/>
          <w:kern w:val="2"/>
          <w:sz w:val="21"/>
          <w:szCs w:val="21"/>
          <w:lang w:eastAsia="zh-CN"/>
        </w:rPr>
        <w:t>成交</w:t>
      </w:r>
      <w:r>
        <w:rPr>
          <w:rFonts w:ascii="宋体" w:eastAsia="宋体" w:hAnsi="宋体" w:hint="eastAsia"/>
          <w:bCs/>
          <w:kern w:val="2"/>
          <w:sz w:val="21"/>
          <w:szCs w:val="21"/>
          <w:lang w:eastAsia="zh-CN"/>
        </w:rPr>
        <w:t>候选</w:t>
      </w:r>
      <w:r>
        <w:rPr>
          <w:rFonts w:eastAsia="宋体" w:hint="eastAsia"/>
          <w:kern w:val="2"/>
          <w:sz w:val="21"/>
          <w:szCs w:val="21"/>
          <w:lang w:eastAsia="zh-CN"/>
        </w:rPr>
        <w:t>供应商</w:t>
      </w:r>
      <w:r>
        <w:rPr>
          <w:rFonts w:eastAsia="宋体"/>
          <w:kern w:val="2"/>
          <w:sz w:val="21"/>
          <w:szCs w:val="21"/>
          <w:lang w:eastAsia="zh-CN"/>
        </w:rPr>
        <w:t>的评</w:t>
      </w:r>
      <w:r>
        <w:rPr>
          <w:rFonts w:eastAsia="宋体" w:hint="eastAsia"/>
          <w:kern w:val="2"/>
          <w:sz w:val="21"/>
          <w:szCs w:val="21"/>
          <w:lang w:eastAsia="zh-CN"/>
        </w:rPr>
        <w:t>审</w:t>
      </w:r>
      <w:r>
        <w:rPr>
          <w:rFonts w:eastAsia="宋体"/>
          <w:kern w:val="2"/>
          <w:sz w:val="21"/>
          <w:szCs w:val="21"/>
          <w:lang w:eastAsia="zh-CN"/>
        </w:rPr>
        <w:t>方法。</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32</w:t>
      </w:r>
      <w:r>
        <w:rPr>
          <w:rFonts w:ascii="宋体" w:eastAsia="宋体" w:hAnsi="宋体" w:hint="eastAsia"/>
          <w:kern w:val="2"/>
          <w:sz w:val="21"/>
          <w:lang w:eastAsia="zh-CN"/>
        </w:rPr>
        <w:t>.2谈判小组向政府集中采购机构提交书面评审报告，并受采购人委托直接确定成交供应商。</w:t>
      </w:r>
    </w:p>
    <w:p>
      <w:pPr>
        <w:widowControl w:val="0"/>
        <w:jc w:val="both"/>
        <w:rPr>
          <w:rFonts w:ascii="黑体" w:eastAsia="黑体" w:hAnsi="宋体" w:hint="eastAsia"/>
          <w:kern w:val="2"/>
          <w:lang w:eastAsia="zh-CN"/>
        </w:rPr>
      </w:pPr>
      <w:r>
        <w:rPr>
          <w:rFonts w:ascii="黑体" w:eastAsia="黑体" w:hAnsi="宋体"/>
          <w:kern w:val="2"/>
          <w:lang w:eastAsia="zh-CN"/>
        </w:rPr>
        <w:t>33</w:t>
      </w:r>
      <w:r>
        <w:rPr>
          <w:rFonts w:ascii="黑体" w:eastAsia="黑体" w:hAnsi="宋体" w:hint="eastAsia"/>
          <w:kern w:val="2"/>
          <w:lang w:eastAsia="zh-CN"/>
        </w:rPr>
        <w:t>.谈判结果公示</w:t>
      </w:r>
    </w:p>
    <w:p>
      <w:pPr>
        <w:widowControl w:val="0"/>
        <w:wordWrap w:val="0"/>
        <w:ind w:firstLine="412" w:firstLineChars="196"/>
        <w:jc w:val="both"/>
        <w:rPr>
          <w:rFonts w:ascii="宋体" w:eastAsia="宋体" w:hAnsi="宋体" w:hint="eastAsia"/>
          <w:kern w:val="2"/>
          <w:sz w:val="21"/>
          <w:szCs w:val="21"/>
          <w:lang w:eastAsia="zh-CN"/>
        </w:rPr>
      </w:pPr>
      <w:r>
        <w:rPr>
          <w:rFonts w:ascii="宋体" w:eastAsia="宋体" w:hAnsi="宋体"/>
          <w:kern w:val="2"/>
          <w:sz w:val="21"/>
          <w:lang w:eastAsia="zh-CN"/>
        </w:rPr>
        <w:t>33</w:t>
      </w:r>
      <w:r>
        <w:rPr>
          <w:rFonts w:ascii="宋体" w:eastAsia="宋体" w:hAnsi="宋体" w:hint="eastAsia"/>
          <w:kern w:val="2"/>
          <w:sz w:val="21"/>
          <w:lang w:eastAsia="zh-CN"/>
        </w:rPr>
        <w:t>.1</w:t>
      </w:r>
      <w:r>
        <w:rPr>
          <w:rFonts w:ascii="宋体" w:eastAsia="宋体" w:hAnsi="宋体" w:hint="eastAsia"/>
          <w:kern w:val="2"/>
          <w:sz w:val="21"/>
          <w:szCs w:val="21"/>
          <w:lang w:eastAsia="zh-CN"/>
        </w:rPr>
        <w:t>为体现“公开、公平、公正”的原则，谈判结束后经采购人确认评审结果，政府集中采购机构将在</w:t>
      </w:r>
      <w:r>
        <w:rPr>
          <w:rFonts w:ascii="宋体" w:eastAsia="宋体" w:hAnsi="宋体" w:hint="eastAsia"/>
          <w:b/>
          <w:bCs/>
          <w:kern w:val="2"/>
          <w:sz w:val="21"/>
          <w:szCs w:val="21"/>
          <w:lang w:eastAsia="zh-CN"/>
        </w:rPr>
        <w:t>“深圳交易集团（深圳公共资源交易中心）官网https://www.szexgrp.com/jyfw/zfcg-view.html?id=zfcg”</w:t>
      </w:r>
      <w:r>
        <w:rPr>
          <w:rFonts w:ascii="宋体" w:eastAsia="宋体" w:hAnsi="宋体" w:hint="eastAsia"/>
          <w:kern w:val="2"/>
          <w:sz w:val="21"/>
          <w:szCs w:val="21"/>
          <w:lang w:eastAsia="zh-CN"/>
        </w:rPr>
        <w:t>上发布成交结果公告。供应商如对评审结果有异议，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提出。 监督电话：</w:t>
      </w:r>
      <w:r>
        <w:rPr>
          <w:rFonts w:ascii="宋体" w:eastAsia="宋体" w:hAnsi="宋体" w:hint="eastAsia"/>
          <w:kern w:val="2"/>
          <w:sz w:val="21"/>
          <w:szCs w:val="21"/>
          <w:lang w:eastAsia="zh-CN"/>
        </w:rPr>
        <w:t>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p>
      <w:pPr>
        <w:widowControl w:val="0"/>
        <w:tabs>
          <w:tab w:val="left" w:pos="-1080"/>
        </w:tabs>
        <w:ind w:firstLine="420" w:firstLineChars="200"/>
        <w:jc w:val="both"/>
        <w:rPr>
          <w:rFonts w:ascii="宋体" w:eastAsia="宋体" w:hAnsi="宋体" w:hint="eastAsia"/>
          <w:kern w:val="2"/>
          <w:sz w:val="21"/>
          <w:lang w:eastAsia="zh-CN"/>
        </w:rPr>
      </w:pPr>
      <w:r>
        <w:rPr>
          <w:rFonts w:ascii="宋体" w:eastAsia="宋体" w:hAnsi="宋体"/>
          <w:kern w:val="2"/>
          <w:sz w:val="21"/>
          <w:lang w:eastAsia="zh-CN"/>
        </w:rPr>
        <w:t>33</w:t>
      </w:r>
      <w:r>
        <w:rPr>
          <w:rFonts w:ascii="宋体" w:eastAsia="宋体" w:hAnsi="宋体" w:hint="eastAsia"/>
          <w:kern w:val="2"/>
          <w:sz w:val="21"/>
          <w:lang w:eastAsia="zh-CN"/>
        </w:rPr>
        <w:t>.2质疑、投诉供应商应保证质疑、投诉内容的真实性和可靠性，并承担相应的法律责任。</w:t>
      </w:r>
    </w:p>
    <w:p>
      <w:pPr>
        <w:widowControl w:val="0"/>
        <w:jc w:val="both"/>
        <w:rPr>
          <w:rFonts w:ascii="黑体" w:eastAsia="黑体" w:hAnsi="宋体" w:hint="eastAsia"/>
          <w:kern w:val="2"/>
          <w:lang w:eastAsia="zh-CN"/>
        </w:rPr>
      </w:pPr>
      <w:bookmarkStart w:id="72" w:name="_Toc78703971"/>
      <w:r>
        <w:rPr>
          <w:rFonts w:ascii="黑体" w:eastAsia="黑体" w:hAnsi="宋体"/>
          <w:kern w:val="2"/>
          <w:lang w:eastAsia="zh-CN"/>
        </w:rPr>
        <w:t>34.</w:t>
      </w:r>
      <w:r>
        <w:rPr>
          <w:rFonts w:ascii="黑体" w:eastAsia="黑体" w:hAnsi="宋体" w:hint="eastAsia"/>
          <w:kern w:val="2"/>
          <w:lang w:eastAsia="zh-CN"/>
        </w:rPr>
        <w:t>成交通知书</w:t>
      </w:r>
      <w:bookmarkEnd w:id="72"/>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lang w:eastAsia="zh-CN"/>
        </w:rPr>
        <w:t>34</w:t>
      </w:r>
      <w:r>
        <w:rPr>
          <w:rFonts w:ascii="宋体" w:eastAsia="宋体" w:hAnsi="宋体" w:hint="eastAsia"/>
          <w:kern w:val="2"/>
          <w:sz w:val="21"/>
          <w:lang w:eastAsia="zh-CN"/>
        </w:rPr>
        <w:t>.1采购结果公告公布以后,</w:t>
      </w:r>
      <w:r>
        <w:rPr>
          <w:rFonts w:ascii="宋体" w:eastAsia="宋体" w:hAnsi="宋体" w:hint="eastAsia"/>
          <w:kern w:val="2"/>
          <w:sz w:val="21"/>
          <w:szCs w:val="21"/>
          <w:lang w:eastAsia="zh-CN"/>
        </w:rPr>
        <w:t xml:space="preserve"> 公示期内无有效质疑投诉,成交供应商和采购人可自行在</w:t>
      </w:r>
      <w:r>
        <w:rPr>
          <w:rFonts w:ascii="宋体" w:eastAsia="宋体" w:hAnsi="宋体" w:hint="eastAsia"/>
          <w:b/>
          <w:bCs/>
          <w:kern w:val="2"/>
          <w:sz w:val="21"/>
          <w:szCs w:val="21"/>
          <w:lang w:eastAsia="zh-CN"/>
        </w:rPr>
        <w:t>“深圳市自行采购系统（https://trade.szggzy.com/ggzy/center/#/login）”上打印《中标（成交）通知书》</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34.2</w:t>
      </w:r>
      <w:r>
        <w:rPr>
          <w:rFonts w:ascii="宋体" w:eastAsia="宋体" w:hAnsi="宋体" w:hint="eastAsia"/>
          <w:kern w:val="2"/>
          <w:sz w:val="21"/>
          <w:szCs w:val="21"/>
          <w:lang w:eastAsia="zh-CN"/>
        </w:rPr>
        <w:t>成交通知书是合同的重要组成部分。</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34</w:t>
      </w:r>
      <w:r>
        <w:rPr>
          <w:rFonts w:ascii="宋体" w:eastAsia="宋体" w:hAnsi="宋体" w:hint="eastAsia"/>
          <w:kern w:val="2"/>
          <w:sz w:val="21"/>
          <w:szCs w:val="21"/>
          <w:lang w:eastAsia="zh-CN"/>
        </w:rPr>
        <w:t>.3因质疑投诉或其它原因导致项目结果变更或采购终止的，政府集中采购机构有权吊销成交通知书。</w:t>
      </w:r>
    </w:p>
    <w:p>
      <w:pPr>
        <w:widowControl w:val="0"/>
        <w:ind w:firstLine="412" w:firstLineChars="196"/>
        <w:jc w:val="both"/>
        <w:rPr>
          <w:rFonts w:ascii="宋体" w:eastAsia="宋体" w:hAnsi="宋体" w:hint="eastAsia"/>
          <w:kern w:val="2"/>
          <w:sz w:val="21"/>
          <w:szCs w:val="21"/>
          <w:lang w:eastAsia="zh-CN"/>
        </w:rPr>
      </w:pP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七、合同的授予与备案</w:t>
      </w:r>
    </w:p>
    <w:p>
      <w:pPr>
        <w:widowControl w:val="0"/>
        <w:jc w:val="both"/>
        <w:rPr>
          <w:rFonts w:ascii="黑体" w:eastAsia="黑体" w:hAnsi="宋体" w:hint="eastAsia"/>
          <w:kern w:val="2"/>
          <w:lang w:eastAsia="zh-CN"/>
        </w:rPr>
      </w:pPr>
      <w:bookmarkStart w:id="73" w:name="_Toc73517679"/>
      <w:bookmarkStart w:id="74" w:name="_Toc100052408"/>
      <w:bookmarkStart w:id="75" w:name="_Toc73521674"/>
      <w:bookmarkStart w:id="76" w:name="_Toc73518157"/>
      <w:bookmarkStart w:id="77" w:name="_Toc73521586"/>
      <w:r>
        <w:rPr>
          <w:rFonts w:ascii="黑体" w:eastAsia="黑体" w:hAnsi="宋体"/>
          <w:kern w:val="2"/>
          <w:lang w:eastAsia="zh-CN"/>
        </w:rPr>
        <w:t>35</w:t>
      </w:r>
      <w:r>
        <w:rPr>
          <w:rFonts w:ascii="黑体" w:eastAsia="黑体" w:hAnsi="宋体" w:hint="eastAsia"/>
          <w:kern w:val="2"/>
          <w:lang w:eastAsia="zh-CN"/>
        </w:rPr>
        <w:t>．合同授予标准</w:t>
      </w:r>
      <w:bookmarkEnd w:id="73"/>
      <w:bookmarkEnd w:id="74"/>
      <w:bookmarkEnd w:id="75"/>
      <w:bookmarkEnd w:id="76"/>
      <w:bookmarkEnd w:id="77"/>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本项目的合同将授予经本谈判文件规定评审确定的成交供应商。</w:t>
      </w:r>
    </w:p>
    <w:p>
      <w:pPr>
        <w:widowControl w:val="0"/>
        <w:jc w:val="both"/>
        <w:rPr>
          <w:rFonts w:ascii="黑体" w:eastAsia="黑体" w:hAnsi="宋体" w:hint="eastAsia"/>
          <w:kern w:val="2"/>
          <w:lang w:eastAsia="zh-CN"/>
        </w:rPr>
      </w:pPr>
      <w:bookmarkStart w:id="78" w:name="_Toc73518158"/>
      <w:bookmarkStart w:id="79" w:name="_Toc73521675"/>
      <w:bookmarkStart w:id="80" w:name="_Toc73521587"/>
      <w:bookmarkStart w:id="81" w:name="_Toc100052409"/>
      <w:bookmarkStart w:id="82" w:name="_Toc73517680"/>
      <w:r>
        <w:rPr>
          <w:rFonts w:ascii="黑体" w:eastAsia="黑体" w:hAnsi="宋体"/>
          <w:kern w:val="2"/>
          <w:lang w:eastAsia="zh-CN"/>
        </w:rPr>
        <w:t>36</w:t>
      </w:r>
      <w:r>
        <w:rPr>
          <w:rFonts w:ascii="黑体" w:eastAsia="黑体" w:hAnsi="宋体" w:hint="eastAsia"/>
          <w:kern w:val="2"/>
          <w:lang w:eastAsia="zh-CN"/>
        </w:rPr>
        <w:t>．</w:t>
      </w:r>
      <w:bookmarkEnd w:id="78"/>
      <w:bookmarkEnd w:id="79"/>
      <w:bookmarkEnd w:id="80"/>
      <w:bookmarkEnd w:id="81"/>
      <w:bookmarkEnd w:id="82"/>
      <w:r>
        <w:rPr>
          <w:rFonts w:ascii="黑体" w:eastAsia="黑体" w:hAnsi="宋体" w:hint="eastAsia"/>
          <w:kern w:val="2"/>
          <w:lang w:eastAsia="zh-CN"/>
        </w:rPr>
        <w:t>接受和拒绝任何或所有应答的权力</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谈判截止时间之前任何时候接受或拒绝任何应答或所有应答，以及宣布谈判无效的权力，对受影响的供应商不承担任何责任，也无义务向受影响的供应商解释采取这一行动的理由。</w:t>
      </w:r>
    </w:p>
    <w:p>
      <w:pPr>
        <w:widowControl w:val="0"/>
        <w:jc w:val="both"/>
        <w:rPr>
          <w:rFonts w:ascii="黑体" w:eastAsia="黑体" w:hAnsi="宋体" w:hint="eastAsia"/>
          <w:kern w:val="2"/>
          <w:lang w:eastAsia="zh-CN"/>
        </w:rPr>
      </w:pPr>
      <w:bookmarkStart w:id="83" w:name="_Toc73521677"/>
      <w:bookmarkStart w:id="84" w:name="_Toc73518160"/>
      <w:bookmarkStart w:id="85" w:name="_Toc100052410"/>
      <w:bookmarkStart w:id="86" w:name="_Toc73517682"/>
      <w:bookmarkStart w:id="87" w:name="_Toc73521589"/>
      <w:r>
        <w:rPr>
          <w:rFonts w:ascii="黑体" w:eastAsia="黑体" w:hAnsi="宋体"/>
          <w:kern w:val="2"/>
          <w:lang w:eastAsia="zh-CN"/>
        </w:rPr>
        <w:t>37</w:t>
      </w:r>
      <w:r>
        <w:rPr>
          <w:rFonts w:ascii="黑体" w:eastAsia="黑体" w:hAnsi="宋体" w:hint="eastAsia"/>
          <w:kern w:val="2"/>
          <w:lang w:eastAsia="zh-CN"/>
        </w:rPr>
        <w:t>．合同的签订</w:t>
      </w:r>
      <w:bookmarkEnd w:id="83"/>
      <w:bookmarkEnd w:id="84"/>
      <w:bookmarkEnd w:id="85"/>
      <w:bookmarkEnd w:id="86"/>
      <w:bookmarkEnd w:id="87"/>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.1成交供应商将于成交通知书发出之日起十个工作日内，按照采购文件和谈判应答内容与采购人签订政府采购合同；合同的实质性内容应当符合谈判文件的规定；</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.2成交供应商如不按本通用条款第</w:t>
      </w:r>
      <w:r>
        <w:rPr>
          <w:rFonts w:ascii="宋体" w:eastAsia="宋体" w:hAnsi="宋体"/>
          <w:kern w:val="2"/>
          <w:sz w:val="21"/>
          <w:szCs w:val="21"/>
          <w:lang w:eastAsia="zh-CN"/>
        </w:rPr>
        <w:t>37.1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37</w:t>
      </w:r>
      <w:r>
        <w:rPr>
          <w:rFonts w:ascii="宋体" w:eastAsia="宋体" w:hAnsi="宋体" w:hint="eastAsia"/>
          <w:kern w:val="2"/>
          <w:sz w:val="21"/>
          <w:szCs w:val="21"/>
          <w:lang w:eastAsia="zh-CN"/>
        </w:rPr>
        <w:t>.3成交供应商应当按照合同约定履行义务，完成成交项目，不得将成交项目转让（转包）给他人。</w:t>
      </w:r>
    </w:p>
    <w:p>
      <w:pPr>
        <w:widowControl w:val="0"/>
        <w:jc w:val="both"/>
        <w:rPr>
          <w:rFonts w:ascii="黑体" w:eastAsia="黑体" w:hAnsi="宋体" w:hint="eastAsia"/>
          <w:kern w:val="2"/>
          <w:lang w:eastAsia="zh-CN"/>
        </w:rPr>
      </w:pPr>
      <w:bookmarkStart w:id="88" w:name="_Toc73521678"/>
      <w:bookmarkStart w:id="89" w:name="_Toc73521590"/>
      <w:bookmarkStart w:id="90" w:name="_Toc100052411"/>
      <w:bookmarkStart w:id="91" w:name="_Toc73517683"/>
      <w:bookmarkStart w:id="92" w:name="_Toc73518161"/>
      <w:r>
        <w:rPr>
          <w:rFonts w:ascii="黑体" w:eastAsia="黑体" w:hAnsi="宋体"/>
          <w:kern w:val="2"/>
          <w:lang w:eastAsia="zh-CN"/>
        </w:rPr>
        <w:t>38</w:t>
      </w:r>
      <w:r>
        <w:rPr>
          <w:rFonts w:ascii="黑体" w:eastAsia="黑体" w:hAnsi="宋体" w:hint="eastAsia"/>
          <w:kern w:val="2"/>
          <w:lang w:eastAsia="zh-CN"/>
        </w:rPr>
        <w:t>．履约担保</w:t>
      </w:r>
      <w:bookmarkEnd w:id="88"/>
      <w:bookmarkEnd w:id="89"/>
      <w:bookmarkEnd w:id="90"/>
      <w:bookmarkEnd w:id="91"/>
      <w:bookmarkEnd w:id="92"/>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38</w:t>
      </w:r>
      <w:r>
        <w:rPr>
          <w:rFonts w:ascii="宋体" w:eastAsia="宋体" w:hAnsi="宋体" w:hint="eastAsia"/>
          <w:kern w:val="2"/>
          <w:sz w:val="21"/>
          <w:szCs w:val="21"/>
          <w:lang w:eastAsia="zh-CN"/>
        </w:rPr>
        <w:t>.1在签订项目合同的同时，成交供应商应按“对谈判须知条款的补充内容”中规定的金额向采购人提交履约担保；</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38</w:t>
      </w:r>
      <w:r>
        <w:rPr>
          <w:rFonts w:ascii="宋体" w:eastAsia="宋体" w:hAnsi="宋体" w:hint="eastAsia"/>
          <w:kern w:val="2"/>
          <w:sz w:val="21"/>
          <w:szCs w:val="21"/>
          <w:lang w:eastAsia="zh-CN"/>
        </w:rPr>
        <w:t>.2，允许供应商自主选择以支票、汇票、本票、保函等非现金方式提交履约担保；</w:t>
      </w:r>
      <w:r>
        <w:rPr>
          <w:rFonts w:eastAsia="宋体" w:hint="eastAsia"/>
          <w:kern w:val="2"/>
          <w:sz w:val="21"/>
          <w:lang w:eastAsia="zh-CN"/>
        </w:rPr>
        <w:t>成交供应商</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w:t>
      </w:r>
      <w:r>
        <w:rPr>
          <w:rFonts w:eastAsia="宋体" w:hint="eastAsia"/>
          <w:kern w:val="2"/>
          <w:sz w:val="21"/>
          <w:lang w:eastAsia="zh-CN"/>
        </w:rPr>
        <w:t>成交供应商</w:t>
      </w:r>
      <w:r>
        <w:rPr>
          <w:rFonts w:eastAsia="宋体"/>
          <w:kern w:val="2"/>
          <w:sz w:val="21"/>
          <w:lang w:eastAsia="zh-CN"/>
        </w:rPr>
        <w:t>提供除法律、法规明确规定外的其他担保</w:t>
      </w:r>
      <w:r>
        <w:rPr>
          <w:rFonts w:eastAsia="宋体" w:hint="eastAsia"/>
          <w:kern w:val="2"/>
          <w:sz w:val="21"/>
          <w:lang w:eastAsia="zh-CN"/>
        </w:rPr>
        <w:t>。</w:t>
      </w:r>
    </w:p>
    <w:p>
      <w:pPr>
        <w:widowControl w:val="0"/>
        <w:jc w:val="both"/>
        <w:rPr>
          <w:rFonts w:ascii="黑体" w:eastAsia="黑体" w:hAnsi="宋体" w:hint="eastAsia"/>
          <w:kern w:val="2"/>
          <w:lang w:eastAsia="zh-CN"/>
        </w:rPr>
      </w:pPr>
      <w:r>
        <w:rPr>
          <w:rFonts w:ascii="黑体" w:eastAsia="黑体" w:hAnsi="宋体"/>
          <w:kern w:val="2"/>
          <w:lang w:eastAsia="zh-CN"/>
        </w:rPr>
        <w:t>39</w:t>
      </w:r>
      <w:r>
        <w:rPr>
          <w:rFonts w:ascii="黑体" w:eastAsia="黑体" w:hAnsi="宋体" w:hint="eastAsia"/>
          <w:kern w:val="2"/>
          <w:lang w:eastAsia="zh-CN"/>
        </w:rPr>
        <w:t>. 合同备案</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采购人与成交供应商应自成交通知书发出之日起10个工作日内签订采购合同，并按采购人内控制度规定提交备案。</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0</w:t>
      </w:r>
      <w:r>
        <w:rPr>
          <w:rFonts w:ascii="黑体" w:eastAsia="黑体" w:hAnsi="宋体" w:hint="eastAsia"/>
          <w:kern w:val="2"/>
          <w:lang w:eastAsia="zh-CN"/>
        </w:rPr>
        <w:t>. 合同变更</w:t>
      </w:r>
    </w:p>
    <w:p>
      <w:pPr>
        <w:widowControl w:val="0"/>
        <w:ind w:firstLine="412" w:firstLineChars="196"/>
        <w:jc w:val="both"/>
        <w:rPr>
          <w:rFonts w:ascii="宋体" w:eastAsia="宋体" w:hAnsi="宋体" w:hint="eastAsia"/>
          <w:kern w:val="2"/>
          <w:sz w:val="21"/>
          <w:szCs w:val="21"/>
          <w:lang w:eastAsia="zh-CN"/>
        </w:rPr>
      </w:pPr>
      <w:bookmarkStart w:id="93" w:name="_Hlk72666335"/>
      <w:r>
        <w:rPr>
          <w:rFonts w:ascii="宋体" w:eastAsia="宋体" w:hAnsi="宋体" w:hint="eastAsia"/>
          <w:kern w:val="2"/>
          <w:sz w:val="21"/>
          <w:szCs w:val="21"/>
          <w:lang w:eastAsia="zh-CN"/>
        </w:rPr>
        <w:t>合同变更事宜参照《深圳市财政局关于优化政府采购合同备案的通知》（深财发保〔2022〕2号）相关规定执行。</w:t>
      </w:r>
    </w:p>
    <w:p>
      <w:pPr>
        <w:widowControl w:val="0"/>
        <w:jc w:val="both"/>
        <w:rPr>
          <w:rFonts w:ascii="黑体" w:eastAsia="黑体" w:hAnsi="宋体" w:hint="eastAsia"/>
          <w:kern w:val="2"/>
          <w:lang w:eastAsia="zh-CN"/>
        </w:rPr>
      </w:pPr>
      <w:r>
        <w:rPr>
          <w:rFonts w:ascii="黑体" w:eastAsia="黑体" w:hAnsi="宋体" w:hint="eastAsia"/>
          <w:kern w:val="2"/>
          <w:lang w:eastAsia="zh-CN"/>
        </w:rPr>
        <w:t>4</w:t>
      </w:r>
      <w:r>
        <w:rPr>
          <w:rFonts w:ascii="黑体" w:eastAsia="黑体" w:hAnsi="宋体"/>
          <w:kern w:val="2"/>
          <w:lang w:eastAsia="zh-CN"/>
        </w:rPr>
        <w:t>1</w:t>
      </w:r>
      <w:r>
        <w:rPr>
          <w:rFonts w:ascii="黑体" w:eastAsia="黑体" w:hAnsi="宋体" w:hint="eastAsia"/>
          <w:kern w:val="2"/>
          <w:lang w:eastAsia="zh-CN"/>
        </w:rPr>
        <w:t>. 项目验收</w:t>
      </w:r>
    </w:p>
    <w:p>
      <w:pPr>
        <w:widowControl/>
        <w:ind w:right="176" w:firstLine="420"/>
        <w:jc w:val="left"/>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1</w:t>
      </w:r>
      <w:r>
        <w:rPr>
          <w:rFonts w:ascii="宋体" w:eastAsia="宋体" w:hAnsi="宋体" w:hint="eastAsia"/>
          <w:kern w:val="2"/>
          <w:sz w:val="21"/>
          <w:lang w:eastAsia="zh-CN"/>
        </w:rPr>
        <w:t>.1采购人应当按照谈判文件和合同规定的标准和方法，及时组织验收。</w:t>
      </w:r>
      <w:r>
        <w:rPr>
          <w:rFonts w:ascii="宋体" w:eastAsia="宋体" w:hAnsi="宋体"/>
          <w:kern w:val="2"/>
          <w:sz w:val="21"/>
          <w:lang w:eastAsia="zh-CN"/>
        </w:rPr>
        <w:t xml:space="preserve"> </w:t>
      </w:r>
    </w:p>
    <w:p>
      <w:pPr>
        <w:widowControl w:val="0"/>
        <w:jc w:val="both"/>
        <w:rPr>
          <w:rFonts w:ascii="黑体" w:eastAsia="黑体" w:hAnsi="宋体" w:hint="eastAsia"/>
          <w:kern w:val="2"/>
          <w:lang w:eastAsia="zh-CN"/>
        </w:rPr>
      </w:pPr>
      <w:r>
        <w:rPr>
          <w:rFonts w:ascii="黑体" w:eastAsia="黑体" w:hAnsi="宋体"/>
          <w:kern w:val="2"/>
          <w:lang w:eastAsia="zh-CN"/>
        </w:rPr>
        <w:t>42</w:t>
      </w:r>
      <w:r>
        <w:rPr>
          <w:rFonts w:ascii="黑体" w:eastAsia="黑体" w:hAnsi="宋体" w:hint="eastAsia"/>
          <w:kern w:val="2"/>
          <w:lang w:eastAsia="zh-CN"/>
        </w:rPr>
        <w:t>. 宣传</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hint="eastAsia"/>
          <w:kern w:val="2"/>
          <w:sz w:val="21"/>
          <w:lang w:eastAsia="zh-CN"/>
        </w:rPr>
        <w:t>凡与自行采购活动有关的宣传或广告，若当中提及自行采购，</w:t>
      </w:r>
      <w:r>
        <w:rPr>
          <w:rFonts w:ascii="宋体" w:eastAsia="宋体" w:hAnsi="宋体"/>
          <w:kern w:val="2"/>
          <w:sz w:val="21"/>
          <w:lang w:eastAsia="zh-CN"/>
        </w:rPr>
        <w:t>必须事先将具体对外宣传方案报</w:t>
      </w:r>
      <w:r>
        <w:rPr>
          <w:rFonts w:ascii="宋体" w:eastAsia="宋体" w:hAnsi="宋体" w:hint="eastAsia"/>
          <w:kern w:val="2"/>
          <w:sz w:val="21"/>
          <w:szCs w:val="21"/>
          <w:lang w:eastAsia="zh-CN"/>
        </w:rPr>
        <w:t>采购人预算主管部门</w:t>
      </w:r>
      <w:r>
        <w:rPr>
          <w:rFonts w:ascii="宋体" w:eastAsia="宋体" w:hAnsi="宋体"/>
          <w:kern w:val="2"/>
          <w:sz w:val="21"/>
          <w:lang w:eastAsia="zh-CN"/>
        </w:rPr>
        <w:t>，并征得其同意。对外市场宣传包括但不限于以下形式：</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kern w:val="2"/>
          <w:sz w:val="21"/>
          <w:lang w:eastAsia="zh-CN"/>
        </w:rPr>
        <w:t>a.名片、宣传册、广告标语等；</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kern w:val="2"/>
          <w:sz w:val="21"/>
          <w:lang w:eastAsia="zh-CN"/>
        </w:rPr>
        <w:t>b.案例介绍、推广等；</w:t>
      </w:r>
    </w:p>
    <w:p>
      <w:pPr>
        <w:widowControl w:val="0"/>
        <w:ind w:left="240" w:firstLine="412" w:leftChars="100" w:firstLineChars="196"/>
        <w:jc w:val="both"/>
        <w:rPr>
          <w:rFonts w:ascii="宋体" w:eastAsia="宋体" w:hAnsi="宋体" w:hint="eastAsia"/>
          <w:kern w:val="2"/>
          <w:sz w:val="21"/>
          <w:lang w:eastAsia="zh-CN"/>
        </w:rPr>
      </w:pPr>
      <w:r>
        <w:rPr>
          <w:rFonts w:ascii="宋体" w:eastAsia="宋体" w:hAnsi="宋体" w:hint="eastAsia"/>
          <w:kern w:val="2"/>
          <w:sz w:val="21"/>
          <w:lang w:eastAsia="zh-CN"/>
        </w:rPr>
        <w:t>c.工作</w:t>
      </w:r>
      <w:r>
        <w:rPr>
          <w:rFonts w:ascii="宋体" w:eastAsia="宋体" w:hAnsi="宋体"/>
          <w:kern w:val="2"/>
          <w:sz w:val="21"/>
          <w:lang w:eastAsia="zh-CN"/>
        </w:rPr>
        <w:t>人员向其他消费群体宣传。</w:t>
      </w:r>
    </w:p>
    <w:p>
      <w:pPr>
        <w:widowControl w:val="0"/>
        <w:jc w:val="both"/>
        <w:rPr>
          <w:rFonts w:ascii="黑体" w:eastAsia="黑体" w:hAnsi="宋体" w:hint="eastAsia"/>
          <w:kern w:val="2"/>
          <w:lang w:eastAsia="zh-CN"/>
        </w:rPr>
      </w:pPr>
      <w:r>
        <w:rPr>
          <w:rFonts w:ascii="黑体" w:eastAsia="黑体" w:hAnsi="宋体"/>
          <w:kern w:val="2"/>
          <w:lang w:eastAsia="zh-CN"/>
        </w:rPr>
        <w:t>43</w:t>
      </w:r>
      <w:r>
        <w:rPr>
          <w:rFonts w:ascii="黑体" w:eastAsia="黑体" w:hAnsi="宋体" w:hint="eastAsia"/>
          <w:kern w:val="2"/>
          <w:lang w:eastAsia="zh-CN"/>
        </w:rPr>
        <w:t>. 供应商违法责任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43.1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（5）与其他采购参加人串通投标（谈判）的；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43.2 </w:t>
      </w:r>
      <w:r>
        <w:rPr>
          <w:rFonts w:ascii="宋体" w:eastAsia="宋体" w:hAnsi="宋体" w:hint="eastAsia"/>
          <w:kern w:val="2"/>
          <w:sz w:val="21"/>
          <w:szCs w:val="21"/>
          <w:lang w:eastAsia="zh-CN"/>
        </w:rPr>
        <w:t>根据《深圳市财政局关于调整政府采购投标（响应）保证金管理政策的通知 》（深财购〔2021〕51 号）的要求，供应商在政府采购活动中出现《深圳经济特区政府采购条例实施细则》</w:t>
      </w:r>
      <w:bookmarkStart w:id="94" w:name="_Hlk72440717"/>
      <w:r>
        <w:rPr>
          <w:rFonts w:ascii="宋体" w:eastAsia="宋体" w:hAnsi="宋体" w:hint="eastAsia"/>
          <w:kern w:val="2"/>
          <w:sz w:val="21"/>
          <w:szCs w:val="21"/>
          <w:lang w:eastAsia="zh-CN"/>
        </w:rPr>
        <w:t>第八十条所列情形的</w:t>
      </w:r>
      <w:bookmarkEnd w:id="94"/>
      <w:r>
        <w:rPr>
          <w:rFonts w:ascii="宋体" w:eastAsia="宋体" w:hAnsi="宋体" w:hint="eastAsia"/>
          <w:kern w:val="2"/>
          <w:sz w:val="21"/>
          <w:szCs w:val="21"/>
          <w:lang w:eastAsia="zh-CN"/>
        </w:rPr>
        <w:t xml:space="preserve">，政府集中采购机构或采购人不予退还其交纳的谈判保证金，情节严重的，并由主管部门记入供应商诚信档案，予以通报：， </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w:t>
      </w:r>
      <w:r>
        <w:rPr>
          <w:rFonts w:ascii="宋体" w:eastAsia="宋体" w:hAnsi="宋体" w:hint="eastAsia"/>
          <w:kern w:val="2"/>
          <w:sz w:val="21"/>
          <w:szCs w:val="21"/>
          <w:lang w:eastAsia="zh-CN"/>
        </w:rPr>
        <w:t>谈判</w:t>
      </w:r>
      <w:r>
        <w:rPr>
          <w:rFonts w:ascii="宋体" w:eastAsia="宋体" w:hAnsi="宋体"/>
          <w:kern w:val="2"/>
          <w:sz w:val="21"/>
          <w:szCs w:val="21"/>
          <w:lang w:eastAsia="zh-CN"/>
        </w:rPr>
        <w:t>截止</w:t>
      </w:r>
      <w:r>
        <w:rPr>
          <w:rFonts w:ascii="宋体" w:eastAsia="宋体" w:hAnsi="宋体" w:hint="eastAsia"/>
          <w:kern w:val="2"/>
          <w:sz w:val="21"/>
          <w:szCs w:val="21"/>
          <w:lang w:eastAsia="zh-CN"/>
        </w:rPr>
        <w:t>时间</w:t>
      </w:r>
      <w:r>
        <w:rPr>
          <w:rFonts w:ascii="宋体" w:eastAsia="宋体" w:hAnsi="宋体"/>
          <w:kern w:val="2"/>
          <w:sz w:val="21"/>
          <w:szCs w:val="21"/>
          <w:lang w:eastAsia="zh-CN"/>
        </w:rPr>
        <w:t>后，撤销</w:t>
      </w:r>
      <w:r>
        <w:rPr>
          <w:rFonts w:ascii="宋体" w:eastAsia="宋体" w:hAnsi="宋体" w:hint="eastAsia"/>
          <w:kern w:val="2"/>
          <w:sz w:val="21"/>
          <w:szCs w:val="21"/>
          <w:lang w:eastAsia="zh-CN"/>
        </w:rPr>
        <w:t>应答</w:t>
      </w:r>
      <w:r>
        <w:rPr>
          <w:rFonts w:ascii="宋体" w:eastAsia="宋体" w:hAnsi="宋体"/>
          <w:kern w:val="2"/>
          <w:sz w:val="21"/>
          <w:szCs w:val="21"/>
          <w:lang w:eastAsia="zh-CN"/>
        </w:rPr>
        <w:t>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w:t>
      </w:r>
      <w:r>
        <w:rPr>
          <w:rFonts w:ascii="宋体" w:eastAsia="宋体" w:hAnsi="宋体" w:hint="eastAsia"/>
          <w:kern w:val="2"/>
          <w:sz w:val="21"/>
          <w:szCs w:val="21"/>
          <w:lang w:eastAsia="zh-CN"/>
        </w:rPr>
        <w:t>成交</w:t>
      </w:r>
      <w:r>
        <w:rPr>
          <w:rFonts w:ascii="宋体" w:eastAsia="宋体" w:hAnsi="宋体"/>
          <w:kern w:val="2"/>
          <w:sz w:val="21"/>
          <w:szCs w:val="21"/>
          <w:lang w:eastAsia="zh-CN"/>
        </w:rPr>
        <w:t>后无正当理由未在规定期限内签订合同的；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w:t>
      </w:r>
      <w:r>
        <w:rPr>
          <w:rFonts w:ascii="宋体" w:eastAsia="宋体" w:hAnsi="宋体" w:hint="eastAsia"/>
          <w:kern w:val="2"/>
          <w:sz w:val="21"/>
          <w:szCs w:val="21"/>
          <w:lang w:eastAsia="zh-CN"/>
        </w:rPr>
        <w:t>成交</w:t>
      </w:r>
      <w:r>
        <w:rPr>
          <w:rFonts w:ascii="宋体" w:eastAsia="宋体" w:hAnsi="宋体"/>
          <w:kern w:val="2"/>
          <w:sz w:val="21"/>
          <w:szCs w:val="21"/>
          <w:lang w:eastAsia="zh-CN"/>
        </w:rPr>
        <w:t>项目转让给他人或者在</w:t>
      </w:r>
      <w:r>
        <w:rPr>
          <w:rFonts w:ascii="宋体" w:eastAsia="宋体" w:hAnsi="宋体" w:hint="eastAsia"/>
          <w:kern w:val="2"/>
          <w:sz w:val="21"/>
          <w:szCs w:val="21"/>
          <w:lang w:eastAsia="zh-CN"/>
        </w:rPr>
        <w:t>应答</w:t>
      </w:r>
      <w:r>
        <w:rPr>
          <w:rFonts w:ascii="宋体" w:eastAsia="宋体" w:hAnsi="宋体"/>
          <w:kern w:val="2"/>
          <w:sz w:val="21"/>
          <w:szCs w:val="21"/>
          <w:lang w:eastAsia="zh-CN"/>
        </w:rPr>
        <w:t>文件中未说明且未经采购人、政府集中采购机构同意，将</w:t>
      </w:r>
      <w:r>
        <w:rPr>
          <w:rFonts w:ascii="宋体" w:eastAsia="宋体" w:hAnsi="宋体" w:hint="eastAsia"/>
          <w:kern w:val="2"/>
          <w:sz w:val="21"/>
          <w:szCs w:val="21"/>
          <w:lang w:eastAsia="zh-CN"/>
        </w:rPr>
        <w:t>成交</w:t>
      </w:r>
      <w:r>
        <w:rPr>
          <w:rFonts w:ascii="宋体" w:eastAsia="宋体" w:hAnsi="宋体"/>
          <w:kern w:val="2"/>
          <w:sz w:val="21"/>
          <w:szCs w:val="21"/>
          <w:lang w:eastAsia="zh-CN"/>
        </w:rPr>
        <w:t>项目分包给他人的；</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keepNext/>
        <w:keepLines/>
        <w:widowControl w:val="0"/>
        <w:adjustRightInd w:val="0"/>
        <w:snapToGrid w:val="0"/>
        <w:jc w:val="center"/>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八、质疑处理</w:t>
      </w:r>
    </w:p>
    <w:p>
      <w:pPr>
        <w:widowControl w:val="0"/>
        <w:jc w:val="both"/>
        <w:rPr>
          <w:rFonts w:ascii="黑体" w:eastAsia="黑体" w:hAnsi="宋体" w:hint="eastAsia"/>
          <w:kern w:val="2"/>
          <w:lang w:eastAsia="zh-CN"/>
        </w:rPr>
      </w:pPr>
      <w:r>
        <w:rPr>
          <w:rFonts w:ascii="黑体" w:eastAsia="黑体" w:hAnsi="宋体"/>
          <w:kern w:val="2"/>
          <w:lang w:eastAsia="zh-CN"/>
        </w:rPr>
        <w:t>44</w:t>
      </w:r>
      <w:r>
        <w:rPr>
          <w:rFonts w:ascii="黑体" w:eastAsia="黑体" w:hAnsi="宋体" w:hint="eastAsia"/>
          <w:kern w:val="2"/>
          <w:lang w:eastAsia="zh-CN"/>
        </w:rPr>
        <w:t>.质疑提出与答复</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.1提出质疑</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参与政府采购活动的供应商认为自己的权益在采购活动中受到损害的，应当自知道或者应当知道其权益受到损害之日起七个工作日内向采购人、政府集中采购机构以书面形式提出质疑。</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.2</w:t>
      </w:r>
      <w:r>
        <w:rPr>
          <w:rFonts w:ascii="宋体" w:eastAsia="宋体" w:hAnsi="宋体"/>
          <w:kern w:val="2"/>
          <w:sz w:val="21"/>
          <w:szCs w:val="21"/>
          <w:lang w:eastAsia="zh-CN"/>
        </w:rPr>
        <w:t>法律依据</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hint="eastAsia"/>
          <w:color w:val="FF0000"/>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.3质疑条件</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.3.1提出质疑的供应商应当是参与所质疑项目采购活动的供应商；</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bookmarkStart w:id="95" w:name="_Hlk72666302"/>
      <w:r>
        <w:rPr>
          <w:rFonts w:ascii="宋体" w:eastAsia="宋体" w:hAnsi="宋体"/>
          <w:kern w:val="2"/>
          <w:sz w:val="21"/>
          <w:szCs w:val="21"/>
          <w:lang w:eastAsia="zh-CN"/>
        </w:rPr>
        <w:t>44</w:t>
      </w:r>
      <w:r>
        <w:rPr>
          <w:rFonts w:ascii="宋体" w:eastAsia="宋体" w:hAnsi="宋体" w:hint="eastAsia"/>
          <w:kern w:val="2"/>
          <w:sz w:val="21"/>
          <w:szCs w:val="21"/>
          <w:lang w:eastAsia="zh-CN"/>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95"/>
    </w:p>
    <w:p>
      <w:pPr>
        <w:widowControl w:val="0"/>
        <w:ind w:firstLine="42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.3.3应提交书面质疑函，质疑函应当包括以下内容：</w:t>
      </w:r>
      <w:r>
        <w:rPr>
          <w:rFonts w:ascii="宋体" w:eastAsia="宋体" w:hAnsi="宋体"/>
          <w:kern w:val="2"/>
          <w:sz w:val="21"/>
          <w:szCs w:val="21"/>
          <w:lang w:eastAsia="zh-CN"/>
        </w:rPr>
        <w:t xml:space="preserve"> </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地址：深圳公共资源交易中心（深圳交易集团有限公司政府采购业务分公司）深圳市南山区沙河西路3185号南山智谷A座（深圳交易集团总部大楼）27楼，质疑咨询电话：0755-86500050。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8"/>
          <w:szCs w:val="28"/>
          <w:lang w:eastAsia="zh-CN"/>
        </w:rPr>
      </w:pPr>
      <w:r>
        <w:rPr>
          <w:rFonts w:ascii="宋体" w:eastAsia="宋体" w:hAnsi="宋体"/>
          <w:kern w:val="2"/>
          <w:sz w:val="21"/>
          <w:szCs w:val="21"/>
          <w:lang w:eastAsia="zh-CN"/>
        </w:rPr>
        <w:t>44</w:t>
      </w:r>
      <w:r>
        <w:rPr>
          <w:rFonts w:ascii="宋体" w:eastAsia="宋体" w:hAnsi="宋体" w:hint="eastAsia"/>
          <w:kern w:val="2"/>
          <w:sz w:val="21"/>
          <w:szCs w:val="21"/>
          <w:lang w:eastAsia="zh-CN"/>
        </w:rPr>
        <w:t>.6.2供应商提交的质疑材料不符合质疑条件的，视情况处理：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jc w:val="both"/>
        <w:rPr>
          <w:rFonts w:ascii="宋体" w:eastAsia="宋体" w:hAnsi="宋体" w:hint="eastAsia"/>
          <w:kern w:val="2"/>
          <w:sz w:val="21"/>
          <w:szCs w:val="21"/>
          <w:lang w:eastAsia="zh-CN"/>
        </w:rPr>
      </w:pPr>
      <w:r>
        <w:rPr>
          <w:rFonts w:ascii="宋体" w:eastAsia="宋体" w:hAnsi="宋体" w:hint="eastAsia"/>
          <w:color w:val="FF0000"/>
          <w:kern w:val="2"/>
          <w:sz w:val="21"/>
          <w:szCs w:val="21"/>
          <w:lang w:eastAsia="zh-CN"/>
        </w:rPr>
        <w:t xml:space="preserve">  </w:t>
      </w: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.7质疑答复时限</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自收文之日起七个工作日内。</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44</w:t>
      </w:r>
      <w:r>
        <w:rPr>
          <w:rFonts w:ascii="宋体" w:eastAsia="宋体" w:hAnsi="宋体" w:hint="eastAsia"/>
          <w:kern w:val="2"/>
          <w:sz w:val="21"/>
          <w:szCs w:val="21"/>
          <w:lang w:eastAsia="zh-CN"/>
        </w:rPr>
        <w:t>.8投诉</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对质疑答复不满意或者未在规定时间内答复的，提出质疑的供应商可以在答复期满后15个工作日内向本项目预算主管单位投诉。</w:t>
      </w:r>
    </w:p>
    <w:p>
      <w:pPr>
        <w:widowControl w:val="0"/>
        <w:jc w:val="both"/>
        <w:rPr>
          <w:rFonts w:ascii="黑体" w:eastAsia="黑体" w:hAnsi="宋体" w:hint="eastAsia"/>
          <w:kern w:val="2"/>
          <w:lang w:eastAsia="zh-CN"/>
        </w:rPr>
      </w:pPr>
      <w:r>
        <w:rPr>
          <w:rFonts w:ascii="黑体" w:eastAsia="黑体" w:hAnsi="宋体"/>
          <w:kern w:val="2"/>
          <w:lang w:eastAsia="zh-CN"/>
        </w:rPr>
        <w:t>45</w:t>
      </w:r>
      <w:r>
        <w:rPr>
          <w:rFonts w:ascii="黑体" w:eastAsia="黑体" w:hAnsi="宋体" w:hint="eastAsia"/>
          <w:kern w:val="2"/>
          <w:lang w:eastAsia="zh-CN"/>
        </w:rPr>
        <w:t>. 质疑后续处理</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45</w:t>
      </w:r>
      <w:r>
        <w:rPr>
          <w:rFonts w:ascii="宋体" w:eastAsia="宋体" w:hAnsi="宋体" w:hint="eastAsia"/>
          <w:kern w:val="2"/>
          <w:sz w:val="21"/>
          <w:szCs w:val="21"/>
          <w:lang w:eastAsia="zh-CN"/>
        </w:rPr>
        <w:t>.1供应商质疑不成立，或者成立但未对中标、成交结果构成影响的，继续开展采购活动。</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r>
        <w:rPr>
          <w:rFonts w:ascii="宋体" w:eastAsia="宋体" w:hAnsi="宋体"/>
          <w:kern w:val="2"/>
          <w:sz w:val="21"/>
          <w:szCs w:val="21"/>
          <w:lang w:eastAsia="zh-CN"/>
        </w:rPr>
        <w:t>45</w:t>
      </w:r>
      <w:r>
        <w:rPr>
          <w:rFonts w:ascii="宋体" w:eastAsia="宋体" w:hAnsi="宋体" w:hint="eastAsia"/>
          <w:kern w:val="2"/>
          <w:sz w:val="21"/>
          <w:szCs w:val="21"/>
          <w:lang w:eastAsia="zh-CN"/>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93"/>
    </w:p>
    <w:p>
      <w:pPr>
        <w:widowControl w:val="0"/>
        <w:jc w:val="center"/>
        <w:rPr>
          <w:rFonts w:eastAsia="宋体"/>
          <w:kern w:val="2"/>
          <w:sz w:val="21"/>
          <w:lang w:eastAsia="zh-CN"/>
        </w:rPr>
      </w:pPr>
      <w:r>
        <w:rPr>
          <w:rFonts w:eastAsia="宋体"/>
          <w:kern w:val="2"/>
          <w:sz w:val="21"/>
          <w:lang w:eastAsia="zh-CN"/>
        </w:rPr>
        <w:t>---- END ----</w:t>
      </w: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spacing w:line="360" w:lineRule="auto"/>
        <w:ind w:firstLine="560"/>
        <w:jc w:val="left"/>
        <w:rPr>
          <w:rFonts w:eastAsia="宋体"/>
          <w:kern w:val="2"/>
          <w:sz w:val="21"/>
          <w:lang w:eastAsia="zh-CN"/>
        </w:rPr>
      </w:pPr>
    </w:p>
    <w:p>
      <w:pPr>
        <w:widowControl w:val="0"/>
        <w:jc w:val="both"/>
        <w:rPr>
          <w:rFonts w:eastAsia="宋体"/>
          <w:kern w:val="2"/>
          <w:sz w:val="21"/>
          <w:lang w:eastAsia="zh-CN"/>
        </w:rPr>
        <w:sectPr>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仿宋" w:eastAsia="仿宋" w:hAnsi="仿宋" w:cs="仿宋"/>
          <w:b/>
          <w:bCs/>
          <w:color w:val="333333"/>
          <w:sz w:val="28"/>
          <w:szCs w:val="28"/>
          <w:lang w:val="en" w:eastAsia="en"/>
        </w:rPr>
      </w:pPr>
      <w:r>
        <w:rPr>
          <w:rFonts w:ascii="仿宋" w:eastAsia="仿宋" w:hAnsi="仿宋" w:cs="仿宋"/>
          <w:b/>
          <w:bCs/>
          <w:color w:val="333333"/>
          <w:sz w:val="28"/>
          <w:szCs w:val="28"/>
          <w:lang w:val="en" w:eastAsia="en"/>
        </w:rPr>
        <w:t>社会组织“多证合一、一证一码”项目-A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文件夹/文件名称</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采购应答及履约承诺函</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供应商情况及资格证明文件</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项目详细报价</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谈判应答文件签署授权委托书</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其他招标文件要求或投标人认为需要补充的内容（非公开）</w:t>
            </w:r>
          </w:p>
        </w:tc>
      </w:tr>
    </w:tbl>
    <w:p>
      <w:pPr>
        <w:pBdr>
          <w:top w:val="none" w:sz="0" w:space="0" w:color="auto"/>
          <w:left w:val="none" w:sz="0" w:space="0" w:color="auto"/>
          <w:bottom w:val="none" w:sz="0" w:space="0" w:color="auto"/>
          <w:right w:val="none" w:sz="0" w:space="0" w:color="auto"/>
        </w:pBdr>
        <w:spacing w:line="432" w:lineRule="atLeast"/>
        <w:rPr>
          <w:rFonts w:ascii="仿宋" w:eastAsia="仿宋" w:hAnsi="仿宋" w:cs="仿宋"/>
          <w:b/>
          <w:bCs/>
          <w:color w:val="333333"/>
          <w:lang w:val="en" w:eastAsia="en"/>
        </w:rPr>
        <w:sectPr>
          <w:pgMar w:top="1440" w:right="1800" w:bottom="1440" w:left="1800" w:header="708" w:footer="708" w:gutter="0"/>
          <w:cols w:num="1"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仿宋" w:eastAsia="仿宋" w:hAnsi="仿宋" w:cs="仿宋"/>
          <w:b/>
          <w:bCs/>
          <w:color w:val="000000"/>
          <w:sz w:val="48"/>
          <w:szCs w:val="48"/>
          <w:lang w:val="en" w:eastAsia="en"/>
        </w:rPr>
      </w:pPr>
      <w:r>
        <w:rPr>
          <w:rFonts w:ascii="仿宋" w:eastAsia="仿宋" w:hAnsi="仿宋" w:cs="仿宋"/>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r>
        <w:rPr>
          <w:rFonts w:ascii="仿宋" w:eastAsia="仿宋" w:hAnsi="仿宋" w:cs="仿宋"/>
          <w:color w:val="333333"/>
          <w:lang w:val="en" w:eastAsia="en"/>
        </w:rPr>
        <w:t>标段编号：</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SZZXCG-2025-00002-001</w:t>
      </w:r>
    </w:p>
    <w:p>
      <w:pPr>
        <w:pBdr>
          <w:top w:val="none" w:sz="0" w:space="0" w:color="auto"/>
          <w:left w:val="none" w:sz="0" w:space="0" w:color="auto"/>
          <w:bottom w:val="none" w:sz="0" w:space="0" w:color="auto"/>
          <w:right w:val="none" w:sz="0" w:space="0" w:color="auto"/>
        </w:pBdr>
        <w:spacing w:after="0" w:line="432" w:lineRule="atLeast"/>
        <w:ind w:left="15" w:right="15"/>
        <w:rPr>
          <w:rFonts w:ascii="仿宋" w:eastAsia="仿宋" w:hAnsi="仿宋" w:cs="仿宋" w:hint="eastAsia"/>
          <w:color w:val="333333"/>
          <w:u w:val="single" w:color="333333"/>
          <w:lang w:val="en" w:eastAsia="zh-CN"/>
        </w:rPr>
      </w:pPr>
      <w:r>
        <w:rPr>
          <w:rFonts w:ascii="仿宋" w:eastAsia="仿宋" w:hAnsi="仿宋" w:cs="仿宋"/>
          <w:color w:val="333333"/>
          <w:lang w:val="en" w:eastAsia="en"/>
        </w:rPr>
        <w:t>标段名称：</w:t>
      </w:r>
      <w:r>
        <w:rPr>
          <w:rFonts w:ascii="微软雅黑" w:eastAsia="微软雅黑" w:hAnsi="微软雅黑" w:cs="微软雅黑"/>
          <w:color w:val="333333"/>
          <w:lang w:val="en" w:eastAsia="en"/>
        </w:rPr>
        <w:t xml:space="preserve"> </w:t>
      </w:r>
      <w:r>
        <w:rPr>
          <w:rFonts w:ascii="仿宋" w:eastAsia="仿宋" w:hAnsi="仿宋" w:cs="仿宋"/>
          <w:color w:val="333333"/>
          <w:u w:val="single" w:color="333333"/>
          <w:lang w:val="en" w:eastAsia="en"/>
        </w:rPr>
        <w:t>社会组织“多证合一、一证一码”项目-A</w:t>
      </w:r>
    </w:p>
    <w:p>
      <w:pPr>
        <w:pStyle w:val="BodyText"/>
        <w:rPr>
          <w:rFonts w:hint="eastAsia"/>
          <w:lang w:val="en" w:eastAsia="zh-CN"/>
        </w:rPr>
      </w:pP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pPr>
      <w:r>
        <w:rPr>
          <w:rFonts w:ascii="仿宋" w:eastAsia="仿宋" w:hAnsi="仿宋" w:cs="仿宋"/>
          <w:color w:val="333333"/>
          <w:lang w:val="en" w:eastAsia="en"/>
        </w:rPr>
        <w:t>是否过多投标人淘汰：</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305"/>
        <w:gridCol w:w="7831"/>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评审步骤</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资格评审</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资格及符合性审查</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报价修正</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谈判磋商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投标报价排名</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推荐中标候选人</w:t>
            </w: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微软雅黑" w:eastAsia="微软雅黑" w:hAnsi="微软雅黑" w:cs="微软雅黑"/>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微软雅黑" w:eastAsia="微软雅黑" w:hAnsi="微软雅黑" w:cs="微软雅黑"/>
          <w:color w:val="333333"/>
          <w:lang w:val="en" w:eastAsia="en"/>
        </w:rPr>
      </w:pPr>
      <w:r>
        <w:rPr>
          <w:rFonts w:ascii="仿宋" w:eastAsia="仿宋" w:hAnsi="仿宋" w:cs="仿宋"/>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中标候选人：</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委托评标委员会直接定标</w:t>
      </w:r>
    </w:p>
    <w:p>
      <w:pPr>
        <w:pStyle w:val="BodyText"/>
        <w:rPr>
          <w:rFonts w:hint="eastAsia"/>
          <w:lang w:val="en" w:eastAsia="zh-CN"/>
        </w:rPr>
      </w:pP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en"/>
        </w:rPr>
        <w:t>4.1 资格评审</w:t>
      </w:r>
    </w:p>
    <w:p>
      <w:pPr>
        <w:pBdr>
          <w:top w:val="none" w:sz="0" w:space="0" w:color="auto"/>
          <w:left w:val="none" w:sz="0" w:space="0" w:color="auto"/>
          <w:bottom w:val="none" w:sz="0" w:space="0" w:color="auto"/>
          <w:right w:val="none" w:sz="0" w:space="0" w:color="auto"/>
        </w:pBdr>
        <w:spacing w:line="432" w:lineRule="atLeast"/>
        <w:ind w:left="15" w:right="15"/>
        <w:rPr>
          <w:rFonts w:ascii="仿宋" w:eastAsia="仿宋" w:hAnsi="仿宋" w:cs="仿宋"/>
          <w:color w:val="333333"/>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必须是采购人推荐的供应商（提供营业执照或事业单位法人证书等证明资料扫描件）；：</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必须是采购人推荐的供应商（提供营业执照或事业单位法人证书等证明资料扫描件）；</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本项目不接受联合体参与谈判，不接受供应商选用进口产品参与谈判（由供应商在《采购应答及履约承诺函》中作出声明）；：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本项目不接受联合体参与谈判，不接受供应商选用进口产品参与谈判（由供应商在《采购应答及履约承诺函》中作出声明）；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参与本项目政府采购活动时不存在被有关部门禁止参与政府采购活动且在有效期内的情况（由供应商在《采购应答及履约承诺函》中作出声明）；：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参与本项目政府采购活动时不存在被有关部门禁止参与政府采购活动且在有效期内的情况（由供应商在《采购应答及履约承诺函》中作出声明）；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具备《中华人民共和国政府采购法》第二十二条第一款的条件（由供应商在《采购应答及履约承诺函》中作出声明）；：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具备《中华人民共和国政府采购法》第二十二条第一款的条件（由供应商在《采购应答及履约承诺函》中作出声明）；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未被列入失信被执行人、重大税收违法案件当事人名单、政府采购严重违法失信行为记录名单（由供应商在《采购应答及履约承诺函》中作出声明）；：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未被列入失信被执行人、重大税收违法案件当事人名单、政府采购严重违法失信行为记录名单（由供应商在《采购应答及履约承诺函》中作出声明）；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不存在《深圳市财政局政府采购供应商信用信息管理办法》（深财规〔2023〕3号）列明的严重违法失信行为（由供应商在《采购应答及履约承诺函》中作出声明）；：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不存在《深圳市财政局政府采购供应商信用信息管理办法》（深财规〔2023〕3号）列明的严重违法失信行为（由供应商在《采购应答及履约承诺函》中作出声明）；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采购应答及履约承诺函》中作出声明）；</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hint="eastAsia"/>
                <w:color w:val="666666"/>
                <w:lang w:val="en" w:eastAsia="zh-CN"/>
              </w:rPr>
            </w:pPr>
            <w:r>
              <w:rPr>
                <w:rFonts w:ascii="仿宋" w:eastAsia="仿宋" w:hAnsi="仿宋" w:cs="仿宋"/>
                <w:color w:val="666666"/>
                <w:lang w:val="en" w:eastAsia="en"/>
              </w:rPr>
              <w:t>本项目是（否）专门面向中小企业采购：否。：</w:t>
            </w:r>
          </w:p>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本项目是（否）专门面向中小企业采购：否。</w:t>
            </w:r>
          </w:p>
        </w:tc>
      </w:tr>
    </w:tbl>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hint="eastAsia"/>
          <w:b/>
          <w:bCs/>
          <w:color w:val="000000"/>
          <w:lang w:val="en" w:eastAsia="zh-CN"/>
        </w:rPr>
      </w:pPr>
      <w:r>
        <w:rPr>
          <w:rFonts w:ascii="仿宋" w:eastAsia="仿宋" w:hAnsi="仿宋" w:cs="仿宋"/>
          <w:b/>
          <w:bCs/>
          <w:color w:val="000000"/>
          <w:lang w:val="en" w:eastAsia="en"/>
        </w:rPr>
        <w:t>4.2 资格及符合性审查</w:t>
      </w:r>
    </w:p>
    <w:p>
      <w:pPr>
        <w:pBdr>
          <w:top w:val="none" w:sz="0" w:space="0" w:color="auto"/>
          <w:left w:val="none" w:sz="0" w:space="0" w:color="auto"/>
          <w:bottom w:val="none" w:sz="0" w:space="0" w:color="auto"/>
          <w:right w:val="none" w:sz="0" w:space="0" w:color="auto"/>
        </w:pBdr>
        <w:spacing w:line="240" w:lineRule="atLeast"/>
        <w:ind w:left="15" w:right="15"/>
        <w:rPr>
          <w:rFonts w:ascii="仿宋" w:eastAsia="仿宋" w:hAnsi="仿宋" w:cs="仿宋"/>
          <w:b/>
          <w:bCs/>
          <w:color w:val="000000"/>
          <w:lang w:val="en" w:eastAsia="en"/>
        </w:rPr>
      </w:pPr>
      <w:r>
        <w:rPr>
          <w:rFonts w:ascii="仿宋" w:eastAsia="仿宋" w:hAnsi="仿宋" w:cs="仿宋"/>
          <w:color w:val="333333"/>
          <w:lang w:val="en" w:eastAsia="en"/>
        </w:rPr>
        <w:t>汇总规则：</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按分项自动汇总并发起否决投标</w:t>
      </w:r>
      <w:r>
        <w:rPr>
          <w:rFonts w:ascii="微软雅黑" w:eastAsia="微软雅黑" w:hAnsi="微软雅黑" w:cs="微软雅黑"/>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insideH w:val="none" w:sz="0" w:space="0" w:color="auto"/>
            <w:insideV w:val="none" w:sz="0" w:space="0" w:color="auto"/>
          </w:tblBorders>
          <w:tblLayout w:type="fixed"/>
          <w:tblCellMar>
            <w:top w:w="0" w:type="dxa"/>
            <w:left w:w="0" w:type="dxa"/>
            <w:bottom w:w="0" w:type="dxa"/>
            <w:right w:w="0" w:type="dxa"/>
          </w:tblCellMar>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432" w:lineRule="atLeast"/>
              <w:jc w:val="center"/>
              <w:rPr>
                <w:rFonts w:ascii="微软雅黑" w:eastAsia="微软雅黑" w:hAnsi="微软雅黑" w:cs="微软雅黑"/>
                <w:color w:val="666666"/>
                <w:lang w:val="en" w:eastAsia="en"/>
              </w:rPr>
            </w:pPr>
            <w:r>
              <w:rPr>
                <w:rFonts w:ascii="仿宋" w:eastAsia="仿宋" w:hAnsi="仿宋" w:cs="仿宋"/>
                <w:color w:val="666666"/>
                <w:lang w:val="en" w:eastAsia="en"/>
              </w:rPr>
              <w:t>评审标准</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不得将一个包的内容拆开进行应答；</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不得将一个包的内容拆开进行应答；</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不得以他人的名义参与谈判、相互串通进行谈判、以行贿手段谋取成交或者以其他弄虚作假方式谈判；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不得以他人的名义参与谈判、相互串通进行谈判、以行贿手段谋取成交或者以其他弄虚作假方式谈判；</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不得对同一项目提供两套以上的应答方案（谈判文件另有规定的除外）；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不得对同一项目提供两套以上的应答方案（谈判文件另有规定的除外）；</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分项报价或谈判应答总价不得高于相应的预算金额（或设定的预算金额下的最高限价）；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分项报价或谈判应答总价不得高于相应的预算金额（或设定的预算金额下的最高限价）；</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所投货物、服务在技术、商务等方面没有实质性满足谈判文件要求的（是否实质性满足谈判文件要求，由谈判小组根据实质性条款响应情况做出评判）；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所投货物、服务在技术、商务等方面没有实质性满足谈判文件要求的（是否实质性满足谈判文件要求，由谈判小组根据实质性条款响应情况做出评判）；</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未按谈判文件所提供的样式填写《应答书》；未按谈判文件所提供的《采购应答及履约承诺函》进行承诺或不符合承诺的；未按谈判文件对应答文件组成的要求提供应答文件；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未按谈判文件所提供的样式填写《应答书》；未按谈判文件所提供的《采购应答及履约承诺函》进行承诺或不符合承诺的；未按谈判文件对应答文件组成的要求提供应答文件；</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采购标的所投产品货物清单报价等任意一类有缺漏项或响应不全，或者对谈判文件规定的项目需求内容或者需求数量进行修改，谈判小组判定谈判响应不满足谈判需求；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采购标的所投产品货物清单报价等任意一类有缺漏项或响应不全，或者对谈判文件规定的项目需求内容或者需求数量进行修改，谈判小组判定谈判响应不满足谈判需求；</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谈判应答附有采购人或谈判小组不能接受的条件；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谈判应答附有采购人或谈判小组不能接受的条件；</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应答文件电子文档不得带病毒；</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应答文件用不属于本公司的电子密钥进行加密或应答文件未按时解密的的；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应答文件用不属于本公司的电子密钥进行加密或应答文件未按时解密的的；</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供应商应答文件存在列放位置错误，导致属于信息公开情形的没有被公开；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供应商应答文件存在列放位置错误，导致属于信息公开情形的没有被公开；</w:t>
            </w:r>
          </w:p>
        </w:tc>
      </w:tr>
      <w:tr>
        <w:tblPrEx>
          <w:tblW w:w="5000" w:type="pct"/>
          <w:tblInd w:w="15" w:type="dxa"/>
          <w:tblLayout w:type="fixed"/>
          <w:tblCellMar>
            <w:top w:w="0" w:type="dxa"/>
            <w:left w:w="0" w:type="dxa"/>
            <w:bottom w:w="0" w:type="dxa"/>
            <w:right w:w="0" w:type="dxa"/>
          </w:tblCellMar>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jc w:val="center"/>
              <w:rPr>
                <w:rFonts w:ascii="仿宋" w:eastAsia="仿宋" w:hAnsi="仿宋" w:cs="仿宋"/>
                <w:color w:val="666666"/>
                <w:lang w:val="en" w:eastAsia="en"/>
              </w:rPr>
            </w:pPr>
            <w:r>
              <w:rPr>
                <w:rFonts w:ascii="仿宋" w:eastAsia="仿宋" w:hAnsi="仿宋" w:cs="仿宋"/>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tcPr>
          <w:p>
            <w:pPr>
              <w:pBdr>
                <w:top w:val="none" w:sz="0" w:space="0" w:color="auto"/>
                <w:left w:val="none" w:sz="0" w:space="0" w:color="auto"/>
                <w:bottom w:val="none" w:sz="0" w:space="0" w:color="auto"/>
                <w:right w:val="none" w:sz="0" w:space="0" w:color="auto"/>
              </w:pBdr>
              <w:spacing w:line="240" w:lineRule="atLeast"/>
              <w:rPr>
                <w:rFonts w:ascii="仿宋" w:eastAsia="仿宋" w:hAnsi="仿宋" w:cs="仿宋"/>
                <w:color w:val="666666"/>
                <w:lang w:val="en" w:eastAsia="en"/>
              </w:rPr>
            </w:pPr>
            <w:r>
              <w:rPr>
                <w:rFonts w:ascii="仿宋" w:eastAsia="仿宋" w:hAnsi="仿宋" w:cs="仿宋"/>
                <w:color w:val="666666"/>
                <w:lang w:val="en" w:eastAsia="en"/>
              </w:rPr>
              <w:t>法律、法规、规章、规范性文件规定的其他情形。</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微软雅黑" w:eastAsia="微软雅黑" w:hAnsi="微软雅黑" w:cs="微软雅黑"/>
          <w:color w:val="333333"/>
          <w:lang w:val="en" w:eastAsia="en"/>
        </w:rPr>
      </w:pPr>
      <w:r>
        <w:rPr>
          <w:rFonts w:ascii="仿宋" w:eastAsia="仿宋" w:hAnsi="仿宋" w:cs="仿宋"/>
          <w:b/>
          <w:bCs/>
          <w:color w:val="000000"/>
          <w:lang w:val="en" w:eastAsia="en"/>
        </w:rPr>
        <w:t>4.5 投标报价排名</w:t>
      </w:r>
      <w:r>
        <w:rPr>
          <w:rFonts w:ascii="微软雅黑" w:eastAsia="微软雅黑" w:hAnsi="微软雅黑" w:cs="微软雅黑"/>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4.5.1 投标总价参与最终投标报价排名</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仿宋" w:eastAsia="仿宋" w:hAnsi="仿宋" w:cs="仿宋" w:hint="eastAsia"/>
          <w:color w:val="333333"/>
          <w:lang w:val="en" w:eastAsia="zh-CN"/>
        </w:rPr>
      </w:pPr>
      <w:r>
        <w:rPr>
          <w:rFonts w:ascii="仿宋" w:eastAsia="仿宋" w:hAnsi="仿宋" w:cs="仿宋"/>
          <w:color w:val="333333"/>
          <w:lang w:val="en" w:eastAsia="en"/>
        </w:rPr>
        <w:t>报价打分方式：</w:t>
      </w:r>
      <w:r>
        <w:rPr>
          <w:rFonts w:ascii="微软雅黑" w:eastAsia="微软雅黑" w:hAnsi="微软雅黑" w:cs="微软雅黑"/>
          <w:color w:val="333333"/>
          <w:lang w:val="en" w:eastAsia="en"/>
        </w:rPr>
        <w:t xml:space="preserve"> </w:t>
      </w:r>
      <w:r>
        <w:rPr>
          <w:rFonts w:ascii="仿宋" w:eastAsia="仿宋" w:hAnsi="仿宋" w:cs="仿宋"/>
          <w:color w:val="333333"/>
          <w:lang w:val="en" w:eastAsia="en"/>
        </w:rPr>
        <w:t>自动算分（内插法）</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微软雅黑" w:eastAsia="微软雅黑" w:hAnsi="微软雅黑" w:cs="微软雅黑"/>
          <w:color w:val="333333"/>
          <w:lang w:val="en" w:eastAsia="en"/>
        </w:rPr>
        <w:sectPr>
          <w:pgMar w:top="1440" w:right="1800" w:bottom="1440" w:left="1800" w:header="708" w:footer="708" w:gutter="0"/>
          <w:cols w:num="1" w:space="708"/>
        </w:sectPr>
      </w:pPr>
      <w:r>
        <w:rPr>
          <w:rFonts w:ascii="仿宋" w:eastAsia="仿宋" w:hAnsi="仿宋" w:cs="仿宋"/>
          <w:color w:val="333333"/>
          <w:lang w:val="en" w:eastAsia="en"/>
        </w:rPr>
        <w:t>评标价计算公式：评标价=投标函中的投标报价（有修正投标报价的取修正后的投标报价）</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深圳医学科学院粤港澳大湾区国际临床试验中心场地租赁服务-A</w:t>
      </w:r>
    </w:p>
    <w:tbl>
      <w:tblPr>
        <w:tblStyle w:val="typotable1"/>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采购应答及履约承诺函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其他招标文件要求或投标人认为需要补充的内容（公开）</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谈判应答文件签署授权委托书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其他招标文件要求或投标人认为需要补充的内容（非公开）</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SZZXCG-2025-00031-001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深圳医学科学院粤港澳大湾区国际临床试验中心场地租赁服务-A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305"/>
        <w:gridCol w:w="78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资格及符合性审查</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谈判磋商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投标报价排名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供应商不符合项目资格要求，或未提交相应的资格证明资料（详见谈判公告供应商资格要求，即申请人的资格要求）；</w:t>
            </w:r>
            <w:r>
              <w:rPr>
                <w:rFonts w:ascii="FangSong" w:eastAsia="FangSong" w:hAnsi="FangSong" w:cs="FangSong"/>
                <w:color w:val="666666"/>
                <w:lang w:val="en" w:eastAsia="en"/>
              </w:rPr>
              <w:br/>
            </w:r>
            <w:r>
              <w:rPr>
                <w:rFonts w:ascii="FangSong" w:eastAsia="FangSong" w:hAnsi="FangSong" w:cs="FangSong"/>
                <w:color w:val="666666"/>
                <w:lang w:val="en" w:eastAsia="en"/>
              </w:rPr>
              <w:t>供应商缺席谈判的；</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资格及符合性审查</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2"/>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不得将一个包的内容拆开进行应答；</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不得以他人的名义参与谈判、相互串通进行谈判、以行贿手段谋取成交或者以其他弄虚作假方式谈判；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不得对同一项目提供两套以上的应答方案（谈判文件另有规定的除外）；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分项报价或谈判应答总价不得高于相应的预算金额（或设定的预算金额下的最高限价）；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所投货物、服务在技术、商务等方面没有实质性满足谈判文件要求的（是否实质性满足谈判文件要求，由谈判小组根据实质性条款响应情况做出评判）；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未按谈判文件所提供的样式填写《应答书》；未按谈判文件所提供的《采购应答及履约承诺函》进行承诺或不符合承诺的；未按谈判文件对应答文件组成的要求提供应答文件；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采购标的所投产品货物清单报价等任意一类有缺漏项或响应不全，或者对谈判文件规定的项目需求内容或者需求数量进行修改，谈判小组判定谈判响应不满足谈判需求；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谈判应答附有采购人或谈判小组不能接受的条件；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应答文件用不属于本公司的电子密钥进行加密或应答文件未按时解密的的；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供应商应答文件存在列放位置错误，导致属于信息公开情形的没有被公开；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投标报价排名</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投标总价参与最终投标报价排名</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24</w:t>
    </w:r>
    <w:r>
      <w:fldChar w:fldCharType="end"/>
    </w:r>
    <w:r>
      <w:t xml:space="preserve"> -</w:t>
    </w: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153"/>
        <w:tab w:val="right" w:pos="8306"/>
      </w:tabs>
      <w:snapToGrid w:val="0"/>
      <w:jc w:val="left"/>
      <w:rPr>
        <w:sz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58C2E"/>
    <w:multiLevelType w:val="singleLevel"/>
    <w:tmpl w:val="B9358C2E"/>
    <w:lvl w:ilvl="0">
      <w:start w:val="2"/>
      <w:numFmt w:val="decimal"/>
      <w:suff w:val="nothing"/>
      <w:lvlText w:val="%1、"/>
      <w:lvlJc w:val="left"/>
    </w:lvl>
  </w:abstractNum>
  <w:abstractNum w:abstractNumId="1">
    <w:nsid w:val="48B6FC18"/>
    <w:multiLevelType w:val="singleLevel"/>
    <w:tmpl w:val="48B6FC18"/>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autoRedefine/>
    <w:qFormat/>
  </w:style>
  <w:style w:type="table" w:styleId="TableGrid">
    <w:name w:val="Table Grid"/>
    <w:basedOn w:val="TableNormal"/>
    <w:autoRedefine/>
    <w:qFormat/>
    <w:pPr>
      <w:widowControl w:val="0"/>
      <w:jc w:val="both"/>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a1"/>
    <w:autoRedefine/>
    <w:qFormat/>
    <w:pPr>
      <w:widowControl w:val="0"/>
      <w:ind w:firstLine="420"/>
      <w:jc w:val="both"/>
    </w:pPr>
    <w:rPr>
      <w:rFonts w:eastAsia="宋体"/>
      <w:kern w:val="2"/>
      <w:sz w:val="21"/>
      <w:szCs w:val="20"/>
      <w:lang w:eastAsia="zh-CN"/>
    </w:rPr>
  </w:style>
  <w:style w:type="character" w:customStyle="1" w:styleId="a1">
    <w:name w:val="正文缩进 字符"/>
    <w:link w:val="NormalIndent"/>
    <w:autoRedefine/>
    <w:qFormat/>
    <w:rPr>
      <w:rFonts w:eastAsia="宋体"/>
      <w:kern w:val="2"/>
      <w:sz w:val="21"/>
      <w:lang w:eastAsia="zh-CN"/>
    </w:rPr>
  </w:style>
  <w:style w:type="paragraph" w:styleId="BodyText">
    <w:name w:val="Body Text"/>
    <w:basedOn w:val="Normal"/>
    <w:next w:val="BodyText2"/>
    <w:link w:val="a2"/>
    <w:autoRedefine/>
    <w:qFormat/>
    <w:pPr>
      <w:widowControl w:val="0"/>
      <w:spacing w:line="360" w:lineRule="auto"/>
      <w:jc w:val="both"/>
    </w:pPr>
    <w:rPr>
      <w:rFonts w:eastAsia="宋体"/>
      <w:b/>
      <w:bCs/>
      <w:kern w:val="2"/>
      <w:lang w:eastAsia="zh-CN"/>
    </w:rPr>
  </w:style>
  <w:style w:type="paragraph" w:styleId="BodyText2">
    <w:name w:val="Body Text 2"/>
    <w:basedOn w:val="Normal"/>
    <w:link w:val="2"/>
    <w:autoRedefine/>
    <w:qFormat/>
    <w:pPr>
      <w:widowControl w:val="0"/>
      <w:spacing w:line="360" w:lineRule="auto"/>
      <w:jc w:val="both"/>
    </w:pPr>
    <w:rPr>
      <w:rFonts w:eastAsia="宋体"/>
      <w:kern w:val="2"/>
      <w:lang w:eastAsia="zh-CN"/>
    </w:rPr>
  </w:style>
  <w:style w:type="character" w:customStyle="1" w:styleId="2">
    <w:name w:val="正文文本 2 字符"/>
    <w:link w:val="BodyText2"/>
    <w:autoRedefine/>
    <w:qFormat/>
    <w:rPr>
      <w:rFonts w:eastAsia="宋体"/>
      <w:kern w:val="2"/>
      <w:sz w:val="24"/>
      <w:szCs w:val="24"/>
      <w:lang w:eastAsia="zh-CN"/>
    </w:rPr>
  </w:style>
  <w:style w:type="character" w:customStyle="1" w:styleId="a2">
    <w:name w:val="正文文本 字符"/>
    <w:link w:val="BodyText"/>
    <w:autoRedefine/>
    <w:qFormat/>
    <w:rPr>
      <w:rFonts w:eastAsia="宋体"/>
      <w:b/>
      <w:bCs/>
      <w:kern w:val="2"/>
      <w:sz w:val="24"/>
      <w:szCs w:val="24"/>
      <w:lang w:eastAsia="zh-CN"/>
    </w:rPr>
  </w:style>
  <w:style w:type="table" w:customStyle="1" w:styleId="1">
    <w:name w:val="网格型1"/>
    <w:basedOn w:val="TableNormal"/>
    <w:autoRedefine/>
    <w:qFormat/>
    <w:pPr>
      <w:widowControl w:val="0"/>
      <w:jc w:val="both"/>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autoRedefine/>
    <w:qFormat/>
    <w:rPr>
      <w:rFonts w:eastAsia="宋体"/>
    </w:rPr>
    <w:tblPr>
      <w:tblInd w:w="0" w:type="dxa"/>
    </w:tblPr>
  </w:style>
  <w:style w:type="table" w:customStyle="1" w:styleId="typotable0">
    <w:name w:val="typo_table_0"/>
    <w:basedOn w:val="TableNormal"/>
    <w:autoRedefine/>
    <w:qFormat/>
    <w:rPr>
      <w:rFonts w:eastAsia="宋体"/>
    </w:rPr>
    <w:tblPr>
      <w:tblInd w:w="0" w:type="dxa"/>
    </w:tblPr>
  </w:style>
  <w:style w:type="table" w:customStyle="1" w:styleId="typotable1">
    <w:name w:val="typo_table_1"/>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2">
    <w:name w:val="typo_table_2"/>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