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val="0"/>
        <w:spacing w:before="0" w:after="0"/>
        <w:ind w:firstLine="3640" w:firstLineChars="1300"/>
        <w:jc w:val="both"/>
        <w:rPr>
          <w:rFonts w:ascii="宋体" w:eastAsia="宋体" w:hAnsi="宋体"/>
          <w:color w:val="FF0000"/>
          <w:kern w:val="2"/>
          <w:sz w:val="21"/>
          <w:szCs w:val="21"/>
          <w:lang w:eastAsia="zh-CN"/>
        </w:rPr>
      </w:pPr>
      <w:r>
        <w:rPr>
          <w:rFonts w:ascii="宋体" w:eastAsia="黑体" w:hAnsi="宋体" w:cs="Times New Roman" w:hint="eastAsia"/>
          <w:b/>
          <w:bCs/>
          <w:color w:val="FF0000"/>
          <w:kern w:val="44"/>
          <w:sz w:val="28"/>
          <w:szCs w:val="44"/>
          <w:lang w:eastAsia="zh-CN"/>
        </w:rPr>
        <w:t>特别警示条款</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after="313" w:afterLines="100" w:line="400" w:lineRule="exact"/>
        <w:ind w:firstLine="420" w:firstLineChars="200"/>
        <w:jc w:val="both"/>
        <w:textAlignment w:val="auto"/>
        <w:rPr>
          <w:rFonts w:ascii="宋体" w:eastAsia="宋体" w:hAnsi="宋体" w:cs="宋体" w:hint="eastAsia"/>
          <w:b/>
          <w:bCs/>
          <w:color w:val="FF0000"/>
          <w:kern w:val="2"/>
          <w:sz w:val="21"/>
          <w:szCs w:val="21"/>
          <w:highlight w:val="yellow"/>
          <w:lang w:eastAsia="zh-CN"/>
        </w:rPr>
      </w:pPr>
      <w:r>
        <w:rPr>
          <w:rFonts w:ascii="宋体" w:eastAsia="宋体" w:hAnsi="宋体" w:cs="宋体" w:hint="eastAsia"/>
          <w:b/>
          <w:bCs/>
          <w:color w:val="FF0000"/>
          <w:kern w:val="2"/>
          <w:sz w:val="21"/>
          <w:szCs w:val="21"/>
          <w:highlight w:val="yellow"/>
          <w:lang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4"/>
        <w:gridCol w:w="840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60"/>
        </w:trPr>
        <w:tc>
          <w:tcPr>
            <w:tcW w:w="811" w:type="dxa"/>
            <w:tcBorders>
              <w:tl2br w:val="nil"/>
              <w:tr2bl w:val="nil"/>
            </w:tcBorders>
            <w:noWrap w:val="0"/>
            <w:vAlign w:val="center"/>
          </w:tcPr>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序号</w:t>
            </w:r>
          </w:p>
        </w:tc>
        <w:tc>
          <w:tcPr>
            <w:tcW w:w="7711" w:type="dxa"/>
            <w:tcBorders>
              <w:tl2br w:val="nil"/>
              <w:tr2bl w:val="nil"/>
            </w:tcBorders>
            <w:noWrap w:val="0"/>
            <w:vAlign w:val="center"/>
          </w:tcPr>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FF0000"/>
                <w:kern w:val="2"/>
                <w:sz w:val="21"/>
                <w:szCs w:val="21"/>
                <w:lang w:eastAsia="zh-CN"/>
              </w:rPr>
            </w:pPr>
            <w:r>
              <w:rPr>
                <w:rFonts w:ascii="宋体" w:eastAsia="宋体" w:hAnsi="宋体" w:cs="宋体" w:hint="eastAsia"/>
                <w:b/>
                <w:bCs/>
                <w:color w:val="FF0000"/>
                <w:kern w:val="2"/>
                <w:sz w:val="21"/>
                <w:szCs w:val="21"/>
                <w:lang w:eastAsia="zh-CN"/>
              </w:rPr>
              <w:t>供应商参与投标禁止情形</w:t>
            </w:r>
          </w:p>
        </w:tc>
      </w:tr>
      <w:tr>
        <w:tblPrEx>
          <w:tblW w:w="5000" w:type="pct"/>
          <w:tblInd w:w="0" w:type="dxa"/>
          <w:tblLayout w:type="fixed"/>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1</w:t>
            </w:r>
          </w:p>
        </w:tc>
        <w:tc>
          <w:tcPr>
            <w:tcW w:w="7711" w:type="dxa"/>
            <w:tcBorders>
              <w:tl2br w:val="nil"/>
              <w:tr2bl w:val="nil"/>
            </w:tcBorders>
            <w:noWrap w:val="0"/>
            <w:vAlign w:val="center"/>
          </w:tcPr>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与其他投标供应商的法定代表人、主要经营负责人、投标授权代表人、项目负责人、主要技术人员为</w:t>
            </w:r>
            <w:r>
              <w:rPr>
                <w:rFonts w:ascii="宋体" w:eastAsia="宋体" w:hAnsi="宋体" w:cs="宋体" w:hint="eastAsia"/>
                <w:b/>
                <w:bCs/>
                <w:color w:val="FF0000"/>
                <w:kern w:val="2"/>
                <w:sz w:val="21"/>
                <w:szCs w:val="21"/>
                <w:lang w:eastAsia="zh-CN"/>
              </w:rPr>
              <w:t>同一人、属同一单位或者在同一单位缴纳社会保险</w:t>
            </w:r>
            <w:r>
              <w:rPr>
                <w:rFonts w:ascii="宋体" w:eastAsia="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90"/>
        </w:trPr>
        <w:tc>
          <w:tcPr>
            <w:tcW w:w="811" w:type="dxa"/>
            <w:tcBorders>
              <w:tl2br w:val="nil"/>
              <w:tr2bl w:val="nil"/>
            </w:tcBorders>
            <w:noWrap w:val="0"/>
            <w:vAlign w:val="center"/>
          </w:tcPr>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2</w:t>
            </w:r>
          </w:p>
        </w:tc>
        <w:tc>
          <w:tcPr>
            <w:tcW w:w="7711" w:type="dxa"/>
            <w:tcBorders>
              <w:tl2br w:val="nil"/>
              <w:tr2bl w:val="nil"/>
            </w:tcBorders>
            <w:noWrap w:val="0"/>
            <w:vAlign w:val="center"/>
          </w:tcPr>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参与本项目政府采购活动时，与其他投标供应商存在单位负责人为</w:t>
            </w:r>
            <w:r>
              <w:rPr>
                <w:rFonts w:ascii="宋体" w:eastAsia="宋体" w:hAnsi="宋体" w:cs="宋体" w:hint="eastAsia"/>
                <w:b/>
                <w:bCs/>
                <w:color w:val="FF0000"/>
                <w:kern w:val="2"/>
                <w:sz w:val="21"/>
                <w:szCs w:val="21"/>
                <w:lang w:eastAsia="zh-CN"/>
              </w:rPr>
              <w:t>同一人或直接控股、管理关系</w:t>
            </w:r>
            <w:r>
              <w:rPr>
                <w:rFonts w:ascii="宋体" w:eastAsia="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3</w:t>
            </w:r>
          </w:p>
        </w:tc>
        <w:tc>
          <w:tcPr>
            <w:tcW w:w="7711" w:type="dxa"/>
            <w:tcBorders>
              <w:tl2br w:val="nil"/>
              <w:tr2bl w:val="nil"/>
            </w:tcBorders>
            <w:noWrap w:val="0"/>
            <w:vAlign w:val="center"/>
          </w:tcPr>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与其他投标供应商的投标文件或部分投标文件</w:t>
            </w:r>
            <w:r>
              <w:rPr>
                <w:rFonts w:ascii="宋体" w:eastAsia="宋体" w:hAnsi="宋体" w:cs="宋体" w:hint="eastAsia"/>
                <w:b/>
                <w:bCs/>
                <w:color w:val="FF0000"/>
                <w:kern w:val="2"/>
                <w:sz w:val="21"/>
                <w:szCs w:val="21"/>
                <w:lang w:eastAsia="zh-CN"/>
              </w:rPr>
              <w:t>相互混装或存在非正常一致</w:t>
            </w:r>
            <w:r>
              <w:rPr>
                <w:rFonts w:ascii="宋体" w:eastAsia="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1325"/>
        </w:trPr>
        <w:tc>
          <w:tcPr>
            <w:tcW w:w="811" w:type="dxa"/>
            <w:tcBorders>
              <w:tl2br w:val="nil"/>
              <w:tr2bl w:val="nil"/>
            </w:tcBorders>
            <w:noWrap w:val="0"/>
            <w:vAlign w:val="center"/>
          </w:tcPr>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4</w:t>
            </w:r>
          </w:p>
        </w:tc>
        <w:tc>
          <w:tcPr>
            <w:tcW w:w="7711" w:type="dxa"/>
            <w:tcBorders>
              <w:tl2br w:val="nil"/>
              <w:tr2bl w:val="nil"/>
            </w:tcBorders>
            <w:noWrap w:val="0"/>
            <w:vAlign w:val="center"/>
          </w:tcPr>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与其他投标供应商的投标文件由</w:t>
            </w:r>
            <w:r>
              <w:rPr>
                <w:rFonts w:ascii="宋体" w:eastAsia="宋体" w:hAnsi="宋体" w:cs="宋体" w:hint="eastAsia"/>
                <w:b/>
                <w:bCs/>
                <w:color w:val="FF0000"/>
                <w:kern w:val="2"/>
                <w:sz w:val="21"/>
                <w:szCs w:val="21"/>
                <w:lang w:eastAsia="zh-CN"/>
              </w:rPr>
              <w:t>同一单位或者同一人编制</w:t>
            </w:r>
            <w:r>
              <w:rPr>
                <w:rFonts w:ascii="宋体" w:eastAsia="宋体" w:hAnsi="宋体" w:cs="宋体" w:hint="eastAsia"/>
                <w:color w:val="FF0000"/>
                <w:kern w:val="2"/>
                <w:sz w:val="21"/>
                <w:szCs w:val="21"/>
                <w:lang w:eastAsia="zh-CN"/>
              </w:rPr>
              <w:t>，或者使用</w:t>
            </w:r>
            <w:r>
              <w:rPr>
                <w:rFonts w:ascii="宋体" w:eastAsia="宋体" w:hAnsi="宋体" w:cs="宋体" w:hint="eastAsia"/>
                <w:b/>
                <w:bCs/>
                <w:color w:val="FF0000"/>
                <w:kern w:val="2"/>
                <w:sz w:val="21"/>
                <w:szCs w:val="21"/>
                <w:lang w:eastAsia="zh-CN"/>
              </w:rPr>
              <w:t>同一设备编制</w:t>
            </w:r>
            <w:r>
              <w:rPr>
                <w:rFonts w:ascii="宋体" w:eastAsia="宋体" w:hAnsi="宋体" w:cs="宋体" w:hint="eastAsia"/>
                <w:color w:val="FF0000"/>
                <w:kern w:val="2"/>
                <w:sz w:val="21"/>
                <w:szCs w:val="21"/>
                <w:lang w:eastAsia="zh-CN"/>
              </w:rPr>
              <w:t>（“文件制作机器码”“文件创建标识码”一致）。</w:t>
            </w:r>
          </w:p>
        </w:tc>
      </w:tr>
      <w:tr>
        <w:tblPrEx>
          <w:tblW w:w="5000" w:type="pct"/>
          <w:tblInd w:w="0" w:type="dxa"/>
          <w:tblLayout w:type="fixed"/>
          <w:tblCellMar>
            <w:top w:w="0" w:type="dxa"/>
            <w:left w:w="108" w:type="dxa"/>
            <w:bottom w:w="0" w:type="dxa"/>
            <w:right w:w="108" w:type="dxa"/>
          </w:tblCellMar>
        </w:tblPrEx>
        <w:trPr>
          <w:trHeight w:val="985"/>
        </w:trPr>
        <w:tc>
          <w:tcPr>
            <w:tcW w:w="811" w:type="dxa"/>
            <w:tcBorders>
              <w:tl2br w:val="nil"/>
              <w:tr2bl w:val="nil"/>
            </w:tcBorders>
            <w:noWrap w:val="0"/>
            <w:vAlign w:val="center"/>
          </w:tcPr>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5</w:t>
            </w:r>
          </w:p>
        </w:tc>
        <w:tc>
          <w:tcPr>
            <w:tcW w:w="7711" w:type="dxa"/>
            <w:tcBorders>
              <w:tl2br w:val="nil"/>
              <w:tr2bl w:val="nil"/>
            </w:tcBorders>
            <w:noWrap w:val="0"/>
            <w:vAlign w:val="center"/>
          </w:tcPr>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提供</w:t>
            </w:r>
            <w:r>
              <w:rPr>
                <w:rFonts w:ascii="宋体" w:eastAsia="宋体" w:hAnsi="宋体" w:cs="宋体" w:hint="eastAsia"/>
                <w:b/>
                <w:bCs/>
                <w:color w:val="FF0000"/>
                <w:kern w:val="2"/>
                <w:sz w:val="21"/>
                <w:szCs w:val="21"/>
                <w:lang w:eastAsia="zh-CN"/>
              </w:rPr>
              <w:t>未经出具机构核实</w:t>
            </w:r>
            <w:r>
              <w:rPr>
                <w:rFonts w:ascii="宋体" w:eastAsia="宋体" w:hAnsi="宋体" w:cs="宋体" w:hint="eastAsia"/>
                <w:color w:val="FF0000"/>
                <w:kern w:val="2"/>
                <w:sz w:val="21"/>
                <w:szCs w:val="21"/>
                <w:lang w:eastAsia="zh-CN"/>
              </w:rPr>
              <w:t>的虚假的检验检测报告、业绩材料、社保缴纳证明、学历学位证书、职称认证证书等材料。</w:t>
            </w:r>
          </w:p>
        </w:tc>
      </w:tr>
      <w:tr>
        <w:tblPrEx>
          <w:tblW w:w="5000" w:type="pct"/>
          <w:tblInd w:w="0" w:type="dxa"/>
          <w:tblLayout w:type="fixed"/>
          <w:tblCellMar>
            <w:top w:w="0" w:type="dxa"/>
            <w:left w:w="108" w:type="dxa"/>
            <w:bottom w:w="0" w:type="dxa"/>
            <w:right w:w="108" w:type="dxa"/>
          </w:tblCellMar>
        </w:tblPrEx>
        <w:trPr>
          <w:trHeight w:val="588"/>
        </w:trPr>
        <w:tc>
          <w:tcPr>
            <w:tcW w:w="811" w:type="dxa"/>
            <w:tcBorders>
              <w:tl2br w:val="nil"/>
              <w:tr2bl w:val="nil"/>
            </w:tcBorders>
            <w:noWrap w:val="0"/>
            <w:vAlign w:val="center"/>
          </w:tcPr>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6</w:t>
            </w:r>
          </w:p>
        </w:tc>
        <w:tc>
          <w:tcPr>
            <w:tcW w:w="7711" w:type="dxa"/>
            <w:tcBorders>
              <w:tl2br w:val="nil"/>
              <w:tr2bl w:val="nil"/>
            </w:tcBorders>
            <w:noWrap w:val="0"/>
            <w:vAlign w:val="center"/>
          </w:tcPr>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擅自将投标密钥或电子营业执照出借他人使用或未妥善保管。</w:t>
            </w:r>
          </w:p>
        </w:tc>
      </w:tr>
    </w:tbl>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hint="eastAsia"/>
          <w:color w:val="FF0000"/>
          <w:kern w:val="2"/>
          <w:sz w:val="20"/>
          <w:szCs w:val="20"/>
          <w:lang w:eastAsia="zh-CN"/>
        </w:rPr>
      </w:pP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imes New Roman" w:hint="eastAsia"/>
          <w:color w:val="FF0000"/>
          <w:kern w:val="2"/>
          <w:sz w:val="20"/>
          <w:szCs w:val="20"/>
          <w:lang w:eastAsia="zh-CN"/>
        </w:rPr>
        <w:t>一、</w:t>
      </w:r>
      <w:r>
        <w:rPr>
          <w:rFonts w:ascii="宋体" w:eastAsia="宋体" w:hAnsi="宋体" w:cs="Times New Roman" w:hint="eastAsia"/>
          <w:b/>
          <w:bCs/>
          <w:color w:val="FF0000"/>
          <w:kern w:val="2"/>
          <w:sz w:val="20"/>
          <w:szCs w:val="20"/>
          <w:lang w:eastAsia="zh-CN"/>
        </w:rPr>
        <w:t>《深圳经济特区政府采购条例》第五十七条</w:t>
      </w:r>
      <w:r>
        <w:rPr>
          <w:rFonts w:ascii="宋体" w:eastAsia="宋体" w:hAnsi="宋体" w:cs="Times New Roman"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imes New Roman" w:hint="eastAsia"/>
          <w:color w:val="FF0000"/>
          <w:kern w:val="2"/>
          <w:sz w:val="20"/>
          <w:szCs w:val="20"/>
          <w:lang w:eastAsia="zh-CN"/>
        </w:rPr>
        <w:t>（一）在采购活动中应当回避而未回避的；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imes New Roman" w:hint="eastAsia"/>
          <w:color w:val="FF0000"/>
          <w:kern w:val="2"/>
          <w:sz w:val="20"/>
          <w:szCs w:val="20"/>
          <w:lang w:eastAsia="zh-CN"/>
        </w:rPr>
        <w:t>（二）未按本条例规定签订、履行采购合同，造成严重后果的；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imes New Roman" w:hint="eastAsia"/>
          <w:color w:val="FF0000"/>
          <w:kern w:val="2"/>
          <w:sz w:val="20"/>
          <w:szCs w:val="20"/>
          <w:lang w:eastAsia="zh-CN"/>
        </w:rPr>
        <w:t>（三）隐瞒真实情况，提供虚假资料的；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imes New Roman" w:hint="eastAsia"/>
          <w:color w:val="FF0000"/>
          <w:kern w:val="2"/>
          <w:sz w:val="20"/>
          <w:szCs w:val="20"/>
          <w:lang w:eastAsia="zh-CN"/>
        </w:rPr>
        <w:t>（四）以非法手段排斥其他供应商参与竞争的；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imes New Roman" w:hint="eastAsia"/>
          <w:color w:val="FF0000"/>
          <w:kern w:val="2"/>
          <w:sz w:val="20"/>
          <w:szCs w:val="20"/>
          <w:lang w:eastAsia="zh-CN"/>
        </w:rPr>
        <w:t>（五）与其他采购参加人串通投标的；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imes New Roman" w:hint="eastAsia"/>
          <w:color w:val="FF0000"/>
          <w:kern w:val="2"/>
          <w:sz w:val="20"/>
          <w:szCs w:val="20"/>
          <w:lang w:eastAsia="zh-CN"/>
        </w:rPr>
        <w:t>（六）恶意投诉的；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imes New Roman" w:hint="eastAsia"/>
          <w:color w:val="FF0000"/>
          <w:kern w:val="2"/>
          <w:sz w:val="20"/>
          <w:szCs w:val="20"/>
          <w:lang w:eastAsia="zh-CN"/>
        </w:rPr>
        <w:t>（七）向采购项目相关人行贿或者提供其他不当利益的；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imes New Roman" w:hint="eastAsia"/>
          <w:color w:val="FF0000"/>
          <w:kern w:val="2"/>
          <w:sz w:val="20"/>
          <w:szCs w:val="20"/>
          <w:lang w:eastAsia="zh-CN"/>
        </w:rPr>
        <w:t>（八）阻碍、抗拒主管部门监督检查的；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imes New Roman" w:hint="eastAsia"/>
          <w:color w:val="FF0000"/>
          <w:kern w:val="2"/>
          <w:sz w:val="20"/>
          <w:szCs w:val="20"/>
          <w:lang w:eastAsia="zh-CN"/>
        </w:rPr>
        <w:t>（九）其他违反本条例规定的行为。</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imes New Roman" w:hint="eastAsia"/>
          <w:b/>
          <w:bCs/>
          <w:color w:val="FF0000"/>
          <w:kern w:val="2"/>
          <w:sz w:val="20"/>
          <w:szCs w:val="20"/>
          <w:lang w:eastAsia="zh-CN"/>
        </w:rPr>
        <w:t xml:space="preserve">二、《深圳经济特区政府采购条例实施细则》第七十五条 </w:t>
      </w:r>
      <w:r>
        <w:rPr>
          <w:rFonts w:ascii="宋体" w:eastAsia="宋体" w:hAnsi="宋体" w:cs="Times New Roman"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imes New Roman" w:hint="eastAsia"/>
          <w:b/>
          <w:bCs/>
          <w:color w:val="FF0000"/>
          <w:kern w:val="2"/>
          <w:sz w:val="20"/>
          <w:szCs w:val="20"/>
          <w:lang w:eastAsia="zh-CN"/>
        </w:rPr>
        <w:t xml:space="preserve">三、《深圳经济特区政府采购条例实施细则》第七十七条 </w:t>
      </w:r>
      <w:r>
        <w:rPr>
          <w:rFonts w:ascii="宋体" w:eastAsia="宋体" w:hAnsi="宋体" w:cs="Times New Roman"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imes New Roman" w:hint="eastAsia"/>
          <w:color w:val="FF0000"/>
          <w:kern w:val="2"/>
          <w:sz w:val="20"/>
          <w:szCs w:val="20"/>
          <w:lang w:eastAsia="zh-CN"/>
        </w:rPr>
        <w:t>投标供应商不能提供项目负责人或者主要技术人员的劳动合同、社会保险等劳动关系证明材料的，视为存在前款第（三）项规定的情形。</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Calibri" w:eastAsia="宋体" w:hAnsi="Calibri" w:hint="eastAsia"/>
          <w:bCs/>
          <w:color w:val="FF0000"/>
          <w:kern w:val="2"/>
          <w:sz w:val="20"/>
          <w:szCs w:val="20"/>
          <w:lang w:eastAsia="zh-CN"/>
        </w:rPr>
      </w:pPr>
      <w:r>
        <w:rPr>
          <w:rFonts w:ascii="Calibri" w:eastAsia="宋体" w:hAnsi="Calibri" w:cs="Times New Roman" w:hint="eastAsia"/>
          <w:bCs/>
          <w:color w:val="FF0000"/>
          <w:kern w:val="2"/>
          <w:sz w:val="20"/>
          <w:szCs w:val="20"/>
          <w:lang w:eastAsia="zh-CN"/>
        </w:rPr>
        <w:t>四</w:t>
      </w:r>
      <w:r>
        <w:rPr>
          <w:rFonts w:eastAsia="宋体" w:hAnsi="Calibri" w:cs="Times New Roman" w:hint="eastAsia"/>
          <w:bCs/>
          <w:color w:val="FF0000"/>
          <w:kern w:val="2"/>
          <w:sz w:val="20"/>
          <w:szCs w:val="20"/>
          <w:lang w:eastAsia="zh-CN"/>
        </w:rPr>
        <w:t>、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Calibri" w:eastAsia="宋体" w:hAnsi="Calibri" w:hint="eastAsia"/>
          <w:bCs/>
          <w:color w:val="FF0000"/>
          <w:kern w:val="2"/>
          <w:sz w:val="20"/>
          <w:szCs w:val="20"/>
          <w:lang w:eastAsia="zh-CN"/>
        </w:rPr>
      </w:pPr>
      <w:r>
        <w:rPr>
          <w:rFonts w:eastAsia="宋体" w:hAnsi="Calibri" w:cs="Times New Roman" w:hint="eastAsia"/>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eastAsia="宋体" w:hAnsi="Calibri" w:hint="eastAsia"/>
          <w:bCs/>
          <w:color w:val="FF0000"/>
          <w:kern w:val="2"/>
          <w:sz w:val="20"/>
          <w:szCs w:val="20"/>
          <w:lang w:eastAsia="zh-CN"/>
        </w:rPr>
      </w:pPr>
      <w:r>
        <w:rPr>
          <w:rFonts w:eastAsia="宋体" w:hAnsi="Calibri" w:cs="Times New Roman" w:hint="eastAsia"/>
          <w:bCs/>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ascii="宋体" w:eastAsia="宋体" w:hAnsi="宋体" w:cs="Times New Roman" w:hint="eastAsia"/>
          <w:color w:val="FF0000"/>
          <w:kern w:val="2"/>
          <w:sz w:val="20"/>
          <w:szCs w:val="20"/>
          <w:lang w:eastAsia="zh-CN"/>
        </w:rPr>
        <w:t>取消参与本市政府采购资格</w:t>
      </w:r>
      <w:r>
        <w:rPr>
          <w:rFonts w:ascii="Calibri" w:eastAsia="宋体" w:hAnsi="宋体" w:cs="Times New Roman" w:hint="eastAsia"/>
          <w:color w:val="FF0000"/>
          <w:kern w:val="2"/>
          <w:sz w:val="20"/>
          <w:szCs w:val="20"/>
          <w:lang w:eastAsia="zh-CN"/>
        </w:rPr>
        <w:t>、</w:t>
      </w:r>
      <w:r>
        <w:rPr>
          <w:rFonts w:ascii="宋体" w:eastAsia="宋体" w:hAnsi="宋体" w:cs="Times New Roman" w:hint="eastAsia"/>
          <w:color w:val="FF0000"/>
          <w:kern w:val="2"/>
          <w:sz w:val="20"/>
          <w:szCs w:val="20"/>
          <w:lang w:eastAsia="zh-CN"/>
        </w:rPr>
        <w:t>依法吊销其营业</w:t>
      </w:r>
      <w:r>
        <w:rPr>
          <w:rFonts w:ascii="Calibri" w:eastAsia="宋体" w:hAnsi="宋体" w:cs="Times New Roman" w:hint="eastAsia"/>
          <w:color w:val="FF0000"/>
          <w:kern w:val="2"/>
          <w:sz w:val="20"/>
          <w:szCs w:val="20"/>
          <w:lang w:eastAsia="zh-CN"/>
        </w:rPr>
        <w:t>执照等行政处罚，</w:t>
      </w:r>
      <w:r>
        <w:rPr>
          <w:rFonts w:ascii="宋体" w:eastAsia="宋体" w:hAnsi="宋体" w:cs="Times New Roman" w:hint="eastAsia"/>
          <w:color w:val="FF0000"/>
          <w:kern w:val="2"/>
          <w:sz w:val="20"/>
          <w:szCs w:val="20"/>
          <w:lang w:eastAsia="zh-CN"/>
        </w:rPr>
        <w:t>构成犯罪的，依法追究刑事责任</w:t>
      </w:r>
      <w:r>
        <w:rPr>
          <w:rFonts w:eastAsia="宋体" w:hAnsi="Calibri" w:cs="Times New Roman" w:hint="eastAsia"/>
          <w:bCs/>
          <w:color w:val="FF0000"/>
          <w:kern w:val="2"/>
          <w:sz w:val="20"/>
          <w:szCs w:val="20"/>
          <w:lang w:eastAsia="zh-CN"/>
        </w:rPr>
        <w:t>，请各供应商独立编制、上传投标文件，妥善保管和使用电子秘钥。</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20" w:firstLineChars="200"/>
        <w:jc w:val="both"/>
        <w:textAlignment w:val="auto"/>
        <w:rPr>
          <w:rFonts w:ascii="Calibri" w:eastAsia="宋体" w:hAnsi="Calibri" w:hint="eastAsia"/>
          <w:kern w:val="2"/>
          <w:sz w:val="21"/>
          <w:szCs w:val="22"/>
          <w:lang w:eastAsia="zh-CN"/>
        </w:rPr>
      </w:pPr>
      <w:r>
        <w:rPr>
          <w:rFonts w:eastAsia="宋体" w:hAnsi="Calibri" w:cs="Times New Roman" w:hint="eastAsia"/>
          <w:b/>
          <w:color w:val="FF0000"/>
          <w:kern w:val="2"/>
          <w:sz w:val="21"/>
          <w:szCs w:val="22"/>
          <w:lang w:eastAsia="zh-CN"/>
        </w:rPr>
        <w:t>五</w:t>
      </w:r>
      <w:r>
        <w:rPr>
          <w:rFonts w:ascii="Calibri" w:eastAsia="宋体" w:hAnsi="Calibri" w:cs="Times New Roman" w:hint="eastAsia"/>
          <w:b/>
          <w:color w:val="FF0000"/>
          <w:kern w:val="2"/>
          <w:sz w:val="21"/>
          <w:szCs w:val="22"/>
          <w:lang w:eastAsia="zh-CN"/>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jc w:val="both"/>
        <w:textAlignment w:val="auto"/>
        <w:rPr>
          <w:rFonts w:ascii="Calibri" w:eastAsia="宋体" w:hAnsi="Calibri" w:hint="eastAsia"/>
          <w:bCs/>
          <w:color w:val="FF0000"/>
          <w:kern w:val="2"/>
          <w:sz w:val="20"/>
          <w:szCs w:val="20"/>
          <w:lang w:eastAsia="zh-CN"/>
        </w:rPr>
      </w:pPr>
    </w:p>
    <w:p>
      <w:pPr>
        <w:keepNext w:val="0"/>
        <w:keepLines w:val="0"/>
        <w:pageBreakBefore w:val="0"/>
        <w:widowControl/>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before="100" w:beforeAutospacing="1" w:afterAutospacing="1"/>
        <w:jc w:val="both"/>
        <w:textAlignment w:val="auto"/>
        <w:outlineLvl w:val="1"/>
        <w:rPr>
          <w:rFonts w:ascii="黑体" w:eastAsia="黑体" w:hAnsi="宋体" w:cs="黑体" w:hint="eastAsia"/>
          <w:sz w:val="40"/>
          <w:szCs w:val="40"/>
          <w:lang w:eastAsia="zh-CN"/>
        </w:rPr>
        <w:sectPr>
          <w:footerReference w:type="even" r:id="rId4"/>
          <w:footerReference w:type="default" r:id="rId5"/>
          <w:headerReference w:type="first" r:id="rId6"/>
          <w:pgSz w:w="11907" w:h="16840"/>
          <w:pgMar w:top="1440" w:right="1417" w:bottom="1440" w:left="1417" w:header="851" w:footer="992" w:gutter="0"/>
          <w:cols w:num="1" w:space="720"/>
          <w:titlePg/>
          <w:docGrid w:linePitch="462" w:charSpace="0"/>
        </w:sectPr>
      </w:pPr>
      <w:r>
        <w:rPr>
          <w:rFonts w:eastAsia="宋体" w:hint="eastAsia"/>
          <w:b/>
          <w:color w:val="FF0000"/>
          <w:kern w:val="2"/>
          <w:sz w:val="21"/>
          <w:lang w:eastAsia="zh-CN"/>
        </w:rPr>
        <w:t>注：“特别警示条款”和《政府采购违法行为风险知悉确认书》用于对供应商违法行为的提醒，不作为供应商资格性审查及符合性审查条件。</w:t>
      </w:r>
    </w:p>
    <w:p>
      <w:pPr>
        <w:widowControl/>
        <w:spacing w:beforeAutospacing="1" w:afterAutospacing="1"/>
        <w:jc w:val="center"/>
        <w:outlineLvl w:val="0"/>
        <w:rPr>
          <w:rFonts w:ascii="黑体" w:eastAsia="黑体" w:hAnsi="宋体" w:cs="黑体" w:hint="eastAsia"/>
          <w:sz w:val="40"/>
          <w:szCs w:val="40"/>
          <w:lang w:eastAsia="zh-CN"/>
        </w:rPr>
      </w:pPr>
      <w:r>
        <w:rPr>
          <w:rFonts w:ascii="黑体" w:eastAsia="黑体" w:hAnsi="宋体" w:cs="黑体" w:hint="eastAsia"/>
          <w:sz w:val="40"/>
          <w:szCs w:val="40"/>
          <w:lang w:eastAsia="zh-CN"/>
        </w:rPr>
        <w:t>招标文件信息</w:t>
      </w:r>
    </w:p>
    <w:tbl>
      <w:tblPr>
        <w:tblStyle w:val="TableNormal"/>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36" w:type="dxa"/>
          <w:bottom w:w="36" w:type="dxa"/>
          <w:right w:w="36" w:type="dxa"/>
        </w:tblCellMar>
      </w:tblPr>
      <w:tblGrid>
        <w:gridCol w:w="2993"/>
        <w:gridCol w:w="5739"/>
      </w:tblGrid>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36" w:type="dxa"/>
            <w:bottom w:w="36" w:type="dxa"/>
            <w:right w:w="36" w:type="dxa"/>
          </w:tblCellMar>
        </w:tblPrEx>
        <w:trPr>
          <w:trHeight w:val="737"/>
          <w:tblCellSpacing w:w="0" w:type="dxa"/>
          <w:jc w:val="center"/>
        </w:trPr>
        <w:tc>
          <w:tcPr>
            <w:tcW w:w="1714" w:type="pct"/>
            <w:noWrap w:val="0"/>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kern w:val="2"/>
                <w:sz w:val="28"/>
                <w:szCs w:val="28"/>
                <w:lang w:eastAsia="zh-CN"/>
              </w:rPr>
              <w:t>项目编号：</w:t>
            </w:r>
          </w:p>
        </w:tc>
        <w:tc>
          <w:tcPr>
            <w:tcW w:w="3285" w:type="pct"/>
            <w:noWrap w:val="0"/>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hint="eastAsia"/>
                <w:kern w:val="2"/>
                <w:sz w:val="28"/>
                <w:szCs w:val="28"/>
                <w:lang w:eastAsia="zh-CN"/>
              </w:rPr>
              <w:t>LHAZXCG-2025-00039</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1714" w:type="pct"/>
            <w:noWrap w:val="0"/>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kern w:val="2"/>
                <w:sz w:val="28"/>
                <w:szCs w:val="28"/>
                <w:lang w:eastAsia="zh-CN"/>
              </w:rPr>
              <w:t>项目名称：</w:t>
            </w:r>
          </w:p>
        </w:tc>
        <w:tc>
          <w:tcPr>
            <w:tcW w:w="3285" w:type="pct"/>
            <w:noWrap w:val="0"/>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hint="eastAsia"/>
                <w:kern w:val="2"/>
                <w:sz w:val="28"/>
                <w:szCs w:val="28"/>
                <w:lang w:eastAsia="zh-CN"/>
              </w:rPr>
              <w:t>龙华区民治第三幼教集团世纪春城幼儿园班级教玩具采购</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1714" w:type="pct"/>
            <w:noWrap w:val="0"/>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kern w:val="2"/>
                <w:sz w:val="28"/>
                <w:szCs w:val="28"/>
                <w:lang w:eastAsia="zh-CN"/>
              </w:rPr>
              <w:t>包</w:t>
            </w:r>
            <w:r>
              <w:rPr>
                <w:rFonts w:ascii="宋体" w:eastAsia="宋体" w:hAnsi="宋体" w:hint="eastAsia"/>
                <w:kern w:val="2"/>
                <w:sz w:val="28"/>
                <w:szCs w:val="28"/>
                <w:lang w:eastAsia="zh-CN"/>
              </w:rPr>
              <w:t xml:space="preserve">    </w:t>
            </w:r>
            <w:r>
              <w:rPr>
                <w:rFonts w:ascii="宋体" w:eastAsia="宋体" w:hAnsi="宋体"/>
                <w:kern w:val="2"/>
                <w:sz w:val="28"/>
                <w:szCs w:val="28"/>
                <w:lang w:eastAsia="zh-CN"/>
              </w:rPr>
              <w:t>号：</w:t>
            </w:r>
          </w:p>
        </w:tc>
        <w:tc>
          <w:tcPr>
            <w:tcW w:w="3285" w:type="pct"/>
            <w:noWrap w:val="0"/>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kern w:val="2"/>
                <w:sz w:val="28"/>
                <w:szCs w:val="28"/>
                <w:lang w:eastAsia="zh-CN"/>
              </w:rPr>
              <w:t>A</w:t>
            </w:r>
          </w:p>
        </w:tc>
      </w:tr>
      <w:tr>
        <w:tblPrEx>
          <w:tblW w:w="5000" w:type="pct"/>
          <w:jc w:val="center"/>
          <w:tblCellSpacing w:w="0" w:type="dxa"/>
          <w:tblLayout w:type="fixed"/>
          <w:tblCellMar>
            <w:top w:w="36" w:type="dxa"/>
            <w:left w:w="36" w:type="dxa"/>
            <w:bottom w:w="36" w:type="dxa"/>
            <w:right w:w="36" w:type="dxa"/>
          </w:tblCellMar>
        </w:tblPrEx>
        <w:trPr>
          <w:trHeight w:val="824"/>
          <w:tblCellSpacing w:w="0" w:type="dxa"/>
          <w:jc w:val="center"/>
        </w:trPr>
        <w:tc>
          <w:tcPr>
            <w:tcW w:w="1714" w:type="pct"/>
            <w:noWrap w:val="0"/>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kern w:val="2"/>
                <w:sz w:val="28"/>
                <w:szCs w:val="28"/>
                <w:lang w:eastAsia="zh-CN"/>
              </w:rPr>
              <w:t>项目类型：</w:t>
            </w:r>
          </w:p>
        </w:tc>
        <w:tc>
          <w:tcPr>
            <w:tcW w:w="3285" w:type="pct"/>
            <w:noWrap w:val="0"/>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hint="eastAsia"/>
                <w:kern w:val="2"/>
                <w:sz w:val="28"/>
                <w:szCs w:val="28"/>
                <w:lang w:eastAsia="zh-CN"/>
              </w:rPr>
              <w:t>货物</w:t>
            </w:r>
            <w:r>
              <w:rPr>
                <w:rFonts w:ascii="宋体" w:eastAsia="宋体" w:hAnsi="宋体"/>
                <w:kern w:val="2"/>
                <w:sz w:val="28"/>
                <w:szCs w:val="28"/>
                <w:lang w:eastAsia="zh-CN"/>
              </w:rPr>
              <w:t>类</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1714" w:type="pct"/>
            <w:noWrap w:val="0"/>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kern w:val="2"/>
                <w:sz w:val="28"/>
                <w:szCs w:val="28"/>
                <w:lang w:eastAsia="zh-CN"/>
              </w:rPr>
              <w:t>采购方式：</w:t>
            </w:r>
          </w:p>
        </w:tc>
        <w:tc>
          <w:tcPr>
            <w:tcW w:w="3285" w:type="pct"/>
            <w:noWrap w:val="0"/>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kern w:val="2"/>
                <w:sz w:val="28"/>
                <w:szCs w:val="28"/>
                <w:lang w:eastAsia="zh-CN"/>
              </w:rPr>
              <w:t>公开招标</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1714" w:type="pct"/>
            <w:noWrap w:val="0"/>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kern w:val="2"/>
                <w:sz w:val="28"/>
                <w:szCs w:val="28"/>
                <w:lang w:eastAsia="zh-CN"/>
              </w:rPr>
              <w:t>货币类型：</w:t>
            </w:r>
          </w:p>
        </w:tc>
        <w:tc>
          <w:tcPr>
            <w:tcW w:w="3285" w:type="pct"/>
            <w:noWrap w:val="0"/>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kern w:val="2"/>
                <w:sz w:val="28"/>
                <w:szCs w:val="28"/>
                <w:lang w:eastAsia="zh-CN"/>
              </w:rPr>
              <w:t>人民币</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1714" w:type="pct"/>
            <w:noWrap w:val="0"/>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kern w:val="2"/>
                <w:sz w:val="28"/>
                <w:szCs w:val="28"/>
                <w:lang w:eastAsia="zh-CN"/>
              </w:rPr>
              <w:t>评标方法：</w:t>
            </w:r>
          </w:p>
        </w:tc>
        <w:tc>
          <w:tcPr>
            <w:tcW w:w="3285" w:type="pct"/>
            <w:noWrap w:val="0"/>
            <w:vAlign w:val="center"/>
          </w:tcPr>
          <w:p>
            <w:pPr>
              <w:widowControl w:val="0"/>
              <w:spacing w:line="290" w:lineRule="exact"/>
              <w:jc w:val="center"/>
              <w:rPr>
                <w:rFonts w:ascii="宋体" w:eastAsia="宋体" w:hAnsi="宋体"/>
                <w:kern w:val="2"/>
                <w:sz w:val="28"/>
                <w:szCs w:val="28"/>
                <w:lang w:eastAsia="zh-CN"/>
              </w:rPr>
            </w:pPr>
            <w:r>
              <w:rPr>
                <w:rFonts w:ascii="宋体" w:eastAsia="宋体" w:hAnsi="宋体"/>
                <w:kern w:val="2"/>
                <w:sz w:val="28"/>
                <w:szCs w:val="28"/>
                <w:lang w:eastAsia="zh-CN"/>
              </w:rPr>
              <w:t>综合评分法</w:t>
            </w:r>
          </w:p>
        </w:tc>
      </w:tr>
    </w:tbl>
    <w:p>
      <w:pPr>
        <w:widowControl w:val="0"/>
        <w:tabs>
          <w:tab w:val="left" w:pos="2790"/>
        </w:tabs>
        <w:snapToGrid w:val="0"/>
        <w:spacing w:line="440" w:lineRule="exact"/>
        <w:jc w:val="left"/>
        <w:rPr>
          <w:rFonts w:ascii="宋体" w:eastAsia="宋体" w:hAnsi="宋体" w:hint="eastAsia"/>
          <w:kern w:val="2"/>
          <w:sz w:val="30"/>
          <w:szCs w:val="30"/>
          <w:lang w:eastAsia="zh-CN"/>
        </w:rPr>
      </w:pPr>
    </w:p>
    <w:p>
      <w:pPr>
        <w:widowControl w:val="0"/>
        <w:tabs>
          <w:tab w:val="left" w:pos="2790"/>
        </w:tabs>
        <w:snapToGrid w:val="0"/>
        <w:jc w:val="center"/>
        <w:outlineLvl w:val="0"/>
        <w:rPr>
          <w:rFonts w:ascii="黑体" w:eastAsia="黑体" w:hAnsi="黑体" w:hint="eastAsia"/>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6"/>
        <w:gridCol w:w="8100"/>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widowControl w:val="0"/>
              <w:spacing w:line="290" w:lineRule="exact"/>
              <w:jc w:val="center"/>
              <w:rPr>
                <w:rFonts w:ascii="宋体" w:eastAsia="宋体" w:hAnsi="宋体" w:cs="宋体" w:hint="eastAsia"/>
                <w:kern w:val="2"/>
                <w:sz w:val="21"/>
                <w:szCs w:val="21"/>
                <w:lang w:eastAsia="zh-CN"/>
              </w:rPr>
            </w:pPr>
            <w:r>
              <w:rPr>
                <w:rFonts w:ascii="宋体" w:eastAsia="宋体" w:hAnsi="宋体"/>
                <w:kern w:val="2"/>
                <w:sz w:val="21"/>
                <w:szCs w:val="21"/>
                <w:lang w:eastAsia="zh-CN"/>
              </w:rPr>
              <w:t>序号</w:t>
            </w:r>
          </w:p>
        </w:tc>
        <w:tc>
          <w:tcPr>
            <w:tcW w:w="8669" w:type="dxa"/>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widowControl w:val="0"/>
              <w:spacing w:line="290" w:lineRule="exact"/>
              <w:jc w:val="center"/>
              <w:rPr>
                <w:rFonts w:ascii="宋体" w:eastAsia="宋体" w:hAnsi="宋体" w:cs="宋体" w:hint="eastAsia"/>
                <w:kern w:val="2"/>
                <w:sz w:val="21"/>
                <w:szCs w:val="21"/>
                <w:lang w:eastAsia="zh-CN"/>
              </w:rPr>
            </w:pPr>
            <w:r>
              <w:rPr>
                <w:rFonts w:ascii="宋体" w:eastAsia="宋体" w:hAnsi="宋体"/>
                <w:kern w:val="2"/>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noWrap w:val="0"/>
            <w:vAlign w:val="top"/>
          </w:tcPr>
          <w:p>
            <w:pPr>
              <w:widowControl w:val="0"/>
              <w:spacing w:line="290" w:lineRule="exact"/>
              <w:jc w:val="center"/>
              <w:rPr>
                <w:rFonts w:ascii="宋体" w:eastAsia="宋体" w:hAnsi="宋体" w:cs="宋体" w:hint="eastAsia"/>
                <w:kern w:val="2"/>
                <w:sz w:val="21"/>
                <w:szCs w:val="21"/>
                <w:lang w:eastAsia="zh-CN"/>
              </w:rPr>
            </w:pPr>
            <w:r>
              <w:rPr>
                <w:rFonts w:ascii="宋体" w:eastAsia="宋体" w:hAnsi="宋体"/>
                <w:kern w:val="2"/>
                <w:sz w:val="21"/>
                <w:szCs w:val="21"/>
                <w:lang w:eastAsia="zh-CN"/>
              </w:rPr>
              <w:t>1</w:t>
            </w:r>
          </w:p>
        </w:tc>
        <w:tc>
          <w:tcPr>
            <w:tcW w:w="8669" w:type="dxa"/>
            <w:tcBorders>
              <w:top w:val="single" w:sz="8" w:space="0" w:color="000000"/>
              <w:left w:val="single" w:sz="8" w:space="0" w:color="000000"/>
              <w:bottom w:val="single" w:sz="8" w:space="0" w:color="000000"/>
              <w:right w:val="single" w:sz="8" w:space="0" w:color="000000"/>
            </w:tcBorders>
            <w:noWrap w:val="0"/>
            <w:vAlign w:val="top"/>
          </w:tcPr>
          <w:p>
            <w:pPr>
              <w:widowControl w:val="0"/>
              <w:spacing w:line="290" w:lineRule="exact"/>
              <w:jc w:val="both"/>
              <w:rPr>
                <w:rFonts w:ascii="宋体" w:eastAsia="宋体" w:hAnsi="宋体" w:cs="宋体" w:hint="eastAsia"/>
                <w:kern w:val="2"/>
                <w:sz w:val="21"/>
                <w:szCs w:val="21"/>
                <w:lang w:eastAsia="zh-CN"/>
              </w:rPr>
            </w:pPr>
            <w:bookmarkStart w:id="0" w:name="OLE_LINK1"/>
            <w:r>
              <w:rPr>
                <w:rFonts w:ascii="宋体" w:eastAsia="宋体" w:hAnsi="宋体" w:cs="宋体"/>
                <w:sz w:val="21"/>
                <w:szCs w:val="21"/>
                <w:lang w:eastAsia="zh-CN" w:bidi="ar"/>
              </w:rPr>
              <w:t>投标人不</w:t>
            </w:r>
            <w:r>
              <w:rPr>
                <w:rFonts w:ascii="宋体" w:eastAsia="宋体" w:hAnsi="宋体" w:cs="宋体" w:hint="eastAsia"/>
                <w:sz w:val="21"/>
                <w:szCs w:val="21"/>
                <w:lang w:eastAsia="zh-CN" w:bidi="ar"/>
              </w:rPr>
              <w:t>符合</w:t>
            </w:r>
            <w:r>
              <w:rPr>
                <w:rFonts w:ascii="宋体" w:eastAsia="宋体" w:hAnsi="宋体" w:cs="宋体"/>
                <w:sz w:val="21"/>
                <w:szCs w:val="21"/>
                <w:lang w:eastAsia="zh-CN" w:bidi="ar"/>
              </w:rPr>
              <w:t>资格要求，或未提交相应的资格证明资料（详见招标公告</w:t>
            </w:r>
            <w:r>
              <w:rPr>
                <w:rFonts w:ascii="宋体" w:eastAsia="宋体" w:hAnsi="宋体" w:cs="Times New Roman" w:hint="eastAsia"/>
                <w:kern w:val="2"/>
                <w:sz w:val="21"/>
                <w:szCs w:val="21"/>
                <w:lang w:eastAsia="zh-CN"/>
              </w:rPr>
              <w:t>投标人资格要求，即申请人的资格要求</w:t>
            </w:r>
            <w:r>
              <w:rPr>
                <w:rFonts w:ascii="宋体" w:eastAsia="宋体" w:hAnsi="宋体" w:cs="宋体"/>
                <w:sz w:val="21"/>
                <w:szCs w:val="21"/>
                <w:lang w:eastAsia="zh-CN" w:bidi="ar"/>
              </w:rPr>
              <w:t>）</w:t>
            </w:r>
            <w:bookmarkEnd w:id="0"/>
          </w:p>
        </w:tc>
      </w:tr>
    </w:tbl>
    <w:p>
      <w:pPr>
        <w:widowControl w:val="0"/>
        <w:tabs>
          <w:tab w:val="left" w:pos="2790"/>
        </w:tabs>
        <w:snapToGrid w:val="0"/>
        <w:jc w:val="center"/>
        <w:rPr>
          <w:rFonts w:ascii="黑体" w:eastAsia="黑体" w:hAnsi="黑体" w:hint="eastAsia"/>
          <w:kern w:val="2"/>
          <w:sz w:val="40"/>
          <w:szCs w:val="40"/>
          <w:lang w:eastAsia="zh-CN"/>
        </w:rPr>
      </w:pPr>
    </w:p>
    <w:p>
      <w:pPr>
        <w:widowControl w:val="0"/>
        <w:tabs>
          <w:tab w:val="left" w:pos="2790"/>
        </w:tabs>
        <w:snapToGrid w:val="0"/>
        <w:jc w:val="center"/>
        <w:outlineLvl w:val="0"/>
        <w:rPr>
          <w:rFonts w:ascii="黑体" w:eastAsia="黑体" w:hAnsi="黑体" w:hint="eastAsia"/>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80"/>
        <w:gridCol w:w="8076"/>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widowControl/>
              <w:jc w:val="center"/>
              <w:rPr>
                <w:rFonts w:ascii="Calibri" w:eastAsia="宋体" w:hAnsi="Calibri"/>
                <w:kern w:val="2"/>
                <w:sz w:val="28"/>
                <w:szCs w:val="28"/>
                <w:lang w:eastAsia="zh-CN"/>
              </w:rPr>
            </w:pPr>
            <w:r>
              <w:rPr>
                <w:rFonts w:ascii="宋体" w:eastAsia="宋体" w:hAnsi="宋体" w:cs="宋体"/>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widowControl/>
              <w:jc w:val="center"/>
              <w:rPr>
                <w:rFonts w:ascii="Calibri" w:eastAsia="宋体" w:hAnsi="Calibri"/>
                <w:kern w:val="2"/>
                <w:sz w:val="28"/>
                <w:szCs w:val="28"/>
                <w:lang w:eastAsia="zh-CN"/>
              </w:rPr>
            </w:pPr>
            <w:r>
              <w:rPr>
                <w:rFonts w:ascii="宋体" w:eastAsia="宋体" w:hAnsi="宋体" w:cs="宋体"/>
                <w:sz w:val="28"/>
                <w:szCs w:val="28"/>
                <w:lang w:eastAsia="zh-CN" w:bidi="ar"/>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noWrap w:val="0"/>
            <w:vAlign w:val="center"/>
          </w:tcPr>
          <w:p>
            <w:pPr>
              <w:widowControl/>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1</w:t>
            </w:r>
          </w:p>
        </w:tc>
        <w:tc>
          <w:tcPr>
            <w:tcW w:w="8284" w:type="dxa"/>
            <w:tcBorders>
              <w:top w:val="single" w:sz="8" w:space="0" w:color="000000"/>
              <w:left w:val="single" w:sz="8" w:space="0" w:color="000000"/>
              <w:bottom w:val="single" w:sz="8" w:space="0" w:color="000000"/>
              <w:right w:val="single" w:sz="8" w:space="0" w:color="000000"/>
            </w:tcBorders>
            <w:noWrap w:val="0"/>
            <w:vAlign w:val="top"/>
          </w:tcPr>
          <w:p>
            <w:pPr>
              <w:widowControl w:val="0"/>
              <w:jc w:val="both"/>
              <w:rPr>
                <w:rFonts w:ascii="Calibri" w:eastAsia="宋体" w:hAnsi="Calibri"/>
                <w:kern w:val="2"/>
                <w:sz w:val="21"/>
                <w:szCs w:val="21"/>
                <w:lang w:eastAsia="zh-CN"/>
              </w:rPr>
            </w:pPr>
            <w:r>
              <w:rPr>
                <w:rFonts w:ascii="Calibri" w:eastAsia="宋体" w:hAnsi="Calibri" w:cs="Times New Roman" w:hint="eastAsia"/>
                <w:kern w:val="2"/>
                <w:sz w:val="21"/>
                <w:szCs w:val="22"/>
                <w:lang w:eastAsia="zh-CN"/>
              </w:rPr>
              <w:t>不得将一个包的内容拆开投标；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noWrap w:val="0"/>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sz w:val="21"/>
                <w:szCs w:val="21"/>
                <w:lang w:eastAsia="zh-CN" w:bidi="ar"/>
              </w:rPr>
              <w:t>2</w:t>
            </w:r>
          </w:p>
        </w:tc>
        <w:tc>
          <w:tcPr>
            <w:tcW w:w="8284" w:type="dxa"/>
            <w:tcBorders>
              <w:top w:val="single" w:sz="8" w:space="0" w:color="000000"/>
              <w:left w:val="single" w:sz="8" w:space="0" w:color="000000"/>
              <w:bottom w:val="single" w:sz="8" w:space="0" w:color="000000"/>
              <w:right w:val="single" w:sz="8" w:space="0" w:color="000000"/>
            </w:tcBorders>
            <w:noWrap w:val="0"/>
            <w:vAlign w:val="top"/>
          </w:tcPr>
          <w:p>
            <w:pPr>
              <w:widowControl w:val="0"/>
              <w:jc w:val="both"/>
              <w:rPr>
                <w:rFonts w:ascii="Calibri" w:eastAsia="宋体" w:hAnsi="Calibri"/>
                <w:kern w:val="2"/>
                <w:sz w:val="21"/>
                <w:szCs w:val="21"/>
                <w:lang w:eastAsia="zh-CN"/>
              </w:rPr>
            </w:pPr>
            <w:r>
              <w:rPr>
                <w:rFonts w:ascii="Calibri" w:eastAsia="宋体" w:hAnsi="Calibri" w:cs="Times New Roman" w:hint="eastAsia"/>
                <w:kern w:val="2"/>
                <w:sz w:val="21"/>
                <w:szCs w:val="22"/>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noWrap w:val="0"/>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sz w:val="21"/>
                <w:szCs w:val="21"/>
                <w:lang w:eastAsia="zh-CN" w:bidi="ar"/>
              </w:rPr>
              <w:t>3</w:t>
            </w:r>
          </w:p>
        </w:tc>
        <w:tc>
          <w:tcPr>
            <w:tcW w:w="8284" w:type="dxa"/>
            <w:tcBorders>
              <w:top w:val="single" w:sz="8" w:space="0" w:color="000000"/>
              <w:left w:val="single" w:sz="8" w:space="0" w:color="000000"/>
              <w:bottom w:val="single" w:sz="8" w:space="0" w:color="000000"/>
              <w:right w:val="single" w:sz="8" w:space="0" w:color="000000"/>
            </w:tcBorders>
            <w:noWrap w:val="0"/>
            <w:vAlign w:val="top"/>
          </w:tcPr>
          <w:p>
            <w:pPr>
              <w:widowControl w:val="0"/>
              <w:jc w:val="both"/>
              <w:rPr>
                <w:rFonts w:ascii="Calibri" w:eastAsia="宋体" w:hAnsi="Calibri"/>
                <w:kern w:val="2"/>
                <w:sz w:val="21"/>
                <w:szCs w:val="21"/>
                <w:lang w:eastAsia="zh-CN"/>
              </w:rPr>
            </w:pPr>
            <w:r>
              <w:rPr>
                <w:rFonts w:ascii="Calibri" w:eastAsia="宋体" w:hAnsi="Calibri" w:cs="Times New Roman" w:hint="eastAsia"/>
                <w:kern w:val="2"/>
                <w:sz w:val="21"/>
                <w:szCs w:val="22"/>
                <w:lang w:eastAsia="zh-CN"/>
              </w:rPr>
              <w:t>分项报价或投标总价不得高于相应预算金额（或设定的预算金额下的最高限价）；</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noWrap w:val="0"/>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sz w:val="21"/>
                <w:szCs w:val="21"/>
                <w:lang w:eastAsia="zh-CN" w:bidi="ar"/>
              </w:rPr>
              <w:t>4</w:t>
            </w:r>
          </w:p>
        </w:tc>
        <w:tc>
          <w:tcPr>
            <w:tcW w:w="8284" w:type="dxa"/>
            <w:tcBorders>
              <w:top w:val="single" w:sz="8" w:space="0" w:color="000000"/>
              <w:left w:val="single" w:sz="8" w:space="0" w:color="000000"/>
              <w:bottom w:val="single" w:sz="8" w:space="0" w:color="000000"/>
              <w:right w:val="single" w:sz="8" w:space="0" w:color="000000"/>
            </w:tcBorders>
            <w:noWrap w:val="0"/>
            <w:vAlign w:val="top"/>
          </w:tcPr>
          <w:p>
            <w:pPr>
              <w:widowControl w:val="0"/>
              <w:jc w:val="both"/>
              <w:rPr>
                <w:rFonts w:ascii="Calibri" w:eastAsia="宋体" w:hAnsi="Calibri"/>
                <w:kern w:val="2"/>
                <w:sz w:val="21"/>
                <w:szCs w:val="21"/>
                <w:lang w:eastAsia="zh-CN"/>
              </w:rPr>
            </w:pPr>
            <w:r>
              <w:rPr>
                <w:rFonts w:ascii="Calibri" w:eastAsia="宋体" w:hAnsi="Calibri" w:cs="Times New Roman" w:hint="eastAsia"/>
                <w:kern w:val="2"/>
                <w:sz w:val="21"/>
                <w:szCs w:val="22"/>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noWrap w:val="0"/>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sz w:val="21"/>
                <w:szCs w:val="21"/>
                <w:lang w:eastAsia="zh-CN" w:bidi="ar"/>
              </w:rPr>
              <w:t>5</w:t>
            </w:r>
          </w:p>
        </w:tc>
        <w:tc>
          <w:tcPr>
            <w:tcW w:w="8284" w:type="dxa"/>
            <w:tcBorders>
              <w:top w:val="single" w:sz="8" w:space="0" w:color="000000"/>
              <w:left w:val="single" w:sz="8" w:space="0" w:color="000000"/>
              <w:bottom w:val="single" w:sz="8" w:space="0" w:color="000000"/>
              <w:right w:val="single" w:sz="8" w:space="0" w:color="000000"/>
            </w:tcBorders>
            <w:noWrap w:val="0"/>
            <w:vAlign w:val="top"/>
          </w:tcPr>
          <w:p>
            <w:pPr>
              <w:widowControl w:val="0"/>
              <w:jc w:val="both"/>
              <w:rPr>
                <w:rFonts w:ascii="Calibri" w:eastAsia="宋体" w:hAnsi="Calibri"/>
                <w:kern w:val="2"/>
                <w:sz w:val="21"/>
                <w:szCs w:val="21"/>
                <w:lang w:eastAsia="zh-CN"/>
              </w:rPr>
            </w:pPr>
            <w:r>
              <w:rPr>
                <w:rFonts w:ascii="Calibri" w:eastAsia="宋体" w:hAnsi="Calibri" w:cs="Times New Roman" w:hint="eastAsia"/>
                <w:kern w:val="2"/>
                <w:sz w:val="21"/>
                <w:szCs w:val="22"/>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noWrap w:val="0"/>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sz w:val="21"/>
                <w:szCs w:val="21"/>
                <w:lang w:eastAsia="zh-CN" w:bidi="ar"/>
              </w:rPr>
              <w:t>6</w:t>
            </w:r>
          </w:p>
        </w:tc>
        <w:tc>
          <w:tcPr>
            <w:tcW w:w="8284" w:type="dxa"/>
            <w:tcBorders>
              <w:top w:val="single" w:sz="8" w:space="0" w:color="000000"/>
              <w:left w:val="single" w:sz="8" w:space="0" w:color="000000"/>
              <w:bottom w:val="single" w:sz="8" w:space="0" w:color="000000"/>
              <w:right w:val="single" w:sz="8" w:space="0" w:color="000000"/>
            </w:tcBorders>
            <w:noWrap w:val="0"/>
            <w:vAlign w:val="top"/>
          </w:tcPr>
          <w:p>
            <w:pPr>
              <w:widowControl w:val="0"/>
              <w:jc w:val="both"/>
              <w:rPr>
                <w:rFonts w:ascii="Calibri" w:eastAsia="宋体" w:hAnsi="Calibri"/>
                <w:kern w:val="2"/>
                <w:sz w:val="21"/>
                <w:szCs w:val="21"/>
                <w:lang w:eastAsia="zh-CN"/>
              </w:rPr>
            </w:pPr>
            <w:r>
              <w:rPr>
                <w:rFonts w:ascii="Calibri" w:eastAsia="宋体" w:hAnsi="Calibri" w:cs="Times New Roman" w:hint="eastAsia"/>
                <w:kern w:val="2"/>
                <w:sz w:val="21"/>
                <w:szCs w:val="22"/>
                <w:lang w:eastAsia="zh-CN"/>
              </w:rPr>
              <w:t>未按招标文件所提供的样式填写《投标函》；未按招标文件所提供的《政府采购投标及履约承诺函》进行承诺；未按招标文件对投标文件组成的要求提供投标文件；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noWrap w:val="0"/>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hint="eastAsia"/>
                <w:sz w:val="21"/>
                <w:szCs w:val="21"/>
                <w:lang w:eastAsia="zh-CN" w:bidi="ar"/>
              </w:rPr>
              <w:t>7</w:t>
            </w:r>
          </w:p>
        </w:tc>
        <w:tc>
          <w:tcPr>
            <w:tcW w:w="8284" w:type="dxa"/>
            <w:tcBorders>
              <w:top w:val="single" w:sz="8" w:space="0" w:color="000000"/>
              <w:left w:val="single" w:sz="8" w:space="0" w:color="000000"/>
              <w:bottom w:val="single" w:sz="8" w:space="0" w:color="000000"/>
              <w:right w:val="single" w:sz="8" w:space="0" w:color="000000"/>
            </w:tcBorders>
            <w:noWrap w:val="0"/>
            <w:vAlign w:val="top"/>
          </w:tcPr>
          <w:p>
            <w:pPr>
              <w:widowControl w:val="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采购标的/服务</w:t>
            </w:r>
            <w:r>
              <w:rPr>
                <w:rFonts w:eastAsia="宋体" w:hAnsi="Calibri" w:cs="Times New Roman" w:hint="eastAsia"/>
                <w:kern w:val="2"/>
                <w:sz w:val="21"/>
                <w:szCs w:val="22"/>
                <w:lang w:eastAsia="zh-CN"/>
              </w:rPr>
              <w:t>清单</w:t>
            </w:r>
            <w:r>
              <w:rPr>
                <w:rFonts w:ascii="Calibri" w:eastAsia="宋体" w:hAnsi="Calibri" w:cs="Times New Roman" w:hint="eastAsia"/>
                <w:kern w:val="2"/>
                <w:sz w:val="21"/>
                <w:szCs w:val="22"/>
                <w:lang w:eastAsia="zh-CN"/>
              </w:rPr>
              <w:t>/报价等任意一类</w:t>
            </w:r>
            <w:r>
              <w:rPr>
                <w:rFonts w:eastAsia="宋体" w:hAnsi="Calibri" w:cs="Times New Roman" w:hint="eastAsia"/>
                <w:kern w:val="2"/>
                <w:sz w:val="21"/>
                <w:szCs w:val="22"/>
                <w:lang w:eastAsia="zh-CN"/>
              </w:rPr>
              <w:t>有缺漏项或响应不全</w:t>
            </w:r>
            <w:r>
              <w:rPr>
                <w:rFonts w:ascii="Calibri" w:eastAsia="宋体" w:hAnsi="Calibri" w:cs="Times New Roman" w:hint="eastAsia"/>
                <w:kern w:val="2"/>
                <w:sz w:val="21"/>
                <w:szCs w:val="22"/>
                <w:lang w:eastAsia="zh-CN"/>
              </w:rPr>
              <w:t>，或者对招标文件规定的项目需求内容或者需求数量进行修改</w:t>
            </w:r>
            <w:r>
              <w:rPr>
                <w:rFonts w:ascii="Calibri" w:eastAsia="宋体" w:hAnsi="Calibri" w:cs="Times New Roman" w:hint="eastAsia"/>
                <w:kern w:val="2"/>
                <w:sz w:val="21"/>
                <w:szCs w:val="21"/>
                <w:lang w:eastAsia="zh-CN"/>
              </w:rPr>
              <w:t>，评审委员会判定投标响应不满足采购需求</w:t>
            </w:r>
            <w:r>
              <w:rPr>
                <w:rFonts w:ascii="Calibri" w:eastAsia="宋体" w:hAnsi="Calibri" w:cs="Times New Roman" w:hint="eastAsia"/>
                <w:kern w:val="2"/>
                <w:sz w:val="21"/>
                <w:szCs w:val="22"/>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noWrap w:val="0"/>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sz w:val="21"/>
                <w:szCs w:val="21"/>
                <w:lang w:eastAsia="zh-CN" w:bidi="ar"/>
              </w:rPr>
              <w:t>8</w:t>
            </w:r>
          </w:p>
        </w:tc>
        <w:tc>
          <w:tcPr>
            <w:tcW w:w="8284" w:type="dxa"/>
            <w:tcBorders>
              <w:top w:val="single" w:sz="8" w:space="0" w:color="000000"/>
              <w:left w:val="single" w:sz="8" w:space="0" w:color="000000"/>
              <w:bottom w:val="single" w:sz="8" w:space="0" w:color="000000"/>
              <w:right w:val="single" w:sz="8" w:space="0" w:color="000000"/>
            </w:tcBorders>
            <w:noWrap w:val="0"/>
            <w:vAlign w:val="top"/>
          </w:tcPr>
          <w:p>
            <w:pPr>
              <w:widowControl w:val="0"/>
              <w:jc w:val="both"/>
              <w:rPr>
                <w:rFonts w:ascii="Calibri" w:eastAsia="宋体" w:hAnsi="Calibri"/>
                <w:kern w:val="2"/>
                <w:sz w:val="21"/>
                <w:szCs w:val="21"/>
                <w:lang w:eastAsia="zh-CN"/>
              </w:rPr>
            </w:pPr>
            <w:r>
              <w:rPr>
                <w:rFonts w:ascii="Calibri" w:eastAsia="宋体" w:hAnsi="Calibri" w:cs="Times New Roman" w:hint="eastAsia"/>
                <w:kern w:val="2"/>
                <w:sz w:val="21"/>
                <w:szCs w:val="22"/>
                <w:lang w:eastAsia="zh-CN"/>
              </w:rPr>
              <w:t>投标文件存在列放位置错误，导致属于信息公开情形的没有被公开；</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noWrap w:val="0"/>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sz w:val="21"/>
                <w:szCs w:val="21"/>
                <w:lang w:eastAsia="zh-CN" w:bidi="ar"/>
              </w:rPr>
              <w:t>9</w:t>
            </w:r>
          </w:p>
        </w:tc>
        <w:tc>
          <w:tcPr>
            <w:tcW w:w="8284" w:type="dxa"/>
            <w:tcBorders>
              <w:top w:val="single" w:sz="8" w:space="0" w:color="000000"/>
              <w:left w:val="single" w:sz="8" w:space="0" w:color="000000"/>
              <w:bottom w:val="single" w:sz="8" w:space="0" w:color="000000"/>
              <w:right w:val="single" w:sz="8" w:space="0" w:color="000000"/>
            </w:tcBorders>
            <w:noWrap w:val="0"/>
            <w:vAlign w:val="top"/>
          </w:tcPr>
          <w:p>
            <w:pPr>
              <w:widowControl w:val="0"/>
              <w:jc w:val="both"/>
              <w:rPr>
                <w:rFonts w:ascii="Calibri" w:eastAsia="宋体" w:hAnsi="Calibri"/>
                <w:kern w:val="2"/>
                <w:sz w:val="21"/>
                <w:szCs w:val="21"/>
                <w:lang w:eastAsia="zh-CN"/>
              </w:rPr>
            </w:pPr>
            <w:r>
              <w:rPr>
                <w:rFonts w:ascii="Calibri" w:eastAsia="宋体" w:hAnsi="Calibri" w:cs="Times New Roman" w:hint="eastAsia"/>
                <w:kern w:val="2"/>
                <w:sz w:val="21"/>
                <w:szCs w:val="22"/>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noWrap w:val="0"/>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sz w:val="21"/>
                <w:szCs w:val="21"/>
                <w:lang w:eastAsia="zh-CN" w:bidi="ar"/>
              </w:rPr>
              <w:t>10</w:t>
            </w:r>
          </w:p>
        </w:tc>
        <w:tc>
          <w:tcPr>
            <w:tcW w:w="8284" w:type="dxa"/>
            <w:tcBorders>
              <w:top w:val="single" w:sz="8" w:space="0" w:color="000000"/>
              <w:left w:val="single" w:sz="8" w:space="0" w:color="000000"/>
              <w:bottom w:val="single" w:sz="8" w:space="0" w:color="000000"/>
              <w:right w:val="single" w:sz="8" w:space="0" w:color="000000"/>
            </w:tcBorders>
            <w:noWrap w:val="0"/>
            <w:vAlign w:val="top"/>
          </w:tcPr>
          <w:p>
            <w:pPr>
              <w:widowControl w:val="0"/>
              <w:jc w:val="both"/>
              <w:rPr>
                <w:rFonts w:ascii="Calibri" w:eastAsia="宋体" w:hAnsi="Calibri"/>
                <w:kern w:val="2"/>
                <w:sz w:val="21"/>
                <w:szCs w:val="21"/>
                <w:lang w:eastAsia="zh-CN"/>
              </w:rPr>
            </w:pPr>
            <w:r>
              <w:rPr>
                <w:rFonts w:ascii="Calibri" w:eastAsia="宋体" w:hAnsi="Calibri" w:cs="Times New Roman" w:hint="eastAsia"/>
                <w:kern w:val="2"/>
                <w:sz w:val="21"/>
                <w:szCs w:val="22"/>
                <w:lang w:eastAsia="zh-CN"/>
              </w:rPr>
              <w:t>投标文件用不属于本公司的电子密钥或电子营业执照进行加密的；</w:t>
            </w:r>
          </w:p>
        </w:tc>
      </w:tr>
      <w:tr>
        <w:tblPrEx>
          <w:tblW w:w="5000" w:type="pct"/>
          <w:jc w:val="center"/>
          <w:tblLayout w:type="fixed"/>
          <w:tblCellMar>
            <w:top w:w="20" w:type="dxa"/>
            <w:left w:w="108" w:type="dxa"/>
            <w:bottom w:w="20" w:type="dxa"/>
            <w:right w:w="108" w:type="dxa"/>
          </w:tblCellMar>
        </w:tblPrEx>
        <w:trPr>
          <w:trHeight w:val="280"/>
          <w:jc w:val="center"/>
        </w:trPr>
        <w:tc>
          <w:tcPr>
            <w:tcW w:w="794" w:type="dxa"/>
            <w:tcBorders>
              <w:top w:val="single" w:sz="8" w:space="0" w:color="000000"/>
              <w:left w:val="single" w:sz="8" w:space="0" w:color="000000"/>
              <w:bottom w:val="single" w:sz="8" w:space="0" w:color="000000"/>
              <w:right w:val="single" w:sz="8" w:space="0" w:color="000000"/>
            </w:tcBorders>
            <w:noWrap w:val="0"/>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hint="eastAsia"/>
                <w:sz w:val="21"/>
                <w:szCs w:val="21"/>
                <w:lang w:eastAsia="zh-CN" w:bidi="ar"/>
              </w:rPr>
              <w:t>11</w:t>
            </w:r>
          </w:p>
        </w:tc>
        <w:tc>
          <w:tcPr>
            <w:tcW w:w="8284" w:type="dxa"/>
            <w:tcBorders>
              <w:top w:val="single" w:sz="8" w:space="0" w:color="000000"/>
              <w:left w:val="single" w:sz="8" w:space="0" w:color="000000"/>
              <w:bottom w:val="single" w:sz="8" w:space="0" w:color="000000"/>
              <w:right w:val="single" w:sz="8" w:space="0" w:color="000000"/>
            </w:tcBorders>
            <w:noWrap w:val="0"/>
            <w:vAlign w:val="top"/>
          </w:tcPr>
          <w:p>
            <w:pPr>
              <w:widowControl/>
              <w:jc w:val="left"/>
              <w:textAlignment w:val="top"/>
              <w:rPr>
                <w:rFonts w:ascii="Calibri" w:eastAsia="宋体" w:hAnsi="Calibri"/>
                <w:kern w:val="2"/>
                <w:sz w:val="21"/>
                <w:lang w:eastAsia="zh-CN"/>
              </w:rPr>
            </w:pPr>
            <w:r>
              <w:rPr>
                <w:rFonts w:eastAsia="宋体" w:hint="eastAsia"/>
                <w:kern w:val="2"/>
                <w:sz w:val="21"/>
                <w:lang w:eastAsia="zh-CN"/>
              </w:rPr>
              <w:t>不同投标供应商投标文件“文件制作机器码”一致；</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noWrap w:val="0"/>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hint="eastAsia"/>
                <w:sz w:val="21"/>
                <w:szCs w:val="21"/>
                <w:lang w:eastAsia="zh-CN" w:bidi="ar"/>
              </w:rPr>
              <w:t>12</w:t>
            </w:r>
          </w:p>
        </w:tc>
        <w:tc>
          <w:tcPr>
            <w:tcW w:w="8284" w:type="dxa"/>
            <w:tcBorders>
              <w:top w:val="single" w:sz="8" w:space="0" w:color="000000"/>
              <w:left w:val="single" w:sz="8" w:space="0" w:color="000000"/>
              <w:bottom w:val="single" w:sz="8" w:space="0" w:color="000000"/>
              <w:right w:val="single" w:sz="8" w:space="0" w:color="000000"/>
            </w:tcBorders>
            <w:noWrap w:val="0"/>
            <w:vAlign w:val="top"/>
          </w:tcPr>
          <w:p>
            <w:pPr>
              <w:widowControl/>
              <w:jc w:val="left"/>
              <w:textAlignment w:val="top"/>
              <w:rPr>
                <w:rFonts w:ascii="Calibri" w:eastAsia="宋体" w:hAnsi="Calibri"/>
                <w:kern w:val="2"/>
                <w:sz w:val="21"/>
                <w:lang w:eastAsia="zh-CN"/>
              </w:rPr>
            </w:pPr>
            <w:r>
              <w:rPr>
                <w:rFonts w:eastAsia="宋体" w:hint="eastAsia"/>
                <w:kern w:val="2"/>
                <w:sz w:val="21"/>
                <w:lang w:eastAsia="zh-CN"/>
              </w:rPr>
              <w:t>不同投标供应商投标文件“文件创建标识码”一致；</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noWrap w:val="0"/>
            <w:vAlign w:val="center"/>
          </w:tcPr>
          <w:p>
            <w:pPr>
              <w:widowControl/>
              <w:jc w:val="center"/>
              <w:textAlignment w:val="top"/>
              <w:rPr>
                <w:rFonts w:ascii="宋体" w:eastAsia="宋体" w:hAnsi="宋体" w:cs="宋体"/>
                <w:sz w:val="21"/>
                <w:szCs w:val="21"/>
                <w:lang w:eastAsia="zh-CN" w:bidi="ar"/>
              </w:rPr>
            </w:pPr>
            <w:r>
              <w:rPr>
                <w:rFonts w:ascii="宋体" w:eastAsia="宋体" w:hAnsi="宋体" w:cs="宋体" w:hint="eastAsia"/>
                <w:sz w:val="21"/>
                <w:szCs w:val="21"/>
                <w:lang w:eastAsia="zh-CN" w:bidi="ar"/>
              </w:rPr>
              <w:t>13</w:t>
            </w:r>
          </w:p>
        </w:tc>
        <w:tc>
          <w:tcPr>
            <w:tcW w:w="8284" w:type="dxa"/>
            <w:tcBorders>
              <w:top w:val="single" w:sz="8" w:space="0" w:color="000000"/>
              <w:left w:val="single" w:sz="8" w:space="0" w:color="000000"/>
              <w:bottom w:val="single" w:sz="8" w:space="0" w:color="000000"/>
              <w:right w:val="single" w:sz="8" w:space="0" w:color="000000"/>
            </w:tcBorders>
            <w:noWrap w:val="0"/>
            <w:vAlign w:val="top"/>
          </w:tcPr>
          <w:p>
            <w:pPr>
              <w:widowControl w:val="0"/>
              <w:jc w:val="both"/>
              <w:rPr>
                <w:rFonts w:ascii="Calibri" w:eastAsia="宋体" w:hAnsi="Calibri"/>
                <w:kern w:val="2"/>
                <w:sz w:val="21"/>
                <w:szCs w:val="21"/>
                <w:lang w:eastAsia="zh-CN"/>
              </w:rPr>
            </w:pPr>
            <w:r>
              <w:rPr>
                <w:rFonts w:ascii="Calibri" w:eastAsia="宋体" w:hAnsi="Calibri" w:cs="Times New Roman" w:hint="eastAsia"/>
                <w:kern w:val="2"/>
                <w:sz w:val="21"/>
                <w:szCs w:val="22"/>
                <w:lang w:eastAsia="zh-CN"/>
              </w:rPr>
              <w:t>法律、法规、规章、规范性文件规定的其他情形。</w:t>
            </w:r>
          </w:p>
        </w:tc>
      </w:tr>
    </w:tbl>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spacing w:before="100" w:beforeAutospacing="1" w:afterAutospacing="1"/>
        <w:jc w:val="center"/>
        <w:outlineLvl w:val="0"/>
        <w:rPr>
          <w:rFonts w:ascii="黑体" w:eastAsia="黑体" w:hAnsi="宋体" w:hint="eastAsia"/>
          <w:kern w:val="2"/>
          <w:sz w:val="40"/>
          <w:szCs w:val="40"/>
          <w:lang w:eastAsia="zh-CN"/>
        </w:rPr>
      </w:pPr>
      <w:r>
        <w:rPr>
          <w:rFonts w:ascii="黑体" w:eastAsia="黑体" w:hAnsi="黑体" w:cs="Times New Roman" w:hint="eastAsia"/>
          <w:kern w:val="2"/>
          <w:sz w:val="40"/>
          <w:szCs w:val="40"/>
          <w:lang w:eastAsia="zh-CN"/>
        </w:rPr>
        <w:t>评标信息</w:t>
      </w:r>
    </w:p>
    <w:tbl>
      <w:tblPr>
        <w:tblStyle w:val="TableNormal"/>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
      <w:tblGrid>
        <w:gridCol w:w="8730"/>
      </w:tblGrid>
      <w:tr>
        <w:tblPrEx>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Ex>
        <w:trPr>
          <w:tblCellSpacing w:w="0" w:type="dxa"/>
          <w:jc w:val="center"/>
        </w:trPr>
        <w:tc>
          <w:tcPr>
            <w:tcW w:w="9078" w:type="dxa"/>
            <w:noWrap w:val="0"/>
            <w:vAlign w:val="center"/>
          </w:tcPr>
          <w:p>
            <w:pPr>
              <w:widowControl w:val="0"/>
              <w:jc w:val="left"/>
              <w:rPr>
                <w:rFonts w:ascii="宋体" w:eastAsia="宋体" w:hAnsi="Calibri"/>
                <w:b/>
                <w:bCs/>
                <w:kern w:val="2"/>
                <w:szCs w:val="22"/>
                <w:lang w:eastAsia="zh-CN"/>
              </w:rPr>
            </w:pPr>
            <w:r>
              <w:rPr>
                <w:rFonts w:ascii="Calibri" w:eastAsia="宋体" w:hAnsi="Calibri" w:cs="Times New Roman"/>
                <w:b/>
                <w:bCs/>
                <w:kern w:val="2"/>
                <w:sz w:val="21"/>
                <w:szCs w:val="22"/>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9078" w:type="dxa"/>
            <w:noWrap w:val="0"/>
            <w:vAlign w:val="center"/>
          </w:tcPr>
          <w:p>
            <w:pPr>
              <w:widowControl w:val="0"/>
              <w:ind w:firstLine="420"/>
              <w:jc w:val="both"/>
              <w:rPr>
                <w:rFonts w:ascii="Calibri" w:eastAsia="宋体" w:hAnsi="Calibri"/>
                <w:kern w:val="2"/>
                <w:sz w:val="21"/>
                <w:szCs w:val="21"/>
                <w:lang w:eastAsia="zh-CN"/>
              </w:rPr>
            </w:pPr>
            <w:r>
              <w:rPr>
                <w:rFonts w:ascii="Calibri" w:eastAsia="宋体" w:hAnsi="Calibri" w:cs="Times New Roman"/>
                <w:kern w:val="2"/>
                <w:sz w:val="21"/>
                <w:szCs w:val="21"/>
                <w:lang w:eastAsia="zh-CN"/>
              </w:rPr>
              <w:t>综合评分法，</w:t>
            </w:r>
            <w:r>
              <w:rPr>
                <w:rFonts w:ascii="Calibri" w:eastAsia="宋体" w:hAnsi="Calibri" w:cs="Times New Roman" w:hint="eastAsia"/>
                <w:kern w:val="2"/>
                <w:sz w:val="21"/>
                <w:szCs w:val="21"/>
                <w:lang w:eastAsia="zh-CN"/>
              </w:rPr>
              <w:t>是指投标文件满足招标文件全部实质性要求，且按照评审因素的量化指标评审得分排名前列</w:t>
            </w:r>
            <w:r>
              <w:rPr>
                <w:rFonts w:ascii="Calibri" w:eastAsia="宋体" w:hAnsi="Calibri" w:cs="Times New Roman"/>
                <w:kern w:val="2"/>
                <w:sz w:val="21"/>
                <w:szCs w:val="21"/>
                <w:lang w:eastAsia="zh-CN"/>
              </w:rPr>
              <w:t>的投标人为中标候选人的评标方法。</w:t>
            </w:r>
            <w:r>
              <w:rPr>
                <w:rFonts w:ascii="Calibri" w:eastAsia="宋体" w:hAnsi="Calibri" w:cs="Times New Roman" w:hint="eastAsia"/>
                <w:kern w:val="2"/>
                <w:sz w:val="21"/>
                <w:szCs w:val="21"/>
                <w:lang w:eastAsia="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其他投标无效。</w:t>
            </w:r>
          </w:p>
          <w:p>
            <w:pPr>
              <w:widowControl w:val="0"/>
              <w:ind w:firstLine="420"/>
              <w:jc w:val="both"/>
              <w:rPr>
                <w:rFonts w:ascii="Calibri" w:eastAsia="宋体" w:hAnsi="Calibri"/>
                <w:kern w:val="2"/>
                <w:sz w:val="21"/>
                <w:szCs w:val="22"/>
                <w:lang w:eastAsia="zh-CN"/>
              </w:rPr>
            </w:pPr>
          </w:p>
          <w:p>
            <w:pPr>
              <w:widowControl w:val="0"/>
              <w:ind w:firstLine="420"/>
              <w:jc w:val="both"/>
              <w:rPr>
                <w:rFonts w:ascii="Calibri" w:eastAsia="宋体" w:hAnsi="Calibri"/>
                <w:kern w:val="2"/>
                <w:sz w:val="21"/>
                <w:szCs w:val="21"/>
                <w:lang w:eastAsia="zh-CN"/>
              </w:rPr>
            </w:pPr>
            <w:r>
              <w:rPr>
                <w:rFonts w:ascii="Calibri" w:eastAsia="宋体" w:hAnsi="Calibri" w:cs="Times New Roman"/>
                <w:kern w:val="2"/>
                <w:sz w:val="21"/>
                <w:szCs w:val="21"/>
                <w:lang w:eastAsia="zh-CN"/>
              </w:rPr>
              <w:t>价格分计算方法：</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imes New Roman"/>
                <w:kern w:val="2"/>
                <w:sz w:val="21"/>
                <w:szCs w:val="21"/>
                <w:lang w:eastAsia="zh-CN"/>
              </w:rPr>
              <w:t xml:space="preserve">采用低价优先法计算，即满足招标文件要求且投标价格最低的投标报价为评标基准价，其价格分为满分。其他投标人的价格分统一按照下列公式计算： </w:t>
            </w:r>
            <w:r>
              <w:rPr>
                <w:rFonts w:ascii="宋体" w:eastAsia="宋体" w:hAnsi="宋体" w:cs="Times New Roman"/>
                <w:kern w:val="2"/>
                <w:sz w:val="21"/>
                <w:szCs w:val="21"/>
                <w:lang w:eastAsia="zh-CN"/>
              </w:rPr>
              <w:br/>
            </w:r>
            <w:r>
              <w:rPr>
                <w:rFonts w:ascii="宋体" w:eastAsia="宋体" w:hAnsi="宋体" w:cs="Times New Roman"/>
                <w:kern w:val="2"/>
                <w:sz w:val="21"/>
                <w:szCs w:val="21"/>
                <w:lang w:eastAsia="zh-CN"/>
              </w:rPr>
              <w:t xml:space="preserve">投标报价得分=(评标基准价／投标报价)×100 </w:t>
            </w:r>
            <w:r>
              <w:rPr>
                <w:rFonts w:ascii="宋体" w:eastAsia="宋体" w:hAnsi="宋体" w:cs="Times New Roman"/>
                <w:kern w:val="2"/>
                <w:sz w:val="21"/>
                <w:szCs w:val="21"/>
                <w:lang w:eastAsia="zh-CN"/>
              </w:rPr>
              <w:br/>
            </w:r>
            <w:r>
              <w:rPr>
                <w:rFonts w:ascii="宋体" w:eastAsia="宋体" w:hAnsi="宋体" w:cs="Times New Roman"/>
                <w:kern w:val="2"/>
                <w:sz w:val="21"/>
                <w:szCs w:val="21"/>
                <w:lang w:eastAsia="zh-CN"/>
              </w:rPr>
              <w:t xml:space="preserve">评标总得分＝F1×A1＋F2×A2＋……＋Fn×An </w:t>
            </w:r>
            <w:r>
              <w:rPr>
                <w:rFonts w:ascii="宋体" w:eastAsia="宋体" w:hAnsi="宋体" w:cs="Times New Roman"/>
                <w:kern w:val="2"/>
                <w:sz w:val="21"/>
                <w:szCs w:val="21"/>
                <w:lang w:eastAsia="zh-CN"/>
              </w:rPr>
              <w:br/>
            </w:r>
            <w:r>
              <w:rPr>
                <w:rFonts w:ascii="宋体" w:eastAsia="宋体" w:hAnsi="宋体" w:cs="Times New Roman"/>
                <w:kern w:val="2"/>
                <w:sz w:val="21"/>
                <w:szCs w:val="21"/>
                <w:lang w:eastAsia="zh-CN"/>
              </w:rPr>
              <w:t xml:space="preserve">F1、F2……Fn分别为各项评审因素的得分； </w:t>
            </w:r>
            <w:r>
              <w:rPr>
                <w:rFonts w:ascii="宋体" w:eastAsia="宋体" w:hAnsi="宋体" w:cs="Times New Roman"/>
                <w:kern w:val="2"/>
                <w:sz w:val="21"/>
                <w:szCs w:val="21"/>
                <w:lang w:eastAsia="zh-CN"/>
              </w:rPr>
              <w:br/>
            </w:r>
            <w:r>
              <w:rPr>
                <w:rFonts w:ascii="宋体" w:eastAsia="宋体" w:hAnsi="宋体" w:cs="Times New Roman"/>
                <w:kern w:val="2"/>
                <w:sz w:val="21"/>
                <w:szCs w:val="21"/>
                <w:lang w:eastAsia="zh-CN"/>
              </w:rPr>
              <w:t xml:space="preserve">A1、A2、……An 分别为各项评审因素所占的权重(A1＋A2＋……＋An＝1)。 </w:t>
            </w:r>
            <w:r>
              <w:rPr>
                <w:rFonts w:ascii="宋体" w:eastAsia="宋体" w:hAnsi="宋体" w:cs="Times New Roman"/>
                <w:kern w:val="2"/>
                <w:sz w:val="21"/>
                <w:szCs w:val="21"/>
                <w:lang w:eastAsia="zh-CN"/>
              </w:rPr>
              <w:br/>
            </w:r>
            <w:r>
              <w:rPr>
                <w:rFonts w:ascii="宋体" w:eastAsia="宋体" w:hAnsi="宋体" w:cs="Times New Roman"/>
                <w:kern w:val="2"/>
                <w:sz w:val="21"/>
                <w:szCs w:val="21"/>
                <w:lang w:eastAsia="zh-CN"/>
              </w:rPr>
              <w:t>评标过程中，不得去掉报价中的最高报价和最低报价。</w:t>
            </w:r>
          </w:p>
          <w:p>
            <w:pPr>
              <w:widowControl/>
              <w:spacing w:before="100" w:beforeAutospacing="0" w:afterAutospacing="0"/>
              <w:ind w:left="420"/>
              <w:jc w:val="left"/>
              <w:rPr>
                <w:rFonts w:ascii="宋体" w:eastAsia="宋体" w:hAnsi="宋体" w:hint="eastAsia"/>
                <w:kern w:val="2"/>
                <w:lang w:eastAsia="zh-CN"/>
              </w:rPr>
            </w:pPr>
            <w:r>
              <w:rPr>
                <w:rFonts w:ascii="宋体" w:eastAsia="宋体" w:hAnsi="宋体" w:cs="Times New Roman" w:hint="eastAsia"/>
                <w:kern w:val="2"/>
                <w:sz w:val="21"/>
                <w:szCs w:val="21"/>
                <w:lang w:eastAsia="zh-CN"/>
              </w:rPr>
              <w:t>因落实政府采购政策进行价格调整的，以调整后的价格计算评标基准价和投标报价。</w:t>
            </w:r>
          </w:p>
        </w:tc>
      </w:tr>
    </w:tbl>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tbl>
      <w:tblPr>
        <w:tblStyle w:val="TableNormal"/>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06"/>
        <w:gridCol w:w="736"/>
        <w:gridCol w:w="14"/>
        <w:gridCol w:w="1164"/>
        <w:gridCol w:w="206"/>
        <w:gridCol w:w="1317"/>
        <w:gridCol w:w="5013"/>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jc w:val="center"/>
        </w:trPr>
        <w:tc>
          <w:tcPr>
            <w:tcW w:w="406" w:type="dxa"/>
            <w:noWrap w:val="0"/>
            <w:vAlign w:val="center"/>
          </w:tcPr>
          <w:p>
            <w:pPr>
              <w:pageBreakBefore w:val="0"/>
              <w:widowControl/>
              <w:kinsoku/>
              <w:overflowPunct/>
              <w:topLinePunct w:val="0"/>
              <w:bidi w:val="0"/>
              <w:adjustRightInd/>
              <w:snapToGri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序号</w:t>
            </w:r>
          </w:p>
        </w:tc>
        <w:tc>
          <w:tcPr>
            <w:tcW w:w="3437" w:type="dxa"/>
            <w:gridSpan w:val="5"/>
            <w:noWrap w:val="0"/>
            <w:vAlign w:val="center"/>
          </w:tcPr>
          <w:p>
            <w:pPr>
              <w:pageBreakBefore w:val="0"/>
              <w:widowControl/>
              <w:kinsoku/>
              <w:overflowPunct/>
              <w:topLinePunct w:val="0"/>
              <w:bidi w:val="0"/>
              <w:adjustRightInd/>
              <w:snapToGri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评分项</w:t>
            </w:r>
          </w:p>
        </w:tc>
        <w:tc>
          <w:tcPr>
            <w:tcW w:w="5013" w:type="dxa"/>
            <w:noWrap w:val="0"/>
            <w:vAlign w:val="center"/>
          </w:tcPr>
          <w:p>
            <w:pPr>
              <w:pageBreakBefore w:val="0"/>
              <w:widowControl/>
              <w:kinsoku/>
              <w:overflowPunct/>
              <w:topLinePunct w:val="0"/>
              <w:bidi w:val="0"/>
              <w:adjustRightInd/>
              <w:snapToGrid/>
              <w:spacing w:line="360" w:lineRule="auto"/>
              <w:jc w:val="center"/>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rPr>
              <w:t>权重</w:t>
            </w:r>
            <w:r>
              <w:rPr>
                <w:rFonts w:ascii="宋体" w:eastAsia="宋体" w:hAnsi="宋体" w:cs="宋体" w:hint="eastAsia"/>
                <w:b/>
                <w:bCs/>
                <w:sz w:val="21"/>
                <w:szCs w:val="21"/>
                <w:lang w:eastAsia="zh-CN"/>
              </w:rPr>
              <w:t>（%）</w:t>
            </w:r>
          </w:p>
        </w:tc>
      </w:tr>
      <w:tr>
        <w:tblPrEx>
          <w:tblW w:w="5000" w:type="pct"/>
          <w:jc w:val="center"/>
          <w:tblLayout w:type="fixed"/>
          <w:tblCellMar>
            <w:top w:w="0" w:type="dxa"/>
            <w:left w:w="108" w:type="dxa"/>
            <w:bottom w:w="0" w:type="dxa"/>
            <w:right w:w="108" w:type="dxa"/>
          </w:tblCellMar>
        </w:tblPrEx>
        <w:trPr>
          <w:trHeight w:val="326"/>
          <w:jc w:val="center"/>
        </w:trPr>
        <w:tc>
          <w:tcPr>
            <w:tcW w:w="406" w:type="dxa"/>
            <w:noWrap w:val="0"/>
            <w:vAlign w:val="center"/>
          </w:tcPr>
          <w:p>
            <w:pPr>
              <w:pageBreakBefore w:val="0"/>
              <w:widowControl/>
              <w:kinsoku/>
              <w:overflowPunct/>
              <w:topLinePunct w:val="0"/>
              <w:bidi w:val="0"/>
              <w:adjustRightInd/>
              <w:snapToGri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1</w:t>
            </w:r>
          </w:p>
        </w:tc>
        <w:tc>
          <w:tcPr>
            <w:tcW w:w="3437" w:type="dxa"/>
            <w:gridSpan w:val="5"/>
            <w:noWrap w:val="0"/>
            <w:vAlign w:val="center"/>
          </w:tcPr>
          <w:p>
            <w:pPr>
              <w:pageBreakBefore w:val="0"/>
              <w:widowControl/>
              <w:kinsoku/>
              <w:overflowPunct/>
              <w:topLinePunct w:val="0"/>
              <w:bidi w:val="0"/>
              <w:adjustRightInd/>
              <w:snapToGri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价格</w:t>
            </w:r>
          </w:p>
        </w:tc>
        <w:tc>
          <w:tcPr>
            <w:tcW w:w="5013" w:type="dxa"/>
            <w:noWrap w:val="0"/>
            <w:vAlign w:val="center"/>
          </w:tcPr>
          <w:p>
            <w:pPr>
              <w:pageBreakBefore w:val="0"/>
              <w:widowControl/>
              <w:kinsoku/>
              <w:overflowPunct/>
              <w:topLinePunct w:val="0"/>
              <w:bidi w:val="0"/>
              <w:adjustRightInd/>
              <w:snapToGri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30</w:t>
            </w:r>
          </w:p>
        </w:tc>
      </w:tr>
      <w:tr>
        <w:tblPrEx>
          <w:tblW w:w="5000" w:type="pct"/>
          <w:jc w:val="center"/>
          <w:tblLayout w:type="fixed"/>
          <w:tblCellMar>
            <w:top w:w="0" w:type="dxa"/>
            <w:left w:w="108" w:type="dxa"/>
            <w:bottom w:w="0" w:type="dxa"/>
            <w:right w:w="108" w:type="dxa"/>
          </w:tblCellMar>
        </w:tblPrEx>
        <w:trPr>
          <w:trHeight w:val="366"/>
          <w:jc w:val="center"/>
        </w:trPr>
        <w:tc>
          <w:tcPr>
            <w:tcW w:w="406" w:type="dxa"/>
            <w:noWrap w:val="0"/>
            <w:vAlign w:val="center"/>
          </w:tcPr>
          <w:p>
            <w:pPr>
              <w:pageBreakBefore w:val="0"/>
              <w:widowControl/>
              <w:kinsoku/>
              <w:overflowPunct/>
              <w:topLinePunct w:val="0"/>
              <w:bidi w:val="0"/>
              <w:adjustRightInd/>
              <w:snapToGri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2</w:t>
            </w:r>
          </w:p>
        </w:tc>
        <w:tc>
          <w:tcPr>
            <w:tcW w:w="3437" w:type="dxa"/>
            <w:gridSpan w:val="5"/>
            <w:noWrap w:val="0"/>
            <w:vAlign w:val="center"/>
          </w:tcPr>
          <w:p>
            <w:pPr>
              <w:pageBreakBefore w:val="0"/>
              <w:widowControl/>
              <w:kinsoku/>
              <w:overflowPunct/>
              <w:topLinePunct w:val="0"/>
              <w:bidi w:val="0"/>
              <w:adjustRightInd/>
              <w:snapToGri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技术部分</w:t>
            </w:r>
          </w:p>
        </w:tc>
        <w:tc>
          <w:tcPr>
            <w:tcW w:w="5013" w:type="dxa"/>
            <w:noWrap w:val="0"/>
            <w:vAlign w:val="center"/>
          </w:tcPr>
          <w:p>
            <w:pPr>
              <w:pageBreakBefore w:val="0"/>
              <w:widowControl/>
              <w:kinsoku/>
              <w:overflowPunct/>
              <w:topLinePunct w:val="0"/>
              <w:bidi w:val="0"/>
              <w:adjustRightInd/>
              <w:snapToGrid/>
              <w:spacing w:line="360" w:lineRule="auto"/>
              <w:jc w:val="center"/>
              <w:textAlignment w:val="auto"/>
              <w:rPr>
                <w:rFonts w:ascii="宋体" w:eastAsia="宋体" w:hAnsi="宋体" w:cs="宋体"/>
                <w:b/>
                <w:bCs/>
                <w:sz w:val="21"/>
                <w:szCs w:val="21"/>
                <w:lang w:eastAsia="zh-CN"/>
              </w:rPr>
            </w:pPr>
            <w:r>
              <w:rPr>
                <w:rFonts w:ascii="宋体" w:eastAsia="宋体" w:hAnsi="宋体" w:cs="宋体" w:hint="eastAsia"/>
                <w:b/>
                <w:bCs/>
                <w:sz w:val="21"/>
                <w:szCs w:val="21"/>
                <w:lang w:eastAsia="zh-CN"/>
              </w:rPr>
              <w:t>5</w:t>
            </w:r>
            <w:r>
              <w:rPr>
                <w:rFonts w:ascii="宋体" w:eastAsia="宋体" w:hAnsi="宋体" w:cs="宋体" w:hint="eastAsia"/>
                <w:b/>
                <w:bCs/>
                <w:sz w:val="21"/>
                <w:szCs w:val="21"/>
                <w:lang w:val="en-US" w:eastAsia="zh-CN"/>
              </w:rPr>
              <w:t>2</w:t>
            </w:r>
          </w:p>
        </w:tc>
      </w:tr>
      <w:tr>
        <w:tblPrEx>
          <w:tblW w:w="5000" w:type="pct"/>
          <w:jc w:val="center"/>
          <w:tblLayout w:type="fixed"/>
          <w:tblCellMar>
            <w:top w:w="0" w:type="dxa"/>
            <w:left w:w="108" w:type="dxa"/>
            <w:bottom w:w="0" w:type="dxa"/>
            <w:right w:w="108" w:type="dxa"/>
          </w:tblCellMar>
        </w:tblPrEx>
        <w:trPr>
          <w:trHeight w:val="339"/>
          <w:jc w:val="center"/>
        </w:trPr>
        <w:tc>
          <w:tcPr>
            <w:tcW w:w="406" w:type="dxa"/>
            <w:vMerge w:val="restart"/>
            <w:noWrap w:val="0"/>
            <w:vAlign w:val="center"/>
          </w:tcPr>
          <w:p>
            <w:pPr>
              <w:pageBreakBefore w:val="0"/>
              <w:widowControl/>
              <w:kinsoku/>
              <w:overflowPunct/>
              <w:topLinePunct w:val="0"/>
              <w:bidi w:val="0"/>
              <w:adjustRightInd/>
              <w:snapToGrid/>
              <w:spacing w:line="360" w:lineRule="auto"/>
              <w:jc w:val="center"/>
              <w:textAlignment w:val="auto"/>
              <w:rPr>
                <w:rFonts w:ascii="宋体" w:eastAsia="宋体" w:hAnsi="宋体" w:cs="宋体" w:hint="eastAsia"/>
                <w:sz w:val="21"/>
                <w:szCs w:val="21"/>
              </w:rPr>
            </w:pPr>
          </w:p>
        </w:tc>
        <w:tc>
          <w:tcPr>
            <w:tcW w:w="736" w:type="dxa"/>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384" w:type="dxa"/>
            <w:gridSpan w:val="3"/>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评分因素</w:t>
            </w:r>
          </w:p>
        </w:tc>
        <w:tc>
          <w:tcPr>
            <w:tcW w:w="1317" w:type="dxa"/>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权重(%)</w:t>
            </w:r>
          </w:p>
        </w:tc>
        <w:tc>
          <w:tcPr>
            <w:tcW w:w="5013" w:type="dxa"/>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评分准则</w:t>
            </w:r>
          </w:p>
        </w:tc>
      </w:tr>
      <w:tr>
        <w:tblPrEx>
          <w:tblW w:w="5000" w:type="pct"/>
          <w:jc w:val="center"/>
          <w:tblLayout w:type="fixed"/>
          <w:tblCellMar>
            <w:top w:w="0" w:type="dxa"/>
            <w:left w:w="108" w:type="dxa"/>
            <w:bottom w:w="0" w:type="dxa"/>
            <w:right w:w="108" w:type="dxa"/>
          </w:tblCellMar>
        </w:tblPrEx>
        <w:trPr>
          <w:trHeight w:val="2585"/>
          <w:jc w:val="center"/>
        </w:trPr>
        <w:tc>
          <w:tcPr>
            <w:tcW w:w="406" w:type="dxa"/>
            <w:vMerge/>
            <w:shd w:val="clear" w:color="auto" w:fill="auto"/>
            <w:noWrap w:val="0"/>
            <w:vAlign w:val="center"/>
          </w:tcPr>
          <w:p>
            <w:pPr>
              <w:keepNext/>
              <w:keepLines/>
              <w:pageBreakBefore w:val="0"/>
              <w:widowControl/>
              <w:kinsoku/>
              <w:overflowPunct/>
              <w:topLinePunct w:val="0"/>
              <w:bidi w:val="0"/>
              <w:adjustRightInd/>
              <w:snapToGrid/>
              <w:spacing w:before="260" w:after="260" w:line="360" w:lineRule="auto"/>
              <w:jc w:val="center"/>
              <w:textAlignment w:val="auto"/>
              <w:outlineLvl w:val="2"/>
              <w:rPr>
                <w:rFonts w:ascii="宋体" w:eastAsia="宋体" w:hAnsi="宋体" w:cs="宋体" w:hint="eastAsia"/>
                <w:sz w:val="21"/>
                <w:szCs w:val="21"/>
              </w:rPr>
            </w:pPr>
          </w:p>
        </w:tc>
        <w:tc>
          <w:tcPr>
            <w:tcW w:w="736" w:type="dxa"/>
            <w:shd w:val="clear" w:color="auto" w:fill="auto"/>
            <w:noWrap w:val="0"/>
            <w:vAlign w:val="center"/>
          </w:tcPr>
          <w:p>
            <w:pPr>
              <w:keepNext w:val="0"/>
              <w:keepLines w:val="0"/>
              <w:pageBreakBefore w:val="0"/>
              <w:widowControl/>
              <w:kinsoku/>
              <w:wordWrap/>
              <w:overflowPunct/>
              <w:topLinePunct w:val="0"/>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1384" w:type="dxa"/>
            <w:gridSpan w:val="3"/>
            <w:shd w:val="clear" w:color="auto" w:fill="auto"/>
            <w:noWrap w:val="0"/>
            <w:vAlign w:val="center"/>
          </w:tcPr>
          <w:p>
            <w:pPr>
              <w:keepNext w:val="0"/>
              <w:keepLines w:val="0"/>
              <w:pageBreakBefore w:val="0"/>
              <w:widowControl/>
              <w:kinsoku/>
              <w:wordWrap/>
              <w:overflowPunct/>
              <w:topLinePunct w:val="0"/>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项目实施方案</w:t>
            </w:r>
          </w:p>
        </w:tc>
        <w:tc>
          <w:tcPr>
            <w:tcW w:w="1317" w:type="dxa"/>
            <w:shd w:val="clear" w:color="auto" w:fill="auto"/>
            <w:noWrap w:val="0"/>
            <w:vAlign w:val="center"/>
          </w:tcPr>
          <w:p>
            <w:pPr>
              <w:keepNext w:val="0"/>
              <w:keepLines w:val="0"/>
              <w:pageBreakBefore w:val="0"/>
              <w:widowControl/>
              <w:kinsoku/>
              <w:wordWrap/>
              <w:overflowPunct/>
              <w:topLinePunct w:val="0"/>
              <w:bidi w:val="0"/>
              <w:adjustRightInd/>
              <w:spacing w:line="36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6</w:t>
            </w:r>
          </w:p>
        </w:tc>
        <w:tc>
          <w:tcPr>
            <w:tcW w:w="50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b/>
                <w:sz w:val="21"/>
                <w:szCs w:val="21"/>
              </w:rPr>
            </w:pPr>
            <w:r>
              <w:rPr>
                <w:rFonts w:ascii="宋体" w:eastAsia="宋体" w:hAnsi="宋体" w:cs="宋体" w:hint="eastAsia"/>
                <w:b/>
                <w:sz w:val="21"/>
                <w:szCs w:val="21"/>
                <w:lang w:eastAsia="zh-CN"/>
              </w:rPr>
              <w:t>（</w:t>
            </w:r>
            <w:r>
              <w:rPr>
                <w:rFonts w:ascii="宋体" w:eastAsia="宋体" w:hAnsi="宋体" w:cs="宋体" w:hint="eastAsia"/>
                <w:b/>
                <w:sz w:val="21"/>
                <w:szCs w:val="21"/>
                <w:lang w:val="en-US" w:eastAsia="zh-CN"/>
              </w:rPr>
              <w:t>一</w:t>
            </w:r>
            <w:r>
              <w:rPr>
                <w:rFonts w:ascii="宋体" w:eastAsia="宋体" w:hAnsi="宋体" w:cs="宋体" w:hint="eastAsia"/>
                <w:b/>
                <w:sz w:val="21"/>
                <w:szCs w:val="21"/>
                <w:lang w:eastAsia="zh-CN"/>
              </w:rPr>
              <w:t>）</w:t>
            </w:r>
            <w:r>
              <w:rPr>
                <w:rFonts w:ascii="宋体" w:eastAsia="宋体" w:hAnsi="宋体" w:cs="宋体" w:hint="eastAsia"/>
                <w:b/>
                <w:sz w:val="21"/>
                <w:szCs w:val="21"/>
              </w:rPr>
              <w:t>评分内容：</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投标人需针对本项目的需求制定完备的项目实施方案，应包含以下内容：</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sz w:val="21"/>
                <w:szCs w:val="21"/>
                <w:lang w:val="en-US" w:eastAsia="zh-CN"/>
              </w:rPr>
              <w:t>运输配送方案</w:t>
            </w:r>
            <w:r>
              <w:rPr>
                <w:rFonts w:ascii="宋体" w:eastAsia="宋体" w:hAnsi="宋体" w:cs="宋体" w:hint="eastAsia"/>
                <w:sz w:val="21"/>
                <w:szCs w:val="21"/>
              </w:rPr>
              <w:t>；</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（2）项目管理制度；</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（3）应急预案；</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（4）</w:t>
            </w:r>
            <w:r>
              <w:rPr>
                <w:rFonts w:ascii="宋体" w:eastAsia="宋体" w:hAnsi="宋体" w:cs="宋体" w:hint="eastAsia"/>
                <w:sz w:val="21"/>
                <w:szCs w:val="21"/>
                <w:lang w:val="en-US" w:eastAsia="zh-CN"/>
              </w:rPr>
              <w:t>验收计划</w:t>
            </w:r>
            <w:r>
              <w:rPr>
                <w:rFonts w:ascii="宋体" w:eastAsia="宋体" w:hAnsi="宋体" w:cs="宋体" w:hint="eastAsia"/>
                <w:sz w:val="21"/>
                <w:szCs w:val="21"/>
              </w:rPr>
              <w:t>。</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b/>
                <w:sz w:val="21"/>
                <w:szCs w:val="21"/>
                <w:lang w:eastAsia="zh-CN"/>
              </w:rPr>
              <w:t>（</w:t>
            </w:r>
            <w:r>
              <w:rPr>
                <w:rFonts w:ascii="宋体" w:eastAsia="宋体" w:hAnsi="宋体" w:cs="宋体" w:hint="eastAsia"/>
                <w:b/>
                <w:sz w:val="21"/>
                <w:szCs w:val="21"/>
                <w:lang w:val="en-US" w:eastAsia="zh-CN"/>
              </w:rPr>
              <w:t>二</w:t>
            </w:r>
            <w:r>
              <w:rPr>
                <w:rFonts w:ascii="宋体" w:eastAsia="宋体" w:hAnsi="宋体" w:cs="宋体" w:hint="eastAsia"/>
                <w:b/>
                <w:sz w:val="21"/>
                <w:szCs w:val="21"/>
                <w:lang w:eastAsia="zh-CN"/>
              </w:rPr>
              <w:t>）</w:t>
            </w:r>
            <w:r>
              <w:rPr>
                <w:rFonts w:ascii="宋体" w:eastAsia="宋体" w:hAnsi="宋体" w:cs="宋体" w:hint="eastAsia"/>
                <w:b/>
                <w:sz w:val="21"/>
                <w:szCs w:val="21"/>
              </w:rPr>
              <w:t>评分标准：</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提供的内容每满足上述一点要求的得</w:t>
            </w:r>
            <w:r>
              <w:rPr>
                <w:rFonts w:ascii="宋体" w:eastAsia="宋体" w:hAnsi="宋体" w:cs="宋体" w:hint="eastAsia"/>
                <w:sz w:val="21"/>
                <w:szCs w:val="21"/>
                <w:lang w:val="en-US" w:eastAsia="zh-CN"/>
              </w:rPr>
              <w:t>5</w:t>
            </w:r>
            <w:r>
              <w:rPr>
                <w:rFonts w:ascii="宋体" w:eastAsia="宋体" w:hAnsi="宋体" w:cs="宋体" w:hint="eastAsia"/>
                <w:sz w:val="21"/>
                <w:szCs w:val="21"/>
              </w:rPr>
              <w:t>分，最高得</w:t>
            </w:r>
            <w:r>
              <w:rPr>
                <w:rFonts w:ascii="宋体" w:eastAsia="宋体" w:hAnsi="宋体" w:cs="宋体" w:hint="eastAsia"/>
                <w:sz w:val="21"/>
                <w:szCs w:val="21"/>
                <w:lang w:val="en-US" w:eastAsia="zh-CN"/>
              </w:rPr>
              <w:t>20</w:t>
            </w:r>
            <w:r>
              <w:rPr>
                <w:rFonts w:ascii="宋体" w:eastAsia="宋体" w:hAnsi="宋体" w:cs="宋体" w:hint="eastAsia"/>
                <w:sz w:val="21"/>
                <w:szCs w:val="21"/>
              </w:rPr>
              <w:t>分，其他情况或未提供不得分。</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在此基础上，由评审委员会对具体响应内容合理性等进行评分：</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（1）项目实施方案全面；</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（2）项目实施方案具体；</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（3）项目实施方案科学合理；</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（4）项目实施方案针对性强；</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（5）项目实施方案可操作性强。</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优评分标准：满足以上五项要求的评价为优，加8</w:t>
            </w:r>
            <w:r>
              <w:rPr>
                <w:rFonts w:ascii="宋体" w:eastAsia="宋体" w:hAnsi="宋体" w:cs="宋体" w:hint="eastAsia"/>
                <w:sz w:val="21"/>
                <w:szCs w:val="21"/>
                <w:lang w:val="en-US" w:eastAsia="zh-CN"/>
              </w:rPr>
              <w:t>0</w:t>
            </w:r>
            <w:r>
              <w:rPr>
                <w:rFonts w:ascii="宋体" w:eastAsia="宋体" w:hAnsi="宋体" w:cs="宋体" w:hint="eastAsia"/>
                <w:sz w:val="21"/>
                <w:szCs w:val="21"/>
              </w:rPr>
              <w:t>分；</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良评分标准：满足以上四项要求的评价为良，加6</w:t>
            </w:r>
            <w:r>
              <w:rPr>
                <w:rFonts w:ascii="宋体" w:eastAsia="宋体" w:hAnsi="宋体" w:cs="宋体" w:hint="eastAsia"/>
                <w:sz w:val="21"/>
                <w:szCs w:val="21"/>
                <w:lang w:val="en-US" w:eastAsia="zh-CN"/>
              </w:rPr>
              <w:t>0</w:t>
            </w:r>
            <w:r>
              <w:rPr>
                <w:rFonts w:ascii="宋体" w:eastAsia="宋体" w:hAnsi="宋体" w:cs="宋体" w:hint="eastAsia"/>
                <w:sz w:val="21"/>
                <w:szCs w:val="21"/>
              </w:rPr>
              <w:t>分；</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中评分标准：满足以上三项要求的评价为中，加3</w:t>
            </w:r>
            <w:r>
              <w:rPr>
                <w:rFonts w:ascii="宋体" w:eastAsia="宋体" w:hAnsi="宋体" w:cs="宋体" w:hint="eastAsia"/>
                <w:sz w:val="21"/>
                <w:szCs w:val="21"/>
                <w:lang w:val="en-US" w:eastAsia="zh-CN"/>
              </w:rPr>
              <w:t>0</w:t>
            </w:r>
            <w:r>
              <w:rPr>
                <w:rFonts w:ascii="宋体" w:eastAsia="宋体" w:hAnsi="宋体" w:cs="宋体" w:hint="eastAsia"/>
                <w:sz w:val="21"/>
                <w:szCs w:val="21"/>
              </w:rPr>
              <w:t>分；</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eastAsia="宋体" w:hAnsi="宋体" w:cs="宋体" w:hint="eastAsia"/>
                <w:sz w:val="21"/>
                <w:szCs w:val="21"/>
              </w:rPr>
            </w:pPr>
            <w:r>
              <w:rPr>
                <w:rFonts w:ascii="宋体" w:eastAsia="宋体" w:hAnsi="宋体" w:cs="宋体" w:hint="eastAsia"/>
                <w:sz w:val="21"/>
                <w:szCs w:val="21"/>
              </w:rPr>
              <w:t>差评分标准：上述情况之外的，评差，不加分。</w:t>
            </w:r>
          </w:p>
        </w:tc>
      </w:tr>
      <w:tr>
        <w:tblPrEx>
          <w:tblW w:w="5000" w:type="pct"/>
          <w:jc w:val="center"/>
          <w:tblLayout w:type="fixed"/>
          <w:tblCellMar>
            <w:top w:w="0" w:type="dxa"/>
            <w:left w:w="108" w:type="dxa"/>
            <w:bottom w:w="0" w:type="dxa"/>
            <w:right w:w="108" w:type="dxa"/>
          </w:tblCellMar>
        </w:tblPrEx>
        <w:trPr>
          <w:trHeight w:val="1377"/>
          <w:jc w:val="center"/>
        </w:trPr>
        <w:tc>
          <w:tcPr>
            <w:tcW w:w="406" w:type="dxa"/>
            <w:vMerge/>
            <w:noWrap w:val="0"/>
            <w:vAlign w:val="center"/>
          </w:tcPr>
          <w:p>
            <w:pPr>
              <w:pageBreakBefore w:val="0"/>
              <w:widowControl/>
              <w:kinsoku/>
              <w:overflowPunct/>
              <w:topLinePunct w:val="0"/>
              <w:bidi w:val="0"/>
              <w:adjustRightInd/>
              <w:snapToGrid/>
              <w:spacing w:line="360" w:lineRule="auto"/>
              <w:jc w:val="center"/>
              <w:textAlignment w:val="auto"/>
              <w:rPr>
                <w:rFonts w:ascii="宋体" w:eastAsia="宋体" w:hAnsi="宋体" w:cs="宋体" w:hint="eastAsia"/>
                <w:sz w:val="21"/>
                <w:szCs w:val="21"/>
              </w:rPr>
            </w:pPr>
          </w:p>
        </w:tc>
        <w:tc>
          <w:tcPr>
            <w:tcW w:w="736" w:type="dxa"/>
            <w:noWrap w:val="0"/>
            <w:vAlign w:val="center"/>
          </w:tcPr>
          <w:p>
            <w:pPr>
              <w:keepNext w:val="0"/>
              <w:keepLines w:val="0"/>
              <w:pageBreakBefore w:val="0"/>
              <w:widowControl/>
              <w:kinsoku/>
              <w:wordWrap/>
              <w:overflowPunct/>
              <w:topLinePunct w:val="0"/>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w:t>
            </w:r>
          </w:p>
        </w:tc>
        <w:tc>
          <w:tcPr>
            <w:tcW w:w="1384" w:type="dxa"/>
            <w:gridSpan w:val="3"/>
            <w:noWrap w:val="0"/>
            <w:vAlign w:val="center"/>
          </w:tcPr>
          <w:p>
            <w:pPr>
              <w:keepNext w:val="0"/>
              <w:keepLines w:val="0"/>
              <w:pageBreakBefore w:val="0"/>
              <w:widowControl/>
              <w:kinsoku/>
              <w:wordWrap/>
              <w:overflowPunct/>
              <w:topLinePunct w:val="0"/>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kern w:val="0"/>
                <w:sz w:val="21"/>
                <w:szCs w:val="21"/>
              </w:rPr>
              <w:t>技术规格偏离情况</w:t>
            </w:r>
          </w:p>
        </w:tc>
        <w:tc>
          <w:tcPr>
            <w:tcW w:w="1317" w:type="dxa"/>
            <w:noWrap w:val="0"/>
            <w:vAlign w:val="center"/>
          </w:tcPr>
          <w:p>
            <w:pPr>
              <w:keepNext w:val="0"/>
              <w:keepLines w:val="0"/>
              <w:pageBreakBefore w:val="0"/>
              <w:widowControl/>
              <w:kinsoku/>
              <w:wordWrap/>
              <w:overflowPunct/>
              <w:topLinePunct w:val="0"/>
              <w:bidi w:val="0"/>
              <w:adjustRightInd/>
              <w:spacing w:line="36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40</w:t>
            </w:r>
          </w:p>
        </w:tc>
        <w:tc>
          <w:tcPr>
            <w:tcW w:w="5013" w:type="dxa"/>
            <w:noWrap w:val="0"/>
            <w:vAlign w:val="center"/>
          </w:tcPr>
          <w:p>
            <w:pPr>
              <w:pStyle w:val="CommentText"/>
              <w:keepNext w:val="0"/>
              <w:keepLines w:val="0"/>
              <w:pageBreakBefore w:val="0"/>
              <w:widowControl/>
              <w:kinsoku/>
              <w:wordWrap/>
              <w:overflowPunct/>
              <w:topLinePunct w:val="0"/>
              <w:bidi w:val="0"/>
              <w:adjustRightInd/>
              <w:snapToGrid w:val="0"/>
              <w:spacing w:line="360" w:lineRule="auto"/>
              <w:textAlignment w:val="auto"/>
              <w:rPr>
                <w:rFonts w:ascii="宋体" w:eastAsia="宋体" w:hAnsi="宋体" w:cs="宋体" w:hint="eastAsia"/>
                <w:b/>
                <w:bCs/>
                <w:sz w:val="21"/>
                <w:szCs w:val="21"/>
              </w:rPr>
            </w:pPr>
            <w:r>
              <w:rPr>
                <w:rFonts w:ascii="宋体" w:eastAsia="宋体" w:hAnsi="宋体" w:cs="宋体" w:hint="eastAsia"/>
                <w:b/>
                <w:bCs/>
                <w:kern w:val="2"/>
                <w:sz w:val="21"/>
                <w:szCs w:val="21"/>
                <w:lang w:val="en-US" w:eastAsia="zh-CN" w:bidi="ar-SA"/>
              </w:rPr>
              <w:t>（一）</w:t>
            </w:r>
            <w:r>
              <w:rPr>
                <w:rFonts w:ascii="宋体" w:eastAsia="宋体" w:hAnsi="宋体" w:cs="宋体" w:hint="eastAsia"/>
                <w:b/>
                <w:bCs/>
                <w:sz w:val="21"/>
                <w:szCs w:val="21"/>
              </w:rPr>
              <w:t>评分内容：</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评审委员会根据《技术规格偏离表》（以下简称偏离表）响应情况进行打分，全部满足的得</w:t>
            </w:r>
            <w:r>
              <w:rPr>
                <w:rFonts w:ascii="宋体" w:eastAsia="宋体" w:hAnsi="宋体" w:cs="宋体" w:hint="eastAsia"/>
                <w:sz w:val="21"/>
                <w:szCs w:val="21"/>
                <w:lang w:val="en-US" w:eastAsia="zh-CN"/>
              </w:rPr>
              <w:t>100</w:t>
            </w:r>
            <w:r>
              <w:rPr>
                <w:rFonts w:ascii="宋体" w:eastAsia="宋体" w:hAnsi="宋体" w:cs="宋体" w:hint="eastAsia"/>
                <w:sz w:val="21"/>
                <w:szCs w:val="21"/>
              </w:rPr>
              <w:t>分，一般参数负偏离一项扣</w:t>
            </w:r>
            <w:r>
              <w:rPr>
                <w:rFonts w:ascii="宋体" w:eastAsia="宋体" w:hAnsi="宋体" w:cs="宋体" w:hint="eastAsia"/>
                <w:sz w:val="21"/>
                <w:szCs w:val="21"/>
                <w:lang w:val="en-US" w:eastAsia="zh-CN"/>
              </w:rPr>
              <w:t>0.08</w:t>
            </w:r>
            <w:r>
              <w:rPr>
                <w:rFonts w:ascii="宋体" w:eastAsia="宋体" w:hAnsi="宋体" w:cs="宋体" w:hint="eastAsia"/>
                <w:sz w:val="21"/>
                <w:szCs w:val="21"/>
              </w:rPr>
              <w:t>分，重点技术参数▲项负偏离一项扣</w:t>
            </w:r>
            <w:r>
              <w:rPr>
                <w:rFonts w:ascii="宋体" w:eastAsia="宋体" w:hAnsi="宋体" w:cs="宋体" w:hint="eastAsia"/>
                <w:color w:val="000000"/>
                <w:sz w:val="21"/>
                <w:szCs w:val="21"/>
                <w:lang w:val="en-US" w:eastAsia="zh-CN"/>
              </w:rPr>
              <w:t>1.9</w:t>
            </w:r>
            <w:r>
              <w:rPr>
                <w:rFonts w:ascii="宋体" w:eastAsia="宋体" w:hAnsi="宋体" w:cs="宋体" w:hint="eastAsia"/>
                <w:color w:val="000000"/>
                <w:sz w:val="21"/>
                <w:szCs w:val="21"/>
              </w:rPr>
              <w:t>分</w:t>
            </w:r>
            <w:r>
              <w:rPr>
                <w:rFonts w:ascii="宋体" w:eastAsia="宋体" w:hAnsi="宋体" w:cs="宋体" w:hint="eastAsia"/>
                <w:sz w:val="21"/>
                <w:szCs w:val="21"/>
              </w:rPr>
              <w:t>。扣完为止。偏离表应如实对应填写所投产品的具体参数。</w:t>
            </w:r>
          </w:p>
          <w:p>
            <w:pPr>
              <w:keepNext w:val="0"/>
              <w:keepLines w:val="0"/>
              <w:pageBreakBefore w:val="0"/>
              <w:widowControl/>
              <w:shd w:val="clear" w:color="auto" w:fill="auto"/>
              <w:tabs>
                <w:tab w:val="left" w:pos="426"/>
              </w:tabs>
              <w:kinsoku/>
              <w:wordWrap/>
              <w:overflowPunct/>
              <w:topLinePunct w:val="0"/>
              <w:autoSpaceDE w:val="0"/>
              <w:autoSpaceDN w:val="0"/>
              <w:bidi w:val="0"/>
              <w:adjustRightInd/>
              <w:snapToGrid w:val="0"/>
              <w:spacing w:line="360" w:lineRule="auto"/>
              <w:jc w:val="left"/>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（二）</w:t>
            </w:r>
            <w:r>
              <w:rPr>
                <w:rFonts w:ascii="宋体" w:eastAsia="宋体" w:hAnsi="宋体" w:cs="宋体" w:hint="eastAsia"/>
                <w:b/>
                <w:bCs/>
                <w:kern w:val="2"/>
                <w:sz w:val="21"/>
                <w:szCs w:val="21"/>
              </w:rPr>
              <w:t>证明文件：</w:t>
            </w:r>
          </w:p>
          <w:p>
            <w:pPr>
              <w:keepNext w:val="0"/>
              <w:keepLines w:val="0"/>
              <w:pageBreakBefore w:val="0"/>
              <w:widowControl/>
              <w:kinsoku/>
              <w:wordWrap/>
              <w:overflowPunct/>
              <w:topLinePunct w:val="0"/>
              <w:bidi w:val="0"/>
              <w:adjustRightInd/>
              <w:snapToGrid w:val="0"/>
              <w:spacing w:line="360" w:lineRule="auto"/>
              <w:ind w:firstLine="420" w:firstLineChars="200"/>
              <w:textAlignment w:val="auto"/>
              <w:rPr>
                <w:rFonts w:ascii="宋体" w:eastAsia="宋体" w:hAnsi="宋体" w:cs="宋体" w:hint="eastAsia"/>
                <w:bCs/>
                <w:sz w:val="21"/>
                <w:szCs w:val="21"/>
              </w:rPr>
            </w:pPr>
            <w:r>
              <w:rPr>
                <w:rFonts w:ascii="宋体" w:eastAsia="宋体" w:hAnsi="宋体" w:cs="宋体" w:hint="eastAsia"/>
                <w:sz w:val="21"/>
                <w:szCs w:val="21"/>
              </w:rPr>
              <w:t>投标人应如实填写《技术规格偏离表》，评审委员会根据技术需求参数响应情况进行打分。要求提供证明材料的，需在投标文件对应部分提供证明文件，否则视作负偏离，证明文件与响应情况不符的，以证明材料为准，该项技术指标按负偏离处理。</w:t>
            </w:r>
          </w:p>
        </w:tc>
      </w:tr>
      <w:tr>
        <w:tblPrEx>
          <w:tblW w:w="5000" w:type="pct"/>
          <w:jc w:val="center"/>
          <w:tblLayout w:type="fixed"/>
          <w:tblCellMar>
            <w:top w:w="0" w:type="dxa"/>
            <w:left w:w="108" w:type="dxa"/>
            <w:bottom w:w="0" w:type="dxa"/>
            <w:right w:w="108" w:type="dxa"/>
          </w:tblCellMar>
        </w:tblPrEx>
        <w:trPr>
          <w:trHeight w:val="2160"/>
          <w:jc w:val="center"/>
        </w:trPr>
        <w:tc>
          <w:tcPr>
            <w:tcW w:w="406" w:type="dxa"/>
            <w:vMerge/>
            <w:noWrap w:val="0"/>
            <w:vAlign w:val="center"/>
          </w:tcPr>
          <w:p>
            <w:pPr>
              <w:keepNext/>
              <w:keepLines/>
              <w:pageBreakBefore w:val="0"/>
              <w:widowControl/>
              <w:kinsoku/>
              <w:overflowPunct/>
              <w:topLinePunct w:val="0"/>
              <w:bidi w:val="0"/>
              <w:adjustRightInd/>
              <w:snapToGrid/>
              <w:spacing w:before="260" w:after="260" w:line="360" w:lineRule="auto"/>
              <w:jc w:val="center"/>
              <w:textAlignment w:val="auto"/>
              <w:outlineLvl w:val="2"/>
              <w:rPr>
                <w:rFonts w:ascii="宋体" w:eastAsia="宋体" w:hAnsi="宋体" w:cs="宋体" w:hint="eastAsia"/>
                <w:sz w:val="21"/>
                <w:szCs w:val="21"/>
              </w:rPr>
            </w:pPr>
          </w:p>
        </w:tc>
        <w:tc>
          <w:tcPr>
            <w:tcW w:w="736" w:type="dxa"/>
            <w:noWrap w:val="0"/>
            <w:vAlign w:val="center"/>
          </w:tcPr>
          <w:p>
            <w:pPr>
              <w:keepNext w:val="0"/>
              <w:keepLines w:val="0"/>
              <w:pageBreakBefore w:val="0"/>
              <w:widowControl/>
              <w:kinsoku/>
              <w:wordWrap/>
              <w:overflowPunct/>
              <w:topLinePunct w:val="0"/>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w:t>
            </w:r>
          </w:p>
        </w:tc>
        <w:tc>
          <w:tcPr>
            <w:tcW w:w="1384" w:type="dxa"/>
            <w:gridSpan w:val="3"/>
            <w:noWrap w:val="0"/>
            <w:vAlign w:val="center"/>
          </w:tcPr>
          <w:p>
            <w:pPr>
              <w:keepNext w:val="0"/>
              <w:keepLines w:val="0"/>
              <w:pageBreakBefore w:val="0"/>
              <w:widowControl/>
              <w:kinsoku/>
              <w:wordWrap/>
              <w:overflowPunct/>
              <w:topLinePunct w:val="0"/>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售后服务方案</w:t>
            </w:r>
          </w:p>
        </w:tc>
        <w:tc>
          <w:tcPr>
            <w:tcW w:w="1317" w:type="dxa"/>
            <w:noWrap w:val="0"/>
            <w:vAlign w:val="center"/>
          </w:tcPr>
          <w:p>
            <w:pPr>
              <w:keepNext w:val="0"/>
              <w:keepLines w:val="0"/>
              <w:pageBreakBefore w:val="0"/>
              <w:widowControl/>
              <w:kinsoku/>
              <w:wordWrap/>
              <w:overflowPunct/>
              <w:topLinePunct w:val="0"/>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6</w:t>
            </w:r>
          </w:p>
        </w:tc>
        <w:tc>
          <w:tcPr>
            <w:tcW w:w="5013"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b/>
                <w:sz w:val="21"/>
                <w:szCs w:val="21"/>
              </w:rPr>
            </w:pPr>
            <w:r>
              <w:rPr>
                <w:rFonts w:ascii="宋体" w:eastAsia="宋体" w:hAnsi="宋体" w:cs="宋体" w:hint="eastAsia"/>
                <w:b/>
                <w:sz w:val="21"/>
                <w:szCs w:val="21"/>
                <w:lang w:eastAsia="zh-CN"/>
              </w:rPr>
              <w:t>（</w:t>
            </w:r>
            <w:r>
              <w:rPr>
                <w:rFonts w:ascii="宋体" w:eastAsia="宋体" w:hAnsi="宋体" w:cs="宋体" w:hint="eastAsia"/>
                <w:b/>
                <w:sz w:val="21"/>
                <w:szCs w:val="21"/>
                <w:lang w:val="en-US" w:eastAsia="zh-CN"/>
              </w:rPr>
              <w:t>一</w:t>
            </w:r>
            <w:r>
              <w:rPr>
                <w:rFonts w:ascii="宋体" w:eastAsia="宋体" w:hAnsi="宋体" w:cs="宋体" w:hint="eastAsia"/>
                <w:b/>
                <w:sz w:val="21"/>
                <w:szCs w:val="21"/>
                <w:lang w:eastAsia="zh-CN"/>
              </w:rPr>
              <w:t>）</w:t>
            </w:r>
            <w:r>
              <w:rPr>
                <w:rFonts w:ascii="宋体" w:eastAsia="宋体" w:hAnsi="宋体" w:cs="宋体" w:hint="eastAsia"/>
                <w:b/>
                <w:sz w:val="21"/>
                <w:szCs w:val="21"/>
              </w:rPr>
              <w:t>评分内容：</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eastAsia="宋体" w:hAnsi="宋体" w:cs="宋体" w:hint="eastAsia"/>
                <w:sz w:val="21"/>
                <w:szCs w:val="21"/>
              </w:rPr>
            </w:pPr>
            <w:r>
              <w:rPr>
                <w:rFonts w:ascii="宋体" w:eastAsia="宋体" w:hAnsi="宋体" w:cs="宋体" w:hint="eastAsia"/>
                <w:sz w:val="21"/>
                <w:szCs w:val="21"/>
              </w:rPr>
              <w:t>投标人提供的售后服务方案中包括：</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（1）服务内容</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（2）维修应急方案</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（3）培训计划</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（4）其他特色服务等</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b/>
                <w:sz w:val="21"/>
                <w:szCs w:val="21"/>
              </w:rPr>
            </w:pPr>
            <w:r>
              <w:rPr>
                <w:rFonts w:ascii="宋体" w:eastAsia="宋体" w:hAnsi="宋体" w:cs="宋体" w:hint="eastAsia"/>
                <w:b/>
                <w:sz w:val="21"/>
                <w:szCs w:val="21"/>
                <w:lang w:eastAsia="zh-CN"/>
              </w:rPr>
              <w:t>（</w:t>
            </w:r>
            <w:r>
              <w:rPr>
                <w:rFonts w:ascii="宋体" w:eastAsia="宋体" w:hAnsi="宋体" w:cs="宋体" w:hint="eastAsia"/>
                <w:b/>
                <w:sz w:val="21"/>
                <w:szCs w:val="21"/>
                <w:lang w:val="en-US" w:eastAsia="zh-CN"/>
              </w:rPr>
              <w:t>二</w:t>
            </w:r>
            <w:r>
              <w:rPr>
                <w:rFonts w:ascii="宋体" w:eastAsia="宋体" w:hAnsi="宋体" w:cs="宋体" w:hint="eastAsia"/>
                <w:b/>
                <w:sz w:val="21"/>
                <w:szCs w:val="21"/>
                <w:lang w:eastAsia="zh-CN"/>
              </w:rPr>
              <w:t>）</w:t>
            </w:r>
            <w:r>
              <w:rPr>
                <w:rFonts w:ascii="宋体" w:eastAsia="宋体" w:hAnsi="宋体" w:cs="宋体" w:hint="eastAsia"/>
                <w:b/>
                <w:sz w:val="21"/>
                <w:szCs w:val="21"/>
              </w:rPr>
              <w:t>评分标准：</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提供的内容每满足上述一点要求的得</w:t>
            </w:r>
            <w:r>
              <w:rPr>
                <w:rFonts w:ascii="宋体" w:eastAsia="宋体" w:hAnsi="宋体" w:cs="宋体" w:hint="eastAsia"/>
                <w:sz w:val="21"/>
                <w:szCs w:val="21"/>
                <w:lang w:val="en-US" w:eastAsia="zh-CN"/>
              </w:rPr>
              <w:t>5</w:t>
            </w:r>
            <w:r>
              <w:rPr>
                <w:rFonts w:ascii="宋体" w:eastAsia="宋体" w:hAnsi="宋体" w:cs="宋体" w:hint="eastAsia"/>
                <w:sz w:val="21"/>
                <w:szCs w:val="21"/>
              </w:rPr>
              <w:t>分，最高得</w:t>
            </w:r>
            <w:r>
              <w:rPr>
                <w:rFonts w:ascii="宋体" w:eastAsia="宋体" w:hAnsi="宋体" w:cs="宋体" w:hint="eastAsia"/>
                <w:sz w:val="21"/>
                <w:szCs w:val="21"/>
                <w:lang w:val="en-US" w:eastAsia="zh-CN"/>
              </w:rPr>
              <w:t>20</w:t>
            </w:r>
            <w:r>
              <w:rPr>
                <w:rFonts w:ascii="宋体" w:eastAsia="宋体" w:hAnsi="宋体" w:cs="宋体" w:hint="eastAsia"/>
                <w:sz w:val="21"/>
                <w:szCs w:val="21"/>
              </w:rPr>
              <w:t>分，其他情况或未提供不得分。</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在此基础上，由评审委员会对具体响应内容合理性等进行评分：</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（1）售后服务方案全面；</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（2）售后服务方案具体；</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（3）售后服务方案科学合理；</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（4）售后服务方案针对性强；</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（5）售后服务方案可操作性强。</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优评分标准：满足以上五项要求的评价为优，加8</w:t>
            </w:r>
            <w:r>
              <w:rPr>
                <w:rFonts w:ascii="宋体" w:eastAsia="宋体" w:hAnsi="宋体" w:cs="宋体" w:hint="eastAsia"/>
                <w:sz w:val="21"/>
                <w:szCs w:val="21"/>
                <w:lang w:val="en-US" w:eastAsia="zh-CN"/>
              </w:rPr>
              <w:t>0</w:t>
            </w:r>
            <w:r>
              <w:rPr>
                <w:rFonts w:ascii="宋体" w:eastAsia="宋体" w:hAnsi="宋体" w:cs="宋体" w:hint="eastAsia"/>
                <w:sz w:val="21"/>
                <w:szCs w:val="21"/>
              </w:rPr>
              <w:t>分；</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良评分标准：满足以上四项要求的评价为良，加6</w:t>
            </w:r>
            <w:r>
              <w:rPr>
                <w:rFonts w:ascii="宋体" w:eastAsia="宋体" w:hAnsi="宋体" w:cs="宋体" w:hint="eastAsia"/>
                <w:sz w:val="21"/>
                <w:szCs w:val="21"/>
                <w:lang w:val="en-US" w:eastAsia="zh-CN"/>
              </w:rPr>
              <w:t>0</w:t>
            </w:r>
            <w:r>
              <w:rPr>
                <w:rFonts w:ascii="宋体" w:eastAsia="宋体" w:hAnsi="宋体" w:cs="宋体" w:hint="eastAsia"/>
                <w:sz w:val="21"/>
                <w:szCs w:val="21"/>
              </w:rPr>
              <w:t>分；</w:t>
            </w:r>
          </w:p>
          <w:p>
            <w:pPr>
              <w:keepNext w:val="0"/>
              <w:keepLines w:val="0"/>
              <w:pageBreakBefore w:val="0"/>
              <w:widowControl/>
              <w:kinsoku/>
              <w:wordWrap/>
              <w:overflowPunct/>
              <w:topLinePunct w:val="0"/>
              <w:autoSpaceDE/>
              <w:autoSpaceDN/>
              <w:bidi w:val="0"/>
              <w:adjustRightInd/>
              <w:snapToGrid w:val="0"/>
              <w:spacing w:line="360" w:lineRule="auto"/>
              <w:contextualSpacing/>
              <w:jc w:val="left"/>
              <w:textAlignment w:val="auto"/>
              <w:rPr>
                <w:rFonts w:ascii="宋体" w:eastAsia="宋体" w:hAnsi="宋体" w:cs="宋体" w:hint="eastAsia"/>
                <w:sz w:val="21"/>
                <w:szCs w:val="21"/>
              </w:rPr>
            </w:pPr>
            <w:r>
              <w:rPr>
                <w:rFonts w:ascii="宋体" w:eastAsia="宋体" w:hAnsi="宋体" w:cs="宋体" w:hint="eastAsia"/>
                <w:sz w:val="21"/>
                <w:szCs w:val="21"/>
              </w:rPr>
              <w:t>中评分标准：满足以上三项要求的评价为中，加3</w:t>
            </w:r>
            <w:r>
              <w:rPr>
                <w:rFonts w:ascii="宋体" w:eastAsia="宋体" w:hAnsi="宋体" w:cs="宋体" w:hint="eastAsia"/>
                <w:sz w:val="21"/>
                <w:szCs w:val="21"/>
                <w:lang w:val="en-US" w:eastAsia="zh-CN"/>
              </w:rPr>
              <w:t>0</w:t>
            </w:r>
            <w:r>
              <w:rPr>
                <w:rFonts w:ascii="宋体" w:eastAsia="宋体" w:hAnsi="宋体" w:cs="宋体" w:hint="eastAsia"/>
                <w:sz w:val="21"/>
                <w:szCs w:val="21"/>
              </w:rPr>
              <w:t>分；</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eastAsia="宋体" w:hAnsi="宋体" w:cs="宋体" w:hint="eastAsia"/>
                <w:sz w:val="21"/>
                <w:szCs w:val="21"/>
              </w:rPr>
            </w:pPr>
            <w:r>
              <w:rPr>
                <w:rFonts w:ascii="宋体" w:eastAsia="宋体" w:hAnsi="宋体" w:cs="宋体" w:hint="eastAsia"/>
                <w:sz w:val="21"/>
                <w:szCs w:val="21"/>
              </w:rPr>
              <w:t>差评分标准：上述情况之外的，评差，不加分。</w:t>
            </w:r>
          </w:p>
        </w:tc>
      </w:tr>
      <w:tr>
        <w:tblPrEx>
          <w:tblW w:w="5000" w:type="pct"/>
          <w:jc w:val="center"/>
          <w:tblLayout w:type="fixed"/>
          <w:tblCellMar>
            <w:top w:w="0" w:type="dxa"/>
            <w:left w:w="108" w:type="dxa"/>
            <w:bottom w:w="0" w:type="dxa"/>
            <w:right w:w="108" w:type="dxa"/>
          </w:tblCellMar>
        </w:tblPrEx>
        <w:trPr>
          <w:trHeight w:val="635"/>
          <w:jc w:val="center"/>
        </w:trPr>
        <w:tc>
          <w:tcPr>
            <w:tcW w:w="406" w:type="dxa"/>
            <w:noWrap w:val="0"/>
            <w:vAlign w:val="center"/>
          </w:tcPr>
          <w:p>
            <w:pPr>
              <w:pageBreakBefore w:val="0"/>
              <w:widowControl/>
              <w:kinsoku/>
              <w:overflowPunct/>
              <w:topLinePunct w:val="0"/>
              <w:bidi w:val="0"/>
              <w:adjustRightInd/>
              <w:snapToGri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3</w:t>
            </w:r>
          </w:p>
        </w:tc>
        <w:tc>
          <w:tcPr>
            <w:tcW w:w="3437" w:type="dxa"/>
            <w:gridSpan w:val="5"/>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商务评分部分</w:t>
            </w:r>
          </w:p>
        </w:tc>
        <w:tc>
          <w:tcPr>
            <w:tcW w:w="5013" w:type="dxa"/>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lang w:eastAsia="zh-CN"/>
              </w:rPr>
              <w:t>1</w:t>
            </w:r>
            <w:r>
              <w:rPr>
                <w:rFonts w:ascii="宋体" w:eastAsia="宋体" w:hAnsi="宋体" w:cs="宋体" w:hint="eastAsia"/>
                <w:b/>
                <w:bCs/>
                <w:sz w:val="21"/>
                <w:szCs w:val="21"/>
                <w:lang w:val="en-US" w:eastAsia="zh-CN"/>
              </w:rPr>
              <w:t>3</w:t>
            </w:r>
            <w:r>
              <w:rPr>
                <w:rFonts w:ascii="宋体" w:eastAsia="宋体" w:hAnsi="宋体" w:cs="宋体" w:hint="eastAsia"/>
                <w:b/>
                <w:bCs/>
                <w:sz w:val="21"/>
                <w:szCs w:val="21"/>
              </w:rPr>
              <w:t>分</w:t>
            </w:r>
          </w:p>
        </w:tc>
      </w:tr>
      <w:tr>
        <w:tblPrEx>
          <w:tblW w:w="5000" w:type="pct"/>
          <w:jc w:val="center"/>
          <w:tblLayout w:type="fixed"/>
          <w:tblCellMar>
            <w:top w:w="0" w:type="dxa"/>
            <w:left w:w="108" w:type="dxa"/>
            <w:bottom w:w="0" w:type="dxa"/>
            <w:right w:w="108" w:type="dxa"/>
          </w:tblCellMar>
        </w:tblPrEx>
        <w:trPr>
          <w:trHeight w:val="367"/>
          <w:jc w:val="center"/>
        </w:trPr>
        <w:tc>
          <w:tcPr>
            <w:tcW w:w="406" w:type="dxa"/>
            <w:vMerge w:val="restart"/>
            <w:noWrap w:val="0"/>
            <w:vAlign w:val="center"/>
          </w:tcPr>
          <w:p>
            <w:pPr>
              <w:keepNext/>
              <w:keepLines/>
              <w:pageBreakBefore w:val="0"/>
              <w:widowControl/>
              <w:kinsoku/>
              <w:overflowPunct/>
              <w:topLinePunct w:val="0"/>
              <w:bidi w:val="0"/>
              <w:adjustRightInd/>
              <w:snapToGrid/>
              <w:spacing w:before="340" w:after="330" w:line="360" w:lineRule="auto"/>
              <w:jc w:val="center"/>
              <w:textAlignment w:val="auto"/>
              <w:outlineLvl w:val="0"/>
              <w:rPr>
                <w:rFonts w:ascii="宋体" w:eastAsia="宋体" w:hAnsi="宋体" w:cs="宋体" w:hint="eastAsia"/>
                <w:sz w:val="21"/>
                <w:szCs w:val="21"/>
              </w:rPr>
            </w:pPr>
          </w:p>
        </w:tc>
        <w:tc>
          <w:tcPr>
            <w:tcW w:w="750" w:type="dxa"/>
            <w:gridSpan w:val="2"/>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164" w:type="dxa"/>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评分因素</w:t>
            </w:r>
          </w:p>
        </w:tc>
        <w:tc>
          <w:tcPr>
            <w:tcW w:w="1523" w:type="dxa"/>
            <w:gridSpan w:val="2"/>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权重(%)</w:t>
            </w:r>
          </w:p>
        </w:tc>
        <w:tc>
          <w:tcPr>
            <w:tcW w:w="5013" w:type="dxa"/>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评分准则</w:t>
            </w:r>
          </w:p>
        </w:tc>
      </w:tr>
      <w:tr>
        <w:tblPrEx>
          <w:tblW w:w="5000" w:type="pct"/>
          <w:jc w:val="center"/>
          <w:tblLayout w:type="fixed"/>
          <w:tblCellMar>
            <w:top w:w="0" w:type="dxa"/>
            <w:left w:w="108" w:type="dxa"/>
            <w:bottom w:w="0" w:type="dxa"/>
            <w:right w:w="108" w:type="dxa"/>
          </w:tblCellMar>
        </w:tblPrEx>
        <w:trPr>
          <w:trHeight w:val="20"/>
          <w:jc w:val="center"/>
        </w:trPr>
        <w:tc>
          <w:tcPr>
            <w:tcW w:w="406" w:type="dxa"/>
            <w:vMerge/>
            <w:noWrap w:val="0"/>
            <w:vAlign w:val="center"/>
          </w:tcPr>
          <w:p>
            <w:pPr>
              <w:keepNext/>
              <w:keepLines/>
              <w:pageBreakBefore w:val="0"/>
              <w:widowControl/>
              <w:kinsoku/>
              <w:overflowPunct/>
              <w:topLinePunct w:val="0"/>
              <w:bidi w:val="0"/>
              <w:adjustRightInd/>
              <w:snapToGrid/>
              <w:spacing w:before="340" w:after="330" w:line="360" w:lineRule="auto"/>
              <w:jc w:val="center"/>
              <w:textAlignment w:val="auto"/>
              <w:outlineLvl w:val="0"/>
              <w:rPr>
                <w:rFonts w:ascii="宋体" w:eastAsia="宋体" w:hAnsi="宋体" w:cs="宋体" w:hint="eastAsia"/>
                <w:sz w:val="21"/>
                <w:szCs w:val="21"/>
              </w:rPr>
            </w:pPr>
          </w:p>
        </w:tc>
        <w:tc>
          <w:tcPr>
            <w:tcW w:w="75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rPr>
            </w:pPr>
            <w:r>
              <w:rPr>
                <w:rFonts w:ascii="宋体" w:eastAsia="宋体" w:hAnsi="宋体" w:cs="宋体" w:hint="eastAsia"/>
                <w:color w:val="auto"/>
                <w:sz w:val="21"/>
                <w:szCs w:val="21"/>
              </w:rPr>
              <w:t>1</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rPr>
            </w:pPr>
            <w:r>
              <w:rPr>
                <w:rFonts w:ascii="宋体" w:eastAsia="宋体" w:hAnsi="宋体" w:cs="宋体" w:hint="eastAsia"/>
                <w:color w:val="auto"/>
                <w:sz w:val="21"/>
                <w:szCs w:val="21"/>
              </w:rPr>
              <w:t>商务条款偏离情况</w:t>
            </w:r>
          </w:p>
        </w:tc>
        <w:tc>
          <w:tcPr>
            <w:tcW w:w="1523"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rPr>
            </w:pPr>
            <w:r>
              <w:rPr>
                <w:rFonts w:ascii="宋体" w:eastAsia="宋体" w:hAnsi="宋体" w:cs="宋体" w:hint="eastAsia"/>
                <w:color w:val="auto"/>
                <w:sz w:val="21"/>
                <w:szCs w:val="21"/>
                <w:lang w:val="en-US" w:eastAsia="zh-CN"/>
              </w:rPr>
              <w:t>5</w:t>
            </w:r>
          </w:p>
        </w:tc>
        <w:tc>
          <w:tcPr>
            <w:tcW w:w="50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color w:val="auto"/>
                <w:sz w:val="21"/>
                <w:szCs w:val="21"/>
              </w:rPr>
            </w:pPr>
            <w:r>
              <w:rPr>
                <w:rFonts w:ascii="宋体" w:eastAsia="宋体" w:hAnsi="宋体" w:cs="宋体" w:hint="eastAsia"/>
                <w:color w:val="auto"/>
                <w:sz w:val="21"/>
                <w:szCs w:val="21"/>
                <w:lang w:eastAsia="zh-CN"/>
              </w:rPr>
              <w:t>投标人</w:t>
            </w:r>
            <w:r>
              <w:rPr>
                <w:rFonts w:ascii="宋体" w:eastAsia="宋体" w:hAnsi="宋体" w:cs="宋体" w:hint="eastAsia"/>
                <w:color w:val="auto"/>
                <w:sz w:val="21"/>
                <w:szCs w:val="21"/>
              </w:rPr>
              <w:t>应如实填写《商务条款偏离情况》，评审小组根据响应情况进行打分，全部满足要求的得</w:t>
            </w:r>
            <w:r>
              <w:rPr>
                <w:rFonts w:ascii="宋体" w:eastAsia="宋体" w:hAnsi="宋体" w:cs="宋体" w:hint="eastAsia"/>
                <w:color w:val="auto"/>
                <w:sz w:val="21"/>
                <w:szCs w:val="21"/>
                <w:lang w:val="en-US" w:eastAsia="zh-CN"/>
              </w:rPr>
              <w:t>100分</w:t>
            </w:r>
            <w:r>
              <w:rPr>
                <w:rFonts w:ascii="宋体" w:eastAsia="宋体" w:hAnsi="宋体" w:cs="宋体" w:hint="eastAsia"/>
                <w:color w:val="auto"/>
                <w:sz w:val="21"/>
                <w:szCs w:val="21"/>
              </w:rPr>
              <w:t>，</w:t>
            </w:r>
            <w:r>
              <w:rPr>
                <w:rFonts w:ascii="宋体" w:eastAsia="宋体" w:hAnsi="宋体" w:cs="宋体" w:hint="eastAsia"/>
                <w:color w:val="auto"/>
                <w:sz w:val="21"/>
                <w:szCs w:val="21"/>
                <w:lang w:val="en-US" w:eastAsia="zh-CN"/>
              </w:rPr>
              <w:t>除实质性条款外，</w:t>
            </w:r>
            <w:r>
              <w:rPr>
                <w:rFonts w:ascii="宋体" w:eastAsia="宋体" w:hAnsi="宋体" w:cs="宋体" w:hint="eastAsia"/>
                <w:color w:val="auto"/>
                <w:sz w:val="21"/>
                <w:szCs w:val="21"/>
              </w:rPr>
              <w:t>每负偏离一项扣</w:t>
            </w:r>
            <w:r>
              <w:rPr>
                <w:rFonts w:ascii="宋体" w:eastAsia="宋体" w:hAnsi="宋体" w:cs="宋体" w:hint="eastAsia"/>
                <w:color w:val="auto"/>
                <w:sz w:val="21"/>
                <w:szCs w:val="21"/>
                <w:lang w:val="en-US" w:eastAsia="zh-CN"/>
              </w:rPr>
              <w:t>7.6分，</w:t>
            </w:r>
            <w:r>
              <w:rPr>
                <w:rFonts w:ascii="宋体" w:eastAsia="宋体" w:hAnsi="宋体" w:cs="宋体" w:hint="eastAsia"/>
                <w:color w:val="auto"/>
                <w:sz w:val="21"/>
                <w:szCs w:val="21"/>
              </w:rPr>
              <w:t>扣完为止。</w:t>
            </w:r>
          </w:p>
        </w:tc>
      </w:tr>
      <w:tr>
        <w:tblPrEx>
          <w:tblW w:w="5000" w:type="pct"/>
          <w:jc w:val="center"/>
          <w:tblLayout w:type="fixed"/>
          <w:tblCellMar>
            <w:top w:w="0" w:type="dxa"/>
            <w:left w:w="108" w:type="dxa"/>
            <w:bottom w:w="0" w:type="dxa"/>
            <w:right w:w="108" w:type="dxa"/>
          </w:tblCellMar>
        </w:tblPrEx>
        <w:trPr>
          <w:trHeight w:val="90"/>
          <w:jc w:val="center"/>
        </w:trPr>
        <w:tc>
          <w:tcPr>
            <w:tcW w:w="406" w:type="dxa"/>
            <w:vMerge/>
            <w:noWrap w:val="0"/>
            <w:vAlign w:val="center"/>
          </w:tcPr>
          <w:p>
            <w:pPr>
              <w:keepNext/>
              <w:keepLines/>
              <w:pageBreakBefore w:val="0"/>
              <w:widowControl/>
              <w:kinsoku/>
              <w:overflowPunct/>
              <w:topLinePunct w:val="0"/>
              <w:bidi w:val="0"/>
              <w:adjustRightInd/>
              <w:snapToGrid/>
              <w:spacing w:before="340" w:after="330" w:line="360" w:lineRule="auto"/>
              <w:jc w:val="center"/>
              <w:textAlignment w:val="auto"/>
              <w:outlineLvl w:val="0"/>
              <w:rPr>
                <w:rFonts w:ascii="宋体" w:eastAsia="宋体" w:hAnsi="宋体" w:cs="宋体" w:hint="eastAsia"/>
                <w:sz w:val="21"/>
                <w:szCs w:val="21"/>
              </w:rPr>
            </w:pPr>
          </w:p>
        </w:tc>
        <w:tc>
          <w:tcPr>
            <w:tcW w:w="75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rPr>
            </w:pPr>
            <w:r>
              <w:rPr>
                <w:rFonts w:ascii="宋体" w:eastAsia="宋体" w:hAnsi="宋体" w:cs="宋体" w:hint="eastAsia"/>
                <w:color w:val="auto"/>
                <w:sz w:val="21"/>
                <w:szCs w:val="21"/>
                <w:lang w:val="en-US" w:eastAsia="zh-CN"/>
              </w:rPr>
              <w:t>2</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rPr>
            </w:pPr>
            <w:r>
              <w:rPr>
                <w:rFonts w:ascii="宋体" w:eastAsia="宋体" w:hAnsi="宋体" w:cs="宋体" w:hint="eastAsia"/>
                <w:color w:val="auto"/>
                <w:sz w:val="21"/>
                <w:szCs w:val="21"/>
              </w:rPr>
              <w:t>同类项目业绩</w:t>
            </w:r>
          </w:p>
        </w:tc>
        <w:tc>
          <w:tcPr>
            <w:tcW w:w="1523"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rPr>
            </w:pPr>
            <w:r>
              <w:rPr>
                <w:rFonts w:ascii="宋体" w:eastAsia="宋体" w:hAnsi="宋体" w:cs="宋体" w:hint="eastAsia"/>
                <w:color w:val="auto"/>
                <w:sz w:val="21"/>
                <w:szCs w:val="21"/>
                <w:lang w:val="en-US" w:eastAsia="zh-CN"/>
              </w:rPr>
              <w:t>2</w:t>
            </w:r>
          </w:p>
        </w:tc>
        <w:tc>
          <w:tcPr>
            <w:tcW w:w="5013" w:type="dxa"/>
            <w:noWrap w:val="0"/>
            <w:vAlign w:val="center"/>
          </w:tcPr>
          <w:p>
            <w:pPr>
              <w:keepNext w:val="0"/>
              <w:keepLines w:val="0"/>
              <w:pageBreakBefore w:val="0"/>
              <w:widowControl/>
              <w:tabs>
                <w:tab w:val="left" w:pos="426"/>
              </w:tabs>
              <w:kinsoku/>
              <w:wordWrap/>
              <w:overflowPunct/>
              <w:topLinePunct w:val="0"/>
              <w:autoSpaceDE/>
              <w:autoSpaceDN/>
              <w:bidi w:val="0"/>
              <w:adjustRightInd/>
              <w:snapToGrid/>
              <w:spacing w:after="60" w:line="360" w:lineRule="auto"/>
              <w:jc w:val="left"/>
              <w:textAlignment w:val="auto"/>
              <w:rPr>
                <w:rFonts w:ascii="宋体" w:eastAsia="宋体" w:hAnsi="宋体" w:cs="宋体" w:hint="eastAsia"/>
                <w:b/>
                <w:bCs/>
                <w:color w:val="auto"/>
                <w:kern w:val="0"/>
                <w:sz w:val="21"/>
                <w:szCs w:val="21"/>
              </w:rPr>
            </w:pPr>
            <w:r>
              <w:rPr>
                <w:rFonts w:ascii="宋体" w:eastAsia="宋体" w:hAnsi="宋体" w:cs="宋体" w:hint="eastAsia"/>
                <w:b/>
                <w:bCs/>
                <w:color w:val="auto"/>
                <w:kern w:val="0"/>
                <w:sz w:val="21"/>
                <w:szCs w:val="21"/>
                <w:lang w:eastAsia="zh-CN"/>
              </w:rPr>
              <w:t>（</w:t>
            </w:r>
            <w:r>
              <w:rPr>
                <w:rFonts w:ascii="宋体" w:eastAsia="宋体" w:hAnsi="宋体" w:cs="宋体" w:hint="eastAsia"/>
                <w:b/>
                <w:bCs/>
                <w:color w:val="auto"/>
                <w:kern w:val="0"/>
                <w:sz w:val="21"/>
                <w:szCs w:val="21"/>
                <w:lang w:val="en-US" w:eastAsia="zh-CN"/>
              </w:rPr>
              <w:t>一</w:t>
            </w:r>
            <w:r>
              <w:rPr>
                <w:rFonts w:ascii="宋体" w:eastAsia="宋体" w:hAnsi="宋体" w:cs="宋体" w:hint="eastAsia"/>
                <w:b/>
                <w:bCs/>
                <w:color w:val="auto"/>
                <w:kern w:val="0"/>
                <w:sz w:val="21"/>
                <w:szCs w:val="21"/>
                <w:lang w:eastAsia="zh-CN"/>
              </w:rPr>
              <w:t>）</w:t>
            </w:r>
            <w:r>
              <w:rPr>
                <w:rFonts w:ascii="宋体" w:eastAsia="宋体" w:hAnsi="宋体" w:cs="宋体" w:hint="eastAsia"/>
                <w:b/>
                <w:bCs/>
                <w:color w:val="auto"/>
                <w:kern w:val="0"/>
                <w:sz w:val="21"/>
                <w:szCs w:val="21"/>
              </w:rPr>
              <w:t>评分内容：</w:t>
            </w:r>
          </w:p>
          <w:p>
            <w:pPr>
              <w:keepNext w:val="0"/>
              <w:keepLines w:val="0"/>
              <w:pageBreakBefore w:val="0"/>
              <w:widowControl/>
              <w:tabs>
                <w:tab w:val="left" w:pos="426"/>
              </w:tabs>
              <w:kinsoku/>
              <w:wordWrap/>
              <w:overflowPunct/>
              <w:topLinePunct w:val="0"/>
              <w:autoSpaceDE/>
              <w:autoSpaceDN/>
              <w:bidi w:val="0"/>
              <w:adjustRightInd/>
              <w:snapToGrid/>
              <w:spacing w:line="360" w:lineRule="auto"/>
              <w:ind w:firstLine="360"/>
              <w:jc w:val="left"/>
              <w:textAlignment w:val="auto"/>
              <w:rPr>
                <w:rFonts w:ascii="宋体" w:eastAsia="宋体" w:hAnsi="宋体" w:cs="宋体" w:hint="eastAsia"/>
                <w:color w:val="auto"/>
                <w:kern w:val="0"/>
                <w:sz w:val="21"/>
                <w:szCs w:val="21"/>
              </w:rPr>
            </w:pPr>
            <w:r>
              <w:rPr>
                <w:rFonts w:ascii="宋体" w:eastAsia="宋体" w:hAnsi="宋体" w:cs="宋体" w:hint="eastAsia"/>
                <w:color w:val="auto"/>
                <w:kern w:val="0"/>
                <w:sz w:val="21"/>
                <w:szCs w:val="21"/>
              </w:rPr>
              <w:t>投</w:t>
            </w:r>
            <w:r>
              <w:rPr>
                <w:rFonts w:ascii="宋体" w:eastAsia="宋体" w:hAnsi="宋体" w:cs="宋体" w:hint="eastAsia"/>
                <w:color w:val="auto"/>
                <w:sz w:val="21"/>
                <w:szCs w:val="21"/>
              </w:rPr>
              <w:t>标人自2020年1月1日至投标截止时间前完成的同类</w:t>
            </w:r>
            <w:r>
              <w:rPr>
                <w:rFonts w:ascii="宋体" w:eastAsia="宋体" w:hAnsi="宋体" w:cs="宋体" w:hint="eastAsia"/>
                <w:color w:val="auto"/>
                <w:sz w:val="21"/>
                <w:szCs w:val="21"/>
                <w:lang w:val="en-US" w:eastAsia="zh-CN"/>
              </w:rPr>
              <w:t>项目</w:t>
            </w:r>
            <w:r>
              <w:rPr>
                <w:rFonts w:ascii="宋体" w:eastAsia="宋体" w:hAnsi="宋体" w:cs="宋体" w:hint="eastAsia"/>
                <w:color w:val="auto"/>
                <w:sz w:val="21"/>
                <w:szCs w:val="21"/>
              </w:rPr>
              <w:t>业绩，每提供一项得</w:t>
            </w:r>
            <w:r>
              <w:rPr>
                <w:rFonts w:ascii="宋体" w:eastAsia="宋体" w:hAnsi="宋体" w:cs="宋体" w:hint="eastAsia"/>
                <w:color w:val="auto"/>
                <w:sz w:val="21"/>
                <w:szCs w:val="21"/>
                <w:lang w:val="en-US" w:eastAsia="zh-CN"/>
              </w:rPr>
              <w:t>50</w:t>
            </w:r>
            <w:r>
              <w:rPr>
                <w:rFonts w:ascii="宋体" w:eastAsia="宋体" w:hAnsi="宋体" w:cs="宋体" w:hint="eastAsia"/>
                <w:color w:val="auto"/>
                <w:sz w:val="21"/>
                <w:szCs w:val="21"/>
              </w:rPr>
              <w:t>分，</w:t>
            </w:r>
            <w:r>
              <w:rPr>
                <w:rFonts w:ascii="宋体" w:eastAsia="宋体" w:hAnsi="宋体" w:cs="宋体" w:hint="eastAsia"/>
                <w:color w:val="auto"/>
                <w:kern w:val="0"/>
                <w:sz w:val="21"/>
                <w:szCs w:val="21"/>
              </w:rPr>
              <w:t>本项满分</w:t>
            </w:r>
            <w:r>
              <w:rPr>
                <w:rFonts w:ascii="宋体" w:eastAsia="宋体" w:hAnsi="宋体" w:cs="宋体" w:hint="eastAsia"/>
                <w:color w:val="auto"/>
                <w:kern w:val="0"/>
                <w:sz w:val="21"/>
                <w:szCs w:val="21"/>
                <w:lang w:val="en-US" w:eastAsia="zh-CN"/>
              </w:rPr>
              <w:t>100</w:t>
            </w:r>
            <w:r>
              <w:rPr>
                <w:rFonts w:ascii="宋体" w:eastAsia="宋体" w:hAnsi="宋体" w:cs="宋体" w:hint="eastAsia"/>
                <w:color w:val="auto"/>
                <w:kern w:val="0"/>
                <w:sz w:val="21"/>
                <w:szCs w:val="21"/>
              </w:rPr>
              <w:t>分。</w:t>
            </w:r>
          </w:p>
          <w:p>
            <w:pPr>
              <w:keepNext w:val="0"/>
              <w:keepLines w:val="0"/>
              <w:pageBreakBefore w:val="0"/>
              <w:widowControl/>
              <w:tabs>
                <w:tab w:val="left" w:pos="426"/>
              </w:tabs>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auto"/>
                <w:kern w:val="0"/>
                <w:sz w:val="21"/>
                <w:szCs w:val="21"/>
              </w:rPr>
            </w:pPr>
            <w:r>
              <w:rPr>
                <w:rFonts w:ascii="宋体" w:eastAsia="宋体" w:hAnsi="宋体" w:cs="宋体" w:hint="eastAsia"/>
                <w:b/>
                <w:bCs/>
                <w:color w:val="auto"/>
                <w:kern w:val="0"/>
                <w:sz w:val="21"/>
                <w:szCs w:val="21"/>
                <w:lang w:eastAsia="zh-CN"/>
              </w:rPr>
              <w:t>（</w:t>
            </w:r>
            <w:r>
              <w:rPr>
                <w:rFonts w:ascii="宋体" w:eastAsia="宋体" w:hAnsi="宋体" w:cs="宋体" w:hint="eastAsia"/>
                <w:b/>
                <w:bCs/>
                <w:color w:val="auto"/>
                <w:kern w:val="0"/>
                <w:sz w:val="21"/>
                <w:szCs w:val="21"/>
                <w:lang w:val="en-US" w:eastAsia="zh-CN"/>
              </w:rPr>
              <w:t>二</w:t>
            </w:r>
            <w:r>
              <w:rPr>
                <w:rFonts w:ascii="宋体" w:eastAsia="宋体" w:hAnsi="宋体" w:cs="宋体" w:hint="eastAsia"/>
                <w:b/>
                <w:bCs/>
                <w:color w:val="auto"/>
                <w:kern w:val="0"/>
                <w:sz w:val="21"/>
                <w:szCs w:val="21"/>
                <w:lang w:eastAsia="zh-CN"/>
              </w:rPr>
              <w:t>）</w:t>
            </w:r>
            <w:r>
              <w:rPr>
                <w:rFonts w:ascii="宋体" w:eastAsia="宋体" w:hAnsi="宋体" w:cs="宋体" w:hint="eastAsia"/>
                <w:b/>
                <w:bCs/>
                <w:color w:val="auto"/>
                <w:kern w:val="0"/>
                <w:sz w:val="21"/>
                <w:szCs w:val="21"/>
              </w:rPr>
              <w:t>评分依据：</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color w:val="auto"/>
                <w:sz w:val="21"/>
                <w:szCs w:val="21"/>
              </w:rPr>
            </w:pPr>
            <w:r>
              <w:rPr>
                <w:rFonts w:ascii="宋体" w:eastAsia="宋体" w:hAnsi="宋体" w:cs="宋体" w:hint="eastAsia"/>
                <w:color w:val="auto"/>
                <w:sz w:val="21"/>
                <w:szCs w:val="21"/>
              </w:rPr>
              <w:t>投标人须</w:t>
            </w:r>
            <w:r>
              <w:rPr>
                <w:rFonts w:ascii="宋体" w:eastAsia="宋体" w:hAnsi="宋体" w:cs="宋体" w:hint="eastAsia"/>
                <w:color w:val="auto"/>
                <w:kern w:val="0"/>
                <w:sz w:val="21"/>
                <w:szCs w:val="21"/>
              </w:rPr>
              <w:t>提供中标通知书或合同关键页</w:t>
            </w:r>
            <w:r>
              <w:rPr>
                <w:rFonts w:ascii="宋体" w:eastAsia="宋体" w:hAnsi="宋体" w:cs="宋体" w:hint="eastAsia"/>
                <w:color w:val="auto"/>
                <w:kern w:val="0"/>
                <w:sz w:val="21"/>
                <w:szCs w:val="21"/>
                <w:lang w:val="en-US" w:eastAsia="zh-CN"/>
              </w:rPr>
              <w:t>原件扫描</w:t>
            </w:r>
            <w:r>
              <w:rPr>
                <w:rFonts w:ascii="宋体" w:eastAsia="宋体" w:hAnsi="宋体" w:cs="宋体" w:hint="eastAsia"/>
                <w:color w:val="auto"/>
                <w:kern w:val="0"/>
                <w:sz w:val="21"/>
                <w:szCs w:val="21"/>
              </w:rPr>
              <w:t>件，原件备查。未提供证明材料或者提供的证明材料不符合要求或提供的证明材料不清晰评审专家无法辨认的，不得分。</w:t>
            </w:r>
          </w:p>
        </w:tc>
      </w:tr>
      <w:tr>
        <w:tblPrEx>
          <w:tblW w:w="5000" w:type="pct"/>
          <w:jc w:val="center"/>
          <w:tblLayout w:type="fixed"/>
          <w:tblCellMar>
            <w:top w:w="0" w:type="dxa"/>
            <w:left w:w="108" w:type="dxa"/>
            <w:bottom w:w="0" w:type="dxa"/>
            <w:right w:w="108" w:type="dxa"/>
          </w:tblCellMar>
        </w:tblPrEx>
        <w:trPr>
          <w:trHeight w:val="90"/>
          <w:jc w:val="center"/>
        </w:trPr>
        <w:tc>
          <w:tcPr>
            <w:tcW w:w="406" w:type="dxa"/>
            <w:vMerge/>
            <w:noWrap w:val="0"/>
            <w:vAlign w:val="center"/>
          </w:tcPr>
          <w:p>
            <w:pPr>
              <w:keepNext/>
              <w:keepLines/>
              <w:pageBreakBefore w:val="0"/>
              <w:widowControl/>
              <w:kinsoku/>
              <w:overflowPunct/>
              <w:topLinePunct w:val="0"/>
              <w:bidi w:val="0"/>
              <w:adjustRightInd/>
              <w:snapToGrid/>
              <w:spacing w:before="340" w:after="330" w:line="360" w:lineRule="auto"/>
              <w:jc w:val="center"/>
              <w:textAlignment w:val="auto"/>
              <w:outlineLvl w:val="0"/>
              <w:rPr>
                <w:rFonts w:ascii="宋体" w:eastAsia="宋体" w:hAnsi="宋体" w:cs="宋体" w:hint="eastAsia"/>
                <w:sz w:val="21"/>
                <w:szCs w:val="21"/>
              </w:rPr>
            </w:pPr>
          </w:p>
        </w:tc>
        <w:tc>
          <w:tcPr>
            <w:tcW w:w="75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rPr>
            </w:pPr>
            <w:r>
              <w:rPr>
                <w:rFonts w:ascii="宋体" w:eastAsia="宋体" w:hAnsi="宋体" w:cs="宋体" w:hint="eastAsia"/>
                <w:color w:val="auto"/>
                <w:sz w:val="21"/>
                <w:szCs w:val="21"/>
                <w:lang w:val="en-US" w:eastAsia="zh-CN"/>
              </w:rPr>
              <w:t>3</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rPr>
            </w:pPr>
            <w:r>
              <w:rPr>
                <w:rFonts w:ascii="宋体" w:eastAsia="宋体" w:hAnsi="宋体" w:cs="宋体" w:hint="eastAsia"/>
                <w:color w:val="auto"/>
                <w:sz w:val="21"/>
                <w:szCs w:val="21"/>
              </w:rPr>
              <w:t>履约评价情况</w:t>
            </w:r>
          </w:p>
        </w:tc>
        <w:tc>
          <w:tcPr>
            <w:tcW w:w="1523"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rPr>
            </w:pPr>
            <w:r>
              <w:rPr>
                <w:rFonts w:ascii="宋体" w:eastAsia="宋体" w:hAnsi="宋体" w:cs="宋体" w:hint="eastAsia"/>
                <w:color w:val="auto"/>
                <w:sz w:val="21"/>
                <w:szCs w:val="21"/>
                <w:lang w:val="en-US" w:eastAsia="zh-CN"/>
              </w:rPr>
              <w:t>2</w:t>
            </w:r>
          </w:p>
        </w:tc>
        <w:tc>
          <w:tcPr>
            <w:tcW w:w="5013"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ascii="宋体" w:eastAsia="宋体" w:hAnsi="宋体" w:cs="宋体" w:hint="eastAsia"/>
                <w:b/>
                <w:color w:val="auto"/>
                <w:sz w:val="21"/>
                <w:szCs w:val="21"/>
              </w:rPr>
            </w:pPr>
            <w:r>
              <w:rPr>
                <w:rFonts w:ascii="宋体" w:eastAsia="宋体" w:hAnsi="宋体" w:cs="宋体" w:hint="eastAsia"/>
                <w:b/>
                <w:bCs/>
                <w:color w:val="auto"/>
                <w:sz w:val="21"/>
                <w:szCs w:val="21"/>
                <w:lang w:eastAsia="zh-CN"/>
              </w:rPr>
              <w:t>（一）</w:t>
            </w:r>
            <w:r>
              <w:rPr>
                <w:rFonts w:ascii="宋体" w:eastAsia="宋体" w:hAnsi="宋体" w:cs="宋体" w:hint="eastAsia"/>
                <w:b/>
                <w:color w:val="auto"/>
                <w:sz w:val="21"/>
                <w:szCs w:val="21"/>
              </w:rPr>
              <w:t>评审标准：</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color w:val="auto"/>
                <w:sz w:val="21"/>
                <w:szCs w:val="21"/>
              </w:rPr>
            </w:pPr>
            <w:r>
              <w:rPr>
                <w:rFonts w:ascii="宋体" w:eastAsia="宋体" w:hAnsi="宋体" w:cs="宋体" w:hint="eastAsia"/>
                <w:color w:val="auto"/>
                <w:sz w:val="21"/>
                <w:szCs w:val="21"/>
              </w:rPr>
              <w:t>投标人在上述“同类项目业绩”中，能够提供</w:t>
            </w:r>
            <w:r>
              <w:rPr>
                <w:rFonts w:ascii="宋体" w:eastAsia="宋体" w:hAnsi="宋体" w:cs="宋体" w:hint="eastAsia"/>
                <w:color w:val="auto"/>
                <w:sz w:val="21"/>
                <w:szCs w:val="21"/>
                <w:lang w:eastAsia="zh-CN"/>
              </w:rPr>
              <w:t>合同甲方</w:t>
            </w:r>
            <w:r>
              <w:rPr>
                <w:rFonts w:ascii="宋体" w:eastAsia="宋体" w:hAnsi="宋体" w:cs="宋体" w:hint="eastAsia"/>
                <w:color w:val="auto"/>
                <w:sz w:val="21"/>
                <w:szCs w:val="21"/>
              </w:rPr>
              <w:t>出具的履约评价书，</w:t>
            </w:r>
            <w:r>
              <w:rPr>
                <w:rFonts w:ascii="宋体" w:eastAsia="宋体" w:hAnsi="宋体" w:cs="宋体" w:hint="eastAsia"/>
                <w:color w:val="auto"/>
                <w:sz w:val="21"/>
                <w:szCs w:val="21"/>
                <w:lang w:eastAsia="zh-CN"/>
              </w:rPr>
              <w:t>若</w:t>
            </w:r>
            <w:r>
              <w:rPr>
                <w:rFonts w:ascii="宋体" w:eastAsia="宋体" w:hAnsi="宋体" w:cs="宋体" w:hint="eastAsia"/>
                <w:color w:val="auto"/>
                <w:sz w:val="21"/>
                <w:szCs w:val="21"/>
              </w:rPr>
              <w:t>评价为优</w:t>
            </w:r>
            <w:r>
              <w:rPr>
                <w:rFonts w:ascii="宋体" w:eastAsia="宋体" w:hAnsi="宋体" w:cs="宋体" w:hint="eastAsia"/>
                <w:color w:val="auto"/>
                <w:sz w:val="21"/>
                <w:szCs w:val="21"/>
                <w:lang w:val="en-US" w:eastAsia="zh-CN"/>
              </w:rPr>
              <w:t>或满意</w:t>
            </w:r>
            <w:r>
              <w:rPr>
                <w:rFonts w:ascii="宋体" w:eastAsia="宋体" w:hAnsi="宋体" w:cs="宋体" w:hint="eastAsia"/>
                <w:color w:val="auto"/>
                <w:sz w:val="21"/>
                <w:szCs w:val="21"/>
              </w:rPr>
              <w:t>或同等级最高评价，每</w:t>
            </w:r>
            <w:r>
              <w:rPr>
                <w:rFonts w:ascii="宋体" w:eastAsia="宋体" w:hAnsi="宋体" w:cs="宋体" w:hint="eastAsia"/>
                <w:color w:val="auto"/>
                <w:sz w:val="21"/>
                <w:szCs w:val="21"/>
                <w:lang w:eastAsia="zh-CN"/>
              </w:rPr>
              <w:t>提供</w:t>
            </w:r>
            <w:r>
              <w:rPr>
                <w:rFonts w:ascii="宋体" w:eastAsia="宋体" w:hAnsi="宋体" w:cs="宋体" w:hint="eastAsia"/>
                <w:color w:val="auto"/>
                <w:sz w:val="21"/>
                <w:szCs w:val="21"/>
                <w:lang w:val="en-US" w:eastAsia="zh-CN"/>
              </w:rPr>
              <w:t>1</w:t>
            </w:r>
            <w:r>
              <w:rPr>
                <w:rFonts w:ascii="宋体" w:eastAsia="宋体" w:hAnsi="宋体" w:cs="宋体" w:hint="eastAsia"/>
                <w:color w:val="auto"/>
                <w:sz w:val="21"/>
                <w:szCs w:val="21"/>
              </w:rPr>
              <w:t>份得50分</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rPr>
              <w:t>其他情况</w:t>
            </w:r>
            <w:r>
              <w:rPr>
                <w:rFonts w:ascii="宋体" w:eastAsia="宋体" w:hAnsi="宋体" w:cs="宋体" w:hint="eastAsia"/>
                <w:color w:val="auto"/>
                <w:sz w:val="21"/>
                <w:szCs w:val="21"/>
                <w:lang w:eastAsia="zh-CN"/>
              </w:rPr>
              <w:t>不得</w:t>
            </w:r>
            <w:r>
              <w:rPr>
                <w:rFonts w:ascii="宋体" w:eastAsia="宋体" w:hAnsi="宋体" w:cs="宋体" w:hint="eastAsia"/>
                <w:color w:val="auto"/>
                <w:sz w:val="21"/>
                <w:szCs w:val="21"/>
              </w:rPr>
              <w:t>分；最高得100分。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ascii="宋体" w:eastAsia="宋体" w:hAnsi="宋体" w:cs="宋体" w:hint="eastAsia"/>
                <w:b/>
                <w:color w:val="auto"/>
                <w:sz w:val="21"/>
                <w:szCs w:val="21"/>
              </w:rPr>
            </w:pPr>
            <w:r>
              <w:rPr>
                <w:rFonts w:ascii="宋体" w:eastAsia="宋体" w:hAnsi="宋体" w:cs="宋体" w:hint="eastAsia"/>
                <w:b/>
                <w:bCs/>
                <w:color w:val="auto"/>
                <w:kern w:val="2"/>
                <w:sz w:val="21"/>
                <w:szCs w:val="21"/>
                <w:highlight w:val="none"/>
                <w:lang w:val="en-US" w:eastAsia="zh-CN" w:bidi="ar-SA"/>
              </w:rPr>
              <w:t>（二）</w:t>
            </w:r>
            <w:r>
              <w:rPr>
                <w:rFonts w:ascii="宋体" w:eastAsia="宋体" w:hAnsi="宋体" w:cs="宋体" w:hint="eastAsia"/>
                <w:b/>
                <w:color w:val="auto"/>
                <w:sz w:val="21"/>
                <w:szCs w:val="21"/>
              </w:rPr>
              <w:t>证明文件：</w:t>
            </w:r>
          </w:p>
          <w:p>
            <w:pPr>
              <w:pStyle w:val="CommentText"/>
              <w:keepNext w:val="0"/>
              <w:keepLines w:val="0"/>
              <w:pageBreakBefore w:val="0"/>
              <w:widowControl/>
              <w:kinsoku/>
              <w:wordWrap/>
              <w:overflowPunct/>
              <w:topLinePunct w:val="0"/>
              <w:autoSpaceDE/>
              <w:autoSpaceDN/>
              <w:bidi w:val="0"/>
              <w:adjustRightInd/>
              <w:snapToGrid/>
              <w:spacing w:line="360" w:lineRule="auto"/>
              <w:textAlignment w:val="auto"/>
              <w:rPr>
                <w:rFonts w:ascii="宋体" w:eastAsia="宋体" w:hAnsi="宋体" w:cs="宋体" w:hint="eastAsia"/>
                <w:color w:val="auto"/>
                <w:sz w:val="21"/>
                <w:szCs w:val="21"/>
              </w:rPr>
            </w:pPr>
            <w:r>
              <w:rPr>
                <w:rFonts w:ascii="宋体" w:eastAsia="宋体" w:hAnsi="宋体" w:cs="宋体" w:hint="eastAsia"/>
                <w:color w:val="auto"/>
                <w:sz w:val="21"/>
                <w:szCs w:val="21"/>
              </w:rPr>
              <w:t>投标人提供</w:t>
            </w:r>
            <w:r>
              <w:rPr>
                <w:rFonts w:ascii="宋体" w:eastAsia="宋体" w:hAnsi="宋体" w:cs="宋体" w:hint="eastAsia"/>
                <w:color w:val="auto"/>
                <w:sz w:val="21"/>
                <w:szCs w:val="21"/>
                <w:lang w:eastAsia="zh-CN"/>
              </w:rPr>
              <w:t>加盖合同甲方公章</w:t>
            </w:r>
            <w:r>
              <w:rPr>
                <w:rFonts w:ascii="宋体" w:eastAsia="宋体" w:hAnsi="宋体" w:cs="宋体" w:hint="eastAsia"/>
                <w:color w:val="auto"/>
                <w:sz w:val="21"/>
                <w:szCs w:val="21"/>
              </w:rPr>
              <w:t>的履约评价书原件扫描件，原件备查。不提供或不能有效证明的，不得分</w:t>
            </w:r>
          </w:p>
        </w:tc>
      </w:tr>
      <w:tr>
        <w:tblPrEx>
          <w:tblW w:w="5000" w:type="pct"/>
          <w:jc w:val="center"/>
          <w:tblLayout w:type="fixed"/>
          <w:tblCellMar>
            <w:top w:w="0" w:type="dxa"/>
            <w:left w:w="108" w:type="dxa"/>
            <w:bottom w:w="0" w:type="dxa"/>
            <w:right w:w="108" w:type="dxa"/>
          </w:tblCellMar>
        </w:tblPrEx>
        <w:trPr>
          <w:trHeight w:val="20"/>
          <w:jc w:val="center"/>
        </w:trPr>
        <w:tc>
          <w:tcPr>
            <w:tcW w:w="406" w:type="dxa"/>
            <w:vMerge/>
            <w:noWrap w:val="0"/>
            <w:vAlign w:val="center"/>
          </w:tcPr>
          <w:p>
            <w:pPr>
              <w:keepNext/>
              <w:keepLines/>
              <w:pageBreakBefore w:val="0"/>
              <w:widowControl/>
              <w:kinsoku/>
              <w:overflowPunct/>
              <w:topLinePunct w:val="0"/>
              <w:bidi w:val="0"/>
              <w:adjustRightInd/>
              <w:snapToGrid/>
              <w:spacing w:before="260" w:after="260" w:line="360" w:lineRule="auto"/>
              <w:jc w:val="center"/>
              <w:textAlignment w:val="auto"/>
              <w:outlineLvl w:val="2"/>
              <w:rPr>
                <w:rFonts w:ascii="宋体" w:eastAsia="宋体" w:hAnsi="宋体" w:cs="宋体" w:hint="eastAsia"/>
                <w:sz w:val="21"/>
                <w:szCs w:val="21"/>
              </w:rPr>
            </w:pPr>
          </w:p>
        </w:tc>
        <w:tc>
          <w:tcPr>
            <w:tcW w:w="75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rPr>
            </w:pPr>
            <w:r>
              <w:rPr>
                <w:rFonts w:ascii="宋体" w:eastAsia="宋体" w:hAnsi="宋体" w:cs="宋体" w:hint="eastAsia"/>
                <w:color w:val="auto"/>
                <w:sz w:val="21"/>
                <w:szCs w:val="21"/>
                <w:lang w:val="en-US" w:eastAsia="zh-CN"/>
              </w:rPr>
              <w:t>4</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rPr>
            </w:pPr>
            <w:r>
              <w:rPr>
                <w:rFonts w:ascii="宋体" w:eastAsia="宋体" w:hAnsi="宋体" w:cs="宋体" w:hint="eastAsia"/>
                <w:color w:val="auto"/>
                <w:sz w:val="21"/>
                <w:szCs w:val="21"/>
              </w:rPr>
              <w:t>厂家针对本项目的保证</w:t>
            </w:r>
          </w:p>
        </w:tc>
        <w:tc>
          <w:tcPr>
            <w:tcW w:w="1523"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rPr>
            </w:pPr>
            <w:r>
              <w:rPr>
                <w:rFonts w:ascii="宋体" w:eastAsia="宋体" w:hAnsi="宋体" w:cs="宋体" w:hint="eastAsia"/>
                <w:color w:val="auto"/>
                <w:sz w:val="21"/>
                <w:szCs w:val="21"/>
                <w:lang w:val="en-US" w:eastAsia="zh-CN"/>
              </w:rPr>
              <w:t>4</w:t>
            </w:r>
          </w:p>
        </w:tc>
        <w:tc>
          <w:tcPr>
            <w:tcW w:w="5013" w:type="dxa"/>
            <w:noWrap w:val="0"/>
            <w:vAlign w:val="top"/>
          </w:tcPr>
          <w:p>
            <w:pPr>
              <w:keepNext w:val="0"/>
              <w:keepLines w:val="0"/>
              <w:pageBreakBefore w:val="0"/>
              <w:widowControl/>
              <w:kinsoku/>
              <w:wordWrap/>
              <w:overflowPunct/>
              <w:topLinePunct w:val="0"/>
              <w:autoSpaceDE/>
              <w:autoSpaceDN/>
              <w:bidi w:val="0"/>
              <w:adjustRightInd/>
              <w:snapToGrid/>
              <w:spacing w:afterLines="0" w:line="360" w:lineRule="auto"/>
              <w:textAlignment w:val="auto"/>
              <w:rPr>
                <w:rFonts w:ascii="宋体" w:eastAsia="宋体" w:hAnsi="宋体" w:cs="宋体" w:hint="eastAsia"/>
                <w:b/>
                <w:color w:val="auto"/>
                <w:sz w:val="21"/>
                <w:szCs w:val="21"/>
              </w:rPr>
            </w:pPr>
            <w:r>
              <w:rPr>
                <w:rFonts w:ascii="宋体" w:eastAsia="宋体" w:hAnsi="宋体" w:cs="宋体" w:hint="eastAsia"/>
                <w:b/>
                <w:color w:val="auto"/>
                <w:sz w:val="21"/>
                <w:szCs w:val="21"/>
              </w:rPr>
              <w:t>评审标准：</w:t>
            </w:r>
          </w:p>
          <w:p>
            <w:pPr>
              <w:keepNext w:val="0"/>
              <w:keepLines w:val="0"/>
              <w:pageBreakBefore w:val="0"/>
              <w:widowControl/>
              <w:kinsoku/>
              <w:wordWrap/>
              <w:overflowPunct/>
              <w:topLinePunct w:val="0"/>
              <w:autoSpaceDE/>
              <w:autoSpaceDN/>
              <w:bidi w:val="0"/>
              <w:adjustRightInd/>
              <w:snapToGrid/>
              <w:spacing w:afterLines="0" w:line="360" w:lineRule="auto"/>
              <w:textAlignment w:val="auto"/>
              <w:rPr>
                <w:rFonts w:ascii="宋体" w:eastAsia="宋体" w:hAnsi="宋体" w:cs="宋体" w:hint="eastAsia"/>
                <w:color w:val="auto"/>
                <w:sz w:val="21"/>
                <w:szCs w:val="21"/>
                <w:lang w:eastAsia="zh-CN"/>
              </w:rPr>
            </w:pP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lang w:val="en-US" w:eastAsia="zh-CN"/>
              </w:rPr>
              <w:t>1</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rPr>
              <w:t>提供“轨道小镇”产品的厂家售后服务承诺函</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lang w:val="en-US" w:eastAsia="zh-CN"/>
              </w:rPr>
              <w:t>格式自拟</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rPr>
              <w:t>的扫描件得</w:t>
            </w:r>
            <w:r>
              <w:rPr>
                <w:rFonts w:ascii="宋体" w:eastAsia="宋体" w:hAnsi="宋体" w:cs="宋体" w:hint="eastAsia"/>
                <w:color w:val="auto"/>
                <w:sz w:val="21"/>
                <w:szCs w:val="21"/>
                <w:lang w:val="en-US" w:eastAsia="zh-CN"/>
              </w:rPr>
              <w:t>50</w:t>
            </w:r>
            <w:r>
              <w:rPr>
                <w:rFonts w:ascii="宋体" w:eastAsia="宋体" w:hAnsi="宋体" w:cs="宋体" w:hint="eastAsia"/>
                <w:color w:val="auto"/>
                <w:sz w:val="21"/>
                <w:szCs w:val="21"/>
              </w:rPr>
              <w:t>分</w:t>
            </w:r>
            <w:r>
              <w:rPr>
                <w:rFonts w:ascii="宋体" w:eastAsia="宋体" w:hAnsi="宋体" w:cs="宋体" w:hint="eastAsia"/>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afterLines="0" w:line="360" w:lineRule="auto"/>
              <w:textAlignment w:val="auto"/>
              <w:rPr>
                <w:rFonts w:ascii="宋体" w:eastAsia="宋体" w:hAnsi="宋体" w:cs="宋体" w:hint="eastAsia"/>
                <w:color w:val="auto"/>
                <w:sz w:val="21"/>
                <w:szCs w:val="21"/>
                <w:lang w:eastAsia="zh-CN"/>
              </w:rPr>
            </w:pP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lang w:val="en-US" w:eastAsia="zh-CN"/>
              </w:rPr>
              <w:t>2</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rPr>
              <w:t>提供“60粒蘑菇积木”产品的厂家售后服务承诺函</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lang w:val="en-US" w:eastAsia="zh-CN"/>
              </w:rPr>
              <w:t>格式自拟</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rPr>
              <w:t>的扫描件得</w:t>
            </w:r>
            <w:r>
              <w:rPr>
                <w:rFonts w:ascii="宋体" w:eastAsia="宋体" w:hAnsi="宋体" w:cs="宋体" w:hint="eastAsia"/>
                <w:color w:val="auto"/>
                <w:sz w:val="21"/>
                <w:szCs w:val="21"/>
                <w:lang w:val="en-US" w:eastAsia="zh-CN"/>
              </w:rPr>
              <w:t>50</w:t>
            </w:r>
            <w:r>
              <w:rPr>
                <w:rFonts w:ascii="宋体" w:eastAsia="宋体" w:hAnsi="宋体" w:cs="宋体" w:hint="eastAsia"/>
                <w:color w:val="auto"/>
                <w:sz w:val="21"/>
                <w:szCs w:val="21"/>
              </w:rPr>
              <w:t>分</w:t>
            </w:r>
            <w:r>
              <w:rPr>
                <w:rFonts w:ascii="宋体" w:eastAsia="宋体" w:hAnsi="宋体" w:cs="宋体" w:hint="eastAsia"/>
                <w:color w:val="auto"/>
                <w:sz w:val="21"/>
                <w:szCs w:val="21"/>
                <w:lang w:eastAsia="zh-CN"/>
              </w:rPr>
              <w:t>；</w:t>
            </w:r>
          </w:p>
          <w:p>
            <w:pPr>
              <w:pStyle w:val="CommentText"/>
              <w:keepNext w:val="0"/>
              <w:keepLines w:val="0"/>
              <w:pageBreakBefore w:val="0"/>
              <w:widowControl/>
              <w:kinsoku/>
              <w:wordWrap/>
              <w:overflowPunct/>
              <w:topLinePunct w:val="0"/>
              <w:autoSpaceDE/>
              <w:autoSpaceDN/>
              <w:bidi w:val="0"/>
              <w:adjustRightInd/>
              <w:snapToGrid/>
              <w:spacing w:line="360" w:lineRule="auto"/>
              <w:textAlignment w:val="auto"/>
              <w:rPr>
                <w:rFonts w:ascii="宋体" w:eastAsia="宋体" w:hAnsi="宋体" w:cs="宋体" w:hint="eastAsia"/>
                <w:color w:val="auto"/>
                <w:sz w:val="21"/>
                <w:szCs w:val="21"/>
              </w:rPr>
            </w:pPr>
            <w:r>
              <w:rPr>
                <w:rFonts w:ascii="宋体" w:hAnsi="宋体" w:cs="宋体" w:hint="eastAsia"/>
                <w:color w:val="auto"/>
                <w:sz w:val="21"/>
                <w:szCs w:val="21"/>
                <w:lang w:val="en-US" w:eastAsia="zh-CN"/>
              </w:rPr>
              <w:t>以</w:t>
            </w:r>
            <w:r>
              <w:rPr>
                <w:rFonts w:ascii="宋体" w:eastAsia="宋体" w:hAnsi="宋体" w:cs="宋体" w:hint="eastAsia"/>
                <w:color w:val="auto"/>
                <w:sz w:val="21"/>
                <w:szCs w:val="21"/>
              </w:rPr>
              <w:t>上两项累计得分，最高100分。</w:t>
            </w:r>
          </w:p>
        </w:tc>
      </w:tr>
      <w:tr>
        <w:tblPrEx>
          <w:tblW w:w="5000" w:type="pct"/>
          <w:jc w:val="center"/>
          <w:tblLayout w:type="fixed"/>
          <w:tblCellMar>
            <w:top w:w="0" w:type="dxa"/>
            <w:left w:w="108" w:type="dxa"/>
            <w:bottom w:w="0" w:type="dxa"/>
            <w:right w:w="108" w:type="dxa"/>
          </w:tblCellMar>
        </w:tblPrEx>
        <w:trPr>
          <w:trHeight w:val="604"/>
          <w:jc w:val="center"/>
        </w:trPr>
        <w:tc>
          <w:tcPr>
            <w:tcW w:w="406" w:type="dxa"/>
            <w:noWrap w:val="0"/>
            <w:vAlign w:val="center"/>
          </w:tcPr>
          <w:p>
            <w:pPr>
              <w:keepNext/>
              <w:keepLines/>
              <w:pageBreakBefore w:val="0"/>
              <w:widowControl/>
              <w:kinsoku/>
              <w:overflowPunct/>
              <w:topLinePunct w:val="0"/>
              <w:bidi w:val="0"/>
              <w:adjustRightInd/>
              <w:snapToGrid/>
              <w:spacing w:before="260" w:after="260" w:line="360" w:lineRule="auto"/>
              <w:jc w:val="center"/>
              <w:textAlignment w:val="auto"/>
              <w:outlineLvl w:val="2"/>
              <w:rPr>
                <w:rFonts w:ascii="宋体" w:eastAsia="宋体" w:hAnsi="宋体" w:cs="宋体" w:hint="eastAsia"/>
                <w:sz w:val="21"/>
                <w:szCs w:val="21"/>
                <w:lang w:eastAsia="zh-CN"/>
              </w:rPr>
            </w:pPr>
            <w:r>
              <w:rPr>
                <w:rFonts w:ascii="宋体" w:eastAsia="宋体" w:hAnsi="宋体" w:cs="宋体" w:hint="eastAsia"/>
                <w:sz w:val="21"/>
                <w:szCs w:val="21"/>
                <w:lang w:eastAsia="zh-CN"/>
              </w:rPr>
              <w:t>4</w:t>
            </w:r>
          </w:p>
        </w:tc>
        <w:tc>
          <w:tcPr>
            <w:tcW w:w="3437" w:type="dxa"/>
            <w:gridSpan w:val="5"/>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sz w:val="21"/>
                <w:szCs w:val="21"/>
              </w:rPr>
            </w:pPr>
            <w:r>
              <w:rPr>
                <w:rFonts w:ascii="宋体" w:eastAsia="宋体" w:hAnsi="宋体" w:cs="宋体" w:hint="eastAsia"/>
                <w:b/>
                <w:bCs/>
                <w:sz w:val="21"/>
                <w:szCs w:val="21"/>
                <w:lang w:eastAsia="zh-CN"/>
              </w:rPr>
              <w:t>其他</w:t>
            </w:r>
            <w:r>
              <w:rPr>
                <w:rFonts w:ascii="宋体" w:eastAsia="宋体" w:hAnsi="宋体" w:cs="宋体" w:hint="eastAsia"/>
                <w:b/>
                <w:bCs/>
                <w:sz w:val="21"/>
                <w:szCs w:val="21"/>
              </w:rPr>
              <w:t>部分</w:t>
            </w:r>
          </w:p>
        </w:tc>
        <w:tc>
          <w:tcPr>
            <w:tcW w:w="5013" w:type="dxa"/>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sz w:val="21"/>
                <w:szCs w:val="21"/>
                <w:lang w:bidi="ar"/>
              </w:rPr>
            </w:pPr>
            <w:r>
              <w:rPr>
                <w:rFonts w:ascii="宋体" w:eastAsia="宋体" w:hAnsi="宋体" w:cs="宋体" w:hint="eastAsia"/>
                <w:b/>
                <w:bCs/>
                <w:sz w:val="21"/>
                <w:szCs w:val="21"/>
                <w:lang w:eastAsia="zh-CN"/>
              </w:rPr>
              <w:t>5</w:t>
            </w:r>
            <w:r>
              <w:rPr>
                <w:rFonts w:ascii="宋体" w:eastAsia="宋体" w:hAnsi="宋体" w:cs="宋体" w:hint="eastAsia"/>
                <w:b/>
                <w:bCs/>
                <w:sz w:val="21"/>
                <w:szCs w:val="21"/>
              </w:rPr>
              <w:t>分</w:t>
            </w:r>
          </w:p>
        </w:tc>
      </w:tr>
      <w:tr>
        <w:tblPrEx>
          <w:tblW w:w="5000" w:type="pct"/>
          <w:jc w:val="center"/>
          <w:tblLayout w:type="fixed"/>
          <w:tblCellMar>
            <w:top w:w="0" w:type="dxa"/>
            <w:left w:w="108" w:type="dxa"/>
            <w:bottom w:w="0" w:type="dxa"/>
            <w:right w:w="108" w:type="dxa"/>
          </w:tblCellMar>
        </w:tblPrEx>
        <w:trPr>
          <w:trHeight w:val="20"/>
          <w:jc w:val="center"/>
        </w:trPr>
        <w:tc>
          <w:tcPr>
            <w:tcW w:w="406" w:type="dxa"/>
            <w:vMerge w:val="restart"/>
            <w:noWrap w:val="0"/>
            <w:vAlign w:val="center"/>
          </w:tcPr>
          <w:p>
            <w:pPr>
              <w:pageBreakBefore w:val="0"/>
              <w:widowControl/>
              <w:kinsoku/>
              <w:overflowPunct/>
              <w:topLinePunct w:val="0"/>
              <w:bidi w:val="0"/>
              <w:adjustRightInd/>
              <w:snapToGrid/>
              <w:spacing w:line="360" w:lineRule="auto"/>
              <w:jc w:val="center"/>
              <w:textAlignment w:val="auto"/>
              <w:rPr>
                <w:rFonts w:ascii="宋体" w:eastAsia="宋体" w:hAnsi="宋体" w:cs="宋体" w:hint="eastAsia"/>
                <w:b/>
                <w:bCs/>
                <w:sz w:val="21"/>
                <w:szCs w:val="21"/>
                <w:lang w:eastAsia="zh-CN"/>
              </w:rPr>
            </w:pPr>
          </w:p>
        </w:tc>
        <w:tc>
          <w:tcPr>
            <w:tcW w:w="750" w:type="dxa"/>
            <w:gridSpan w:val="2"/>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序号</w:t>
            </w:r>
          </w:p>
        </w:tc>
        <w:tc>
          <w:tcPr>
            <w:tcW w:w="1164" w:type="dxa"/>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评分因素</w:t>
            </w:r>
          </w:p>
        </w:tc>
        <w:tc>
          <w:tcPr>
            <w:tcW w:w="1523" w:type="dxa"/>
            <w:gridSpan w:val="2"/>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rPr>
              <w:t>权重(%)</w:t>
            </w:r>
          </w:p>
        </w:tc>
        <w:tc>
          <w:tcPr>
            <w:tcW w:w="5013" w:type="dxa"/>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评分准则</w:t>
            </w:r>
          </w:p>
        </w:tc>
      </w:tr>
      <w:tr>
        <w:tblPrEx>
          <w:tblW w:w="5000" w:type="pct"/>
          <w:jc w:val="center"/>
          <w:tblLayout w:type="fixed"/>
          <w:tblCellMar>
            <w:top w:w="0" w:type="dxa"/>
            <w:left w:w="108" w:type="dxa"/>
            <w:bottom w:w="0" w:type="dxa"/>
            <w:right w:w="108" w:type="dxa"/>
          </w:tblCellMar>
        </w:tblPrEx>
        <w:trPr>
          <w:trHeight w:val="20"/>
          <w:jc w:val="center"/>
        </w:trPr>
        <w:tc>
          <w:tcPr>
            <w:tcW w:w="406" w:type="dxa"/>
            <w:vMerge/>
            <w:noWrap w:val="0"/>
            <w:vAlign w:val="center"/>
          </w:tcPr>
          <w:p>
            <w:pPr>
              <w:keepNext/>
              <w:keepLines/>
              <w:pageBreakBefore w:val="0"/>
              <w:widowControl/>
              <w:kinsoku/>
              <w:overflowPunct/>
              <w:topLinePunct w:val="0"/>
              <w:bidi w:val="0"/>
              <w:adjustRightInd/>
              <w:snapToGrid/>
              <w:spacing w:before="260" w:after="260" w:line="360" w:lineRule="auto"/>
              <w:jc w:val="center"/>
              <w:textAlignment w:val="auto"/>
              <w:outlineLvl w:val="2"/>
              <w:rPr>
                <w:rFonts w:ascii="宋体" w:eastAsia="宋体" w:hAnsi="宋体" w:cs="宋体" w:hint="eastAsia"/>
                <w:sz w:val="21"/>
                <w:szCs w:val="21"/>
              </w:rPr>
            </w:pPr>
          </w:p>
        </w:tc>
        <w:tc>
          <w:tcPr>
            <w:tcW w:w="750" w:type="dxa"/>
            <w:gridSpan w:val="2"/>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1</w:t>
            </w:r>
          </w:p>
        </w:tc>
        <w:tc>
          <w:tcPr>
            <w:tcW w:w="1164" w:type="dxa"/>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bidi="ar"/>
              </w:rPr>
              <w:t>诚信</w:t>
            </w:r>
            <w:r>
              <w:rPr>
                <w:rFonts w:ascii="宋体" w:eastAsia="宋体" w:hAnsi="宋体" w:cs="宋体" w:hint="eastAsia"/>
                <w:sz w:val="21"/>
                <w:szCs w:val="21"/>
                <w:lang w:eastAsia="zh-CN" w:bidi="ar"/>
              </w:rPr>
              <w:t>情况</w:t>
            </w:r>
          </w:p>
        </w:tc>
        <w:tc>
          <w:tcPr>
            <w:tcW w:w="1523" w:type="dxa"/>
            <w:gridSpan w:val="2"/>
            <w:noWrap w:val="0"/>
            <w:vAlign w:val="center"/>
          </w:tcPr>
          <w:p>
            <w:pPr>
              <w:keepNext w:val="0"/>
              <w:keepLines w:val="0"/>
              <w:pageBreakBefore w:val="0"/>
              <w:widowControl/>
              <w:kinsoku/>
              <w:overflowPunct/>
              <w:topLinePunct w:val="0"/>
              <w:autoSpaceDE/>
              <w:autoSpaceDN/>
              <w:bidi w:val="0"/>
              <w:adjustRightInd/>
              <w:snapToGrid/>
              <w:spacing w:afterAutospacing="0"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w:t>
            </w:r>
          </w:p>
        </w:tc>
        <w:tc>
          <w:tcPr>
            <w:tcW w:w="5013" w:type="dxa"/>
            <w:noWrap w:val="0"/>
            <w:vAlign w:val="top"/>
          </w:tcPr>
          <w:p>
            <w:pPr>
              <w:keepNext w:val="0"/>
              <w:keepLines w:val="0"/>
              <w:pageBreakBefore w:val="0"/>
              <w:widowControl/>
              <w:kinsoku/>
              <w:wordWrap w:val="0"/>
              <w:overflowPunct/>
              <w:topLinePunct w:val="0"/>
              <w:autoSpaceDE/>
              <w:autoSpaceDN/>
              <w:bidi w:val="0"/>
              <w:adjustRightInd/>
              <w:snapToGrid/>
              <w:spacing w:before="100" w:beforeAutospacing="1" w:afterAutospacing="0" w:line="360" w:lineRule="auto"/>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查询渠道：通过“信用中国”（www.creditchina.gov.cn，下载信用信息报告）、“中国政府采购网”（www.ccgp.gov.cn）以及“深圳市政府采购监管网”（http://zfcg.sz.gov.cn）查询供应商信用信息，信用信息以开标当日的查询结果为准。</w:t>
            </w:r>
          </w:p>
        </w:tc>
      </w:tr>
    </w:tbl>
    <w:p>
      <w:pPr>
        <w:widowControl w:val="0"/>
        <w:jc w:val="both"/>
        <w:rPr>
          <w:rFonts w:ascii="Calibri" w:eastAsia="宋体" w:hAnsi="Calibri"/>
          <w:kern w:val="2"/>
          <w:sz w:val="21"/>
          <w:szCs w:val="22"/>
          <w:lang w:eastAsia="zh-CN"/>
        </w:rPr>
      </w:pPr>
    </w:p>
    <w:p>
      <w:pPr>
        <w:widowControl w:val="0"/>
        <w:jc w:val="both"/>
        <w:rPr>
          <w:rFonts w:ascii="Calibri" w:eastAsia="宋体" w:hAnsi="Calibri" w:hint="eastAsia"/>
          <w:b/>
          <w:kern w:val="2"/>
          <w:sz w:val="120"/>
          <w:szCs w:val="120"/>
          <w:lang w:eastAsia="zh-CN"/>
        </w:rPr>
      </w:pPr>
      <w:r>
        <w:rPr>
          <w:rFonts w:ascii="Calibri" w:eastAsia="宋体" w:hAnsi="Calibri" w:hint="eastAsia"/>
          <w:b/>
          <w:kern w:val="2"/>
          <w:sz w:val="120"/>
          <w:szCs w:val="120"/>
          <w:lang w:eastAsia="zh-CN"/>
        </w:rPr>
        <w:br w:type="page"/>
      </w:r>
    </w:p>
    <w:p>
      <w:pPr>
        <w:widowControl w:val="0"/>
        <w:jc w:val="both"/>
        <w:rPr>
          <w:rFonts w:ascii="Calibri" w:eastAsia="宋体" w:hAnsi="Calibri" w:hint="eastAsia"/>
          <w:kern w:val="2"/>
          <w:sz w:val="21"/>
          <w:szCs w:val="22"/>
          <w:lang w:eastAsia="zh-CN"/>
        </w:rPr>
      </w:pPr>
    </w:p>
    <w:p>
      <w:pPr>
        <w:widowControl w:val="0"/>
        <w:spacing w:line="360" w:lineRule="auto"/>
        <w:jc w:val="both"/>
        <w:rPr>
          <w:rFonts w:ascii="Calibri" w:eastAsia="宋体" w:hAnsi="Calibri" w:hint="eastAsia"/>
          <w:b/>
          <w:bCs/>
          <w:kern w:val="2"/>
          <w:sz w:val="120"/>
          <w:szCs w:val="120"/>
          <w:lang w:eastAsia="zh-CN"/>
        </w:rPr>
      </w:pPr>
    </w:p>
    <w:p>
      <w:pPr>
        <w:widowControl w:val="0"/>
        <w:jc w:val="center"/>
        <w:rPr>
          <w:rFonts w:ascii="Calibri" w:eastAsia="宋体" w:hAnsi="Calibri"/>
          <w:b/>
          <w:kern w:val="2"/>
          <w:sz w:val="120"/>
          <w:szCs w:val="120"/>
          <w:lang w:eastAsia="zh-CN"/>
        </w:rPr>
      </w:pPr>
      <w:r>
        <w:rPr>
          <w:rFonts w:ascii="Calibri" w:eastAsia="宋体" w:hAnsi="Calibri" w:cs="Times New Roman" w:hint="eastAsia"/>
          <w:b/>
          <w:kern w:val="2"/>
          <w:sz w:val="120"/>
          <w:szCs w:val="120"/>
          <w:lang w:eastAsia="zh-CN"/>
        </w:rPr>
        <w:t>自行采购</w:t>
      </w:r>
    </w:p>
    <w:p>
      <w:pPr>
        <w:widowControl w:val="0"/>
        <w:jc w:val="center"/>
        <w:rPr>
          <w:rFonts w:ascii="Calibri" w:eastAsia="宋体" w:hAnsi="Calibri"/>
          <w:b/>
          <w:kern w:val="2"/>
          <w:sz w:val="120"/>
          <w:szCs w:val="120"/>
          <w:lang w:eastAsia="zh-CN"/>
        </w:rPr>
      </w:pPr>
      <w:r>
        <w:rPr>
          <w:rFonts w:ascii="Calibri" w:eastAsia="宋体" w:hAnsi="Calibri" w:cs="Times New Roman" w:hint="eastAsia"/>
          <w:b/>
          <w:kern w:val="2"/>
          <w:sz w:val="120"/>
          <w:szCs w:val="120"/>
          <w:lang w:eastAsia="zh-CN"/>
        </w:rPr>
        <w:t>招标文件</w:t>
      </w:r>
    </w:p>
    <w:p>
      <w:pPr>
        <w:widowControl w:val="0"/>
        <w:jc w:val="center"/>
        <w:rPr>
          <w:rFonts w:ascii="Calibri" w:eastAsia="宋体" w:hAnsi="Calibri"/>
          <w:b/>
          <w:kern w:val="2"/>
          <w:sz w:val="52"/>
          <w:szCs w:val="52"/>
          <w:lang w:eastAsia="zh-CN"/>
        </w:rPr>
      </w:pPr>
      <w:r>
        <w:rPr>
          <w:rFonts w:ascii="Calibri" w:eastAsia="宋体" w:hAnsi="Calibri" w:cs="Times New Roman" w:hint="eastAsia"/>
          <w:b/>
          <w:kern w:val="2"/>
          <w:sz w:val="52"/>
          <w:szCs w:val="52"/>
          <w:lang w:eastAsia="zh-CN"/>
        </w:rPr>
        <w:t>（货物类）</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center"/>
        <w:rPr>
          <w:rFonts w:ascii="Calibri" w:eastAsia="宋体" w:hAnsi="Calibri"/>
          <w:b/>
          <w:kern w:val="2"/>
          <w:sz w:val="44"/>
          <w:szCs w:val="44"/>
          <w:lang w:eastAsia="zh-CN"/>
        </w:rPr>
      </w:pPr>
      <w:r>
        <w:rPr>
          <w:rFonts w:ascii="宋体" w:eastAsia="宋体" w:hAnsi="宋体" w:cs="Times New Roman" w:hint="eastAsia"/>
          <w:b/>
          <w:kern w:val="2"/>
          <w:sz w:val="44"/>
          <w:szCs w:val="44"/>
          <w:lang w:eastAsia="zh-CN"/>
        </w:rPr>
        <w:t>深圳公共资源交易中心</w:t>
      </w:r>
    </w:p>
    <w:p>
      <w:pPr>
        <w:widowControl w:val="0"/>
        <w:jc w:val="center"/>
        <w:rPr>
          <w:rFonts w:ascii="Calibri" w:eastAsia="宋体" w:hAnsi="Calibri"/>
          <w:b/>
          <w:kern w:val="2"/>
          <w:sz w:val="44"/>
          <w:szCs w:val="44"/>
          <w:lang w:eastAsia="zh-CN"/>
        </w:rPr>
      </w:pPr>
      <w:r>
        <w:rPr>
          <w:rFonts w:ascii="宋体" w:eastAsia="宋体" w:hAnsi="宋体" w:cs="Times New Roman" w:hint="eastAsia"/>
          <w:b/>
          <w:kern w:val="2"/>
          <w:sz w:val="44"/>
          <w:szCs w:val="44"/>
          <w:lang w:eastAsia="zh-CN"/>
        </w:rPr>
        <w:t>（</w:t>
      </w:r>
      <w:r>
        <w:rPr>
          <w:rFonts w:ascii="Calibri" w:eastAsia="宋体" w:hAnsi="Calibri" w:cs="Times New Roman"/>
          <w:b/>
          <w:kern w:val="2"/>
          <w:sz w:val="44"/>
          <w:szCs w:val="44"/>
          <w:lang w:eastAsia="zh-CN"/>
        </w:rPr>
        <w:t>20</w:t>
      </w:r>
      <w:r>
        <w:rPr>
          <w:rFonts w:ascii="Calibri" w:eastAsia="宋体" w:hAnsi="Calibri" w:cs="Times New Roman" w:hint="eastAsia"/>
          <w:b/>
          <w:kern w:val="2"/>
          <w:sz w:val="44"/>
          <w:szCs w:val="44"/>
          <w:lang w:eastAsia="zh-CN"/>
        </w:rPr>
        <w:t>25</w:t>
      </w:r>
      <w:r>
        <w:rPr>
          <w:rFonts w:ascii="宋体" w:eastAsia="宋体" w:hAnsi="宋体" w:cs="Times New Roman" w:hint="eastAsia"/>
          <w:b/>
          <w:kern w:val="2"/>
          <w:sz w:val="44"/>
          <w:szCs w:val="44"/>
          <w:lang w:eastAsia="zh-CN"/>
        </w:rPr>
        <w:t>）</w:t>
      </w:r>
    </w:p>
    <w:p>
      <w:pPr>
        <w:widowControl w:val="0"/>
        <w:ind w:firstLine="6760" w:firstLineChars="1300"/>
        <w:jc w:val="center"/>
        <w:rPr>
          <w:rFonts w:ascii="Calibri" w:eastAsia="宋体" w:hAnsi="Calibri"/>
          <w:bCs/>
          <w:color w:val="FF0000"/>
          <w:kern w:val="2"/>
          <w:sz w:val="21"/>
          <w:szCs w:val="22"/>
          <w:lang w:eastAsia="zh-CN"/>
        </w:rPr>
      </w:pPr>
      <w:r>
        <w:rPr>
          <w:rFonts w:ascii="Calibri" w:eastAsia="宋体" w:hAnsi="Calibri" w:cs="Times New Roman" w:hint="eastAsia"/>
          <w:b/>
          <w:color w:val="FF0000"/>
          <w:kern w:val="2"/>
          <w:sz w:val="52"/>
          <w:szCs w:val="52"/>
          <w:lang w:eastAsia="zh-CN"/>
        </w:rPr>
        <w:br w:type="page"/>
      </w:r>
    </w:p>
    <w:p>
      <w:pPr>
        <w:widowControl w:val="0"/>
        <w:snapToGrid w:val="0"/>
        <w:spacing w:line="360" w:lineRule="exact"/>
        <w:jc w:val="left"/>
        <w:rPr>
          <w:rFonts w:ascii="宋体" w:eastAsia="宋体" w:hAnsi="宋体" w:cs="宋体" w:hint="eastAsia"/>
          <w:color w:val="000000"/>
          <w:lang w:eastAsia="zh-CN"/>
        </w:rPr>
      </w:pPr>
    </w:p>
    <w:p>
      <w:pPr>
        <w:widowControl w:val="0"/>
        <w:snapToGrid w:val="0"/>
        <w:spacing w:line="360" w:lineRule="exact"/>
        <w:jc w:val="left"/>
        <w:rPr>
          <w:rFonts w:ascii="宋体" w:eastAsia="宋体" w:hAnsi="宋体" w:cs="宋体" w:hint="eastAsia"/>
          <w:color w:val="000000"/>
          <w:lang w:eastAsia="zh-CN"/>
        </w:rPr>
      </w:pPr>
    </w:p>
    <w:p>
      <w:pPr>
        <w:widowControl w:val="0"/>
        <w:snapToGrid w:val="0"/>
        <w:spacing w:line="360" w:lineRule="exact"/>
        <w:jc w:val="left"/>
        <w:rPr>
          <w:rFonts w:ascii="宋体" w:eastAsia="宋体" w:hAnsi="宋体" w:cs="宋体" w:hint="eastAsia"/>
          <w:color w:val="000000"/>
          <w:lang w:eastAsia="zh-CN"/>
        </w:rPr>
      </w:pPr>
    </w:p>
    <w:p>
      <w:pPr>
        <w:widowControl w:val="0"/>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目   录</w:t>
      </w:r>
    </w:p>
    <w:p>
      <w:pPr>
        <w:widowControl w:val="0"/>
        <w:jc w:val="both"/>
        <w:rPr>
          <w:rFonts w:ascii="Calibri" w:eastAsia="宋体" w:hAnsi="Calibri"/>
          <w:b/>
          <w:kern w:val="2"/>
          <w:lang w:eastAsia="zh-CN"/>
        </w:rPr>
      </w:pPr>
      <w:r>
        <w:rPr>
          <w:rFonts w:ascii="Calibri" w:eastAsia="宋体" w:hAnsi="Calibri" w:cs="Times New Roman" w:hint="eastAsia"/>
          <w:b/>
          <w:kern w:val="2"/>
          <w:lang w:eastAsia="zh-CN"/>
        </w:rPr>
        <w:t>第一册  专用条款</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关键信息</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第一章  招标公告</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第二章  对通用条款的补充内容及其他关键信息</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 xml:space="preserve">第三章 </w:t>
      </w:r>
      <w:r>
        <w:rPr>
          <w:rFonts w:ascii="宋体" w:eastAsia="宋体" w:hAnsi="宋体" w:cs="Times New Roman"/>
          <w:kern w:val="2"/>
          <w:sz w:val="21"/>
          <w:szCs w:val="21"/>
          <w:lang w:eastAsia="zh-CN"/>
        </w:rPr>
        <w:t xml:space="preserve"> </w:t>
      </w:r>
      <w:r>
        <w:rPr>
          <w:rFonts w:ascii="宋体" w:eastAsia="宋体" w:hAnsi="宋体" w:cs="Times New Roman" w:hint="eastAsia"/>
          <w:kern w:val="2"/>
          <w:sz w:val="21"/>
          <w:szCs w:val="21"/>
          <w:lang w:eastAsia="zh-CN"/>
        </w:rPr>
        <w:t>用户需求书</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 xml:space="preserve">第四章 </w:t>
      </w:r>
      <w:r>
        <w:rPr>
          <w:rFonts w:ascii="宋体" w:eastAsia="宋体" w:hAnsi="宋体" w:cs="Times New Roman"/>
          <w:kern w:val="2"/>
          <w:sz w:val="21"/>
          <w:szCs w:val="21"/>
          <w:lang w:eastAsia="zh-CN"/>
        </w:rPr>
        <w:t xml:space="preserve"> </w:t>
      </w:r>
      <w:r>
        <w:rPr>
          <w:rFonts w:ascii="宋体" w:eastAsia="宋体" w:hAnsi="宋体" w:cs="Times New Roman" w:hint="eastAsia"/>
          <w:kern w:val="2"/>
          <w:sz w:val="21"/>
          <w:szCs w:val="21"/>
          <w:lang w:eastAsia="zh-CN"/>
        </w:rPr>
        <w:t>投标文件组成要求及格式</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第五章  合同条款及格式</w:t>
      </w:r>
    </w:p>
    <w:p>
      <w:pPr>
        <w:widowControl w:val="0"/>
        <w:jc w:val="both"/>
        <w:rPr>
          <w:rFonts w:ascii="Calibri" w:eastAsia="宋体" w:hAnsi="Calibri"/>
          <w:b/>
          <w:kern w:val="2"/>
          <w:szCs w:val="22"/>
          <w:lang w:eastAsia="zh-CN"/>
        </w:rPr>
      </w:pPr>
    </w:p>
    <w:p>
      <w:pPr>
        <w:widowControl w:val="0"/>
        <w:jc w:val="both"/>
        <w:rPr>
          <w:rFonts w:ascii="Calibri" w:eastAsia="宋体" w:hAnsi="Calibri"/>
          <w:b/>
          <w:kern w:val="2"/>
          <w:lang w:eastAsia="zh-CN"/>
        </w:rPr>
      </w:pPr>
      <w:r>
        <w:rPr>
          <w:rFonts w:ascii="Calibri" w:eastAsia="宋体" w:hAnsi="Calibri" w:cs="Times New Roman" w:hint="eastAsia"/>
          <w:b/>
          <w:kern w:val="2"/>
          <w:lang w:eastAsia="zh-CN"/>
        </w:rPr>
        <w:t>第二册  通用条款</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第一章  总则</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第二章  招标文件</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第三章  投标文件的编制</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第四章  投标文件的递交</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第五章  开标</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第六章  评审要求</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第七章  评审程序及评审方法</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第八章  定标及公示</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第九章  公开招标失败的后续处理</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第十章  合同的授予与备案</w:t>
      </w:r>
    </w:p>
    <w:p>
      <w:pPr>
        <w:widowControl w:val="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 xml:space="preserve">                        第十一章  质疑处理</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r>
        <w:rPr>
          <w:rFonts w:ascii="Calibri" w:eastAsia="宋体" w:hAnsi="Calibri" w:cs="Times New Roman"/>
          <w:kern w:val="2"/>
          <w:sz w:val="21"/>
          <w:szCs w:val="22"/>
          <w:lang w:eastAsia="zh-CN"/>
        </w:rPr>
        <w:br w:type="page"/>
      </w:r>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第一册  专用条款</w:t>
      </w:r>
    </w:p>
    <w:p>
      <w:pPr>
        <w:keepNext/>
        <w:keepLines/>
        <w:widowControl w:val="0"/>
        <w:adjustRightInd w:val="0"/>
        <w:spacing w:before="260" w:after="260"/>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第一章  招标公告</w:t>
      </w:r>
    </w:p>
    <w:p>
      <w:pPr>
        <w:widowControl w:val="0"/>
        <w:spacing w:line="360" w:lineRule="auto"/>
        <w:jc w:val="both"/>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申请人的资格要求：</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w:t>
      </w:r>
      <w:r>
        <w:rPr>
          <w:rFonts w:ascii="宋体" w:eastAsia="宋体" w:hAnsi="宋体" w:cs="宋体"/>
          <w:sz w:val="21"/>
          <w:szCs w:val="21"/>
          <w:lang w:eastAsia="zh-CN"/>
        </w:rPr>
        <w:t>.</w:t>
      </w:r>
      <w:r>
        <w:rPr>
          <w:rFonts w:ascii="宋体" w:eastAsia="宋体" w:hAnsi="宋体" w:cs="宋体" w:hint="eastAsia"/>
          <w:kern w:val="2"/>
          <w:sz w:val="21"/>
          <w:szCs w:val="21"/>
          <w:lang w:eastAsia="zh-CN"/>
        </w:rPr>
        <w:t>具有独立承担民事责任的能力（提供营业执照或事业单位法人证书等证明资料扫描件，原件备查，分公司参与投标的，须提供分公司营业执照、其所属集团(或总公司)等具有独立法人资格的组织的营业执照及其出具的载明愿为其参与本项目投标的行为以及履约等行为承担民事责任的加盖总公司公章的授权函）；</w:t>
      </w:r>
    </w:p>
    <w:p>
      <w:pPr>
        <w:keepNext w:val="0"/>
        <w:keepLines w:val="0"/>
        <w:pageBreakBefore w:val="0"/>
        <w:widowControl w:val="0"/>
        <w:numPr>
          <w:ilvl w:val="0"/>
          <w:numId w:val="0"/>
        </w:numPr>
        <w:kinsoku/>
        <w:wordWrap/>
        <w:overflowPunct/>
        <w:topLinePunct w:val="0"/>
        <w:autoSpaceDE/>
        <w:autoSpaceDN/>
        <w:bidi w:val="0"/>
        <w:adjustRightInd/>
        <w:snapToGrid/>
        <w:ind w:left="0" w:firstLine="630" w:firstLineChars="300"/>
        <w:jc w:val="both"/>
        <w:textAlignment w:val="auto"/>
        <w:rPr>
          <w:rFonts w:ascii="宋体" w:eastAsia="宋体" w:hAnsi="宋体" w:cs="宋体"/>
          <w:kern w:val="2"/>
          <w:sz w:val="21"/>
          <w:szCs w:val="21"/>
          <w:lang w:eastAsia="zh-CN"/>
        </w:rPr>
      </w:pPr>
      <w:r>
        <w:rPr>
          <w:rFonts w:ascii="宋体" w:eastAsia="宋体" w:hAnsi="宋体" w:cs="宋体" w:hint="eastAsia"/>
          <w:color w:val="FF0000"/>
          <w:sz w:val="21"/>
          <w:szCs w:val="21"/>
          <w:lang w:eastAsia="zh-CN"/>
        </w:rPr>
        <w:t>2.</w:t>
      </w:r>
      <w:bookmarkStart w:id="1" w:name="OLE_LINK9"/>
      <w:r>
        <w:rPr>
          <w:rFonts w:ascii="宋体" w:eastAsia="宋体" w:hAnsi="宋体" w:cs="宋体" w:hint="eastAsia"/>
          <w:color w:val="FF0000"/>
          <w:sz w:val="21"/>
          <w:szCs w:val="21"/>
          <w:lang w:eastAsia="zh-CN"/>
        </w:rPr>
        <w:t>本项</w:t>
      </w:r>
      <w:bookmarkStart w:id="2" w:name="OLE_LINK8"/>
      <w:r>
        <w:rPr>
          <w:rFonts w:ascii="宋体" w:eastAsia="宋体" w:hAnsi="宋体" w:cs="宋体" w:hint="eastAsia"/>
          <w:color w:val="FF0000"/>
          <w:sz w:val="21"/>
          <w:szCs w:val="21"/>
          <w:lang w:eastAsia="zh-CN"/>
        </w:rPr>
        <w:t>目不接受联合体投标</w:t>
      </w:r>
      <w:bookmarkEnd w:id="2"/>
      <w:r>
        <w:rPr>
          <w:rFonts w:ascii="宋体" w:eastAsia="宋体" w:hAnsi="宋体" w:cs="宋体" w:hint="eastAsia"/>
          <w:color w:val="FF0000"/>
          <w:sz w:val="21"/>
          <w:szCs w:val="21"/>
          <w:lang w:eastAsia="zh-CN"/>
        </w:rPr>
        <w:t>，</w:t>
      </w:r>
      <w:bookmarkStart w:id="3" w:name="OLE_LINK7"/>
      <w:r>
        <w:rPr>
          <w:rFonts w:ascii="宋体" w:eastAsia="宋体" w:hAnsi="宋体" w:cs="宋体" w:hint="eastAsia"/>
          <w:color w:val="FF0000"/>
          <w:sz w:val="21"/>
          <w:szCs w:val="21"/>
          <w:lang w:eastAsia="zh-CN"/>
        </w:rPr>
        <w:t>不接受投标人选用进口产品参与投标，详见招标文件“第三章 用户需求书”</w:t>
      </w:r>
      <w:bookmarkEnd w:id="3"/>
      <w:r>
        <w:rPr>
          <w:rFonts w:ascii="宋体" w:eastAsia="宋体" w:hAnsi="宋体" w:cs="宋体" w:hint="eastAsia"/>
          <w:color w:val="FF0000"/>
          <w:sz w:val="21"/>
          <w:szCs w:val="21"/>
          <w:lang w:eastAsia="zh-CN"/>
        </w:rPr>
        <w:t>；</w:t>
      </w:r>
      <w:bookmarkEnd w:id="1"/>
    </w:p>
    <w:p>
      <w:pPr>
        <w:widowControl w:val="0"/>
        <w:ind w:firstLine="630" w:firstLineChars="300"/>
        <w:jc w:val="both"/>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w:t>
      </w:r>
      <w:r>
        <w:rPr>
          <w:rFonts w:ascii="宋体" w:eastAsia="宋体" w:hAnsi="宋体" w:cs="宋体" w:hint="eastAsia"/>
          <w:sz w:val="21"/>
          <w:szCs w:val="21"/>
          <w:lang w:eastAsia="zh-CN"/>
        </w:rPr>
        <w:t>参与本项目政府采购活动时不存在被有关部门禁止参与政府采购活动且在有效期内的情况（由供应商在《政府采购投标及履约承诺函》中作出声明）；</w:t>
      </w:r>
    </w:p>
    <w:p>
      <w:pPr>
        <w:widowControl w:val="0"/>
        <w:ind w:firstLine="630" w:firstLineChars="300"/>
        <w:jc w:val="both"/>
        <w:rPr>
          <w:rFonts w:ascii="宋体" w:eastAsia="宋体" w:hAnsi="宋体" w:cs="宋体"/>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具备《中华人民共和国政府采购法》第二十二条第一款的条件（由供应商在《政府采购投标及履约承诺函》中作出声明）；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w:t>
      </w:r>
      <w:r>
        <w:rPr>
          <w:rFonts w:ascii="宋体" w:eastAsia="宋体" w:hAnsi="宋体" w:cs="宋体"/>
          <w:sz w:val="21"/>
          <w:szCs w:val="21"/>
          <w:lang w:eastAsia="zh-CN"/>
        </w:rPr>
        <w:t>.</w:t>
      </w:r>
      <w:r>
        <w:rPr>
          <w:rFonts w:ascii="宋体" w:eastAsia="宋体" w:hAnsi="宋体" w:cs="宋体" w:hint="eastAsia"/>
          <w:sz w:val="21"/>
          <w:szCs w:val="21"/>
          <w:lang w:eastAsia="zh-CN"/>
        </w:rPr>
        <w:t>未被列入失信被执行人、重大税收违法案件当事人名单、政府采购严重违法失信行为记录名单（由供应商在《政府采购投标及履约承诺函》中作出声明）；</w:t>
      </w:r>
    </w:p>
    <w:p>
      <w:pPr>
        <w:widowControl w:val="0"/>
        <w:ind w:firstLine="630" w:firstLineChars="300"/>
        <w:jc w:val="both"/>
        <w:rPr>
          <w:rFonts w:ascii="宋体" w:eastAsia="宋体" w:hAnsi="宋体" w:cs="宋体"/>
          <w:color w:val="FF0000"/>
          <w:sz w:val="21"/>
          <w:szCs w:val="21"/>
          <w:lang w:eastAsia="zh-CN"/>
        </w:rPr>
      </w:pPr>
      <w:r>
        <w:rPr>
          <w:rFonts w:ascii="宋体" w:eastAsia="宋体" w:hAnsi="宋体" w:cs="宋体" w:hint="eastAsia"/>
          <w:color w:val="FF0000"/>
          <w:sz w:val="21"/>
          <w:szCs w:val="21"/>
          <w:lang w:eastAsia="zh-CN"/>
        </w:rPr>
        <w:t>6.不存在《深圳市财政局政府采购供应商信用信息管理办法》（深财规〔2023〕3号）列明的严重违法失信行为（由供应商在《政府采购投标及履约承诺函》中作出声明）；;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7.为采购项目提供整体设计、规范编制或者项目管理、监理、检测等服务的供应商，不得再参加该采购项目的其他采购活动（由供应商在《政府采购投标及履约承诺函》中作出声明）；</w:t>
      </w:r>
    </w:p>
    <w:p>
      <w:pPr>
        <w:widowControl w:val="0"/>
        <w:ind w:firstLine="630" w:firstLineChars="300"/>
        <w:jc w:val="both"/>
        <w:rPr>
          <w:rFonts w:ascii="宋体" w:eastAsia="宋体" w:hAnsi="宋体" w:cs="宋体" w:hint="eastAsia"/>
          <w:sz w:val="21"/>
          <w:szCs w:val="21"/>
          <w:highlight w:val="yellow"/>
          <w:lang w:eastAsia="zh-CN"/>
        </w:rPr>
      </w:pPr>
      <w:r>
        <w:rPr>
          <w:rFonts w:ascii="宋体" w:eastAsia="宋体" w:hAnsi="宋体" w:cs="宋体" w:hint="eastAsia"/>
          <w:sz w:val="21"/>
          <w:szCs w:val="21"/>
          <w:highlight w:val="yellow"/>
          <w:lang w:eastAsia="zh-C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pPr>
        <w:widowControl w:val="0"/>
        <w:ind w:firstLine="630" w:firstLineChars="300"/>
        <w:jc w:val="both"/>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9.本项目是（否）专门面向中小企业采购：否</w:t>
      </w:r>
    </w:p>
    <w:p>
      <w:pPr>
        <w:widowControl w:val="0"/>
        <w:wordWrap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widowControl w:val="0"/>
        <w:ind w:firstLine="420" w:firstLineChars="200"/>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（2）供应商投标（上传投标文件）必须先行办理注册手续，具体请按照本公告“六、其他补充事宜</w:t>
      </w:r>
      <w:r>
        <w:rPr>
          <w:rFonts w:ascii="宋体" w:eastAsia="宋体" w:hAnsi="宋体" w:cs="Times New Roman"/>
          <w:kern w:val="2"/>
          <w:sz w:val="21"/>
          <w:szCs w:val="22"/>
          <w:lang w:eastAsia="zh-CN"/>
        </w:rPr>
        <w:t>”</w:t>
      </w:r>
      <w:r>
        <w:rPr>
          <w:rFonts w:ascii="宋体" w:eastAsia="宋体" w:hAnsi="宋体" w:cs="Times New Roman" w:hint="eastAsia"/>
          <w:kern w:val="2"/>
          <w:sz w:val="21"/>
          <w:szCs w:val="22"/>
          <w:lang w:eastAsia="zh-CN"/>
        </w:rPr>
        <w:t>相关内容指引办理。</w:t>
      </w:r>
    </w:p>
    <w:p>
      <w:pPr>
        <w:widowControl w:val="0"/>
        <w:snapToGrid w:val="0"/>
        <w:spacing w:line="300" w:lineRule="auto"/>
        <w:ind w:firstLine="480" w:firstLineChars="200"/>
        <w:jc w:val="both"/>
        <w:rPr>
          <w:rFonts w:ascii="Arial" w:eastAsia="宋体" w:hAnsi="Arial"/>
          <w:kern w:val="2"/>
          <w:lang w:eastAsia="zh-CN"/>
        </w:rPr>
      </w:pPr>
    </w:p>
    <w:p>
      <w:pPr>
        <w:widowControl w:val="0"/>
        <w:spacing w:after="60" w:afterLines="25"/>
        <w:jc w:val="center"/>
        <w:rPr>
          <w:rFonts w:ascii="Calibri" w:eastAsia="宋体" w:hAnsi="Calibri"/>
          <w:b/>
          <w:color w:val="FF0000"/>
          <w:kern w:val="2"/>
          <w:sz w:val="30"/>
          <w:szCs w:val="30"/>
          <w:lang w:eastAsia="zh-CN"/>
        </w:rPr>
      </w:pPr>
      <w:r>
        <w:rPr>
          <w:rFonts w:ascii="Arial" w:eastAsia="宋体" w:hAnsi="Arial" w:hint="eastAsia"/>
          <w:b/>
          <w:color w:val="FF0000"/>
          <w:kern w:val="2"/>
          <w:sz w:val="30"/>
          <w:szCs w:val="30"/>
          <w:lang w:eastAsia="zh-CN"/>
        </w:rPr>
        <w:t>完整公告内容以网站公布信息为准，详见：深圳政府采购自行采购系统</w:t>
      </w:r>
      <w:r>
        <w:rPr>
          <w:rFonts w:ascii="Calibri" w:eastAsia="宋体" w:hAnsi="Calibri" w:cs="Times New Roman" w:hint="eastAsia"/>
          <w:b/>
          <w:color w:val="FF0000"/>
          <w:kern w:val="2"/>
          <w:sz w:val="30"/>
          <w:szCs w:val="30"/>
          <w:lang w:eastAsia="zh-CN"/>
        </w:rPr>
        <w:t>网（https://zxcg.szggzy.com/home/index.html）</w:t>
      </w:r>
    </w:p>
    <w:p>
      <w:pPr>
        <w:widowControl w:val="0"/>
        <w:spacing w:after="60" w:afterLines="25"/>
        <w:jc w:val="both"/>
        <w:rPr>
          <w:rFonts w:ascii="Arial" w:eastAsia="宋体" w:hAnsi="Arial"/>
          <w:b/>
          <w:color w:val="FF0000"/>
          <w:kern w:val="2"/>
          <w:sz w:val="30"/>
          <w:szCs w:val="30"/>
          <w:lang w:eastAsia="zh-CN"/>
        </w:rPr>
      </w:pPr>
    </w:p>
    <w:p>
      <w:pPr>
        <w:keepNext/>
        <w:keepLines/>
        <w:widowControl w:val="0"/>
        <w:spacing w:before="260" w:after="260" w:line="416" w:lineRule="auto"/>
        <w:jc w:val="center"/>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 xml:space="preserve">第二章 </w:t>
      </w:r>
      <w:bookmarkStart w:id="4" w:name="_Hlk71926094"/>
      <w:r>
        <w:rPr>
          <w:rFonts w:ascii="宋体" w:eastAsia="宋体" w:hAnsi="宋体" w:hint="eastAsia"/>
          <w:b/>
          <w:bCs/>
          <w:sz w:val="28"/>
          <w:szCs w:val="28"/>
          <w:lang w:eastAsia="zh-CN"/>
        </w:rPr>
        <w:t>对通用条款的补充内容及其他关键信息</w:t>
      </w:r>
      <w:bookmarkEnd w:id="4"/>
    </w:p>
    <w:p>
      <w:pPr>
        <w:keepNext/>
        <w:keepLines/>
        <w:widowControl w:val="0"/>
        <w:adjustRightInd w:val="0"/>
        <w:spacing w:before="120" w:beforeLines="50" w:after="120" w:afterLines="50"/>
        <w:jc w:val="center"/>
        <w:textAlignment w:val="baseline"/>
        <w:outlineLvl w:val="2"/>
        <w:rPr>
          <w:rFonts w:ascii="宋体" w:eastAsia="宋体" w:hAnsi="宋体" w:hint="eastAsia"/>
          <w:b/>
          <w:bCs/>
          <w:lang w:eastAsia="zh-CN"/>
        </w:rPr>
      </w:pPr>
      <w:bookmarkStart w:id="5" w:name="_Toc73521547"/>
      <w:bookmarkStart w:id="6" w:name="_Toc60560625"/>
      <w:bookmarkStart w:id="7" w:name="_Toc73521635"/>
      <w:bookmarkStart w:id="8" w:name="_Toc73517639"/>
      <w:bookmarkStart w:id="9" w:name="_Toc101074876"/>
      <w:bookmarkStart w:id="10" w:name="_Toc100052364"/>
      <w:bookmarkStart w:id="11" w:name="_Toc73518117"/>
      <w:bookmarkStart w:id="12" w:name="_Toc60631620"/>
      <w:r>
        <w:rPr>
          <w:rFonts w:ascii="宋体" w:eastAsia="宋体" w:hAnsi="宋体" w:hint="eastAsia"/>
          <w:b/>
          <w:bCs/>
          <w:lang w:eastAsia="zh-CN"/>
        </w:rPr>
        <w:t>一、对通用条款的补充内容</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22"/>
        <w:gridCol w:w="1639"/>
        <w:gridCol w:w="629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hint="eastAsia"/>
                <w:b/>
                <w:bCs/>
                <w:kern w:val="2"/>
                <w:sz w:val="21"/>
                <w:szCs w:val="22"/>
                <w:lang w:eastAsia="zh-CN"/>
              </w:rPr>
            </w:pPr>
            <w:r>
              <w:rPr>
                <w:rFonts w:ascii="宋体" w:eastAsia="宋体" w:hAnsi="宋体" w:cs="Times New Roman" w:hint="eastAsia"/>
                <w:b/>
                <w:bCs/>
                <w:kern w:val="2"/>
                <w:sz w:val="21"/>
                <w:szCs w:val="22"/>
                <w:lang w:eastAsia="zh-CN"/>
              </w:rPr>
              <w:t>通用条款序号</w:t>
            </w:r>
          </w:p>
        </w:tc>
        <w:tc>
          <w:tcPr>
            <w:tcW w:w="1755" w:type="dxa"/>
            <w:noWrap w:val="0"/>
            <w:vAlign w:val="center"/>
          </w:tcPr>
          <w:p>
            <w:pPr>
              <w:widowControl w:val="0"/>
              <w:jc w:val="center"/>
              <w:rPr>
                <w:rFonts w:ascii="宋体" w:eastAsia="宋体" w:hAnsi="宋体" w:hint="eastAsia"/>
                <w:b/>
                <w:bCs/>
                <w:kern w:val="2"/>
                <w:sz w:val="21"/>
                <w:szCs w:val="22"/>
                <w:lang w:eastAsia="zh-CN"/>
              </w:rPr>
            </w:pPr>
            <w:r>
              <w:rPr>
                <w:rFonts w:ascii="宋体" w:eastAsia="宋体" w:hAnsi="宋体" w:cs="Times New Roman" w:hint="eastAsia"/>
                <w:b/>
                <w:bCs/>
                <w:kern w:val="2"/>
                <w:sz w:val="21"/>
                <w:szCs w:val="22"/>
                <w:lang w:eastAsia="zh-CN"/>
              </w:rPr>
              <w:t>涉及事项</w:t>
            </w:r>
          </w:p>
        </w:tc>
        <w:tc>
          <w:tcPr>
            <w:tcW w:w="6795" w:type="dxa"/>
            <w:noWrap w:val="0"/>
            <w:vAlign w:val="center"/>
          </w:tcPr>
          <w:p>
            <w:pPr>
              <w:widowControl w:val="0"/>
              <w:jc w:val="center"/>
              <w:rPr>
                <w:rFonts w:ascii="宋体" w:eastAsia="宋体" w:hAnsi="宋体" w:hint="eastAsia"/>
                <w:b/>
                <w:bCs/>
                <w:kern w:val="2"/>
                <w:sz w:val="21"/>
                <w:szCs w:val="22"/>
                <w:lang w:eastAsia="zh-CN"/>
              </w:rPr>
            </w:pPr>
            <w:r>
              <w:rPr>
                <w:rFonts w:ascii="宋体" w:eastAsia="宋体" w:hAnsi="宋体" w:cs="Times New Roman" w:hint="eastAsia"/>
                <w:b/>
                <w:bCs/>
                <w:kern w:val="2"/>
                <w:sz w:val="21"/>
                <w:szCs w:val="22"/>
                <w:lang w:eastAsia="zh-CN"/>
              </w:rPr>
              <w:t xml:space="preserve">具 </w:t>
            </w:r>
            <w:r>
              <w:rPr>
                <w:rFonts w:ascii="宋体" w:eastAsia="宋体" w:hAnsi="宋体" w:cs="Times New Roman"/>
                <w:b/>
                <w:bCs/>
                <w:kern w:val="2"/>
                <w:sz w:val="21"/>
                <w:szCs w:val="22"/>
                <w:lang w:eastAsia="zh-CN"/>
              </w:rPr>
              <w:t xml:space="preserve"> </w:t>
            </w:r>
            <w:r>
              <w:rPr>
                <w:rFonts w:ascii="宋体" w:eastAsia="宋体" w:hAnsi="宋体" w:cs="Times New Roman" w:hint="eastAsia"/>
                <w:b/>
                <w:bCs/>
                <w:kern w:val="2"/>
                <w:sz w:val="21"/>
                <w:szCs w:val="22"/>
                <w:lang w:eastAsia="zh-CN"/>
              </w:rPr>
              <w:t xml:space="preserve">体 </w:t>
            </w:r>
            <w:r>
              <w:rPr>
                <w:rFonts w:ascii="宋体" w:eastAsia="宋体" w:hAnsi="宋体" w:cs="Times New Roman"/>
                <w:b/>
                <w:bCs/>
                <w:kern w:val="2"/>
                <w:sz w:val="21"/>
                <w:szCs w:val="22"/>
                <w:lang w:eastAsia="zh-CN"/>
              </w:rPr>
              <w:t xml:space="preserve"> </w:t>
            </w:r>
            <w:r>
              <w:rPr>
                <w:rFonts w:ascii="宋体" w:eastAsia="宋体" w:hAnsi="宋体" w:cs="Times New Roman" w:hint="eastAsia"/>
                <w:b/>
                <w:bCs/>
                <w:kern w:val="2"/>
                <w:sz w:val="21"/>
                <w:szCs w:val="22"/>
                <w:lang w:eastAsia="zh-CN"/>
              </w:rPr>
              <w:t xml:space="preserve">补 </w:t>
            </w:r>
            <w:r>
              <w:rPr>
                <w:rFonts w:ascii="宋体" w:eastAsia="宋体" w:hAnsi="宋体" w:cs="Times New Roman"/>
                <w:b/>
                <w:bCs/>
                <w:kern w:val="2"/>
                <w:sz w:val="21"/>
                <w:szCs w:val="22"/>
                <w:lang w:eastAsia="zh-CN"/>
              </w:rPr>
              <w:t xml:space="preserve"> </w:t>
            </w:r>
            <w:r>
              <w:rPr>
                <w:rFonts w:ascii="宋体" w:eastAsia="宋体" w:hAnsi="宋体" w:cs="Times New Roman" w:hint="eastAsia"/>
                <w:b/>
                <w:bCs/>
                <w:kern w:val="2"/>
                <w:sz w:val="21"/>
                <w:szCs w:val="22"/>
                <w:lang w:eastAsia="zh-CN"/>
              </w:rPr>
              <w:t xml:space="preserve">充 </w:t>
            </w:r>
            <w:r>
              <w:rPr>
                <w:rFonts w:ascii="宋体" w:eastAsia="宋体" w:hAnsi="宋体" w:cs="Times New Roman"/>
                <w:b/>
                <w:bCs/>
                <w:kern w:val="2"/>
                <w:sz w:val="21"/>
                <w:szCs w:val="22"/>
                <w:lang w:eastAsia="zh-CN"/>
              </w:rPr>
              <w:t xml:space="preserve"> </w:t>
            </w:r>
            <w:r>
              <w:rPr>
                <w:rFonts w:ascii="宋体" w:eastAsia="宋体" w:hAnsi="宋体" w:cs="Times New Roman" w:hint="eastAsia"/>
                <w:b/>
                <w:bCs/>
                <w:kern w:val="2"/>
                <w:sz w:val="21"/>
                <w:szCs w:val="22"/>
                <w:lang w:eastAsia="zh-CN"/>
              </w:rPr>
              <w:t xml:space="preserve">内 </w:t>
            </w:r>
            <w:r>
              <w:rPr>
                <w:rFonts w:ascii="宋体" w:eastAsia="宋体" w:hAnsi="宋体" w:cs="Times New Roman"/>
                <w:b/>
                <w:bCs/>
                <w:kern w:val="2"/>
                <w:sz w:val="21"/>
                <w:szCs w:val="22"/>
                <w:lang w:eastAsia="zh-CN"/>
              </w:rPr>
              <w:t xml:space="preserve"> </w:t>
            </w:r>
            <w:r>
              <w:rPr>
                <w:rFonts w:ascii="宋体" w:eastAsia="宋体" w:hAnsi="宋体" w:cs="Times New Roman" w:hint="eastAsia"/>
                <w:b/>
                <w:bCs/>
                <w:kern w:val="2"/>
                <w:sz w:val="21"/>
                <w:szCs w:val="22"/>
                <w:lang w:eastAsia="zh-CN"/>
              </w:rPr>
              <w:t>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w:t>
            </w:r>
            <w:r>
              <w:rPr>
                <w:rFonts w:ascii="宋体" w:eastAsia="宋体" w:hAnsi="宋体" w:cs="Times New Roman"/>
                <w:kern w:val="2"/>
                <w:sz w:val="21"/>
                <w:szCs w:val="22"/>
                <w:lang w:eastAsia="zh-CN"/>
              </w:rPr>
              <w:t>.1</w:t>
            </w:r>
          </w:p>
        </w:tc>
        <w:tc>
          <w:tcPr>
            <w:tcW w:w="1755" w:type="dxa"/>
            <w:noWrap w:val="0"/>
            <w:vAlign w:val="center"/>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采购人</w:t>
            </w:r>
          </w:p>
        </w:tc>
        <w:tc>
          <w:tcPr>
            <w:tcW w:w="6795" w:type="dxa"/>
            <w:noWrap w:val="0"/>
            <w:vAlign w:val="center"/>
          </w:tcPr>
          <w:p>
            <w:pPr>
              <w:widowControl w:val="0"/>
              <w:jc w:val="left"/>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深圳市龙华区民治第三幼教集团世纪春城幼儿园</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w:t>
            </w:r>
            <w:r>
              <w:rPr>
                <w:rFonts w:ascii="宋体" w:eastAsia="宋体" w:hAnsi="宋体" w:cs="Times New Roman"/>
                <w:kern w:val="2"/>
                <w:sz w:val="21"/>
                <w:szCs w:val="22"/>
                <w:lang w:eastAsia="zh-CN"/>
              </w:rPr>
              <w:t>.2</w:t>
            </w:r>
          </w:p>
        </w:tc>
        <w:tc>
          <w:tcPr>
            <w:tcW w:w="1755"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政府集中采购机构</w:t>
            </w:r>
          </w:p>
        </w:tc>
        <w:tc>
          <w:tcPr>
            <w:tcW w:w="6795" w:type="dxa"/>
            <w:noWrap w:val="0"/>
            <w:vAlign w:val="center"/>
          </w:tcPr>
          <w:p>
            <w:pPr>
              <w:widowControl w:val="0"/>
              <w:jc w:val="left"/>
              <w:rPr>
                <w:rFonts w:ascii="宋体" w:eastAsia="宋体" w:hAnsi="宋体" w:hint="eastAsia"/>
                <w:kern w:val="2"/>
                <w:sz w:val="21"/>
                <w:szCs w:val="22"/>
                <w:lang w:eastAsia="zh-CN"/>
              </w:rPr>
            </w:pPr>
            <w:r>
              <w:rPr>
                <w:rFonts w:ascii="宋体" w:eastAsia="宋体" w:hAnsi="宋体" w:cs="Arial" w:hint="eastAsia"/>
                <w:kern w:val="2"/>
                <w:sz w:val="21"/>
                <w:szCs w:val="21"/>
                <w:lang w:eastAsia="zh-CN"/>
              </w:rPr>
              <w:t>本文件所述的“政府集中采购机构”</w:t>
            </w:r>
            <w:r>
              <w:rPr>
                <w:rFonts w:ascii="宋体" w:eastAsia="宋体" w:hAnsi="宋体" w:cs="Arial"/>
                <w:kern w:val="2"/>
                <w:sz w:val="21"/>
                <w:szCs w:val="21"/>
                <w:lang w:eastAsia="zh-CN"/>
              </w:rPr>
              <w:t>指</w:t>
            </w:r>
            <w:r>
              <w:rPr>
                <w:rFonts w:ascii="宋体" w:eastAsia="宋体" w:hAnsi="宋体" w:cs="Arial" w:hint="eastAsia"/>
                <w:b/>
                <w:bCs/>
                <w:kern w:val="2"/>
                <w:sz w:val="21"/>
                <w:szCs w:val="21"/>
                <w:lang w:eastAsia="zh-CN"/>
              </w:rPr>
              <w:t>深圳公共资源交易中心</w:t>
            </w:r>
            <w:r>
              <w:rPr>
                <w:rFonts w:ascii="Arial" w:eastAsia="宋体" w:hAnsi="Arial" w:hint="eastAsia"/>
                <w:kern w:val="2"/>
                <w:sz w:val="21"/>
                <w:lang w:eastAsia="zh-CN"/>
              </w:rPr>
              <w:t>。本项目具体由深圳公共资源交易中心（深圳交易集团有限公司龙华分公司）执行</w:t>
            </w:r>
            <w:r>
              <w:rPr>
                <w:rFonts w:ascii="Arial" w:eastAsia="宋体" w:hAnsi="Arial" w:hint="eastAsia"/>
                <w:bCs/>
                <w:kern w:val="2"/>
                <w:sz w:val="21"/>
                <w:lang w:eastAsia="zh-CN"/>
              </w:rPr>
              <w:t>。</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5</w:t>
            </w:r>
            <w:r>
              <w:rPr>
                <w:rFonts w:ascii="宋体" w:eastAsia="宋体" w:hAnsi="宋体" w:cs="Times New Roman"/>
                <w:kern w:val="2"/>
                <w:sz w:val="21"/>
                <w:szCs w:val="22"/>
                <w:lang w:eastAsia="zh-CN"/>
              </w:rPr>
              <w:t>.3</w:t>
            </w:r>
          </w:p>
        </w:tc>
        <w:tc>
          <w:tcPr>
            <w:tcW w:w="1755"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联合体投标</w:t>
            </w:r>
          </w:p>
        </w:tc>
        <w:tc>
          <w:tcPr>
            <w:tcW w:w="6795" w:type="dxa"/>
            <w:noWrap w:val="0"/>
            <w:vAlign w:val="center"/>
          </w:tcPr>
          <w:p>
            <w:pPr>
              <w:widowControl w:val="0"/>
              <w:jc w:val="left"/>
              <w:rPr>
                <w:rFonts w:ascii="Arial" w:eastAsia="宋体" w:hAnsi="Arial"/>
                <w:kern w:val="2"/>
                <w:sz w:val="21"/>
                <w:lang w:eastAsia="zh-CN"/>
              </w:rPr>
            </w:pPr>
            <w:r>
              <w:rPr>
                <w:rFonts w:ascii="Arial" w:eastAsia="宋体" w:hAnsi="Arial" w:hint="eastAsia"/>
                <w:kern w:val="2"/>
                <w:sz w:val="21"/>
                <w:lang w:eastAsia="zh-CN"/>
              </w:rPr>
              <w:t>不接受</w:t>
            </w:r>
          </w:p>
        </w:tc>
      </w:tr>
      <w:tr>
        <w:tblPrEx>
          <w:tblW w:w="5000" w:type="pct"/>
          <w:jc w:val="center"/>
          <w:tblLayout w:type="fixed"/>
          <w:tblCellMar>
            <w:top w:w="0" w:type="dxa"/>
            <w:left w:w="108" w:type="dxa"/>
            <w:bottom w:w="0" w:type="dxa"/>
            <w:right w:w="108" w:type="dxa"/>
          </w:tblCellMar>
        </w:tblPrEx>
        <w:trPr>
          <w:cantSplit/>
          <w:trHeight w:val="90"/>
          <w:jc w:val="center"/>
        </w:trPr>
        <w:tc>
          <w:tcPr>
            <w:tcW w:w="978"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9</w:t>
            </w:r>
          </w:p>
        </w:tc>
        <w:tc>
          <w:tcPr>
            <w:tcW w:w="1755" w:type="dxa"/>
            <w:noWrap w:val="0"/>
            <w:vAlign w:val="center"/>
          </w:tcPr>
          <w:p>
            <w:pPr>
              <w:widowControl w:val="0"/>
              <w:jc w:val="center"/>
              <w:rPr>
                <w:rFonts w:ascii="宋体" w:eastAsia="宋体" w:hAnsi="宋体" w:hint="eastAsia"/>
                <w:b/>
                <w:bCs/>
                <w:kern w:val="2"/>
                <w:sz w:val="21"/>
                <w:szCs w:val="22"/>
                <w:highlight w:val="yellow"/>
                <w:lang w:eastAsia="zh-CN"/>
              </w:rPr>
            </w:pPr>
            <w:r>
              <w:rPr>
                <w:rFonts w:ascii="宋体" w:eastAsia="宋体" w:hAnsi="宋体" w:cs="Times New Roman" w:hint="eastAsia"/>
                <w:kern w:val="2"/>
                <w:sz w:val="21"/>
                <w:szCs w:val="22"/>
                <w:lang w:eastAsia="zh-CN"/>
              </w:rPr>
              <w:t>踏勘现场</w:t>
            </w:r>
          </w:p>
        </w:tc>
        <w:tc>
          <w:tcPr>
            <w:tcW w:w="6795" w:type="dxa"/>
            <w:noWrap w:val="0"/>
            <w:vAlign w:val="center"/>
          </w:tcPr>
          <w:p>
            <w:pPr>
              <w:widowControl w:val="0"/>
              <w:jc w:val="left"/>
              <w:rPr>
                <w:rFonts w:ascii="Arial" w:eastAsia="宋体" w:hAnsi="Arial" w:hint="eastAsia"/>
                <w:kern w:val="2"/>
                <w:sz w:val="21"/>
                <w:lang w:eastAsia="zh-CN"/>
              </w:rPr>
            </w:pPr>
            <w:r>
              <w:rPr>
                <w:rFonts w:ascii="Arial" w:eastAsia="宋体" w:hAnsi="Arial" w:hint="eastAsia"/>
                <w:kern w:val="2"/>
                <w:sz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1</w:t>
            </w:r>
            <w:r>
              <w:rPr>
                <w:rFonts w:ascii="宋体" w:eastAsia="宋体" w:hAnsi="宋体" w:cs="Times New Roman"/>
                <w:kern w:val="2"/>
                <w:sz w:val="21"/>
                <w:szCs w:val="22"/>
                <w:lang w:eastAsia="zh-CN"/>
              </w:rPr>
              <w:t>0</w:t>
            </w:r>
          </w:p>
        </w:tc>
        <w:tc>
          <w:tcPr>
            <w:tcW w:w="1755"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标前会议</w:t>
            </w:r>
          </w:p>
        </w:tc>
        <w:tc>
          <w:tcPr>
            <w:tcW w:w="6795" w:type="dxa"/>
            <w:noWrap w:val="0"/>
            <w:vAlign w:val="center"/>
          </w:tcPr>
          <w:p>
            <w:pPr>
              <w:widowControl w:val="0"/>
              <w:jc w:val="left"/>
              <w:rPr>
                <w:rFonts w:ascii="Arial" w:eastAsia="宋体" w:hAnsi="Arial" w:hint="eastAsia"/>
                <w:kern w:val="2"/>
                <w:sz w:val="21"/>
                <w:lang w:eastAsia="zh-CN"/>
              </w:rPr>
            </w:pPr>
            <w:r>
              <w:rPr>
                <w:rFonts w:ascii="Arial" w:eastAsia="宋体" w:hAnsi="Arial" w:hint="eastAsia"/>
                <w:kern w:val="2"/>
                <w:sz w:val="21"/>
                <w:lang w:eastAsia="zh-CN"/>
              </w:rPr>
              <w:t>不组织</w:t>
            </w:r>
          </w:p>
        </w:tc>
      </w:tr>
      <w:tr>
        <w:tblPrEx>
          <w:tblW w:w="5000" w:type="pct"/>
          <w:jc w:val="center"/>
          <w:tblLayout w:type="fixed"/>
          <w:tblCellMar>
            <w:top w:w="0" w:type="dxa"/>
            <w:left w:w="108" w:type="dxa"/>
            <w:bottom w:w="0" w:type="dxa"/>
            <w:right w:w="108" w:type="dxa"/>
          </w:tblCellMar>
        </w:tblPrEx>
        <w:trPr>
          <w:cantSplit/>
          <w:trHeight w:val="406"/>
          <w:jc w:val="center"/>
        </w:trPr>
        <w:tc>
          <w:tcPr>
            <w:tcW w:w="978"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1</w:t>
            </w:r>
            <w:r>
              <w:rPr>
                <w:rFonts w:ascii="宋体" w:eastAsia="宋体" w:hAnsi="宋体" w:cs="Times New Roman"/>
                <w:kern w:val="2"/>
                <w:sz w:val="21"/>
                <w:szCs w:val="22"/>
                <w:lang w:eastAsia="zh-CN"/>
              </w:rPr>
              <w:t>2</w:t>
            </w:r>
            <w:r>
              <w:rPr>
                <w:rFonts w:ascii="宋体" w:eastAsia="宋体" w:hAnsi="宋体" w:cs="Times New Roman" w:hint="eastAsia"/>
                <w:kern w:val="2"/>
                <w:sz w:val="21"/>
                <w:szCs w:val="22"/>
                <w:lang w:eastAsia="zh-CN"/>
              </w:rPr>
              <w:t>/1</w:t>
            </w:r>
            <w:r>
              <w:rPr>
                <w:rFonts w:ascii="宋体" w:eastAsia="宋体" w:hAnsi="宋体" w:cs="Times New Roman"/>
                <w:kern w:val="2"/>
                <w:sz w:val="21"/>
                <w:szCs w:val="22"/>
                <w:lang w:eastAsia="zh-CN"/>
              </w:rPr>
              <w:t>3</w:t>
            </w:r>
          </w:p>
        </w:tc>
        <w:tc>
          <w:tcPr>
            <w:tcW w:w="1755"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招标文件的澄清和修改</w:t>
            </w:r>
          </w:p>
        </w:tc>
        <w:tc>
          <w:tcPr>
            <w:tcW w:w="6795" w:type="dxa"/>
            <w:noWrap w:val="0"/>
            <w:vAlign w:val="center"/>
          </w:tcPr>
          <w:p>
            <w:pPr>
              <w:widowControl w:val="0"/>
              <w:jc w:val="left"/>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不晚于投标截止日三日前，投标人有义务在招标期间在政府集中采购机构网站浏览与本项目有关的澄清和修改信息。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90"/>
          <w:jc w:val="center"/>
        </w:trPr>
        <w:tc>
          <w:tcPr>
            <w:tcW w:w="978"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w:t>
            </w:r>
            <w:r>
              <w:rPr>
                <w:rFonts w:ascii="宋体" w:eastAsia="宋体" w:hAnsi="宋体" w:cs="Times New Roman"/>
                <w:kern w:val="2"/>
                <w:sz w:val="21"/>
                <w:szCs w:val="22"/>
                <w:lang w:eastAsia="zh-CN"/>
              </w:rPr>
              <w:t>0</w:t>
            </w:r>
          </w:p>
        </w:tc>
        <w:tc>
          <w:tcPr>
            <w:tcW w:w="1755"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投标有效期</w:t>
            </w:r>
          </w:p>
        </w:tc>
        <w:tc>
          <w:tcPr>
            <w:tcW w:w="6795" w:type="dxa"/>
            <w:noWrap w:val="0"/>
            <w:vAlign w:val="center"/>
          </w:tcPr>
          <w:p>
            <w:pPr>
              <w:widowControl w:val="0"/>
              <w:jc w:val="left"/>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120日历天（从投标截止之日算起）</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w:t>
            </w:r>
            <w:r>
              <w:rPr>
                <w:rFonts w:ascii="宋体" w:eastAsia="宋体" w:hAnsi="宋体" w:cs="Times New Roman"/>
                <w:kern w:val="2"/>
                <w:sz w:val="21"/>
                <w:szCs w:val="22"/>
                <w:lang w:eastAsia="zh-CN"/>
              </w:rPr>
              <w:t>2</w:t>
            </w:r>
          </w:p>
        </w:tc>
        <w:tc>
          <w:tcPr>
            <w:tcW w:w="1755"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投标人的替代方案</w:t>
            </w:r>
          </w:p>
        </w:tc>
        <w:tc>
          <w:tcPr>
            <w:tcW w:w="6795" w:type="dxa"/>
            <w:noWrap w:val="0"/>
            <w:vAlign w:val="center"/>
          </w:tcPr>
          <w:p>
            <w:pPr>
              <w:widowControl w:val="0"/>
              <w:jc w:val="left"/>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w:t>
            </w:r>
            <w:r>
              <w:rPr>
                <w:rFonts w:ascii="宋体" w:eastAsia="宋体" w:hAnsi="宋体" w:cs="Times New Roman"/>
                <w:kern w:val="2"/>
                <w:sz w:val="21"/>
                <w:szCs w:val="22"/>
                <w:lang w:eastAsia="zh-CN"/>
              </w:rPr>
              <w:t>5</w:t>
            </w:r>
          </w:p>
        </w:tc>
        <w:tc>
          <w:tcPr>
            <w:tcW w:w="1755"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投标文件的大小</w:t>
            </w:r>
          </w:p>
        </w:tc>
        <w:tc>
          <w:tcPr>
            <w:tcW w:w="6795" w:type="dxa"/>
            <w:noWrap w:val="0"/>
            <w:vAlign w:val="center"/>
          </w:tcPr>
          <w:p>
            <w:pPr>
              <w:widowControl w:val="0"/>
              <w:jc w:val="left"/>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515"/>
          <w:jc w:val="center"/>
        </w:trPr>
        <w:tc>
          <w:tcPr>
            <w:tcW w:w="978"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w:t>
            </w:r>
            <w:r>
              <w:rPr>
                <w:rFonts w:ascii="宋体" w:eastAsia="宋体" w:hAnsi="宋体" w:cs="Times New Roman"/>
                <w:kern w:val="2"/>
                <w:sz w:val="21"/>
                <w:szCs w:val="22"/>
                <w:lang w:eastAsia="zh-CN"/>
              </w:rPr>
              <w:t>6</w:t>
            </w:r>
          </w:p>
        </w:tc>
        <w:tc>
          <w:tcPr>
            <w:tcW w:w="1755"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样品、现场演示、方案讲解</w:t>
            </w:r>
          </w:p>
        </w:tc>
        <w:tc>
          <w:tcPr>
            <w:tcW w:w="6795" w:type="dxa"/>
            <w:noWrap w:val="0"/>
            <w:vAlign w:val="center"/>
          </w:tcPr>
          <w:p>
            <w:pPr>
              <w:widowControl w:val="0"/>
              <w:jc w:val="left"/>
              <w:rPr>
                <w:rFonts w:ascii="宋体" w:eastAsia="宋体" w:hAnsi="宋体"/>
                <w:kern w:val="2"/>
                <w:sz w:val="21"/>
                <w:szCs w:val="22"/>
                <w:lang w:eastAsia="zh-CN"/>
              </w:rPr>
            </w:pPr>
            <w:r>
              <w:rPr>
                <w:rFonts w:ascii="宋体" w:eastAsia="宋体" w:hAnsi="宋体" w:hint="eastAsia"/>
                <w:kern w:val="2"/>
                <w:sz w:val="21"/>
                <w:szCs w:val="22"/>
                <w:lang w:eastAsia="zh-CN"/>
              </w:rPr>
              <w:t>无</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w:t>
            </w:r>
            <w:r>
              <w:rPr>
                <w:rFonts w:ascii="宋体" w:eastAsia="宋体" w:hAnsi="宋体" w:cs="Times New Roman"/>
                <w:kern w:val="2"/>
                <w:sz w:val="21"/>
                <w:szCs w:val="22"/>
                <w:lang w:eastAsia="zh-CN"/>
              </w:rPr>
              <w:t>7</w:t>
            </w:r>
          </w:p>
        </w:tc>
        <w:tc>
          <w:tcPr>
            <w:tcW w:w="1755"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评审方法</w:t>
            </w:r>
          </w:p>
        </w:tc>
        <w:tc>
          <w:tcPr>
            <w:tcW w:w="6795" w:type="dxa"/>
            <w:noWrap w:val="0"/>
            <w:vAlign w:val="center"/>
          </w:tcPr>
          <w:p>
            <w:pPr>
              <w:widowControl w:val="0"/>
              <w:jc w:val="left"/>
              <w:rPr>
                <w:rFonts w:ascii="宋体" w:eastAsia="宋体" w:hAnsi="宋体" w:hint="eastAsia"/>
                <w:kern w:val="2"/>
                <w:sz w:val="21"/>
                <w:szCs w:val="22"/>
                <w:lang w:eastAsia="zh-CN"/>
              </w:rPr>
            </w:pPr>
            <w:r>
              <w:rPr>
                <w:rFonts w:ascii="宋体" w:eastAsia="宋体" w:hAnsi="宋体" w:cs="Times New Roman"/>
                <w:b/>
                <w:bCs/>
                <w:kern w:val="2"/>
                <w:sz w:val="21"/>
                <w:szCs w:val="22"/>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w:t>
            </w:r>
            <w:r>
              <w:rPr>
                <w:rFonts w:ascii="宋体" w:eastAsia="宋体" w:hAnsi="宋体" w:cs="Times New Roman"/>
                <w:kern w:val="2"/>
                <w:sz w:val="21"/>
                <w:szCs w:val="22"/>
                <w:lang w:eastAsia="zh-CN"/>
              </w:rPr>
              <w:t>8</w:t>
            </w:r>
          </w:p>
        </w:tc>
        <w:tc>
          <w:tcPr>
            <w:tcW w:w="1755"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定标方法</w:t>
            </w:r>
          </w:p>
        </w:tc>
        <w:tc>
          <w:tcPr>
            <w:tcW w:w="6795" w:type="dxa"/>
            <w:noWrap w:val="0"/>
            <w:vAlign w:val="center"/>
          </w:tcPr>
          <w:p>
            <w:pPr>
              <w:widowControl w:val="0"/>
              <w:jc w:val="left"/>
              <w:rPr>
                <w:rFonts w:ascii="宋体" w:eastAsia="宋体" w:hAnsi="宋体" w:hint="eastAsia"/>
                <w:b/>
                <w:bCs/>
                <w:kern w:val="2"/>
                <w:sz w:val="21"/>
                <w:szCs w:val="22"/>
                <w:highlight w:val="yellow"/>
                <w:lang w:eastAsia="zh-CN"/>
              </w:rPr>
            </w:pPr>
            <w:r>
              <w:rPr>
                <w:rFonts w:ascii="宋体" w:eastAsia="宋体" w:hAnsi="宋体" w:hint="eastAsia"/>
                <w:b/>
                <w:bCs/>
                <w:kern w:val="2"/>
                <w:sz w:val="21"/>
                <w:szCs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4</w:t>
            </w:r>
            <w:r>
              <w:rPr>
                <w:rFonts w:ascii="宋体" w:eastAsia="宋体" w:hAnsi="宋体" w:cs="Times New Roman"/>
                <w:kern w:val="2"/>
                <w:sz w:val="21"/>
                <w:szCs w:val="22"/>
                <w:lang w:eastAsia="zh-CN"/>
              </w:rPr>
              <w:t>6</w:t>
            </w:r>
          </w:p>
        </w:tc>
        <w:tc>
          <w:tcPr>
            <w:tcW w:w="1755" w:type="dxa"/>
            <w:noWrap w:val="0"/>
            <w:vAlign w:val="center"/>
          </w:tcPr>
          <w:p>
            <w:pPr>
              <w:widowControl w:val="0"/>
              <w:jc w:val="center"/>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履约担保</w:t>
            </w:r>
          </w:p>
        </w:tc>
        <w:tc>
          <w:tcPr>
            <w:tcW w:w="6795" w:type="dxa"/>
            <w:noWrap w:val="0"/>
            <w:vAlign w:val="center"/>
          </w:tcPr>
          <w:p>
            <w:pPr>
              <w:widowControl w:val="0"/>
              <w:jc w:val="left"/>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不需要</w:t>
            </w:r>
          </w:p>
        </w:tc>
      </w:tr>
      <w:bookmarkEnd w:id="5"/>
      <w:bookmarkEnd w:id="6"/>
      <w:bookmarkEnd w:id="7"/>
      <w:bookmarkEnd w:id="8"/>
      <w:bookmarkEnd w:id="9"/>
      <w:bookmarkEnd w:id="10"/>
      <w:bookmarkEnd w:id="11"/>
      <w:bookmarkEnd w:id="12"/>
    </w:tbl>
    <w:p>
      <w:pPr>
        <w:widowControl/>
        <w:jc w:val="center"/>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备注：本表是通用条款相关条款的补充和明确，如与通用条款内容相冲突的，以本表为准。</w:t>
      </w:r>
    </w:p>
    <w:p>
      <w:pPr>
        <w:keepNext/>
        <w:keepLines/>
        <w:widowControl w:val="0"/>
        <w:adjustRightInd w:val="0"/>
        <w:spacing w:before="120" w:beforeLines="50" w:after="120" w:afterLines="50"/>
        <w:jc w:val="center"/>
        <w:textAlignment w:val="baseline"/>
        <w:outlineLvl w:val="2"/>
        <w:rPr>
          <w:rFonts w:ascii="宋体" w:eastAsia="宋体" w:hAnsi="宋体" w:hint="eastAsia"/>
          <w:b/>
          <w:bCs/>
          <w:lang w:eastAsia="zh-CN"/>
        </w:rPr>
      </w:pPr>
      <w:r>
        <w:rPr>
          <w:rFonts w:ascii="宋体" w:eastAsia="宋体" w:hAnsi="宋体" w:hint="eastAsia"/>
          <w:b/>
          <w:bCs/>
          <w:lang w:eastAsia="zh-CN"/>
        </w:rPr>
        <w:t>二、其他关键信息</w:t>
      </w:r>
    </w:p>
    <w:p>
      <w:pPr>
        <w:widowControl w:val="0"/>
        <w:tabs>
          <w:tab w:val="left" w:pos="720"/>
        </w:tabs>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（一）</w:t>
      </w:r>
      <w:r>
        <w:rPr>
          <w:rFonts w:ascii="黑体" w:eastAsia="黑体" w:hAnsi="宋体" w:cs="Times New Roman" w:hint="eastAsia"/>
          <w:bCs/>
          <w:kern w:val="2"/>
          <w:szCs w:val="22"/>
          <w:lang w:eastAsia="zh-CN"/>
        </w:rPr>
        <w:t>与“对通用条款的补充内容”章节相关的事项</w:t>
      </w:r>
    </w:p>
    <w:p>
      <w:pPr>
        <w:widowControl w:val="0"/>
        <w:tabs>
          <w:tab w:val="left" w:pos="720"/>
        </w:tabs>
        <w:jc w:val="both"/>
        <w:rPr>
          <w:rFonts w:ascii="黑体" w:eastAsia="黑体" w:hAnsi="宋体" w:hint="eastAsia"/>
          <w:bCs/>
          <w:kern w:val="2"/>
          <w:szCs w:val="22"/>
          <w:lang w:eastAsia="zh-CN"/>
        </w:rPr>
      </w:pPr>
      <w:r>
        <w:rPr>
          <w:rFonts w:ascii="黑体" w:eastAsia="黑体" w:hAnsi="宋体" w:cs="Times New Roman" w:hint="eastAsia"/>
          <w:bCs/>
          <w:kern w:val="2"/>
          <w:szCs w:val="22"/>
          <w:lang w:eastAsia="zh-CN"/>
        </w:rPr>
        <w:t>1、评标定标信息</w:t>
      </w:r>
    </w:p>
    <w:p>
      <w:pPr>
        <w:widowControl w:val="0"/>
        <w:jc w:val="center"/>
        <w:rPr>
          <w:rFonts w:ascii="Calibri" w:eastAsia="宋体" w:hAnsi="Calibri"/>
          <w:kern w:val="2"/>
          <w:sz w:val="21"/>
          <w:szCs w:val="22"/>
          <w:lang w:eastAsia="zh-CN"/>
        </w:rPr>
      </w:pPr>
      <w:r>
        <w:rPr>
          <w:rFonts w:ascii="Calibri" w:eastAsia="宋体" w:hAnsi="Calibri" w:cs="Times New Roman" w:hint="eastAsia"/>
          <w:b/>
          <w:kern w:val="2"/>
          <w:sz w:val="21"/>
          <w:szCs w:val="22"/>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953"/>
        <w:gridCol w:w="3359"/>
        <w:gridCol w:w="254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844" w:type="dxa"/>
            <w:noWrap w:val="0"/>
            <w:vAlign w:val="top"/>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评标方法</w:t>
            </w:r>
          </w:p>
        </w:tc>
        <w:tc>
          <w:tcPr>
            <w:tcW w:w="3235" w:type="dxa"/>
            <w:noWrap w:val="0"/>
            <w:vAlign w:val="top"/>
          </w:tcPr>
          <w:p>
            <w:pPr>
              <w:widowControl w:val="0"/>
              <w:jc w:val="center"/>
              <w:rPr>
                <w:rFonts w:ascii="Calibri" w:eastAsia="宋体" w:hAnsi="Calibri"/>
                <w:kern w:val="2"/>
                <w:sz w:val="21"/>
                <w:szCs w:val="22"/>
                <w:lang w:eastAsia="zh-CN"/>
              </w:rPr>
            </w:pPr>
            <w:r>
              <w:rPr>
                <w:rFonts w:ascii="Wingdings" w:eastAsia="宋体" w:hAnsi="Wingdings" w:cs="Times New Roman"/>
                <w:kern w:val="2"/>
                <w:sz w:val="21"/>
                <w:szCs w:val="22"/>
                <w:lang w:eastAsia="zh-CN"/>
              </w:rPr>
              <w:sym w:font="Wingdings" w:char="F0FE"/>
            </w:r>
            <w:r>
              <w:rPr>
                <w:rFonts w:ascii="Calibri" w:eastAsia="宋体" w:hAnsi="Calibri" w:cs="Times New Roman" w:hint="eastAsia"/>
                <w:kern w:val="2"/>
                <w:sz w:val="21"/>
                <w:szCs w:val="22"/>
                <w:lang w:eastAsia="zh-CN"/>
              </w:rPr>
              <w:t>综合评分法</w:t>
            </w:r>
          </w:p>
        </w:tc>
        <w:tc>
          <w:tcPr>
            <w:tcW w:w="2450" w:type="dxa"/>
            <w:noWrap w:val="0"/>
            <w:vAlign w:val="top"/>
          </w:tcPr>
          <w:p>
            <w:pPr>
              <w:widowControl w:val="0"/>
              <w:jc w:val="center"/>
              <w:rPr>
                <w:rFonts w:ascii="Calibri" w:eastAsia="宋体" w:hAnsi="Calibri"/>
                <w:kern w:val="2"/>
                <w:sz w:val="21"/>
                <w:szCs w:val="22"/>
                <w:lang w:eastAsia="zh-CN"/>
              </w:rPr>
            </w:pPr>
            <w:r>
              <w:rPr>
                <w:rFonts w:ascii="Wingdings" w:eastAsia="宋体" w:hAnsi="Wingdings" w:cs="Times New Roman"/>
                <w:kern w:val="2"/>
                <w:sz w:val="21"/>
                <w:szCs w:val="22"/>
                <w:lang w:eastAsia="zh-CN"/>
              </w:rPr>
              <w:sym w:font="Wingdings" w:char="F0A8"/>
            </w:r>
            <w:r>
              <w:rPr>
                <w:rFonts w:eastAsia="宋体" w:hAnsi="Calibri" w:cs="Times New Roman" w:hint="eastAsia"/>
                <w:kern w:val="2"/>
                <w:sz w:val="21"/>
                <w:szCs w:val="22"/>
                <w:lang w:eastAsia="zh-CN"/>
              </w:rPr>
              <w:t>最低价法</w:t>
            </w:r>
          </w:p>
        </w:tc>
      </w:tr>
      <w:tr>
        <w:tblPrEx>
          <w:tblW w:w="5000" w:type="pct"/>
          <w:tblInd w:w="0" w:type="dxa"/>
          <w:tblLayout w:type="fixed"/>
          <w:tblCellMar>
            <w:top w:w="0" w:type="dxa"/>
            <w:left w:w="108" w:type="dxa"/>
            <w:bottom w:w="0" w:type="dxa"/>
            <w:right w:w="108" w:type="dxa"/>
          </w:tblCellMar>
        </w:tblPrEx>
        <w:tc>
          <w:tcPr>
            <w:tcW w:w="2844" w:type="dxa"/>
            <w:noWrap w:val="0"/>
            <w:vAlign w:val="top"/>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候选中标供应商家数</w:t>
            </w:r>
          </w:p>
        </w:tc>
        <w:tc>
          <w:tcPr>
            <w:tcW w:w="3235" w:type="dxa"/>
            <w:noWrap w:val="0"/>
            <w:vAlign w:val="top"/>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3</w:t>
            </w:r>
          </w:p>
        </w:tc>
        <w:tc>
          <w:tcPr>
            <w:tcW w:w="2450" w:type="dxa"/>
            <w:noWrap w:val="0"/>
            <w:vAlign w:val="top"/>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3</w:t>
            </w:r>
          </w:p>
        </w:tc>
      </w:tr>
      <w:tr>
        <w:tblPrEx>
          <w:tblW w:w="5000" w:type="pct"/>
          <w:tblInd w:w="0" w:type="dxa"/>
          <w:tblLayout w:type="fixed"/>
          <w:tblCellMar>
            <w:top w:w="0" w:type="dxa"/>
            <w:left w:w="108" w:type="dxa"/>
            <w:bottom w:w="0" w:type="dxa"/>
            <w:right w:w="108" w:type="dxa"/>
          </w:tblCellMar>
        </w:tblPrEx>
        <w:tc>
          <w:tcPr>
            <w:tcW w:w="2844" w:type="dxa"/>
            <w:noWrap w:val="0"/>
            <w:vAlign w:val="top"/>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中标供应商家数</w:t>
            </w:r>
          </w:p>
        </w:tc>
        <w:tc>
          <w:tcPr>
            <w:tcW w:w="3235" w:type="dxa"/>
            <w:noWrap w:val="0"/>
            <w:vAlign w:val="top"/>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1</w:t>
            </w:r>
          </w:p>
        </w:tc>
        <w:tc>
          <w:tcPr>
            <w:tcW w:w="2450" w:type="dxa"/>
            <w:noWrap w:val="0"/>
            <w:vAlign w:val="top"/>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1</w:t>
            </w:r>
          </w:p>
        </w:tc>
      </w:tr>
    </w:tbl>
    <w:p>
      <w:pPr>
        <w:widowControl w:val="0"/>
        <w:spacing w:line="360" w:lineRule="auto"/>
        <w:jc w:val="both"/>
        <w:rPr>
          <w:rFonts w:ascii="宋体" w:eastAsia="宋体" w:hAnsi="宋体" w:cs="宋体" w:hint="eastAsia"/>
          <w:b/>
          <w:bCs/>
          <w:kern w:val="2"/>
          <w:sz w:val="21"/>
          <w:szCs w:val="21"/>
          <w:lang w:eastAsia="zh-CN"/>
        </w:rPr>
      </w:pPr>
    </w:p>
    <w:p>
      <w:pPr>
        <w:widowControl w:val="0"/>
        <w:spacing w:line="360" w:lineRule="auto"/>
        <w:jc w:val="both"/>
        <w:rPr>
          <w:rFonts w:ascii="宋体" w:eastAsia="宋体" w:hAnsi="宋体" w:cs="宋体" w:hint="eastAsia"/>
          <w:b/>
          <w:bCs/>
          <w:kern w:val="2"/>
          <w:sz w:val="21"/>
          <w:szCs w:val="21"/>
          <w:lang w:eastAsia="zh-CN"/>
        </w:rPr>
      </w:pPr>
    </w:p>
    <w:p>
      <w:pPr>
        <w:widowControl w:val="0"/>
        <w:tabs>
          <w:tab w:val="left" w:pos="720"/>
        </w:tabs>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（二）其他事项</w:t>
      </w:r>
    </w:p>
    <w:p>
      <w:pPr>
        <w:widowControl w:val="0"/>
        <w:tabs>
          <w:tab w:val="left" w:pos="720"/>
        </w:tabs>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1、关于享受优惠政策的主体、价格扣除比例及采购标的所属行业</w:t>
      </w:r>
    </w:p>
    <w:p>
      <w:pPr>
        <w:widowControl w:val="0"/>
        <w:ind w:firstLine="412" w:firstLineChars="196"/>
        <w:jc w:val="both"/>
        <w:rPr>
          <w:rFonts w:ascii="Arial" w:eastAsia="宋体" w:hAnsi="Arial"/>
          <w:b/>
          <w:color w:val="FF0000"/>
          <w:kern w:val="2"/>
          <w:sz w:val="21"/>
          <w:szCs w:val="21"/>
          <w:highlight w:val="yellow"/>
          <w:lang w:eastAsia="zh-CN"/>
        </w:rPr>
      </w:pPr>
      <w:r>
        <w:rPr>
          <w:rFonts w:ascii="宋体" w:eastAsia="宋体" w:hAnsi="宋体" w:cs="Times New Roman" w:hint="eastAsia"/>
          <w:color w:val="FF0000"/>
          <w:kern w:val="2"/>
          <w:sz w:val="21"/>
          <w:szCs w:val="22"/>
          <w:lang w:eastAsia="zh-CN"/>
        </w:rPr>
        <w:t>（1）</w:t>
      </w:r>
      <w:r>
        <w:rPr>
          <w:rFonts w:ascii="Calibri" w:eastAsia="宋体" w:hAnsi="Calibri" w:cs="Times New Roman" w:hint="eastAsia"/>
          <w:color w:val="FF0000"/>
          <w:kern w:val="2"/>
          <w:sz w:val="21"/>
          <w:szCs w:val="22"/>
          <w:lang w:eastAsia="zh-CN"/>
        </w:rPr>
        <w:t>非</w:t>
      </w:r>
      <w:r>
        <w:rPr>
          <w:rFonts w:eastAsia="宋体" w:hAnsi="Calibri" w:cs="Times New Roman" w:hint="eastAsia"/>
          <w:color w:val="FF0000"/>
          <w:kern w:val="2"/>
          <w:sz w:val="21"/>
          <w:szCs w:val="22"/>
          <w:lang w:eastAsia="zh-CN"/>
        </w:rPr>
        <w:t>专门面向中小企业采购的项目，</w:t>
      </w:r>
      <w:r>
        <w:rPr>
          <w:rFonts w:ascii="Calibri" w:eastAsia="宋体" w:hAnsi="Calibri" w:cs="Times New Roman" w:hint="eastAsia"/>
          <w:color w:val="FF0000"/>
          <w:kern w:val="2"/>
          <w:sz w:val="21"/>
          <w:szCs w:val="22"/>
          <w:lang w:eastAsia="zh-CN"/>
        </w:rPr>
        <w:t>应</w:t>
      </w:r>
      <w:r>
        <w:rPr>
          <w:rFonts w:eastAsia="宋体" w:hAnsi="Calibri" w:cs="Times New Roman" w:hint="eastAsia"/>
          <w:color w:val="FF0000"/>
          <w:kern w:val="2"/>
          <w:sz w:val="21"/>
          <w:szCs w:val="22"/>
          <w:lang w:eastAsia="zh-CN"/>
        </w:rPr>
        <w:t>执行价格扣除比例</w:t>
      </w:r>
      <w:r>
        <w:rPr>
          <w:rFonts w:ascii="Calibri" w:eastAsia="宋体" w:hAnsi="Calibri" w:cs="Times New Roman" w:hint="eastAsia"/>
          <w:color w:val="FF0000"/>
          <w:kern w:val="2"/>
          <w:sz w:val="21"/>
          <w:szCs w:val="22"/>
          <w:lang w:eastAsia="zh-CN"/>
        </w:rPr>
        <w:t>：</w:t>
      </w:r>
      <w:r>
        <w:rPr>
          <w:rFonts w:ascii="宋体" w:eastAsia="宋体" w:hAnsi="宋体" w:cs="Times New Roman" w:hint="eastAsia"/>
          <w:color w:val="FF0000"/>
          <w:kern w:val="2"/>
          <w:sz w:val="21"/>
          <w:szCs w:val="22"/>
          <w:lang w:eastAsia="zh-CN"/>
        </w:rPr>
        <w:t>投标人提供的货物（以招标文件用户需求书“货物需求明细”的“货物名称”一栏为准）全部均由优惠主体制造的，对其投标总价给予</w:t>
      </w:r>
      <w:r>
        <w:rPr>
          <w:rFonts w:ascii="宋体" w:eastAsia="宋体" w:hAnsi="宋体" w:cs="Times New Roman" w:hint="eastAsia"/>
          <w:b/>
          <w:bCs/>
          <w:color w:val="FF0000"/>
          <w:kern w:val="2"/>
          <w:sz w:val="21"/>
          <w:szCs w:val="22"/>
          <w:u w:val="single"/>
          <w:lang w:eastAsia="zh-CN"/>
        </w:rPr>
        <w:t xml:space="preserve"> 10%</w:t>
      </w:r>
      <w:r>
        <w:rPr>
          <w:rFonts w:ascii="宋体" w:eastAsia="宋体" w:hAnsi="宋体" w:hint="eastAsia"/>
          <w:b/>
          <w:bCs/>
          <w:color w:val="FF0000"/>
          <w:kern w:val="2"/>
          <w:u w:val="single"/>
          <w:lang w:eastAsia="zh-CN"/>
        </w:rPr>
        <w:t xml:space="preserve"> </w:t>
      </w:r>
      <w:r>
        <w:rPr>
          <w:rFonts w:ascii="宋体" w:eastAsia="宋体" w:hAnsi="宋体" w:cs="Times New Roman" w:hint="eastAsia"/>
          <w:color w:val="FF0000"/>
          <w:kern w:val="2"/>
          <w:sz w:val="21"/>
          <w:szCs w:val="22"/>
          <w:lang w:eastAsia="zh-CN"/>
        </w:rPr>
        <w:t>的扣除，用扣除后的价格参与评审。满足多项优惠政策的企业，不重复享受多项价格扣除政策。</w:t>
      </w:r>
      <w:r>
        <w:rPr>
          <w:rFonts w:ascii="Arial" w:eastAsia="宋体" w:hAnsi="Arial" w:hint="eastAsia"/>
          <w:b/>
          <w:color w:val="FF0000"/>
          <w:kern w:val="2"/>
          <w:sz w:val="21"/>
          <w:szCs w:val="21"/>
          <w:lang w:eastAsia="zh-CN"/>
        </w:rPr>
        <w:t>政策调整后价格仅作为评审依据，不作为中标价格。</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备注：</w:t>
      </w:r>
      <w:r>
        <w:rPr>
          <w:rFonts w:ascii="宋体" w:eastAsia="宋体" w:hAnsi="宋体" w:cs="宋体" w:hint="eastAsia"/>
          <w:b/>
          <w:bCs/>
          <w:kern w:val="2"/>
          <w:sz w:val="21"/>
          <w:szCs w:val="21"/>
          <w:lang w:eastAsia="zh-CN"/>
        </w:rPr>
        <w:t>（a）</w:t>
      </w:r>
      <w:r>
        <w:rPr>
          <w:rFonts w:ascii="宋体" w:eastAsia="宋体" w:hAnsi="宋体" w:cs="宋体" w:hint="eastAsia"/>
          <w:kern w:val="2"/>
          <w:sz w:val="21"/>
          <w:szCs w:val="21"/>
          <w:lang w:eastAsia="zh-CN"/>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ascii="宋体" w:eastAsia="宋体" w:hAnsi="宋体" w:cs="Times New Roman" w:hint="eastAsia"/>
          <w:kern w:val="2"/>
          <w:sz w:val="21"/>
          <w:szCs w:val="22"/>
          <w:lang w:eastAsia="zh-CN"/>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ascii="宋体" w:eastAsia="宋体" w:hAnsi="宋体" w:cs="宋体" w:hint="eastAsia"/>
          <w:b/>
          <w:bCs/>
          <w:kern w:val="2"/>
          <w:sz w:val="21"/>
          <w:szCs w:val="21"/>
          <w:lang w:eastAsia="zh-CN"/>
        </w:rPr>
        <w:t>(b)</w:t>
      </w:r>
      <w:r>
        <w:rPr>
          <w:rFonts w:ascii="宋体" w:eastAsia="宋体" w:hAnsi="宋体" w:cs="宋体" w:hint="eastAsia"/>
          <w:kern w:val="2"/>
          <w:sz w:val="21"/>
          <w:szCs w:val="21"/>
          <w:lang w:eastAsia="zh-CN"/>
        </w:rPr>
        <w:t>优惠主体制造是指货物由优惠主体生产且使用该优惠主体商号或者注册商标；投标人提供的货物既有优惠主体制造货物，又有非优惠主体制造货物的，不给予价格扣除。</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bookmarkStart w:id="13" w:name="_Hlk71970739"/>
      <w:r>
        <w:rPr>
          <w:rFonts w:ascii="宋体" w:eastAsia="宋体" w:hAnsi="宋体" w:cs="宋体" w:hint="eastAsia"/>
          <w:kern w:val="2"/>
          <w:sz w:val="21"/>
          <w:szCs w:val="21"/>
          <w:lang w:eastAsia="zh-CN"/>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中小企业声明函》中相关企业（货物制造商）所属行业应当与采购标的所属行业相一致，标的所属行业以招标文件第一册第三章用户需求书“货物清单明细”的“标的所属行业”一栏为准。</w:t>
      </w:r>
      <w:bookmarkEnd w:id="13"/>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widowControl w:val="0"/>
        <w:tabs>
          <w:tab w:val="left" w:pos="720"/>
        </w:tabs>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（4）享受价格扣除获得政府采购合同的，小微企业不得将合同分包给大中型企业。</w:t>
      </w:r>
    </w:p>
    <w:p>
      <w:pPr>
        <w:widowControl w:val="0"/>
        <w:tabs>
          <w:tab w:val="left" w:pos="720"/>
        </w:tabs>
        <w:ind w:firstLine="480" w:firstLineChars="200"/>
        <w:jc w:val="both"/>
        <w:rPr>
          <w:rFonts w:ascii="黑体" w:eastAsia="黑体" w:hAnsi="宋体" w:hint="eastAsia"/>
          <w:kern w:val="2"/>
          <w:szCs w:val="22"/>
          <w:lang w:eastAsia="zh-CN"/>
        </w:rPr>
      </w:pPr>
    </w:p>
    <w:p>
      <w:pPr>
        <w:widowControl w:val="0"/>
        <w:tabs>
          <w:tab w:val="left" w:pos="720"/>
        </w:tabs>
        <w:jc w:val="both"/>
        <w:rPr>
          <w:rFonts w:ascii="宋体" w:eastAsia="宋体" w:hAnsi="宋体" w:hint="eastAsia"/>
          <w:b/>
          <w:bCs/>
          <w:color w:val="FF0000"/>
          <w:kern w:val="2"/>
          <w:sz w:val="21"/>
          <w:szCs w:val="22"/>
          <w:lang w:eastAsia="zh-CN"/>
        </w:rPr>
      </w:pPr>
      <w:r>
        <w:rPr>
          <w:rFonts w:ascii="宋体" w:eastAsia="宋体" w:hAnsi="宋体" w:cs="宋体" w:hint="eastAsia"/>
          <w:b/>
          <w:bCs/>
          <w:kern w:val="2"/>
          <w:sz w:val="21"/>
          <w:lang w:eastAsia="zh-CN"/>
        </w:rPr>
        <w:t>2.</w:t>
      </w:r>
      <w:r>
        <w:rPr>
          <w:rFonts w:ascii="宋体" w:eastAsia="宋体" w:hAnsi="宋体" w:cs="Times New Roman"/>
          <w:b/>
          <w:bCs/>
          <w:color w:val="FF0000"/>
          <w:kern w:val="2"/>
          <w:sz w:val="21"/>
          <w:szCs w:val="22"/>
          <w:lang w:eastAsia="zh-CN"/>
        </w:rPr>
        <w:t>本项目为代理服务项目，将向中标</w:t>
      </w:r>
      <w:r>
        <w:rPr>
          <w:rFonts w:ascii="宋体" w:eastAsia="宋体" w:hAnsi="宋体" w:cs="Times New Roman" w:hint="eastAsia"/>
          <w:b/>
          <w:bCs/>
          <w:color w:val="FF0000"/>
          <w:kern w:val="2"/>
          <w:sz w:val="21"/>
          <w:szCs w:val="22"/>
          <w:lang w:eastAsia="zh-CN"/>
        </w:rPr>
        <w:t>（成交）</w:t>
      </w:r>
      <w:r>
        <w:rPr>
          <w:rFonts w:ascii="宋体" w:eastAsia="宋体" w:hAnsi="宋体" w:cs="Times New Roman"/>
          <w:b/>
          <w:bCs/>
          <w:color w:val="FF0000"/>
          <w:kern w:val="2"/>
          <w:sz w:val="21"/>
          <w:szCs w:val="22"/>
          <w:lang w:eastAsia="zh-CN"/>
        </w:rPr>
        <w:t>供应商收取代理服务费</w:t>
      </w:r>
      <w:r>
        <w:rPr>
          <w:rFonts w:ascii="宋体" w:eastAsia="宋体" w:hAnsi="宋体" w:cs="Times New Roman" w:hint="eastAsia"/>
          <w:b/>
          <w:bCs/>
          <w:color w:val="FF0000"/>
          <w:kern w:val="2"/>
          <w:sz w:val="21"/>
          <w:szCs w:val="22"/>
          <w:lang w:eastAsia="zh-CN"/>
        </w:rPr>
        <w:t>。</w:t>
      </w:r>
    </w:p>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中标（成交）供应商在领取《中标（成交）通知书》之前须向深圳公共资源交易中心（深圳交易集团有限公司龙华分公司）交纳代理服务费。若因中标（成交）供应商交纳代理服务费所产生的时间影响到合同签订的，由中标（成交）供应商自行承担责任。代理服务费标准参照下列标准收取。本项目类型为</w:t>
      </w:r>
      <w:r>
        <w:rPr>
          <w:rFonts w:ascii="宋体" w:eastAsia="宋体" w:hAnsi="宋体" w:cs="Times New Roman" w:hint="eastAsia"/>
          <w:b/>
          <w:bCs/>
          <w:color w:val="FF0000"/>
          <w:kern w:val="2"/>
          <w:sz w:val="21"/>
          <w:szCs w:val="21"/>
          <w:u w:val="single"/>
          <w:lang w:eastAsia="zh-CN"/>
        </w:rPr>
        <w:t>货物采购</w:t>
      </w:r>
      <w:r>
        <w:rPr>
          <w:rFonts w:ascii="宋体" w:eastAsia="宋体" w:hAnsi="宋体" w:cs="Times New Roman" w:hint="eastAsia"/>
          <w:color w:val="FF0000"/>
          <w:kern w:val="2"/>
          <w:sz w:val="21"/>
          <w:szCs w:val="21"/>
          <w:lang w:eastAsia="zh-CN"/>
        </w:rPr>
        <w:t>：</w:t>
      </w:r>
    </w:p>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（1）代理服务费以《中标（成交）通知书》确定的中标（成交）金额作为计算基数，按差额定率累进法计算。</w:t>
      </w:r>
    </w:p>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（2）中标（成交）金额的各部分费率如下表：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246"/>
        <w:gridCol w:w="1870"/>
        <w:gridCol w:w="1870"/>
        <w:gridCol w:w="187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1"/>
          <w:jc w:val="center"/>
        </w:trPr>
        <w:tc>
          <w:tcPr>
            <w:tcW w:w="3125"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中标（成交）金额</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货物采购</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服务采购</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工程采购</w:t>
            </w:r>
          </w:p>
        </w:tc>
      </w:tr>
      <w:tr>
        <w:tblPrEx>
          <w:tblW w:w="5000" w:type="pct"/>
          <w:jc w:val="center"/>
          <w:tblLayout w:type="fixed"/>
          <w:tblCellMar>
            <w:top w:w="0" w:type="dxa"/>
            <w:left w:w="108" w:type="dxa"/>
            <w:bottom w:w="0" w:type="dxa"/>
            <w:right w:w="108" w:type="dxa"/>
          </w:tblCellMar>
        </w:tblPrEx>
        <w:trPr>
          <w:jc w:val="center"/>
        </w:trPr>
        <w:tc>
          <w:tcPr>
            <w:tcW w:w="3125"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100万元以下</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1.5%</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1.5%</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1.0%</w:t>
            </w:r>
          </w:p>
        </w:tc>
      </w:tr>
      <w:tr>
        <w:tblPrEx>
          <w:tblW w:w="5000" w:type="pct"/>
          <w:jc w:val="center"/>
          <w:tblLayout w:type="fixed"/>
          <w:tblCellMar>
            <w:top w:w="0" w:type="dxa"/>
            <w:left w:w="108" w:type="dxa"/>
            <w:bottom w:w="0" w:type="dxa"/>
            <w:right w:w="108" w:type="dxa"/>
          </w:tblCellMar>
        </w:tblPrEx>
        <w:trPr>
          <w:jc w:val="center"/>
        </w:trPr>
        <w:tc>
          <w:tcPr>
            <w:tcW w:w="3125"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100万元（含）-500万元</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1.1%</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0.8%</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0.7%</w:t>
            </w:r>
          </w:p>
        </w:tc>
      </w:tr>
      <w:tr>
        <w:tblPrEx>
          <w:tblW w:w="5000" w:type="pct"/>
          <w:jc w:val="center"/>
          <w:tblLayout w:type="fixed"/>
          <w:tblCellMar>
            <w:top w:w="0" w:type="dxa"/>
            <w:left w:w="108" w:type="dxa"/>
            <w:bottom w:w="0" w:type="dxa"/>
            <w:right w:w="108" w:type="dxa"/>
          </w:tblCellMar>
        </w:tblPrEx>
        <w:trPr>
          <w:jc w:val="center"/>
        </w:trPr>
        <w:tc>
          <w:tcPr>
            <w:tcW w:w="3125"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500万元（含）-1000万元</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0.8%</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0.45%</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0.55%</w:t>
            </w:r>
          </w:p>
        </w:tc>
      </w:tr>
      <w:tr>
        <w:tblPrEx>
          <w:tblW w:w="5000" w:type="pct"/>
          <w:jc w:val="center"/>
          <w:tblLayout w:type="fixed"/>
          <w:tblCellMar>
            <w:top w:w="0" w:type="dxa"/>
            <w:left w:w="108" w:type="dxa"/>
            <w:bottom w:w="0" w:type="dxa"/>
            <w:right w:w="108" w:type="dxa"/>
          </w:tblCellMar>
        </w:tblPrEx>
        <w:trPr>
          <w:jc w:val="center"/>
        </w:trPr>
        <w:tc>
          <w:tcPr>
            <w:tcW w:w="3125"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1000万元（含）-5000万元</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0.5%</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0.25%</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0.35%</w:t>
            </w:r>
          </w:p>
        </w:tc>
      </w:tr>
      <w:tr>
        <w:tblPrEx>
          <w:tblW w:w="5000" w:type="pct"/>
          <w:jc w:val="center"/>
          <w:tblLayout w:type="fixed"/>
          <w:tblCellMar>
            <w:top w:w="0" w:type="dxa"/>
            <w:left w:w="108" w:type="dxa"/>
            <w:bottom w:w="0" w:type="dxa"/>
            <w:right w:w="108" w:type="dxa"/>
          </w:tblCellMar>
        </w:tblPrEx>
        <w:trPr>
          <w:jc w:val="center"/>
        </w:trPr>
        <w:tc>
          <w:tcPr>
            <w:tcW w:w="3125"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5000万元（含）-1亿元</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0.25%</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0.1%</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0.2%</w:t>
            </w:r>
          </w:p>
        </w:tc>
      </w:tr>
      <w:tr>
        <w:tblPrEx>
          <w:tblW w:w="5000" w:type="pct"/>
          <w:jc w:val="center"/>
          <w:tblLayout w:type="fixed"/>
          <w:tblCellMar>
            <w:top w:w="0" w:type="dxa"/>
            <w:left w:w="108" w:type="dxa"/>
            <w:bottom w:w="0" w:type="dxa"/>
            <w:right w:w="108" w:type="dxa"/>
          </w:tblCellMar>
        </w:tblPrEx>
        <w:trPr>
          <w:jc w:val="center"/>
        </w:trPr>
        <w:tc>
          <w:tcPr>
            <w:tcW w:w="3125"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1亿元（含）-5亿元</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0.05%</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0.05%</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0.05%</w:t>
            </w:r>
          </w:p>
        </w:tc>
      </w:tr>
      <w:tr>
        <w:tblPrEx>
          <w:tblW w:w="5000" w:type="pct"/>
          <w:jc w:val="center"/>
          <w:tblLayout w:type="fixed"/>
          <w:tblCellMar>
            <w:top w:w="0" w:type="dxa"/>
            <w:left w:w="108" w:type="dxa"/>
            <w:bottom w:w="0" w:type="dxa"/>
            <w:right w:w="108" w:type="dxa"/>
          </w:tblCellMar>
        </w:tblPrEx>
        <w:trPr>
          <w:jc w:val="center"/>
        </w:trPr>
        <w:tc>
          <w:tcPr>
            <w:tcW w:w="3125"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5亿元（含）-10亿元</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0.035%</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0.035%</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0.035%</w:t>
            </w:r>
          </w:p>
        </w:tc>
      </w:tr>
      <w:tr>
        <w:tblPrEx>
          <w:tblW w:w="5000" w:type="pct"/>
          <w:jc w:val="center"/>
          <w:tblLayout w:type="fixed"/>
          <w:tblCellMar>
            <w:top w:w="0" w:type="dxa"/>
            <w:left w:w="108" w:type="dxa"/>
            <w:bottom w:w="0" w:type="dxa"/>
            <w:right w:w="108" w:type="dxa"/>
          </w:tblCellMar>
        </w:tblPrEx>
        <w:trPr>
          <w:jc w:val="center"/>
        </w:trPr>
        <w:tc>
          <w:tcPr>
            <w:tcW w:w="3125"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10亿元（含）-50亿元</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0.008%</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0.008%</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0.008%</w:t>
            </w:r>
          </w:p>
        </w:tc>
      </w:tr>
      <w:tr>
        <w:tblPrEx>
          <w:tblW w:w="5000" w:type="pct"/>
          <w:jc w:val="center"/>
          <w:tblLayout w:type="fixed"/>
          <w:tblCellMar>
            <w:top w:w="0" w:type="dxa"/>
            <w:left w:w="108" w:type="dxa"/>
            <w:bottom w:w="0" w:type="dxa"/>
            <w:right w:w="108" w:type="dxa"/>
          </w:tblCellMar>
        </w:tblPrEx>
        <w:trPr>
          <w:jc w:val="center"/>
        </w:trPr>
        <w:tc>
          <w:tcPr>
            <w:tcW w:w="3125"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50亿元（含）-100亿元</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0.006%</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0.006%</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0.006%</w:t>
            </w:r>
          </w:p>
        </w:tc>
      </w:tr>
      <w:tr>
        <w:tblPrEx>
          <w:tblW w:w="5000" w:type="pct"/>
          <w:jc w:val="center"/>
          <w:tblLayout w:type="fixed"/>
          <w:tblCellMar>
            <w:top w:w="0" w:type="dxa"/>
            <w:left w:w="108" w:type="dxa"/>
            <w:bottom w:w="0" w:type="dxa"/>
            <w:right w:w="108" w:type="dxa"/>
          </w:tblCellMar>
        </w:tblPrEx>
        <w:trPr>
          <w:jc w:val="center"/>
        </w:trPr>
        <w:tc>
          <w:tcPr>
            <w:tcW w:w="3125"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100亿元（含）以上</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0.004%</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0.004%</w:t>
            </w:r>
          </w:p>
        </w:tc>
        <w:tc>
          <w:tcPr>
            <w:tcW w:w="1799" w:type="dxa"/>
            <w:noWrap w:val="0"/>
            <w:vAlign w:val="center"/>
          </w:tcPr>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0.004%</w:t>
            </w:r>
          </w:p>
        </w:tc>
      </w:tr>
    </w:tbl>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备注：1.每宗交易代理服务费不低于 5000 元；</w:t>
      </w:r>
    </w:p>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2.对于报总价的采购类项目，中标（成交）价为中标（成交）金额；对于报单价或折扣或费率的采购类项目，中标（成交）价为预算上限金额或经委托方与代理方确定的支付上限金额。</w:t>
      </w:r>
    </w:p>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如某货物采购项目，中标（成交）金额为600万元，总共交纳的代理服务费的具体计算过程如下：</w:t>
      </w:r>
    </w:p>
    <w:p>
      <w:pPr>
        <w:widowControl/>
        <w:ind w:firstLine="420"/>
        <w:jc w:val="lef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标准代理服务费＝（100万以下部分的代理服务费）+（100万～500万部分的代理服务费）+（500万～600万部分的代理服务费）＝100万元×1.5%+（500-100）万元×1.1%+（600-500）万元×0.8%=1.5万元+4.4万元+0.8万元＝6.7万元</w:t>
      </w:r>
    </w:p>
    <w:p>
      <w:pPr>
        <w:widowControl/>
        <w:ind w:firstLine="420"/>
        <w:jc w:val="left"/>
        <w:rPr>
          <w:rFonts w:ascii="宋体" w:eastAsia="黑体" w:hAnsi="宋体" w:hint="eastAsia"/>
          <w:bCs/>
          <w:kern w:val="44"/>
          <w:sz w:val="21"/>
          <w:szCs w:val="21"/>
          <w:lang w:eastAsia="zh-CN"/>
        </w:rPr>
      </w:pPr>
      <w:r>
        <w:rPr>
          <w:rFonts w:ascii="宋体" w:eastAsia="宋体" w:hAnsi="宋体" w:cs="Times New Roman" w:hint="eastAsia"/>
          <w:color w:val="FF0000"/>
          <w:kern w:val="2"/>
          <w:sz w:val="21"/>
          <w:szCs w:val="21"/>
          <w:lang w:eastAsia="zh-CN"/>
        </w:rPr>
        <w:t>（3）中标（成交）供应商成交后，必须按规定采用银行对公转账方式向深圳交易集团有限公司直接交纳代理服务费，交纳信息及要求按照缴款（付款）通知书执行。</w:t>
      </w:r>
    </w:p>
    <w:p>
      <w:pPr>
        <w:widowControl/>
        <w:ind w:firstLine="420"/>
        <w:jc w:val="left"/>
        <w:rPr>
          <w:rFonts w:ascii="宋体" w:eastAsia="宋体" w:hAnsi="宋体" w:hint="eastAsia"/>
          <w:color w:val="FF0000"/>
          <w:kern w:val="2"/>
          <w:sz w:val="21"/>
          <w:szCs w:val="21"/>
          <w:lang w:eastAsia="zh-CN"/>
        </w:rPr>
      </w:pPr>
    </w:p>
    <w:p>
      <w:pPr>
        <w:widowControl/>
        <w:ind w:firstLine="420"/>
        <w:jc w:val="left"/>
        <w:rPr>
          <w:rFonts w:ascii="宋体" w:eastAsia="黑体" w:hAnsi="宋体" w:hint="eastAsia"/>
          <w:bCs/>
          <w:kern w:val="44"/>
          <w:sz w:val="21"/>
          <w:szCs w:val="21"/>
          <w:lang w:eastAsia="zh-CN"/>
        </w:rPr>
      </w:pPr>
    </w:p>
    <w:p>
      <w:pPr>
        <w:widowControl/>
        <w:jc w:val="center"/>
        <w:rPr>
          <w:rFonts w:ascii="宋体" w:eastAsia="宋体" w:hAnsi="宋体" w:hint="eastAsia"/>
          <w:b/>
          <w:bCs/>
          <w:sz w:val="28"/>
          <w:szCs w:val="28"/>
          <w:lang w:eastAsia="zh-CN"/>
        </w:rPr>
      </w:pPr>
      <w:r>
        <w:rPr>
          <w:rFonts w:ascii="宋体" w:eastAsia="黑体" w:hAnsi="宋体"/>
          <w:bCs/>
          <w:kern w:val="44"/>
          <w:sz w:val="28"/>
          <w:szCs w:val="44"/>
          <w:lang w:eastAsia="zh-CN"/>
        </w:rPr>
        <w:br w:type="page"/>
      </w:r>
      <w:r>
        <w:rPr>
          <w:rFonts w:ascii="宋体" w:eastAsia="宋体" w:hAnsi="宋体" w:hint="eastAsia"/>
          <w:b/>
          <w:bCs/>
          <w:sz w:val="28"/>
          <w:szCs w:val="28"/>
          <w:lang w:eastAsia="zh-CN"/>
        </w:rPr>
        <w:t>第三章 用户需求书</w:t>
      </w:r>
    </w:p>
    <w:p>
      <w:pPr>
        <w:keepNext/>
        <w:keepLines/>
        <w:widowControl w:val="0"/>
        <w:tabs>
          <w:tab w:val="left" w:pos="1680"/>
        </w:tabs>
        <w:spacing w:before="260" w:after="60" w:afterLines="25"/>
        <w:jc w:val="center"/>
        <w:outlineLvl w:val="2"/>
        <w:rPr>
          <w:rFonts w:ascii="Arial" w:eastAsia="宋体" w:hAnsi="Arial"/>
          <w:b/>
          <w:kern w:val="2"/>
          <w:sz w:val="32"/>
          <w:szCs w:val="32"/>
          <w:lang w:eastAsia="zh-CN"/>
        </w:rPr>
      </w:pPr>
      <w:r>
        <w:rPr>
          <w:rFonts w:ascii="Arial" w:eastAsia="宋体" w:hAnsi="Arial" w:hint="eastAsia"/>
          <w:b/>
          <w:kern w:val="2"/>
          <w:sz w:val="32"/>
          <w:szCs w:val="32"/>
          <w:lang w:eastAsia="zh-CN"/>
        </w:rPr>
        <w:t>一、项目基本信息</w:t>
      </w:r>
    </w:p>
    <w:tbl>
      <w:tblPr>
        <w:tblStyle w:val="TableNormal"/>
        <w:tblW w:w="5000" w:type="pct"/>
        <w:jc w:val="center"/>
        <w:tblLayout w:type="fixed"/>
        <w:tblCellMar>
          <w:top w:w="15" w:type="dxa"/>
          <w:left w:w="15" w:type="dxa"/>
          <w:bottom w:w="15" w:type="dxa"/>
          <w:right w:w="15" w:type="dxa"/>
        </w:tblCellMar>
      </w:tblPr>
      <w:tblGrid>
        <w:gridCol w:w="690"/>
        <w:gridCol w:w="2614"/>
        <w:gridCol w:w="2821"/>
        <w:gridCol w:w="2545"/>
      </w:tblGrid>
      <w:tr>
        <w:tblPrEx>
          <w:tblW w:w="5000" w:type="pct"/>
          <w:jc w:val="center"/>
          <w:tblLayout w:type="fixed"/>
          <w:tblCellMar>
            <w:top w:w="15" w:type="dxa"/>
            <w:left w:w="15" w:type="dxa"/>
            <w:bottom w:w="15" w:type="dxa"/>
            <w:right w:w="15" w:type="dxa"/>
          </w:tblCellMar>
        </w:tblPrEx>
        <w:trPr>
          <w:trHeight w:val="552"/>
          <w:jc w:val="center"/>
        </w:trPr>
        <w:tc>
          <w:tcPr>
            <w:tcW w:w="710" w:type="dxa"/>
            <w:tcBorders>
              <w:top w:val="single" w:sz="4" w:space="0" w:color="000000"/>
              <w:left w:val="single" w:sz="4" w:space="0" w:color="000000"/>
              <w:bottom w:val="single" w:sz="4" w:space="0" w:color="000000"/>
              <w:right w:val="single" w:sz="4" w:space="0" w:color="auto"/>
            </w:tcBorders>
            <w:shd w:val="clear" w:color="auto" w:fill="C6D9F0"/>
            <w:noWrap w:val="0"/>
            <w:vAlign w:val="center"/>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序号</w:t>
            </w:r>
          </w:p>
        </w:tc>
        <w:tc>
          <w:tcPr>
            <w:tcW w:w="2693" w:type="dxa"/>
            <w:tcBorders>
              <w:top w:val="single" w:sz="4" w:space="0" w:color="000000"/>
              <w:left w:val="single" w:sz="4" w:space="0" w:color="auto"/>
              <w:bottom w:val="single" w:sz="4" w:space="0" w:color="000000"/>
              <w:right w:val="single" w:sz="4" w:space="0" w:color="000000"/>
            </w:tcBorders>
            <w:shd w:val="clear" w:color="auto" w:fill="C6D9F0"/>
            <w:noWrap w:val="0"/>
            <w:vAlign w:val="center"/>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项目编号</w:t>
            </w:r>
          </w:p>
        </w:tc>
        <w:tc>
          <w:tcPr>
            <w:tcW w:w="2906" w:type="dxa"/>
            <w:tcBorders>
              <w:top w:val="single" w:sz="4" w:space="0" w:color="000000"/>
              <w:left w:val="single" w:sz="4" w:space="0" w:color="000000"/>
              <w:bottom w:val="single" w:sz="4" w:space="0" w:color="000000"/>
              <w:right w:val="single" w:sz="4" w:space="0" w:color="000000"/>
            </w:tcBorders>
            <w:shd w:val="clear" w:color="auto" w:fill="C6D9F0"/>
            <w:noWrap w:val="0"/>
            <w:vAlign w:val="center"/>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采购项目名称</w:t>
            </w:r>
          </w:p>
        </w:tc>
        <w:tc>
          <w:tcPr>
            <w:tcW w:w="2622" w:type="dxa"/>
            <w:tcBorders>
              <w:top w:val="single" w:sz="4" w:space="0" w:color="000000"/>
              <w:left w:val="single" w:sz="4" w:space="0" w:color="000000"/>
              <w:bottom w:val="single" w:sz="4" w:space="0" w:color="000000"/>
              <w:right w:val="single" w:sz="4" w:space="0" w:color="000000"/>
            </w:tcBorders>
            <w:shd w:val="clear" w:color="auto" w:fill="C6D9F0"/>
            <w:noWrap w:val="0"/>
            <w:vAlign w:val="center"/>
          </w:tcPr>
          <w:p>
            <w:pPr>
              <w:widowControl w:val="0"/>
              <w:jc w:val="center"/>
              <w:rPr>
                <w:rFonts w:ascii="Calibri" w:eastAsia="宋体" w:hAnsi="Calibri"/>
                <w:kern w:val="2"/>
                <w:sz w:val="21"/>
                <w:szCs w:val="22"/>
                <w:lang w:eastAsia="zh-CN"/>
              </w:rPr>
            </w:pPr>
            <w:r>
              <w:rPr>
                <w:rFonts w:ascii="宋体" w:eastAsia="宋体" w:hAnsi="宋体" w:cs="Times New Roman" w:hint="eastAsia"/>
                <w:kern w:val="2"/>
                <w:lang w:eastAsia="zh-CN"/>
              </w:rPr>
              <w:t>财政预算限额（元）</w:t>
            </w:r>
          </w:p>
        </w:tc>
      </w:tr>
      <w:tr>
        <w:tblPrEx>
          <w:tblW w:w="5000" w:type="pct"/>
          <w:jc w:val="center"/>
          <w:tblLayout w:type="fixed"/>
          <w:tblCellMar>
            <w:top w:w="15" w:type="dxa"/>
            <w:left w:w="15" w:type="dxa"/>
            <w:bottom w:w="15" w:type="dxa"/>
            <w:right w:w="15" w:type="dxa"/>
          </w:tblCellMar>
        </w:tblPrEx>
        <w:trPr>
          <w:trHeight w:val="286"/>
          <w:jc w:val="center"/>
        </w:trPr>
        <w:tc>
          <w:tcPr>
            <w:tcW w:w="710" w:type="dxa"/>
            <w:tcBorders>
              <w:top w:val="single" w:sz="4" w:space="0" w:color="000000"/>
              <w:left w:val="single" w:sz="4" w:space="0" w:color="000000"/>
              <w:bottom w:val="single" w:sz="4" w:space="0" w:color="000000"/>
              <w:right w:val="single" w:sz="4" w:space="0" w:color="auto"/>
            </w:tcBorders>
            <w:noWrap w:val="0"/>
            <w:vAlign w:val="center"/>
          </w:tcPr>
          <w:p>
            <w:pPr>
              <w:widowControl w:val="0"/>
              <w:jc w:val="center"/>
              <w:rPr>
                <w:rFonts w:ascii="宋体" w:eastAsia="宋体" w:hAnsi="宋体" w:hint="eastAsia"/>
                <w:kern w:val="2"/>
                <w:lang w:eastAsia="zh-CN"/>
              </w:rPr>
            </w:pPr>
            <w:r>
              <w:rPr>
                <w:rFonts w:ascii="宋体" w:eastAsia="宋体" w:hAnsi="宋体" w:cs="Times New Roman" w:hint="eastAsia"/>
                <w:kern w:val="2"/>
                <w:lang w:eastAsia="zh-CN"/>
              </w:rPr>
              <w:t>1</w:t>
            </w:r>
          </w:p>
        </w:tc>
        <w:tc>
          <w:tcPr>
            <w:tcW w:w="2693" w:type="dxa"/>
            <w:tcBorders>
              <w:top w:val="single" w:sz="4" w:space="0" w:color="000000"/>
              <w:left w:val="single" w:sz="4" w:space="0" w:color="auto"/>
              <w:bottom w:val="single" w:sz="4" w:space="0" w:color="000000"/>
              <w:right w:val="single" w:sz="4" w:space="0" w:color="000000"/>
            </w:tcBorders>
            <w:noWrap w:val="0"/>
            <w:vAlign w:val="center"/>
          </w:tcPr>
          <w:p>
            <w:pPr>
              <w:widowControl w:val="0"/>
              <w:jc w:val="center"/>
              <w:rPr>
                <w:rFonts w:ascii="宋体" w:eastAsia="宋体" w:hAnsi="宋体" w:hint="default"/>
                <w:kern w:val="2"/>
                <w:lang w:val="en-US" w:eastAsia="zh-CN"/>
              </w:rPr>
            </w:pPr>
            <w:r>
              <w:rPr>
                <w:rFonts w:ascii="宋体" w:eastAsia="宋体" w:hAnsi="宋体" w:cs="Times New Roman"/>
                <w:kern w:val="2"/>
                <w:lang w:eastAsia="zh-CN"/>
              </w:rPr>
              <w:t>LHAZXCG-2025-000</w:t>
            </w:r>
            <w:r>
              <w:rPr>
                <w:rFonts w:ascii="宋体" w:eastAsia="宋体" w:hAnsi="宋体" w:cs="Times New Roman" w:hint="eastAsia"/>
                <w:kern w:val="2"/>
                <w:lang w:eastAsia="zh-CN"/>
              </w:rPr>
              <w:t>3</w:t>
            </w:r>
            <w:r>
              <w:rPr>
                <w:rFonts w:ascii="宋体" w:eastAsia="宋体" w:hAnsi="宋体" w:cs="Times New Roman" w:hint="eastAsia"/>
                <w:kern w:val="2"/>
                <w:lang w:val="en-US" w:eastAsia="zh-CN"/>
              </w:rPr>
              <w:t>9</w:t>
            </w:r>
          </w:p>
        </w:tc>
        <w:tc>
          <w:tcPr>
            <w:tcW w:w="2906" w:type="dxa"/>
            <w:tcBorders>
              <w:top w:val="single" w:sz="4" w:space="0" w:color="000000"/>
              <w:left w:val="single" w:sz="4" w:space="0" w:color="000000"/>
              <w:right w:val="single" w:sz="4" w:space="0" w:color="000000"/>
            </w:tcBorders>
            <w:noWrap w:val="0"/>
            <w:vAlign w:val="center"/>
          </w:tcPr>
          <w:p>
            <w:pPr>
              <w:widowControl w:val="0"/>
              <w:jc w:val="center"/>
              <w:rPr>
                <w:rFonts w:ascii="Calibri" w:eastAsia="宋体" w:hAnsi="Calibri" w:hint="eastAsia"/>
                <w:kern w:val="2"/>
                <w:sz w:val="21"/>
                <w:szCs w:val="22"/>
                <w:lang w:eastAsia="zh-CN"/>
              </w:rPr>
            </w:pPr>
            <w:r>
              <w:rPr>
                <w:rFonts w:ascii="Calibri" w:eastAsia="宋体" w:hAnsi="Calibri" w:cs="Times New Roman" w:hint="eastAsia"/>
                <w:kern w:val="2"/>
                <w:sz w:val="21"/>
                <w:szCs w:val="22"/>
                <w:lang w:eastAsia="zh-CN"/>
              </w:rPr>
              <w:t>龙华区民治第三幼教集团世纪春城幼儿园班级教玩具采购</w:t>
            </w:r>
          </w:p>
        </w:tc>
        <w:tc>
          <w:tcPr>
            <w:tcW w:w="2622" w:type="dxa"/>
            <w:vMerge w:val="restart"/>
            <w:tcBorders>
              <w:top w:val="single" w:sz="4" w:space="0" w:color="000000"/>
              <w:left w:val="single" w:sz="4" w:space="0" w:color="000000"/>
              <w:right w:val="single" w:sz="4" w:space="0" w:color="000000"/>
            </w:tcBorders>
            <w:noWrap w:val="0"/>
            <w:vAlign w:val="center"/>
          </w:tcPr>
          <w:p>
            <w:pPr>
              <w:widowControl w:val="0"/>
              <w:jc w:val="center"/>
              <w:rPr>
                <w:rFonts w:ascii="宋体" w:eastAsia="宋体" w:hAnsi="宋体"/>
                <w:kern w:val="2"/>
                <w:lang w:eastAsia="zh-CN"/>
              </w:rPr>
            </w:pPr>
            <w:r>
              <w:rPr>
                <w:rFonts w:ascii="宋体" w:eastAsia="宋体" w:hAnsi="宋体" w:cs="Times New Roman" w:hint="eastAsia"/>
                <w:kern w:val="2"/>
                <w:lang w:eastAsia="zh-CN"/>
              </w:rPr>
              <w:t>398520.00</w:t>
            </w:r>
          </w:p>
        </w:tc>
      </w:tr>
      <w:tr>
        <w:tblPrEx>
          <w:tblW w:w="5000" w:type="pct"/>
          <w:jc w:val="center"/>
          <w:tblLayout w:type="fixed"/>
          <w:tblCellMar>
            <w:top w:w="15" w:type="dxa"/>
            <w:left w:w="15" w:type="dxa"/>
            <w:bottom w:w="15" w:type="dxa"/>
            <w:right w:w="15" w:type="dxa"/>
          </w:tblCellMar>
        </w:tblPrEx>
        <w:trPr>
          <w:trHeight w:val="172"/>
          <w:jc w:val="center"/>
        </w:trPr>
        <w:tc>
          <w:tcPr>
            <w:tcW w:w="6309" w:type="dxa"/>
            <w:gridSpan w:val="3"/>
            <w:tcBorders>
              <w:top w:val="single" w:sz="4" w:space="0" w:color="000000"/>
              <w:left w:val="single" w:sz="4" w:space="0" w:color="000000"/>
              <w:bottom w:val="single" w:sz="4" w:space="0" w:color="auto"/>
              <w:right w:val="single" w:sz="4" w:space="0" w:color="000000"/>
            </w:tcBorders>
            <w:noWrap w:val="0"/>
            <w:vAlign w:val="center"/>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合计（元）</w:t>
            </w:r>
          </w:p>
        </w:tc>
        <w:tc>
          <w:tcPr>
            <w:tcW w:w="2622" w:type="dxa"/>
            <w:vMerge/>
            <w:tcBorders>
              <w:left w:val="single" w:sz="4" w:space="0" w:color="000000"/>
              <w:bottom w:val="single" w:sz="4" w:space="0" w:color="auto"/>
              <w:right w:val="single" w:sz="4" w:space="0" w:color="000000"/>
            </w:tcBorders>
            <w:noWrap w:val="0"/>
            <w:vAlign w:val="center"/>
          </w:tcPr>
          <w:p>
            <w:pPr>
              <w:widowControl w:val="0"/>
              <w:jc w:val="center"/>
              <w:rPr>
                <w:rFonts w:ascii="宋体" w:eastAsia="宋体" w:hAnsi="宋体" w:hint="eastAsia"/>
                <w:kern w:val="2"/>
                <w:lang w:eastAsia="zh-CN"/>
              </w:rPr>
            </w:pPr>
          </w:p>
        </w:tc>
      </w:tr>
    </w:tbl>
    <w:p>
      <w:pPr>
        <w:widowControl w:val="0"/>
        <w:jc w:val="both"/>
        <w:rPr>
          <w:rFonts w:ascii="Calibri" w:eastAsia="宋体" w:hAnsi="Calibri"/>
          <w:kern w:val="2"/>
          <w:lang w:eastAsia="zh-CN"/>
        </w:rPr>
      </w:pPr>
      <w:r>
        <w:rPr>
          <w:rFonts w:ascii="Arial" w:eastAsia="宋体" w:hAnsi="Arial" w:hint="eastAsia"/>
          <w:b/>
          <w:color w:val="FF0000"/>
          <w:kern w:val="2"/>
          <w:lang w:eastAsia="zh-CN"/>
        </w:rPr>
        <w:t>本项目控制金额为人民币398520.00元，投标报价超出控制金额将作投标无效处理。</w:t>
      </w:r>
    </w:p>
    <w:p>
      <w:pPr>
        <w:keepNext/>
        <w:keepLines/>
        <w:widowControl w:val="0"/>
        <w:numPr>
          <w:ilvl w:val="0"/>
          <w:numId w:val="1"/>
        </w:numPr>
        <w:tabs>
          <w:tab w:val="left" w:pos="1680"/>
        </w:tabs>
        <w:spacing w:before="260" w:after="60" w:afterLines="25"/>
        <w:jc w:val="center"/>
        <w:outlineLvl w:val="2"/>
        <w:rPr>
          <w:rFonts w:ascii="Arial" w:eastAsia="宋体" w:hAnsi="Arial" w:hint="eastAsia"/>
          <w:b/>
          <w:kern w:val="2"/>
          <w:sz w:val="32"/>
          <w:szCs w:val="32"/>
          <w:lang w:eastAsia="zh-CN"/>
        </w:rPr>
      </w:pPr>
      <w:r>
        <w:rPr>
          <w:rFonts w:ascii="Arial" w:eastAsia="宋体" w:hAnsi="Arial" w:hint="eastAsia"/>
          <w:b/>
          <w:color w:val="FF0000"/>
          <w:kern w:val="2"/>
          <w:sz w:val="32"/>
          <w:szCs w:val="32"/>
          <w:lang w:eastAsia="zh-CN"/>
        </w:rPr>
        <w:t>★</w:t>
      </w:r>
      <w:r>
        <w:rPr>
          <w:rFonts w:ascii="Arial" w:eastAsia="宋体" w:hAnsi="Arial" w:hint="eastAsia"/>
          <w:b/>
          <w:kern w:val="2"/>
          <w:sz w:val="32"/>
          <w:szCs w:val="32"/>
          <w:lang w:eastAsia="zh-CN"/>
        </w:rPr>
        <w:t>货物需求明细</w:t>
      </w:r>
    </w:p>
    <w:p>
      <w:pPr>
        <w:keepNext/>
        <w:keepLines/>
        <w:widowControl w:val="0"/>
        <w:numPr>
          <w:ilvl w:val="0"/>
          <w:numId w:val="0"/>
        </w:numPr>
        <w:tabs>
          <w:tab w:val="left" w:pos="1680"/>
        </w:tabs>
        <w:spacing w:before="260" w:after="60" w:afterLines="25"/>
        <w:jc w:val="both"/>
        <w:outlineLvl w:val="2"/>
        <w:rPr>
          <w:rFonts w:ascii="Arial" w:eastAsia="宋体" w:hAnsi="Arial" w:hint="eastAsia"/>
          <w:b/>
          <w:color w:val="FF0000"/>
          <w:kern w:val="2"/>
          <w:sz w:val="32"/>
          <w:szCs w:val="32"/>
          <w:lang w:eastAsia="zh-CN"/>
        </w:rPr>
      </w:pPr>
    </w:p>
    <w:p>
      <w:pPr>
        <w:keepNext/>
        <w:keepLines/>
        <w:widowControl w:val="0"/>
        <w:numPr>
          <w:ilvl w:val="0"/>
          <w:numId w:val="0"/>
        </w:numPr>
        <w:tabs>
          <w:tab w:val="left" w:pos="1680"/>
        </w:tabs>
        <w:spacing w:before="260" w:after="60" w:afterLines="25"/>
        <w:jc w:val="both"/>
        <w:outlineLvl w:val="2"/>
        <w:rPr>
          <w:rFonts w:ascii="宋体" w:eastAsia="宋体" w:hAnsi="宋体" w:cs="宋体" w:hint="eastAsia"/>
          <w:b/>
          <w:color w:val="FF0000"/>
          <w:kern w:val="2"/>
          <w:sz w:val="28"/>
          <w:szCs w:val="28"/>
          <w:u w:val="none"/>
          <w:lang w:val="en-US" w:eastAsia="zh-CN"/>
        </w:rPr>
      </w:pPr>
      <w:r>
        <w:rPr>
          <w:rFonts w:ascii="宋体" w:eastAsia="宋体" w:hAnsi="宋体" w:cs="宋体" w:hint="eastAsia"/>
          <w:b/>
          <w:color w:val="FF0000"/>
          <w:kern w:val="2"/>
          <w:sz w:val="28"/>
          <w:szCs w:val="28"/>
          <w:u w:val="none"/>
          <w:lang w:val="en-US" w:eastAsia="zh-CN"/>
        </w:rPr>
        <w:t>1.</w:t>
      </w:r>
      <w:r>
        <w:rPr>
          <w:rFonts w:ascii="宋体" w:eastAsia="宋体" w:hAnsi="宋体" w:cs="宋体" w:hint="eastAsia"/>
          <w:b/>
          <w:color w:val="FF0000"/>
          <w:kern w:val="2"/>
          <w:sz w:val="28"/>
          <w:szCs w:val="28"/>
          <w:u w:val="none"/>
          <w:lang w:eastAsia="zh-CN"/>
        </w:rPr>
        <w:t>本项目核心产品为：</w:t>
      </w:r>
      <w:r>
        <w:rPr>
          <w:rFonts w:ascii="宋体" w:eastAsia="宋体" w:hAnsi="宋体" w:cs="宋体" w:hint="eastAsia"/>
          <w:b/>
          <w:color w:val="FF0000"/>
          <w:kern w:val="2"/>
          <w:sz w:val="28"/>
          <w:szCs w:val="28"/>
          <w:u w:val="single"/>
          <w:lang w:eastAsia="zh-CN"/>
        </w:rPr>
        <w:t xml:space="preserve"> 轨道小镇</w:t>
      </w:r>
      <w:r>
        <w:rPr>
          <w:rFonts w:ascii="宋体" w:eastAsia="宋体" w:hAnsi="宋体" w:cs="宋体" w:hint="eastAsia"/>
          <w:b/>
          <w:color w:val="FF0000"/>
          <w:kern w:val="2"/>
          <w:sz w:val="28"/>
          <w:szCs w:val="28"/>
          <w:u w:val="single"/>
          <w:lang w:val="en-US" w:eastAsia="zh-CN"/>
        </w:rPr>
        <w:t xml:space="preserve">   </w:t>
      </w:r>
    </w:p>
    <w:p>
      <w:pPr>
        <w:keepNext/>
        <w:keepLines/>
        <w:widowControl w:val="0"/>
        <w:numPr>
          <w:ilvl w:val="0"/>
          <w:numId w:val="0"/>
        </w:numPr>
        <w:tabs>
          <w:tab w:val="left" w:pos="1680"/>
        </w:tabs>
        <w:spacing w:before="260" w:after="60" w:afterLines="25"/>
        <w:jc w:val="both"/>
        <w:outlineLvl w:val="2"/>
        <w:rPr>
          <w:rFonts w:ascii="宋体" w:eastAsia="宋体" w:hAnsi="宋体" w:cs="宋体" w:hint="eastAsia"/>
          <w:b/>
          <w:color w:val="FF0000"/>
          <w:kern w:val="2"/>
          <w:sz w:val="28"/>
          <w:szCs w:val="28"/>
          <w:u w:val="none"/>
          <w:lang w:val="en-US" w:eastAsia="zh-CN"/>
        </w:rPr>
      </w:pPr>
      <w:r>
        <w:rPr>
          <w:rFonts w:ascii="宋体" w:eastAsia="宋体" w:hAnsi="宋体" w:cs="宋体" w:hint="eastAsia"/>
          <w:b/>
          <w:color w:val="FF0000"/>
          <w:kern w:val="2"/>
          <w:sz w:val="28"/>
          <w:szCs w:val="28"/>
          <w:u w:val="none"/>
          <w:lang w:val="en-US" w:eastAsia="zh-CN"/>
        </w:rPr>
        <w:t>2.是否专门面向中小企业：否</w:t>
      </w:r>
    </w:p>
    <w:p>
      <w:pPr>
        <w:keepNext/>
        <w:keepLines/>
        <w:widowControl w:val="0"/>
        <w:numPr>
          <w:ilvl w:val="0"/>
          <w:numId w:val="0"/>
        </w:numPr>
        <w:tabs>
          <w:tab w:val="left" w:pos="1680"/>
        </w:tabs>
        <w:spacing w:before="260" w:after="60" w:afterLines="25"/>
        <w:jc w:val="both"/>
        <w:outlineLvl w:val="2"/>
        <w:rPr>
          <w:rFonts w:ascii="宋体" w:eastAsia="宋体" w:hAnsi="宋体" w:cs="宋体" w:hint="eastAsia"/>
          <w:b/>
          <w:color w:val="FF0000"/>
          <w:kern w:val="2"/>
          <w:sz w:val="28"/>
          <w:szCs w:val="28"/>
          <w:u w:val="none"/>
          <w:lang w:val="en-US" w:eastAsia="zh-CN"/>
        </w:rPr>
      </w:pPr>
      <w:r>
        <w:rPr>
          <w:rFonts w:ascii="宋体" w:eastAsia="宋体" w:hAnsi="宋体" w:cs="宋体" w:hint="eastAsia"/>
          <w:b/>
          <w:color w:val="FF0000"/>
          <w:kern w:val="2"/>
          <w:sz w:val="28"/>
          <w:szCs w:val="28"/>
          <w:u w:val="none"/>
          <w:lang w:val="en-US" w:eastAsia="zh-CN"/>
        </w:rPr>
        <w:t>3.标的所属行业：工业</w:t>
      </w:r>
    </w:p>
    <w:p>
      <w:pPr>
        <w:keepNext/>
        <w:keepLines/>
        <w:widowControl w:val="0"/>
        <w:numPr>
          <w:ilvl w:val="0"/>
          <w:numId w:val="0"/>
        </w:numPr>
        <w:tabs>
          <w:tab w:val="left" w:pos="1680"/>
        </w:tabs>
        <w:spacing w:before="260" w:after="60" w:afterLines="25"/>
        <w:jc w:val="both"/>
        <w:outlineLvl w:val="2"/>
        <w:rPr>
          <w:rFonts w:ascii="宋体" w:eastAsia="宋体" w:hAnsi="宋体" w:cs="宋体" w:hint="eastAsia"/>
          <w:b/>
          <w:color w:val="FF0000"/>
          <w:kern w:val="2"/>
          <w:sz w:val="28"/>
          <w:szCs w:val="28"/>
          <w:u w:val="none"/>
          <w:lang w:val="en-US" w:eastAsia="zh-CN"/>
        </w:rPr>
      </w:pPr>
      <w:r>
        <w:rPr>
          <w:rFonts w:ascii="宋体" w:eastAsia="宋体" w:hAnsi="宋体" w:cs="宋体" w:hint="eastAsia"/>
          <w:b/>
          <w:color w:val="FF0000"/>
          <w:kern w:val="2"/>
          <w:sz w:val="28"/>
          <w:szCs w:val="28"/>
          <w:u w:val="none"/>
          <w:lang w:val="en-US" w:eastAsia="zh-CN"/>
        </w:rPr>
        <w:t>4.备注：拒绝进口</w:t>
      </w:r>
    </w:p>
    <w:tbl>
      <w:tblPr>
        <w:tblStyle w:val="TableNormal"/>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1476"/>
        <w:gridCol w:w="1476"/>
        <w:gridCol w:w="1476"/>
        <w:gridCol w:w="1476"/>
        <w:gridCol w:w="1476"/>
        <w:gridCol w:w="1476"/>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00"/>
        </w:trPr>
        <w:tc>
          <w:tcPr>
            <w:tcW w:w="3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ar"/>
              </w:rPr>
              <w:t>序号</w:t>
            </w:r>
          </w:p>
        </w:tc>
        <w:tc>
          <w:tcPr>
            <w:tcW w:w="360" w:type="dxa"/>
            <w:vMerge w:val="restart"/>
            <w:tcBorders>
              <w:top w:val="single" w:sz="8" w:space="0" w:color="000000"/>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ar"/>
              </w:rPr>
              <w:t>货物名称</w:t>
            </w:r>
          </w:p>
        </w:tc>
        <w:tc>
          <w:tcPr>
            <w:tcW w:w="360" w:type="dxa"/>
            <w:vMerge w:val="restart"/>
            <w:tcBorders>
              <w:top w:val="single" w:sz="8" w:space="0" w:color="000000"/>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ar"/>
              </w:rPr>
              <w:t>数量</w:t>
            </w:r>
          </w:p>
        </w:tc>
        <w:tc>
          <w:tcPr>
            <w:tcW w:w="360" w:type="dxa"/>
            <w:vMerge w:val="restart"/>
            <w:tcBorders>
              <w:top w:val="single" w:sz="8" w:space="0" w:color="000000"/>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ar"/>
              </w:rPr>
              <w:t>单位</w:t>
            </w:r>
          </w:p>
        </w:tc>
        <w:tc>
          <w:tcPr>
            <w:tcW w:w="720" w:type="dxa"/>
            <w:gridSpan w:val="2"/>
            <w:tcBorders>
              <w:top w:val="single" w:sz="8" w:space="0" w:color="000000"/>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ar"/>
              </w:rPr>
              <w:t>单价限额（元）</w:t>
            </w:r>
          </w:p>
        </w:tc>
      </w:tr>
      <w:tr>
        <w:tblPrEx>
          <w:tblW w:w="5000" w:type="pct"/>
          <w:tblInd w:w="0" w:type="dxa"/>
          <w:shd w:val="clear" w:color="auto" w:fill="auto"/>
          <w:tblLayout w:type="fixed"/>
          <w:tblCellMar>
            <w:top w:w="0" w:type="dxa"/>
            <w:left w:w="108" w:type="dxa"/>
            <w:bottom w:w="0" w:type="dxa"/>
            <w:right w:w="108" w:type="dxa"/>
          </w:tblCellMar>
        </w:tblPrEx>
        <w:trPr>
          <w:trHeight w:val="780"/>
        </w:trPr>
        <w:tc>
          <w:tcPr>
            <w:tcW w:w="3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i w:val="0"/>
                <w:iCs w:val="0"/>
                <w:color w:val="000000"/>
                <w:sz w:val="21"/>
                <w:szCs w:val="21"/>
                <w:u w:val="none"/>
              </w:rPr>
            </w:pPr>
          </w:p>
        </w:tc>
        <w:tc>
          <w:tcPr>
            <w:tcW w:w="360" w:type="dxa"/>
            <w:vMerge/>
            <w:tcBorders>
              <w:top w:val="single" w:sz="8" w:space="0" w:color="000000"/>
              <w:left w:val="nil"/>
              <w:bottom w:val="single" w:sz="8" w:space="0" w:color="000000"/>
              <w:right w:val="single" w:sz="8" w:space="0" w:color="000000"/>
            </w:tcBorders>
            <w:shd w:val="clear" w:color="auto" w:fill="auto"/>
            <w:vAlign w:val="center"/>
          </w:tcPr>
          <w:p>
            <w:pPr>
              <w:jc w:val="center"/>
              <w:rPr>
                <w:rFonts w:ascii="宋体" w:eastAsia="宋体" w:hAnsi="宋体" w:cs="宋体" w:hint="eastAsia"/>
                <w:i w:val="0"/>
                <w:iCs w:val="0"/>
                <w:color w:val="000000"/>
                <w:sz w:val="21"/>
                <w:szCs w:val="21"/>
                <w:u w:val="none"/>
              </w:rPr>
            </w:pPr>
          </w:p>
        </w:tc>
        <w:tc>
          <w:tcPr>
            <w:tcW w:w="360" w:type="dxa"/>
            <w:vMerge/>
            <w:tcBorders>
              <w:top w:val="single" w:sz="8" w:space="0" w:color="000000"/>
              <w:left w:val="nil"/>
              <w:bottom w:val="single" w:sz="8" w:space="0" w:color="000000"/>
              <w:right w:val="single" w:sz="8" w:space="0" w:color="000000"/>
            </w:tcBorders>
            <w:shd w:val="clear" w:color="auto" w:fill="auto"/>
            <w:vAlign w:val="center"/>
          </w:tcPr>
          <w:p>
            <w:pPr>
              <w:jc w:val="center"/>
              <w:rPr>
                <w:rFonts w:ascii="宋体" w:eastAsia="宋体" w:hAnsi="宋体" w:cs="宋体" w:hint="eastAsia"/>
                <w:i w:val="0"/>
                <w:iCs w:val="0"/>
                <w:color w:val="000000"/>
                <w:sz w:val="21"/>
                <w:szCs w:val="21"/>
                <w:u w:val="none"/>
              </w:rPr>
            </w:pPr>
          </w:p>
        </w:tc>
        <w:tc>
          <w:tcPr>
            <w:tcW w:w="360" w:type="dxa"/>
            <w:vMerge/>
            <w:tcBorders>
              <w:top w:val="single" w:sz="8" w:space="0" w:color="000000"/>
              <w:left w:val="nil"/>
              <w:bottom w:val="single" w:sz="8" w:space="0" w:color="000000"/>
              <w:right w:val="single" w:sz="8" w:space="0" w:color="000000"/>
            </w:tcBorders>
            <w:shd w:val="clear" w:color="auto" w:fill="auto"/>
            <w:vAlign w:val="center"/>
          </w:tcPr>
          <w:p>
            <w:pPr>
              <w:jc w:val="center"/>
              <w:rPr>
                <w:rFonts w:ascii="宋体" w:eastAsia="宋体" w:hAnsi="宋体" w:cs="宋体" w:hint="eastAsia"/>
                <w:i w:val="0"/>
                <w:iCs w:val="0"/>
                <w:color w:val="000000"/>
                <w:sz w:val="21"/>
                <w:szCs w:val="21"/>
                <w:u w:val="none"/>
              </w:rPr>
            </w:pP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ar"/>
              </w:rPr>
              <w:t>单价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ar"/>
              </w:rPr>
              <w:t>单项总额（单价乘以数量）</w:t>
            </w:r>
          </w:p>
        </w:tc>
      </w:tr>
      <w:tr>
        <w:tblPrEx>
          <w:tblW w:w="5000" w:type="pct"/>
          <w:tblInd w:w="0" w:type="dxa"/>
          <w:shd w:val="clear" w:color="auto" w:fill="auto"/>
          <w:tblLayout w:type="fixed"/>
          <w:tblCellMar>
            <w:top w:w="0" w:type="dxa"/>
            <w:left w:w="108" w:type="dxa"/>
            <w:bottom w:w="0" w:type="dxa"/>
            <w:right w:w="108" w:type="dxa"/>
          </w:tblCellMar>
        </w:tblPrEx>
        <w:trPr>
          <w:trHeight w:val="345"/>
        </w:trPr>
        <w:tc>
          <w:tcPr>
            <w:tcW w:w="2160" w:type="dxa"/>
            <w:gridSpan w:val="6"/>
            <w:tcBorders>
              <w:top w:val="nil"/>
              <w:left w:val="single" w:sz="8" w:space="0" w:color="000000"/>
              <w:bottom w:val="single" w:sz="8" w:space="0" w:color="000000"/>
              <w:right w:val="single" w:sz="8" w:space="0" w:color="000000"/>
            </w:tcBorders>
            <w:shd w:val="clear" w:color="auto" w:fill="auto"/>
            <w:vAlign w:val="top"/>
          </w:tcPr>
          <w:p>
            <w:pPr>
              <w:keepNext w:val="0"/>
              <w:keepLines w:val="0"/>
              <w:widowControl/>
              <w:suppressLineNumbers w:val="0"/>
              <w:jc w:val="center"/>
              <w:textAlignment w:val="top"/>
              <w:rPr>
                <w:rFonts w:ascii="微软雅黑" w:eastAsia="微软雅黑" w:hAnsi="微软雅黑" w:cs="微软雅黑"/>
                <w:b/>
                <w:bCs/>
                <w:i w:val="0"/>
                <w:iCs w:val="0"/>
                <w:color w:val="000000"/>
                <w:sz w:val="21"/>
                <w:szCs w:val="21"/>
                <w:u w:val="none"/>
              </w:rPr>
            </w:pPr>
            <w:r>
              <w:rPr>
                <w:rFonts w:ascii="微软雅黑" w:eastAsia="微软雅黑" w:hAnsi="微软雅黑" w:cs="微软雅黑" w:hint="eastAsia"/>
                <w:b/>
                <w:bCs/>
                <w:i w:val="0"/>
                <w:iCs w:val="0"/>
                <w:color w:val="000000"/>
                <w:kern w:val="0"/>
                <w:sz w:val="21"/>
                <w:szCs w:val="21"/>
                <w:u w:val="none"/>
                <w:bdr w:val="none" w:sz="0" w:space="0" w:color="auto"/>
                <w:lang w:val="en-US" w:eastAsia="zh-CN" w:bidi="ar"/>
              </w:rPr>
              <w:t>天曜幼儿园</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1-10数字对对碰游戏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190</w:t>
            </w:r>
          </w:p>
        </w:tc>
        <w:tc>
          <w:tcPr>
            <w:tcW w:w="360" w:type="dxa"/>
            <w:tcBorders>
              <w:top w:val="single" w:sz="8" w:space="0" w:color="000000"/>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168片磁力片</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3D打印笔材料</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3D立体拼图 混款 浅色系</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LCD数字时钟 闹钟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爱生活中式早茶 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爱刷牙</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白医生角色服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百变穿线板积木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变脸魔方</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冰淇淋玩具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不织布忙碌板衣饰提包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彩盒 会飞的花朵-蝴蝶二标本</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彩盒 小蟋蟀成长记标本</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239</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彩盒 玉米是怎么发芽的标本</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239</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彩虹积木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彩色锁 9色带托盘</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彩色形状颜色配对拼板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场景人物模型套装 透明箱装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城市交通 图案地毯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张</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初级数学几何积木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厨具 积木套装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107</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穿绳游戏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创意马赛克-雪花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创意拼图长积木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城市高铁站</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磁铁找朋友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磁铁组合套装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大号数字叠叠高</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地理探索套装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地球仪1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电动仿真洗碗机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电碰迷宫 盒装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电视机故事剧场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电学实验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电子积木 电路豪华版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电子积木 趣味万向灯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电子积木 手摇发电</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电子温度计 湿度计</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动物模型 家禽动物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动物模型 恐龙生物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动物模型 农场生物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动物模型 野生生物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w:t>
            </w:r>
          </w:p>
        </w:tc>
      </w:tr>
      <w:tr>
        <w:tblPrEx>
          <w:tblW w:w="5000" w:type="pct"/>
          <w:tblInd w:w="0" w:type="dxa"/>
          <w:shd w:val="clear" w:color="auto" w:fill="auto"/>
          <w:tblLayout w:type="fixed"/>
          <w:tblCellMar>
            <w:top w:w="0" w:type="dxa"/>
            <w:left w:w="108" w:type="dxa"/>
            <w:bottom w:w="0" w:type="dxa"/>
            <w:right w:w="108" w:type="dxa"/>
          </w:tblCellMar>
        </w:tblPrEx>
        <w:trPr>
          <w:trHeight w:val="97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动物模型 陆地动物套装 透明箱装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多层拼图-人体结构 男孩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多层拼图-人体结构 女孩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多层形状层层乐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多功能夹珠子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多功能教具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 安全帽子 加厚</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 购物车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儿童低温3D打印笔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儿童放大镜</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儿童挂式扫拖清洁套装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儿童迷你小扫把</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儿童迷你小扫把套装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儿童透明防水围裙</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方形积木片1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方形积木片2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方形积木片3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738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仿真高档娃娃 男女混款</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仿真娃娃 萌萌哒互动娃娃</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粉红护士角色服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风筒扎辫机套装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工程师角色服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惯性拼装工程车-起重机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光学高级版 三合一</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光学五件套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199.8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光影魔术盒子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果蔬颜色分类杯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豪华医生套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合金模型 自行车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机械学高级版三合一</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几何积木和轮廓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几何空间概念分类积木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几何纽扣串线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几何图形钉板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55.9</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几何形体模型套装 透明盒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记忆闯关游戏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147</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加减法游戏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夹棍球之穿越太阳系</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64.2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建构球积木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交通标志 路标</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交通标志指示灯 红绿灯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角色服 交通反光衣背心</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712.8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角色服装消防员帽子马甲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角色服装小交警帽子马甲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角色服装小警察帽子马甲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惊喜化学3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净水过滤实验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榉木大号刮沙盘盒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卡片分类游戏-找相反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超级电路积木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447</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学生显微镜</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磁力魔术球</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大滴管套装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大试管套装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动物养育舱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光的三原色实验器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火山爆发</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魔术蛋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三合一观察站</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水净化套装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太阳系行星语音投影仪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调色眼镜</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我们的身体语音百科</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颜色混合游戏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科学种植实验室</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76.5</w:t>
            </w:r>
          </w:p>
        </w:tc>
      </w:tr>
      <w:tr>
        <w:tblPrEx>
          <w:tblW w:w="5000" w:type="pct"/>
          <w:tblInd w:w="0" w:type="dxa"/>
          <w:shd w:val="clear" w:color="auto" w:fill="auto"/>
          <w:tblLayout w:type="fixed"/>
          <w:tblCellMar>
            <w:top w:w="0" w:type="dxa"/>
            <w:left w:w="108" w:type="dxa"/>
            <w:bottom w:w="0" w:type="dxa"/>
            <w:right w:w="108" w:type="dxa"/>
          </w:tblCellMar>
        </w:tblPrEx>
        <w:trPr>
          <w:trHeight w:val="97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可充式LED手电筒侧面带灯 带USB线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把</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快乐拼搭组合积木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快乐小屋大积木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昆虫找家游戏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蓝牙麦克风+音响 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蓝医生角色服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理发师角色服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力学高级版 三合一</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立体模型 特大号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连一连十方格游戏盘</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晾衣服换装游戏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铝合金汽车模型 消防云梯车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蚂蚁基地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忙写板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迷你电子称 带托盘</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面条机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木框棒冰组</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木框食物组-蔬菜</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木框食物组-饮品</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木沙漏  10分钟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木沙漏  15分钟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79.5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木沙漏  1分钟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木沙漏  3分钟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木沙漏  5分钟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木沙漏 30分钟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几何形状组合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沥水架 八柱7格</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沥水架 四柱3格</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双面棋板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蒜缸</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消防车 小号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压路机车 小号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中号交通标志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木质钓鱼游戏桌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木质儿童清洁工具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木质理发玩具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木质套盒笔筒套塔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泡泡科学实验超能实验室</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配对-找相反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瓢虫游戏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公安车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惯性导弹车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119.8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讲故事的搅拌工程车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讲故事的救援消防车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讲故事的喷水消防车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讲故事的校车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讲故事的油罐工程车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讲故事的云梯消防车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讲故事的运输工程车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救护车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千奇百怪的叶子标本  彩盒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万象积木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趣味传声筒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趣味互动对讲机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趣味机关多米诺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赛车运载车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三维积木搭建游戏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沙画台灯箱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生命周期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时尚美发梳子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把</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时尚小家电大套装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时尚煮蛋炉</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实验守恒几何量具套装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收银机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数字分合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数字分解滚珠</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数字拼图游戏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数字时钟 木质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双面公路交通系统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942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水流演示器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水试验套装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四大思维 科技探索3-5岁</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870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四大思维 数理逻辑3-5岁</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870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四色游戏 木质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速叠杯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塑料 垃圾分类玩具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太空款磁性拼图游戏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天平称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透明几何体套装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托盘天平称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万能风车积木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望远镜  黑色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温度计 湿度计 圆形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无线电学三合一</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掀盖记忆游戏-阴影与轮廓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715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显微镜套装 金属底座</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响声亚克力彩虹积木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橡皮筋 彩色 桶装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消防款磁性拼图游戏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小鸡21天孵化过程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小小飞车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星际城市实验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423</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形状积木板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形状块组图游戏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形状吸盘游戏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颜色分类杯12色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73</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液晶写字板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一家人 长脚手偶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医生 护士服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医生粉蓝套装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医生人体套装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因果关系游戏 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有毒的动物标本 彩盒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幼儿科研套装实验工具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219</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幼儿早教视频学习机器人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1276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语言区 购物商店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育脑思维游戏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圆形积木片1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圆形积木片2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482.4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圆形积木片3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529.2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圆形木质指偶架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圆形嵌板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早教智慧套柱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造型配对游戏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长颈鹿彩光片</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找错游戏盒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植物成长 观察盒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纸杯 牛皮色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条</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874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纸砖加厚 灰色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指偶 动物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指偶 海洋动物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指偶 三只小猪故事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指偶 十二生肖</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119.7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指偶 小红帽</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指偶 一家6口</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智力几何拼装积木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智能气象仪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自然感知和配对积木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字母学开锁</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综合磁性套装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组合教具 八合一</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组合游戏-找关系 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组装式万花筒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蓝牙耳机 天真蓝</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1128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蓝牙音箱Q糖系列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1134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正方形故事盒子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绘画白卡纸</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一家6口指偶 配架子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职业指偶 配架子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十二生肖指偶 配架子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瓦楞纸板电视机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儿童控笔练习工具套装 60页</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听力大闯关材料包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地垫 长方形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张</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录音器材料包 5分钟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控笔训练卡 64页</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帐篷 猫头鹰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兔男孩日历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操作版认知日历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软皮尺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把</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交通标识牌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磁感线实验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趣味空气大炮</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手摇发动机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手动压井机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原木 儿童倍力桥鲁班桥</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碱性电池</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编辫子材料包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儿童切菜板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蒙氏 捻子研磨器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蒙氏 捣碎器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小石磨 配木架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花辫子材料包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蒙氏擦玻璃套装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七合一棋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磁性飞行棋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三合一跳棋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简约几何地垫</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张</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儿童卡通亚克力软镜子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张</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儿童古风汉服假发包一体式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理发套装 充电版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可伸缩枕头洗头躺椅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理发围布</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可梳头发女孩玩具假美发套装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发饰礼盒 繁花似锦款</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儿童汉服假发包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羊毛卷假发套 黑茶色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模特头套架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2025-2029台式日历材料</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本</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水果翻翻棋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动物翻翻棋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交通翻翻棋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实木日历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木框日历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纸管投影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龙猫日历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沙水裤 中长款</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1800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星星抱枕 配枕芯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蓝色狗狗方枕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蓝色长形方枕 配枕芯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彩虹方枕 配枕芯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点点方枕 配枕芯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长形彩虹枕 配枕芯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方形点滴枕 配枕芯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长形点滴枕 配枕芯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靠枕 奶白色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南瓜花枕头</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花边抱枕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彩虹腰枕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蝴蝶结抱枕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103.6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粉粉兔靠枕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大旺狮靠枕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小方兔耳枕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139</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贴心方枕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帐篷 咖啡色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363.5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涂鸦小怪兽</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排序-由满到无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测量与比较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矩阵配对游戏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小熊排队游戏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全景组图游戏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兔鹿寻踪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怪兽格鲁特家族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趣味配对-计数怪兽</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艺术磁贴魔盒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计数图解游戏11-20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逻辑游戏-计数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411</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找一找，数一数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数图接龙游戏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形状块组图游戏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棒环创意拼图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形状叠加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形状配对游戏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组合搭配拼图-交通工具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绘画拼图</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匹配拼图-孩子们</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匹配拼图-奇幻角色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匹配拼图-动物王国</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匹配拼图-怪物精灵</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水果蔬菜玩具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795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饮料饼干套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白色幼童收银机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白色幼童秤子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233</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冷藏食品套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棒冰组合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棒棒糖组合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仿真警服套装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仿真建筑夹克套装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仿真消防服套装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沙模水桶五件套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沙滩冒险小套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海滨动物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冰淇淋套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多用靶子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强力大铲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便携沙滩工程车套装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双轮沙漏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花洒水壶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大桶组合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灵巧抓沙斗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怪力挖沙机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园艺工具套装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观察显微镜</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防护手套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本色餐具套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锅具套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小卖部收银台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墨西哥卷饼套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仿真蔬菜模型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仿真水果套模型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仿真海鲜套模型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六块小蛋糕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141</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鸡蛋套装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布艺面粉</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布艺大米</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美食家厨师服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厨师围裙帽子红色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沙龙美发师套装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剪发套装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化妆套装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数字分组卡片11-20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双层动物系列拼图</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动物与之食物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片</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动物与之住所</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片</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串珠对应盒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红色天平</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红色天平砝码组</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触觉之重量筒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听觉之音色筒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牙医套装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359</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医护用具箱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医疗推车组合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46件木情景积木配件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红砖</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8640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瓦片</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3240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半瓦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短砖块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垫块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薄垫块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三角型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桥梁板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圆柱体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短圆柱体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碳化城堡顶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红顶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交通标志牌 大号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875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0"/>
                <w:szCs w:val="20"/>
                <w:u w:val="none"/>
              </w:rPr>
            </w:pPr>
            <w:r>
              <w:rPr>
                <w:rFonts w:ascii="宋体" w:eastAsia="宋体" w:hAnsi="宋体" w:cs="宋体" w:hint="eastAsia"/>
                <w:b/>
                <w:bCs/>
                <w:i w:val="0"/>
                <w:iCs w:val="0"/>
                <w:color w:val="000000"/>
                <w:kern w:val="0"/>
                <w:sz w:val="20"/>
                <w:szCs w:val="20"/>
                <w:u w:val="none"/>
                <w:bdr w:val="none" w:sz="0" w:space="0" w:color="auto"/>
                <w:lang w:val="en-US" w:eastAsia="zh-CN" w:bidi="ar"/>
              </w:rPr>
              <w:t>406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0"/>
                <w:szCs w:val="20"/>
                <w:u w:val="none"/>
              </w:rPr>
            </w:pPr>
            <w:r>
              <w:rPr>
                <w:rFonts w:ascii="宋体" w:eastAsia="宋体" w:hAnsi="宋体" w:cs="宋体" w:hint="eastAsia"/>
                <w:b/>
                <w:bCs/>
                <w:i w:val="0"/>
                <w:iCs w:val="0"/>
                <w:color w:val="000000"/>
                <w:kern w:val="0"/>
                <w:sz w:val="20"/>
                <w:szCs w:val="20"/>
                <w:u w:val="none"/>
                <w:bdr w:val="none" w:sz="0" w:space="0" w:color="auto"/>
                <w:lang w:val="en-US" w:eastAsia="zh-CN" w:bidi="ar"/>
              </w:rPr>
              <w:t>轨道小镇</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0"/>
                <w:szCs w:val="20"/>
                <w:u w:val="none"/>
              </w:rPr>
            </w:pPr>
            <w:r>
              <w:rPr>
                <w:rFonts w:ascii="宋体" w:eastAsia="宋体" w:hAnsi="宋体" w:cs="宋体" w:hint="eastAsia"/>
                <w:b/>
                <w:bCs/>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0"/>
                <w:szCs w:val="20"/>
                <w:u w:val="none"/>
              </w:rPr>
            </w:pPr>
            <w:r>
              <w:rPr>
                <w:rFonts w:ascii="宋体" w:eastAsia="宋体" w:hAnsi="宋体" w:cs="宋体" w:hint="eastAsia"/>
                <w:b/>
                <w:bCs/>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0"/>
                <w:szCs w:val="20"/>
                <w:u w:val="none"/>
              </w:rPr>
            </w:pPr>
            <w:r>
              <w:rPr>
                <w:rFonts w:ascii="宋体" w:eastAsia="宋体" w:hAnsi="宋体" w:cs="宋体" w:hint="eastAsia"/>
                <w:b/>
                <w:bCs/>
                <w:i w:val="0"/>
                <w:iCs w:val="0"/>
                <w:color w:val="000000"/>
                <w:kern w:val="0"/>
                <w:sz w:val="20"/>
                <w:szCs w:val="20"/>
                <w:u w:val="none"/>
                <w:bdr w:val="none" w:sz="0" w:space="0" w:color="auto"/>
                <w:lang w:val="en-US" w:eastAsia="zh-CN" w:bidi="ar"/>
              </w:rPr>
              <w:t>940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0"/>
                <w:szCs w:val="20"/>
                <w:u w:val="none"/>
              </w:rPr>
            </w:pPr>
            <w:r>
              <w:rPr>
                <w:rFonts w:ascii="宋体" w:eastAsia="宋体" w:hAnsi="宋体" w:cs="宋体" w:hint="eastAsia"/>
                <w:b/>
                <w:bCs/>
                <w:i w:val="0"/>
                <w:iCs w:val="0"/>
                <w:color w:val="000000"/>
                <w:kern w:val="0"/>
                <w:sz w:val="20"/>
                <w:szCs w:val="20"/>
                <w:u w:val="none"/>
                <w:bdr w:val="none" w:sz="0" w:space="0" w:color="auto"/>
                <w:lang w:val="en-US" w:eastAsia="zh-CN" w:bidi="ar"/>
              </w:rPr>
              <w:t>940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多卯柱件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1050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一字孔件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十字孔件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大飞檐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小飞檐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方形连接件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单边锯齿1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单边锯齿2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单边锯齿3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单边锯齿4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锯齿形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正方块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双倍块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四倍块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189.6</w:t>
            </w:r>
          </w:p>
        </w:tc>
      </w:tr>
      <w:tr>
        <w:tblPrEx>
          <w:tblW w:w="5000" w:type="pct"/>
          <w:tblInd w:w="0" w:type="dxa"/>
          <w:shd w:val="clear" w:color="auto" w:fill="auto"/>
          <w:tblLayout w:type="fixed"/>
          <w:tblCellMar>
            <w:top w:w="0" w:type="dxa"/>
            <w:left w:w="108" w:type="dxa"/>
            <w:bottom w:w="0" w:type="dxa"/>
            <w:right w:w="108" w:type="dxa"/>
          </w:tblCellMar>
        </w:tblPrEx>
        <w:trPr>
          <w:trHeight w:val="97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单倍积木块（打孔）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双倍块（打孔）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三倍块（打孔）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127.2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四倍块（打孔）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五倍块（打孔）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182.4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六倍块（打孔）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230.4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直轨道1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直轨道2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147</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直轨道3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r>
      <w:tr>
        <w:tblPrEx>
          <w:tblW w:w="5000" w:type="pct"/>
          <w:tblInd w:w="0" w:type="dxa"/>
          <w:shd w:val="clear" w:color="auto" w:fill="auto"/>
          <w:tblLayout w:type="fixed"/>
          <w:tblCellMar>
            <w:top w:w="0" w:type="dxa"/>
            <w:left w:w="108" w:type="dxa"/>
            <w:bottom w:w="0" w:type="dxa"/>
            <w:right w:w="108" w:type="dxa"/>
          </w:tblCellMar>
        </w:tblPrEx>
        <w:trPr>
          <w:trHeight w:val="97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直轨道4（打洞）</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126</w:t>
            </w:r>
          </w:p>
        </w:tc>
      </w:tr>
      <w:tr>
        <w:tblPrEx>
          <w:tblW w:w="5000" w:type="pct"/>
          <w:tblInd w:w="0" w:type="dxa"/>
          <w:shd w:val="clear" w:color="auto" w:fill="auto"/>
          <w:tblLayout w:type="fixed"/>
          <w:tblCellMar>
            <w:top w:w="0" w:type="dxa"/>
            <w:left w:w="108" w:type="dxa"/>
            <w:bottom w:w="0" w:type="dxa"/>
            <w:right w:w="108" w:type="dxa"/>
          </w:tblCellMar>
        </w:tblPrEx>
        <w:trPr>
          <w:trHeight w:val="97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直轨道5（打洞）</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多米诺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圆盘</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底座</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卡座</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等边三角形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岔路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弯道轨道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弯道轨道带底座</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107.2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坡道轨道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转弯方体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四向方体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斜坡方体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风车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铃铛方体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圆柱1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圆柱2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基本块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小方块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583.2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双倍方块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四倍方块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长板条1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长板条2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长方体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268.8</w:t>
            </w:r>
          </w:p>
        </w:tc>
      </w:tr>
      <w:tr>
        <w:tblPrEx>
          <w:tblW w:w="5000" w:type="pct"/>
          <w:tblInd w:w="0" w:type="dxa"/>
          <w:shd w:val="clear" w:color="auto" w:fill="auto"/>
          <w:tblLayout w:type="fixed"/>
          <w:tblCellMar>
            <w:top w:w="0" w:type="dxa"/>
            <w:left w:w="108" w:type="dxa"/>
            <w:bottom w:w="0" w:type="dxa"/>
            <w:right w:w="108" w:type="dxa"/>
          </w:tblCellMar>
        </w:tblPrEx>
        <w:trPr>
          <w:trHeight w:val="97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等腰直角三角形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直角三角形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70.8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大直角三角形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拱形桥</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小半圆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半拱门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小拱壁</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半圆环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83.2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大半圆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1/4圆环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圆柱体1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扇形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圆柱体2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大岔路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歌德门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小方块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基本块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100.8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双倍块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四倍块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小方柱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方柱块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大方柱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薄长板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大底板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十字形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半拱门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转角块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小圆柱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长圆柱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大圆柱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桥形块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小半圆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大半圆1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扇形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大尾顶板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丁形状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小弯曲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小拱壁</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小三角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三角块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长三角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斜坡</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正方形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小底板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201.6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双倍地板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100.8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大半圆2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小叉路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大叉路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歌德门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长方形1（薄）</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91</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长方形2（薄）</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三角形1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三角形2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圆柱形1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圆柱形2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圆柱形3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圆柱形4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圆柱形5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七字形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七字形内心</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半环形1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半环形2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半圆形1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半圆形2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拱形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U形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U形内心</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中空积木 半圆积木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804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中空积木 凹半圆积木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804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中空积木 小半圆积木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中空积木 等腰三角形积木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中空积木 直角三角形积木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中空积木 小正方形积木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中空积木 大正方形积木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中空积木 矩形积木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979.2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中空积木 双矩形积木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1206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中空积木 拱桥积木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804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360" w:type="dxa"/>
            <w:tcBorders>
              <w:top w:val="nil"/>
              <w:left w:val="nil"/>
              <w:bottom w:val="nil"/>
              <w:right w:val="single" w:sz="8"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360" w:type="dxa"/>
            <w:tcBorders>
              <w:top w:val="nil"/>
              <w:left w:val="nil"/>
              <w:bottom w:val="nil"/>
              <w:right w:val="single" w:sz="8"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360" w:type="dxa"/>
            <w:tcBorders>
              <w:top w:val="nil"/>
              <w:left w:val="nil"/>
              <w:bottom w:val="nil"/>
              <w:right w:val="single" w:sz="8"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360" w:type="dxa"/>
            <w:tcBorders>
              <w:top w:val="nil"/>
              <w:left w:val="nil"/>
              <w:bottom w:val="nil"/>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小计</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125000</w:t>
            </w:r>
          </w:p>
        </w:tc>
      </w:tr>
      <w:tr>
        <w:tblPrEx>
          <w:tblW w:w="5000" w:type="pct"/>
          <w:tblInd w:w="0" w:type="dxa"/>
          <w:shd w:val="clear" w:color="auto" w:fill="auto"/>
          <w:tblLayout w:type="fixed"/>
          <w:tblCellMar>
            <w:top w:w="0" w:type="dxa"/>
            <w:left w:w="108" w:type="dxa"/>
            <w:bottom w:w="0" w:type="dxa"/>
            <w:right w:w="108" w:type="dxa"/>
          </w:tblCellMar>
        </w:tblPrEx>
        <w:trPr>
          <w:trHeight w:val="345"/>
        </w:trPr>
        <w:tc>
          <w:tcPr>
            <w:tcW w:w="2160" w:type="dxa"/>
            <w:gridSpan w:val="6"/>
            <w:tcBorders>
              <w:top w:val="nil"/>
              <w:left w:val="single" w:sz="8" w:space="0" w:color="000000"/>
              <w:bottom w:val="single" w:sz="8" w:space="0" w:color="000000"/>
              <w:right w:val="single" w:sz="8" w:space="0" w:color="000000"/>
            </w:tcBorders>
            <w:shd w:val="clear" w:color="auto" w:fill="auto"/>
            <w:vAlign w:val="top"/>
          </w:tcPr>
          <w:p>
            <w:pPr>
              <w:keepNext w:val="0"/>
              <w:keepLines w:val="0"/>
              <w:widowControl/>
              <w:suppressLineNumbers w:val="0"/>
              <w:jc w:val="center"/>
              <w:textAlignment w:val="top"/>
              <w:rPr>
                <w:rFonts w:ascii="微软雅黑" w:eastAsia="微软雅黑" w:hAnsi="微软雅黑" w:cs="微软雅黑" w:hint="eastAsia"/>
                <w:b/>
                <w:bCs/>
                <w:i w:val="0"/>
                <w:iCs w:val="0"/>
                <w:color w:val="000000"/>
                <w:sz w:val="21"/>
                <w:szCs w:val="21"/>
                <w:u w:val="none"/>
              </w:rPr>
            </w:pPr>
            <w:r>
              <w:rPr>
                <w:rFonts w:ascii="微软雅黑" w:eastAsia="微软雅黑" w:hAnsi="微软雅黑" w:cs="微软雅黑" w:hint="eastAsia"/>
                <w:b/>
                <w:bCs/>
                <w:i w:val="0"/>
                <w:iCs w:val="0"/>
                <w:color w:val="000000"/>
                <w:kern w:val="0"/>
                <w:sz w:val="21"/>
                <w:szCs w:val="21"/>
                <w:u w:val="none"/>
                <w:bdr w:val="none" w:sz="0" w:space="0" w:color="auto"/>
                <w:lang w:val="en-US" w:eastAsia="zh-CN" w:bidi="ar"/>
              </w:rPr>
              <w:t>附属幼儿园</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1-10数字对对碰游戏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190</w:t>
            </w:r>
          </w:p>
        </w:tc>
        <w:tc>
          <w:tcPr>
            <w:tcW w:w="360" w:type="dxa"/>
            <w:tcBorders>
              <w:top w:val="single" w:sz="8" w:space="0" w:color="000000"/>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168片磁力片</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3D打印笔材料</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3D立体拼图 混款 浅色系</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LCD数字时钟 闹钟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爱生活中式早茶 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爱刷牙</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白医生角色服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百变穿线板积木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变脸魔方</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冰淇淋玩具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不织布忙碌板衣饰提包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彩盒 会飞的花朵-蝴蝶二标本</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彩盒 小蟋蟀成长记标本</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239</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彩盒 玉米是怎么发芽的标本</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239</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彩虹积木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彩色锁 9色带托盘</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彩色形状颜色配对拼板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场景人物模型套装 透明箱装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城市交通 图案地毯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张</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初级数学几何积木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厨具 积木套装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107</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穿绳游戏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创意马赛克-雪花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创意拼图长积木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城市高铁站</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磁铁找朋友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磁铁组合套装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大号数字叠叠高</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地理探索套装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地球仪1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电动仿真洗碗机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电碰迷宫 盒装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电视机故事剧场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电学实验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电子积木 电路豪华版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电子积木 趣味万向灯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电子积木 手摇发电</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电子温度计 湿度计</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动物模型 家禽动物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动物模型 恐龙生物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动物模型 农场生物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动物模型 野生生物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w:t>
            </w:r>
          </w:p>
        </w:tc>
      </w:tr>
      <w:tr>
        <w:tblPrEx>
          <w:tblW w:w="5000" w:type="pct"/>
          <w:tblInd w:w="0" w:type="dxa"/>
          <w:shd w:val="clear" w:color="auto" w:fill="auto"/>
          <w:tblLayout w:type="fixed"/>
          <w:tblCellMar>
            <w:top w:w="0" w:type="dxa"/>
            <w:left w:w="108" w:type="dxa"/>
            <w:bottom w:w="0" w:type="dxa"/>
            <w:right w:w="108" w:type="dxa"/>
          </w:tblCellMar>
        </w:tblPrEx>
        <w:trPr>
          <w:trHeight w:val="97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动物模型 陆地动物套装 透明箱装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多层拼图-人体结构 男孩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多层拼图-人体结构 女孩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多层形状层层乐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多功能夹珠子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多功能教具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 安全帽子 加厚</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 购物车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儿童低温3D打印笔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儿童放大镜</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儿童挂式扫拖清洁套装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儿童迷你小扫把</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儿童迷你小扫把套装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儿童透明防水围裙</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方形积木片1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方形积木片2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方形积木片3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738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仿真高档娃娃 男女混款</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仿真娃娃 萌萌哒互动娃娃</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粉红护士角色服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风筒扎辫机套装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工程师角色服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惯性拼装工程车-起重机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光学高级版 三合一</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光学五件套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199.8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光影魔术盒子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果蔬颜色分类杯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豪华医生套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合金模型 自行车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机械学高级版三合一</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几何积木和轮廓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几何空间概念分类积木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几何纽扣串线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几何图形钉板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55.9</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几何形体模型套装 透明盒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记忆闯关游戏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147</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加减法游戏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夹棍球之穿越太阳系</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64.2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建构球积木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交通标志 路标</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交通标志指示灯 红绿灯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角色服 交通反光衣背心</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712.8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角色服装消防员帽子马甲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角色服装小交警帽子马甲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角色服装小警察帽子马甲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惊喜化学3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净水过滤实验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榉木大号刮沙盘盒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卡片分类游戏-找相反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超级电路积木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447</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学生显微镜</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磁力魔术球</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大滴管套装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大试管套装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动物养育舱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光的三原色实验器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火山爆发</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魔术蛋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三合一观察站</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水净化套装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太阳系行星语音投影仪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调色眼镜</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我们的身体语音百科</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颜色混合游戏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科学种植实验室</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76.5</w:t>
            </w:r>
          </w:p>
        </w:tc>
      </w:tr>
      <w:tr>
        <w:tblPrEx>
          <w:tblW w:w="5000" w:type="pct"/>
          <w:tblInd w:w="0" w:type="dxa"/>
          <w:shd w:val="clear" w:color="auto" w:fill="auto"/>
          <w:tblLayout w:type="fixed"/>
          <w:tblCellMar>
            <w:top w:w="0" w:type="dxa"/>
            <w:left w:w="108" w:type="dxa"/>
            <w:bottom w:w="0" w:type="dxa"/>
            <w:right w:w="108" w:type="dxa"/>
          </w:tblCellMar>
        </w:tblPrEx>
        <w:trPr>
          <w:trHeight w:val="97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可充式LED手电筒侧面带灯 带USB线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把</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快乐拼搭组合积木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快乐小屋大积木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昆虫找家游戏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蓝牙麦克风+音响 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蓝医生角色服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理发师角色服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力学高级版 三合一</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立体模型 特大号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连一连十方格游戏盘</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晾衣服换装游戏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铝合金汽车模型 消防云梯车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蚂蚁基地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忙写板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迷你电子称 带托盘</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面条机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木框棒冰组</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木框食物组-蔬菜</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木框食物组-饮品</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木沙漏  10分钟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木沙漏  15分钟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79.5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木沙漏  1分钟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木沙漏  3分钟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木沙漏  5分钟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木沙漏 30分钟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几何形状组合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沥水架 八柱7格</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沥水架 四柱3格</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双面棋板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蒜缸</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消防车 小号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压路机车 小号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中号交通标志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木质钓鱼游戏桌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木质儿童清洁工具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木质理发玩具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木质套盒笔筒套塔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泡泡科学实验超能实验室</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配对-找相反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瓢虫游戏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公安车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惯性导弹车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119.8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讲故事的搅拌工程车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讲故事的救援消防车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讲故事的喷水消防车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讲故事的校车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讲故事的油罐工程车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讲故事的云梯消防车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讲故事的运输工程车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救护车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千奇百怪的叶子标本  彩盒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万象积木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趣味传声筒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趣味互动对讲机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趣味机关多米诺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赛车运载车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三维积木搭建游戏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沙画台灯箱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生命周期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时尚美发梳子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把</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时尚小家电大套装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时尚煮蛋炉</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实验守恒几何量具套装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收银机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数字分合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数字分解滚珠</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数字拼图游戏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数字时钟 木质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双面公路交通系统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942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水流演示器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水试验套装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四大思维 科技探索3-5岁</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870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四大思维 数理逻辑3-5岁</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870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四色游戏 木质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速叠杯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塑料 垃圾分类玩具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太空款磁性拼图游戏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天平称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透明几何体套装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托盘天平称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万能风车积木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望远镜  黑色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温度计 湿度计 圆形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无线电学三合一</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掀盖记忆游戏-阴影与轮廓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715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显微镜套装 金属底座</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响声亚克力彩虹积木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橡皮筋 彩色 桶装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消防款磁性拼图游戏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小鸡21天孵化过程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小小飞车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星际城市实验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423</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形状积木板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形状块组图游戏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形状吸盘游戏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颜色分类杯12色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73</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液晶写字板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一家人 长脚手偶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医生 护士服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医生粉蓝套装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医生人体套装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因果关系游戏 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有毒的动物标本 彩盒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幼儿科研套装实验工具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219</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幼儿早教视频学习机器人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1276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语言区 购物商店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育脑思维游戏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圆形积木片1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圆形积木片2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482.4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圆形积木片3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529.2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圆形木质指偶架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圆形嵌板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早教智慧套柱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造型配对游戏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长颈鹿彩光片</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找错游戏盒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植物成长 观察盒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纸杯 牛皮色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条</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874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纸砖加厚 灰色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指偶 动物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指偶 海洋动物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指偶 三只小猪故事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指偶 十二生肖</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119.7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指偶 小红帽</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指偶 一家6口</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智力几何拼装积木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智能气象仪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自然感知和配对积木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字母学开锁</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综合磁性套装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组合教具 八合一</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组合游戏-找关系 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组装式万花筒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蓝牙耳机 天真蓝</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1128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蓝牙音箱Q糖系列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1134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正方形故事盒子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绘画白卡纸</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一家6口指偶 配架子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职业指偶 配架子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十二生肖指偶 配架子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瓦楞纸板电视机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树穿绳</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儿童控笔练习工具套装 60页</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听力大闯关材料包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地垫 长方形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张</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录音器材料包 5分钟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控笔训练卡 64页</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帐篷 猫头鹰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兔男孩日历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操作版认知日历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软皮尺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把</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交通标识牌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磁感线实验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趣味空气大炮</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手摇发动机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手动压井机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原木 儿童倍力桥鲁班桥</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碱性电池</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编辫子材料包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儿童切菜板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蒙氏 捻子研磨器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蒙氏 捣碎器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小石磨 配木架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花辫子材料包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蒙氏擦玻璃套装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七合一棋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磁性飞行棋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三合一跳棋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简约几何地垫</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张</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儿童卡通亚克力软镜子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张</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儿童古风汉服假发包一体式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理发套装 充电版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可伸缩枕头洗头躺椅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理发围布</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可梳头发女孩玩具假美发套装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发饰礼盒 繁花似锦款</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儿童汉服假发包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羊毛卷假发套 黑茶色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模特头套架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2025-2029台式日历材料</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本</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水果翻翻棋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动物翻翻棋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交通翻翻棋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实木日历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木框日历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纸管投影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龙猫日历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沙水裤 中长款</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1800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靠枕 奶白色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雪尼尔球球粉抱枕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丝绒南瓜花苞抱枕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彩虹腰枕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彩虹方枕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雨滴抱枕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月亮抱枕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太阳抱枕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小号月亮太阳抱枕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豆绿色星星抱枕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彩虹灰色抱枕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鹅黄抱枕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扭扭条抱枕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流苏格子抱枕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流苏抱枕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粉色小羊球抱枕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白色小羊球抱枕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棕色小羊球抱枕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宇航员抱枕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火箭抱枕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火星抱枕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太空飞船抱枕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NOT趴趴鸭抱枕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圆绒U型抱枕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圆绒线条抱枕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排序-由满到无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测量与比较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矩阵配对游戏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小熊排队游戏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全景组图游戏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亚瑟皇冠</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兔鹿寻踪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怪兽格鲁特家族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趣味配对-计数怪兽</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艺术磁贴魔盒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计数图解游戏11-20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逻辑游戏-计数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411</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找一找，数一数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数图接龙游戏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形状块组图游戏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棒环创意拼图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形状叠加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形状配对游戏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组合搭配拼图-交通工具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匹配拼图-孩子们</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匹配拼图-奇幻角色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匹配拼图-动物王国</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匹配拼图-怪物精灵</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水果蔬菜玩具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795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饮料饼干套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白色幼童收银机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白色幼童秤子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233</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冷藏食品套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棒冰组合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棒棒糖组合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仿真警服套装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仿真建筑夹克套装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仿真消防服套装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沙模水桶五件套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沙滩冒险小套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海滨动物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冰淇淋套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多用靶子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强力大铲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便携沙滩工程车套装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双轮沙漏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花洒水壶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大桶组合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灵巧抓沙斗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怪力挖沙机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园艺工具套装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观察显微镜</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防护手套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本色餐具套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锅具套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小卖部收银台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墨西哥卷饼套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仿真蔬菜模型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仿真水果套模型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仿真海鲜套模型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六块小蛋糕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141</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鸡蛋套装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布艺面粉</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布艺大米</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美食家厨师服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厨师围裙帽子红色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沙龙美发师套装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剪发套装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化妆套装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数字分组卡片11-20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双层动物系列拼图</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动物与之食物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片</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动物与之住所</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片</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串珠对应盒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红色天平</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红色天平砝码组</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触觉之重量筒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听觉之音色筒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牙医套装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359</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医护用具箱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医疗推车组合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自然积木配件包1.0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红砖</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8640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瓦片</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3240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半瓦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短砖块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垫块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薄垫块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三角型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桥梁板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圆柱体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短圆柱体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碳化城堡顶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红砖积木 红顶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交通标志牌 大号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875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60粒蘑菇积木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865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多卯柱件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1050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一字孔件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十字孔件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大飞檐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小飞檐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方形连接件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单边锯齿1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单边锯齿2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单边锯齿3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单边锯齿4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锯齿形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正方块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双倍块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四倍块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189.6</w:t>
            </w:r>
          </w:p>
        </w:tc>
      </w:tr>
      <w:tr>
        <w:tblPrEx>
          <w:tblW w:w="5000" w:type="pct"/>
          <w:tblInd w:w="0" w:type="dxa"/>
          <w:shd w:val="clear" w:color="auto" w:fill="auto"/>
          <w:tblLayout w:type="fixed"/>
          <w:tblCellMar>
            <w:top w:w="0" w:type="dxa"/>
            <w:left w:w="108" w:type="dxa"/>
            <w:bottom w:w="0" w:type="dxa"/>
            <w:right w:w="108" w:type="dxa"/>
          </w:tblCellMar>
        </w:tblPrEx>
        <w:trPr>
          <w:trHeight w:val="97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单倍积木块（打孔）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双倍块（打孔）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三倍块（打孔）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127.2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四倍块（打孔）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五倍块（打孔）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182.4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六倍块（打孔）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230.4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直轨道1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直轨道2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147</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直轨道3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r>
      <w:tr>
        <w:tblPrEx>
          <w:tblW w:w="5000" w:type="pct"/>
          <w:tblInd w:w="0" w:type="dxa"/>
          <w:shd w:val="clear" w:color="auto" w:fill="auto"/>
          <w:tblLayout w:type="fixed"/>
          <w:tblCellMar>
            <w:top w:w="0" w:type="dxa"/>
            <w:left w:w="108" w:type="dxa"/>
            <w:bottom w:w="0" w:type="dxa"/>
            <w:right w:w="108" w:type="dxa"/>
          </w:tblCellMar>
        </w:tblPrEx>
        <w:trPr>
          <w:trHeight w:val="97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直轨道4（打洞）</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126</w:t>
            </w:r>
          </w:p>
        </w:tc>
      </w:tr>
      <w:tr>
        <w:tblPrEx>
          <w:tblW w:w="5000" w:type="pct"/>
          <w:tblInd w:w="0" w:type="dxa"/>
          <w:shd w:val="clear" w:color="auto" w:fill="auto"/>
          <w:tblLayout w:type="fixed"/>
          <w:tblCellMar>
            <w:top w:w="0" w:type="dxa"/>
            <w:left w:w="108" w:type="dxa"/>
            <w:bottom w:w="0" w:type="dxa"/>
            <w:right w:w="108" w:type="dxa"/>
          </w:tblCellMar>
        </w:tblPrEx>
        <w:trPr>
          <w:trHeight w:val="97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直轨道5（打洞）</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多米诺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圆盘</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底座</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卡座</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等边三角形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岔路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弯道轨道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弯道轨道带底座</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107.2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坡道轨道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转弯方体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四向方体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斜坡方体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风车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铃铛方体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圆柱1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圆柱2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基本块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小方块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583.2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双倍方块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四倍方块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长板条1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长板条2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长方体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268.8</w:t>
            </w:r>
          </w:p>
        </w:tc>
      </w:tr>
      <w:tr>
        <w:tblPrEx>
          <w:tblW w:w="5000" w:type="pct"/>
          <w:tblInd w:w="0" w:type="dxa"/>
          <w:shd w:val="clear" w:color="auto" w:fill="auto"/>
          <w:tblLayout w:type="fixed"/>
          <w:tblCellMar>
            <w:top w:w="0" w:type="dxa"/>
            <w:left w:w="108" w:type="dxa"/>
            <w:bottom w:w="0" w:type="dxa"/>
            <w:right w:w="108" w:type="dxa"/>
          </w:tblCellMar>
        </w:tblPrEx>
        <w:trPr>
          <w:trHeight w:val="97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等腰直角三角形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直角三角形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70.8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大直角三角形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拱形桥</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小半圆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半拱门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小拱壁</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半圆环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83.2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大半圆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1/4圆环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圆柱体1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扇形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圆柱体2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大岔路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歌德门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小方块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基本块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100.8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双倍块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四倍块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小方柱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方柱块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大方柱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薄长板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大底板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十字形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半拱门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转角块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小圆柱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长圆柱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大圆柱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桥形块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小半圆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大半圆1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扇形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大尾顶板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丁形状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小弯曲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小拱壁</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小三角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三角块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长三角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斜坡</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正方形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小底板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201.6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双倍地板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100.8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大半圆2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小叉路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大叉路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榉木积木 歌德门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长方形1（薄）</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91</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长方形2（薄）</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三角形1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三角形2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圆柱形1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圆柱形2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圆柱形3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圆柱形4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圆柱形5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七字形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七字形内心</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半环形1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半环形2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半圆形1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半圆形2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拱形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U形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U形内心</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中空积木 半圆积木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804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中空积木 凹半圆积木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804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中空积木 小半圆积木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中空积木 等腰三角形积木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中空积木 直角三角形积木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中空积木 小正方形积木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中空积木 大正方形积木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中空积木 矩形积木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979.2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中空积木 双矩形积木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1206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中空积木 拱桥积木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804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360" w:type="dxa"/>
            <w:tcBorders>
              <w:top w:val="nil"/>
              <w:left w:val="nil"/>
              <w:bottom w:val="nil"/>
              <w:right w:val="single" w:sz="8"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360" w:type="dxa"/>
            <w:tcBorders>
              <w:top w:val="nil"/>
              <w:left w:val="nil"/>
              <w:bottom w:val="nil"/>
              <w:right w:val="single" w:sz="8"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360" w:type="dxa"/>
            <w:tcBorders>
              <w:top w:val="nil"/>
              <w:left w:val="nil"/>
              <w:bottom w:val="nil"/>
              <w:right w:val="single" w:sz="8"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360" w:type="dxa"/>
            <w:tcBorders>
              <w:top w:val="nil"/>
              <w:left w:val="nil"/>
              <w:bottom w:val="nil"/>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小计</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125000</w:t>
            </w: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160" w:type="dxa"/>
            <w:gridSpan w:val="6"/>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0"/>
                <w:szCs w:val="20"/>
                <w:u w:val="none"/>
              </w:rPr>
            </w:pPr>
            <w:r>
              <w:rPr>
                <w:rFonts w:ascii="宋体" w:eastAsia="宋体" w:hAnsi="宋体" w:cs="宋体" w:hint="eastAsia"/>
                <w:b/>
                <w:bCs/>
                <w:i w:val="0"/>
                <w:iCs w:val="0"/>
                <w:color w:val="000000"/>
                <w:kern w:val="0"/>
                <w:sz w:val="20"/>
                <w:szCs w:val="20"/>
                <w:u w:val="none"/>
                <w:bdr w:val="none" w:sz="0" w:space="0" w:color="auto"/>
                <w:lang w:val="en-US" w:eastAsia="zh-CN" w:bidi="ar"/>
              </w:rPr>
              <w:t>闻华里幼儿园</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1-10数字对对碰游戏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190</w:t>
            </w:r>
          </w:p>
        </w:tc>
        <w:tc>
          <w:tcPr>
            <w:tcW w:w="360" w:type="dxa"/>
            <w:tcBorders>
              <w:top w:val="single" w:sz="8" w:space="0" w:color="000000"/>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3D打印笔材料</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白医生角色服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冰淇淋玩具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彩盒 会飞的花朵-蝴蝶二标本</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彩盒 小蟋蟀成长记标本</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城市交通 图案地毯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张</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初级数学几何积木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穿绳游戏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创意马赛克-雪花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创意拼图长积木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城市高铁站</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磁铁找朋友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磁铁组合套装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大号数字叠叠高</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地理探索套装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电碰迷宫 盒装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电学实验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电子积木 电路豪华版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588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电子积木 趣味万向灯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电子积木 手摇发电</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电子温度计 湿度计</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动物模型 家禽动物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动物模型 恐龙生物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动物模型 农场生物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动物模型 野生生物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171</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多层拼图-人体结构 男孩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多层拼图-人体结构 女孩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多功能教具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儿童低温3D打印笔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儿童透明防水围裙</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粉红护士角色服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工程师角色服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612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惯性拼装工程车-起重机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光学高级版 三合一</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光学五件套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199.8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光影魔术盒子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648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豪华医生套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机械学高级版三合一</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几何积木和轮廓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几何形体模型套装 透明盒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记忆闯关游戏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147</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加减法游戏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交通标志指示灯 红绿灯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净水过滤实验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榉木大号刮沙盘盒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卡片分类游戏-找相反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超级电路积木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1788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学生显微镜</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710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磁力魔术球</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大试管套装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光的三原色实验器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水净化套装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调色眼镜</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 我们的身体语音百科</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2860</w:t>
            </w:r>
          </w:p>
        </w:tc>
      </w:tr>
      <w:tr>
        <w:tblPrEx>
          <w:tblW w:w="5000" w:type="pct"/>
          <w:tblInd w:w="0" w:type="dxa"/>
          <w:shd w:val="clear" w:color="auto" w:fill="auto"/>
          <w:tblLayout w:type="fixed"/>
          <w:tblCellMar>
            <w:top w:w="0" w:type="dxa"/>
            <w:left w:w="108" w:type="dxa"/>
            <w:bottom w:w="0" w:type="dxa"/>
            <w:right w:w="108" w:type="dxa"/>
          </w:tblCellMar>
        </w:tblPrEx>
        <w:trPr>
          <w:trHeight w:val="97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可充式LED手电筒侧面带灯 带USB线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把</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快乐拼搭组合积木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快乐小屋大积木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昆虫找家游戏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蓝牙麦克风+音响 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蓝医生角色服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理发师角色服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力学高级版 三合一</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立体模型 特大号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连一连十方格游戏盘</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铝合金汽车模型 消防云梯车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忙写板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面条机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木沙漏  10分钟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木沙漏  15分钟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木沙漏  1分钟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木沙漏  3分钟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木沙漏  5分钟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木沙漏 30分钟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双面棋板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消防车 小号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压路机车 小号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木质理发玩具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119</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泡泡科学实验超能实验室</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798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配对-找相反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瓢虫游戏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469</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讲故事的搅拌工程车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讲故事的救援消防车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讲故事的喷水消防车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讲故事的校车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讲故事的油罐工程车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讲故事的运输工程车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千奇百怪的叶子标本  彩盒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万象积木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趣味机关多米诺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赛车运载车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三维积木搭建游戏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沙画台灯箱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生命周期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实验守恒几何量具套装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收银机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数字分解滚珠</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数字时钟 木质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双面公路交通系统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942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水流演示器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水试验套装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1260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四大思维 科技探索3-5岁</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870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四大思维 数理逻辑3-5岁</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870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四色游戏 木质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塑料 垃圾分类玩具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透明几何体套装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托盘天平称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万能风车积木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望远镜  黑色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无线电学三合一</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掀盖记忆游戏-阴影与轮廓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715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显微镜套装 金属底座</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响声亚克力彩虹积木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816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小小飞车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1266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星际城市实验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423</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形状积木板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形状块组图游戏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液晶写字板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一家人 长脚手偶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医生 护士服</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医生粉蓝套装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医生人体套装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因果关系游戏 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有毒的动物标本 彩盒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2550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幼儿科研套装实验工具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幼儿早教视频学习机器人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1276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语言区 购物商店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圆形木质指偶架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造型配对游戏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长颈鹿彩光片</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找错游戏盒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指偶 动物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指偶 海洋动物</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指偶 三只小猪故事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指偶 十二生肖</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119.7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指偶 小红帽</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指偶 一家6口</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智能气象仪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综合磁性套装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组合游戏-找关系 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组装式万花筒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正方形故事盒子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绘画白卡纸</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一家6口指偶 配架子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职业指偶 配架子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十二生肖指偶 配架子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瓦楞纸板电视机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听力大闯关材料包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控笔训练卡 64页</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兔男孩日历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操作版认知日历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软皮尺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把</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交通标识牌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磁感线实验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趣味空气大炮</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手摇发动机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手动压井机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原木 儿童倍力桥鲁班桥</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碱性电池</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编辫子材料包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儿童切菜板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蒙氏 捻子研磨器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蒙氏 捣碎器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小石磨 配木架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花辫子材料包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蒙氏擦玻璃套装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七合一棋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磁性飞行棋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三合一跳棋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理发套装 充电版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可伸缩枕头洗头躺椅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理发围布</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可梳头发女孩玩具假美发套装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发饰礼盒 繁花似锦款</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儿童汉服假发包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羊毛卷假发套 黑茶色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模特头套架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2025-2029台式日历材料</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本</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水果翻翻棋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动物翻翻棋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交通翻翻棋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纸管投影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龙猫日历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排序-由满到无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测量与比较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矩阵配对游戏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小熊排队游戏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全景组图游戏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兔鹿寻踪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怪兽格鲁特家族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趣味配对-计数怪兽</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艺术磁贴魔盒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计数图解游戏11-20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逻辑游戏-计数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411</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找一找，数一数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数图接龙游戏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形状块组图游戏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棒环创意拼图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形状叠加 精华版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形状配对游戏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强力大铲</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便携沙滩工程车套装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交通标志牌 大号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875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多卯柱件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1050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一字孔件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十字孔件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大飞檐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小飞檐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方形连接件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单边锯齿1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单边锯齿2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单边锯齿3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单边锯齿4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古风国潮榫卯积木 锯齿形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正方块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双倍块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四倍块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189.6</w:t>
            </w:r>
          </w:p>
        </w:tc>
      </w:tr>
      <w:tr>
        <w:tblPrEx>
          <w:tblW w:w="5000" w:type="pct"/>
          <w:tblInd w:w="0" w:type="dxa"/>
          <w:shd w:val="clear" w:color="auto" w:fill="auto"/>
          <w:tblLayout w:type="fixed"/>
          <w:tblCellMar>
            <w:top w:w="0" w:type="dxa"/>
            <w:left w:w="108" w:type="dxa"/>
            <w:bottom w:w="0" w:type="dxa"/>
            <w:right w:w="108" w:type="dxa"/>
          </w:tblCellMar>
        </w:tblPrEx>
        <w:trPr>
          <w:trHeight w:val="97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单倍积木块（打孔）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双倍块（打孔）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三倍块（打孔）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127.2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四倍块（打孔）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五倍块（打孔）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182.4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六倍块（打孔）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230.4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直轨道1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直轨道2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147</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直轨道3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r>
      <w:tr>
        <w:tblPrEx>
          <w:tblW w:w="5000" w:type="pct"/>
          <w:tblInd w:w="0" w:type="dxa"/>
          <w:shd w:val="clear" w:color="auto" w:fill="auto"/>
          <w:tblLayout w:type="fixed"/>
          <w:tblCellMar>
            <w:top w:w="0" w:type="dxa"/>
            <w:left w:w="108" w:type="dxa"/>
            <w:bottom w:w="0" w:type="dxa"/>
            <w:right w:w="108" w:type="dxa"/>
          </w:tblCellMar>
        </w:tblPrEx>
        <w:trPr>
          <w:trHeight w:val="97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直轨道4（打洞）</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126</w:t>
            </w:r>
          </w:p>
        </w:tc>
      </w:tr>
      <w:tr>
        <w:tblPrEx>
          <w:tblW w:w="5000" w:type="pct"/>
          <w:tblInd w:w="0" w:type="dxa"/>
          <w:shd w:val="clear" w:color="auto" w:fill="auto"/>
          <w:tblLayout w:type="fixed"/>
          <w:tblCellMar>
            <w:top w:w="0" w:type="dxa"/>
            <w:left w:w="108" w:type="dxa"/>
            <w:bottom w:w="0" w:type="dxa"/>
            <w:right w:w="108" w:type="dxa"/>
          </w:tblCellMar>
        </w:tblPrEx>
        <w:trPr>
          <w:trHeight w:val="97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直轨道5（打洞）</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多米诺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圆盘</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底座</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卡座</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等边三角形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岔路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弯道轨道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弯道轨道带底座</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107.2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坡道轨道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转弯方体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四向方体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斜坡方体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风车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铃铛方体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圆柱1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滚珠立交桥积木 圆柱2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基本块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小方块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583.2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双倍方块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四倍方块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长板条1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长板条2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长方体</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268.8</w:t>
            </w:r>
          </w:p>
        </w:tc>
      </w:tr>
      <w:tr>
        <w:tblPrEx>
          <w:tblW w:w="5000" w:type="pct"/>
          <w:tblInd w:w="0" w:type="dxa"/>
          <w:shd w:val="clear" w:color="auto" w:fill="auto"/>
          <w:tblLayout w:type="fixed"/>
          <w:tblCellMar>
            <w:top w:w="0" w:type="dxa"/>
            <w:left w:w="108" w:type="dxa"/>
            <w:bottom w:w="0" w:type="dxa"/>
            <w:right w:w="108" w:type="dxa"/>
          </w:tblCellMar>
        </w:tblPrEx>
        <w:trPr>
          <w:trHeight w:val="97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等腰直角三角形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直角三角形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70.8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大直角三角形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拱形桥</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小半圆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半拱门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小拱壁</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半圆环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83.2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大半圆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1/4圆环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圆柱体1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扇形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圆柱体2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大岔路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超大实心构建积木 歌德门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长方形1（薄）</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91</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长方形2（薄）</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长方形6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三角形1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三角形2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圆柱形1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圆柱形2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圆柱形3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圆柱形4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圆柱形5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七字形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七字形内心</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半环形1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半环形2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半圆形1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半圆形2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拱形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U形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实心积木 U形内心</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原色叠石积木 正方形1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714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原色叠石积木 正方形2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原色叠石积木 正方形3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828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原色叠石积木 正方形4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原色叠石积木 长方形1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原色叠石积木 长方形2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原色叠石积木 长方形3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原色叠石积木 长方形4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原色叠石积木 长方形5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原色叠石积木 长方形6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巨型穿珠套叠游戏套装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动物王国探索家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桌面 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玻璃纸</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水枪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支</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205.4</w:t>
            </w:r>
          </w:p>
        </w:tc>
      </w:tr>
      <w:tr>
        <w:tblPrEx>
          <w:tblW w:w="5000" w:type="pct"/>
          <w:tblInd w:w="0" w:type="dxa"/>
          <w:shd w:val="clear" w:color="auto" w:fill="auto"/>
          <w:tblLayout w:type="fixed"/>
          <w:tblCellMar>
            <w:top w:w="0" w:type="dxa"/>
            <w:left w:w="108" w:type="dxa"/>
            <w:bottom w:w="0" w:type="dxa"/>
            <w:right w:w="108" w:type="dxa"/>
          </w:tblCellMar>
        </w:tblPrEx>
        <w:trPr>
          <w:trHeight w:val="97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工程车+搅拌车+压路车+铲车套装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木质玩具 秤</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木质玩具 披萨拼盘</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木质玩具 生日蛋糕拼盘</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木质玩具 时钟学习</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木质玩具 下午茶甜点套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缤果冰棒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彩盒 小乌龟成长标本</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860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串珠与套筒套装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1924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吹塑板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磁力棒积木 表情套装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1195.5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磁力宝贝棒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万变旋转磁力积木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弹力线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多功能智慧拼盘</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吸吸乐玩具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怪力挖沙车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轨道滚珠游戏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绘画软PVC胶片</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米</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1920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活字印刷术DIY套装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计数和旋转玩具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936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科学实验投影绘画手提箱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美味寿司餐台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迷你六边砖积木 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1220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木活体印刷术 静夜思</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 天平称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A5夹板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拧螺丝套装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582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火车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讲故事的警察消防车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282</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讲故事的双层巴士</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70.5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汽车模型 讲故事的挖掘工程车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70.5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趣味教学磁铁实验套装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沙滩建筑工具套装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144.4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沙滩冒险套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79.8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沙滩模具水桶套装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沙滩玩具 大号钢杆 耙子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沙滩玩具 漏沙网筛</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十字架宝石积木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水果圆眼方筛</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拓染锤子 胶锤</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把</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小厨师蒸汽锅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小黄鸭磁吸运笔 大号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工程车机器人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790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大号滑行起吊车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沙滩惯性推土机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炫彩磁力棒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牙齿 模型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艺术彩窗积木 建筑</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艺术印章/丛林系列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木质面粉机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早茶组积木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榨汁机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真煮 空气炸锅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真煮 迷你电烤箱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真煮 棉花糖机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吸吸乐家族 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桌面凹口积木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Arial" w:eastAsia="宋体" w:hAnsi="Arial" w:cs="Arial"/>
                <w:i w:val="0"/>
                <w:iCs w:val="0"/>
                <w:color w:val="000000"/>
                <w:sz w:val="20"/>
                <w:szCs w:val="20"/>
                <w:u w:val="none"/>
              </w:rPr>
            </w:pPr>
            <w:r>
              <w:rPr>
                <w:rFonts w:ascii="Arial" w:eastAsia="宋体" w:hAnsi="Arial" w:cs="Arial" w:hint="default"/>
                <w:i w:val="0"/>
                <w:iCs w:val="0"/>
                <w:color w:val="000000"/>
                <w:kern w:val="0"/>
                <w:sz w:val="20"/>
                <w:szCs w:val="20"/>
                <w:u w:val="none"/>
                <w:bdr w:val="none" w:sz="0" w:space="0" w:color="auto"/>
                <w:lang w:val="en-US" w:eastAsia="zh-CN" w:bidi="ar"/>
              </w:rPr>
              <w:t>XO</w:t>
            </w:r>
            <w:r>
              <w:rPr>
                <w:rFonts w:ascii="宋体" w:eastAsia="宋体" w:hAnsi="宋体" w:cs="宋体" w:hint="eastAsia"/>
                <w:i w:val="0"/>
                <w:iCs w:val="0"/>
                <w:color w:val="000000"/>
                <w:kern w:val="0"/>
                <w:sz w:val="20"/>
                <w:szCs w:val="20"/>
                <w:u w:val="none"/>
                <w:bdr w:val="none" w:sz="0" w:space="0" w:color="auto"/>
                <w:lang w:val="en-US" w:eastAsia="zh-CN" w:bidi="ar"/>
              </w:rPr>
              <w:t>三子棋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微笑动物手偶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792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桌上型手偶架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万能工匠 桌面高阶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万能工匠 桌面中阶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万能工匠 桌面初阶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电子积木 电路拼装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便捷式手提称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科学教具 三球仪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大牙齿模型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高档 凹透镜</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高档 凸透镜</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高档 凸面镜</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高档 凹面镜</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彩盒 瓢虫成长记标本</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239</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彩盒 花生是怎样发芽的标本</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彩盒 蝴蝶成长记标本</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239</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24种真虫标本套装 彩盒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有毒的植物标本  彩盒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多功能动物观察桶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抽水机模型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自然探索豪华套装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多功能停车场磁力片</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770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770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小小探索</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科学物理实验台玩具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汽车维修服务工作台</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775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编程机器人 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儿童围裙 防水连体围裙</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长江5号火箭模型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中国火箭 空间站星际巡航模型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火箭笔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1200倍显微镜</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天文望远镜</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编程大师积木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螺丝碰对积木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水管滑道积木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地球仪2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双性人体半身模型 开背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企鹅排队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1506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企鹅捕鱼（加强版）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琪琪的心情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保卫羊羊羊</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猫猫迷宫</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1950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俯仰生姿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音乐喷泉</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2119</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光电盘</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2119</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光压风车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2119</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声悬浮</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2119</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360" w:type="dxa"/>
            <w:tcBorders>
              <w:top w:val="nil"/>
              <w:left w:val="nil"/>
              <w:bottom w:val="nil"/>
              <w:right w:val="single" w:sz="8"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360" w:type="dxa"/>
            <w:tcBorders>
              <w:top w:val="nil"/>
              <w:left w:val="nil"/>
              <w:bottom w:val="nil"/>
              <w:right w:val="single" w:sz="8"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360" w:type="dxa"/>
            <w:tcBorders>
              <w:top w:val="nil"/>
              <w:left w:val="nil"/>
              <w:bottom w:val="nil"/>
              <w:right w:val="single" w:sz="8"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360" w:type="dxa"/>
            <w:tcBorders>
              <w:top w:val="nil"/>
              <w:left w:val="nil"/>
              <w:bottom w:val="nil"/>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小计</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125000</w:t>
            </w: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160" w:type="dxa"/>
            <w:gridSpan w:val="6"/>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0"/>
                <w:szCs w:val="20"/>
                <w:u w:val="none"/>
              </w:rPr>
            </w:pPr>
            <w:r>
              <w:rPr>
                <w:rFonts w:ascii="宋体" w:eastAsia="宋体" w:hAnsi="宋体" w:cs="宋体" w:hint="eastAsia"/>
                <w:b/>
                <w:bCs/>
                <w:i w:val="0"/>
                <w:iCs w:val="0"/>
                <w:color w:val="000000"/>
                <w:kern w:val="0"/>
                <w:sz w:val="20"/>
                <w:szCs w:val="20"/>
                <w:u w:val="none"/>
                <w:bdr w:val="none" w:sz="0" w:space="0" w:color="auto"/>
                <w:lang w:val="en-US" w:eastAsia="zh-CN" w:bidi="ar"/>
              </w:rPr>
              <w:t>世纪春城幼儿园</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木制手掌认知拼图拼板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c>
          <w:tcPr>
            <w:tcW w:w="360" w:type="dxa"/>
            <w:tcBorders>
              <w:top w:val="single" w:sz="8" w:space="0" w:color="000000"/>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木制脚掌认知拼图拼板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木制运动小人玩具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身体器官骨骼肌肉配对</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牙齿与食物玩教具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电路迷宫小实验玩教具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磁铁套装玩具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指纹提取玩具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我会卷头发玩具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17.3</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折叠双面镜</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多米诺骨牌游戏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影子配对拼图</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人体模型玩具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鞋子分左右</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五官表情贴玩具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趣味抽小棒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塑料数字天平</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电碰迷宫玩具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15.9</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抽水机模型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水晶种植实验玩具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拆装车拧螺丝</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俄罗斯方块叠叠乐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103.5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科学实验漂浮笔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儿童缝缝戳戳乐</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磁力拼图玩具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钥匙开锁玩具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80.6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可擦绘画册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七巧板拼图板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磁性数字小火车玩具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纽扣训练忙碌板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拉拉链训练忙碌板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磁性运笔画板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65.6</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旋转镜面成像轴对称拼图</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89.8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仿真垃圾车玩具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手工磁力小车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230.4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DIY水轮车玩具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儿童多功能拆装螺母工具车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摩擦起电玩具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441.6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磁力蜗牛小车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角色披风斗篷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64.4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儿童工程师组合套装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310.8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角色区公主裙衣</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362.5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角色区白雪公主披风</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391</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塑料雪花片</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晾衣服换装玩具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便携手提光影动画魔术盒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镭射迷宫玩具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齿轮游戏玩具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智能显微镜</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1066.2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轨道车玩具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101.2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大颗粒拼装编程机器人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捕捉昆虫拼图</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来来回回滚轮玩具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投石器玩具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折叠 斗兽棋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折叠 五子棋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趣味造纸玩具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压花器花边剪套装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61.3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小小中药师道具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89.7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89.7</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捏捏乐玩具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国潮变装秀玩具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齿轮积木拼图</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塑料小乐高</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童话故事拼图</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遨游太空拼图</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消防救援拼图</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史前恐龙拼图</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电子积木电路实验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297.9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记忆力训练玩具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儿童逻辑板思维玩具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262.2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语言区视听玩具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模拟肺的呼吸</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DIY磁悬浮笔</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塑料蒸笼 小号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塑料蒸笼盖</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广式早茶模型 排骨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广式早茶模型 鸭舌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广式早茶模型 牛肚</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广式早茶模型 莲藕</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广式早茶模型 毛豆</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广式早茶模型 肉丸</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广式早茶模型 虾饺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空气火箭实验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磁力跷跷板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缤纷消消乐棋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智慧金字塔棋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井字立体四子棋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29.9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磁力移车出库 12格</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磁力移车出库 15格</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44.9</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连锁三角棋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TPE积木套装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抽木棍游戏棒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有趣的测量游戏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解绳大挑战游戏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人体解剖模型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科学实验儿童色素</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基础方块电路积木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90.9</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图形钉板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85.5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物体沉浮实验盒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趣味翻绳游戏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百变创意齿轮玩具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1029.5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科学实验电子积木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181.7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电子积木电路玩具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217.4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益智拼插玩具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126.5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涂鸦画板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80.5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塑料大乐高积木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362.4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滚珠轨道玩具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141.5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迷宫闯关游戏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80.5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三合一井字棋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171.4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多功能棋盘 五子棋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181.7</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科学小实验套装电动编程积木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194.4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电路实验电子积木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256.5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伸缩机械钳实验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气球动力反冲小车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逻辑思维机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273.7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2189.6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可充电无线耳机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528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吸尘器实验材料包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水轮车实验材料包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人体眼球模型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169.2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血液循环图卡</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电子画画板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376.2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重力轨道球</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703.8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儿童美发造型玩具 黑发</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儿童美发造型玩具 金发</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男孩腰包理发道具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声光理发玩具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80.5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儿童化妆品玩具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67.9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儿童指甲油玩具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82.8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儿童指甲贴玩具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红色小象儿童指甲油玩具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391.2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盐水发电风扇</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瓶子吹气球科学小实验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简易显微镜实验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声波成像实验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蜂眼万花筒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百变形状拼搭套柱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四面数字翻盘棋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动物住楼房玩具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夹豆子玩具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儿童日历时钟</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绘本故事电视机道具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绘本故事机配套故事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32.2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吸吸乐棋类游戏</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儿童电路玩具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286.4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1145.6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积木轨道电动玩具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20.7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儿童积木玩具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100.2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电动科教积木</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133.4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我做你猜 玩具套装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磁力安静书</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翻花绳玩具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86.8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磁力滑板车小实验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64.4</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系鞋带玩具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拍立得儿童相机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112.7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338.1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仿真收银台玩具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摄影师角色服装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件</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41.4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82.8</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拍照道具 电影板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个</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拍照眼镜道具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26.3</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角色区挂牌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11.5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塑料四子棋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27.6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双人弹弹棋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电子井字棋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241.5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塑料轨道棋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21.9</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兔子飞行棋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动画光学实验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四合一棋套装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26.5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53</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数独棋套装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131.1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131.1</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DIY录音盒子玩具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56.4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56.4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3D几何拼贴画</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19.6</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拉密数字牌</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智能数独六宫格</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102.4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307.2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地铁站台模型</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55.2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系红领巾教具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42</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科学磁铁套装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34.5</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口袋棋套装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57.5</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公主换装秀玩具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13.8</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妆容贴画魔法公主化妆包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44.9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公主戳戳乐玩具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34.3</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178</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儿童美甲玩具 金粉炫雅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33.4</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儿童美甲玩具 带钻樱花</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16.7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33.4</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美甲三层畅玩套装</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43.7</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43.7</w:t>
            </w:r>
          </w:p>
        </w:tc>
      </w:tr>
      <w:tr>
        <w:tblPrEx>
          <w:tblW w:w="5000" w:type="pct"/>
          <w:tblInd w:w="0" w:type="dxa"/>
          <w:shd w:val="clear" w:color="auto" w:fill="auto"/>
          <w:tblLayout w:type="fixed"/>
          <w:tblCellMar>
            <w:top w:w="0" w:type="dxa"/>
            <w:left w:w="108" w:type="dxa"/>
            <w:bottom w:w="0" w:type="dxa"/>
            <w:right w:w="108" w:type="dxa"/>
          </w:tblCellMar>
        </w:tblPrEx>
        <w:trPr>
          <w:trHeight w:val="73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儿童额头樱花妆容贴玩具</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张</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儿童民族风头饰项圈</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18.2</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18.2</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183</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彩色磁力片</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170</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170</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小鸡磁力画板</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4</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盒</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36</w:t>
            </w:r>
          </w:p>
        </w:tc>
      </w:tr>
      <w:tr>
        <w:tblPrEx>
          <w:tblW w:w="5000" w:type="pct"/>
          <w:tblInd w:w="0" w:type="dxa"/>
          <w:shd w:val="clear" w:color="auto" w:fill="auto"/>
          <w:tblLayout w:type="fixed"/>
          <w:tblCellMar>
            <w:top w:w="0" w:type="dxa"/>
            <w:left w:w="108" w:type="dxa"/>
            <w:bottom w:w="0" w:type="dxa"/>
            <w:right w:w="108" w:type="dxa"/>
          </w:tblCellMar>
        </w:tblPrEx>
        <w:trPr>
          <w:trHeight w:val="495"/>
        </w:trPr>
        <w:tc>
          <w:tcPr>
            <w:tcW w:w="360"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185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可变形发光陀螺</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5</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套</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19.6</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98</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360" w:type="dxa"/>
            <w:tcBorders>
              <w:top w:val="nil"/>
              <w:left w:val="nil"/>
              <w:bottom w:val="single" w:sz="8" w:space="0" w:color="000000"/>
              <w:right w:val="single" w:sz="8"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360" w:type="dxa"/>
            <w:tcBorders>
              <w:top w:val="nil"/>
              <w:left w:val="nil"/>
              <w:bottom w:val="single" w:sz="8" w:space="0" w:color="000000"/>
              <w:right w:val="single" w:sz="8"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360" w:type="dxa"/>
            <w:tcBorders>
              <w:top w:val="nil"/>
              <w:left w:val="nil"/>
              <w:bottom w:val="single" w:sz="8" w:space="0" w:color="000000"/>
              <w:right w:val="single" w:sz="8"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小计</w:t>
            </w:r>
          </w:p>
        </w:tc>
        <w:tc>
          <w:tcPr>
            <w:tcW w:w="360" w:type="dxa"/>
            <w:tcBorders>
              <w:top w:val="nil"/>
              <w:left w:val="nil"/>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23520</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60" w:type="dxa"/>
            <w:tcBorders>
              <w:top w:val="nil"/>
              <w:left w:val="single" w:sz="8" w:space="0" w:color="000000"/>
              <w:bottom w:val="single" w:sz="8" w:space="0" w:color="000000"/>
              <w:right w:val="single" w:sz="8"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ar"/>
              </w:rPr>
              <w:t>合计</w:t>
            </w:r>
          </w:p>
        </w:tc>
        <w:tc>
          <w:tcPr>
            <w:tcW w:w="360" w:type="dxa"/>
            <w:tcBorders>
              <w:top w:val="nil"/>
              <w:left w:val="nil"/>
              <w:bottom w:val="single" w:sz="8" w:space="0" w:color="000000"/>
              <w:right w:val="single" w:sz="8" w:space="0" w:color="000000"/>
            </w:tcBorders>
            <w:shd w:val="clear" w:color="auto" w:fill="auto"/>
            <w:vAlign w:val="top"/>
          </w:tcPr>
          <w:p>
            <w:pPr>
              <w:keepNext w:val="0"/>
              <w:keepLines w:val="0"/>
              <w:widowControl/>
              <w:suppressLineNumbers w:val="0"/>
              <w:jc w:val="center"/>
              <w:textAlignment w:val="top"/>
              <w:rPr>
                <w:rFonts w:ascii="Times New Roman" w:eastAsia="宋体" w:hAnsi="Times New Roman" w:cs="Times New Roman" w:hint="default"/>
                <w:i w:val="0"/>
                <w:iCs w:val="0"/>
                <w:color w:val="000000"/>
                <w:sz w:val="21"/>
                <w:szCs w:val="21"/>
                <w:u w:val="none"/>
              </w:rPr>
            </w:pPr>
            <w:r>
              <w:rPr>
                <w:rFonts w:ascii="Times New Roman" w:eastAsia="宋体" w:hAnsi="Times New Roman" w:cs="Times New Roman" w:hint="default"/>
                <w:i w:val="0"/>
                <w:iCs w:val="0"/>
                <w:color w:val="000000"/>
                <w:kern w:val="0"/>
                <w:sz w:val="21"/>
                <w:szCs w:val="21"/>
                <w:u w:val="none"/>
                <w:bdr w:val="none" w:sz="0" w:space="0" w:color="auto"/>
                <w:lang w:val="en-US" w:eastAsia="zh-CN" w:bidi="ar"/>
              </w:rPr>
              <w:t>\</w:t>
            </w:r>
          </w:p>
        </w:tc>
        <w:tc>
          <w:tcPr>
            <w:tcW w:w="360" w:type="dxa"/>
            <w:tcBorders>
              <w:top w:val="nil"/>
              <w:left w:val="nil"/>
              <w:bottom w:val="single" w:sz="8" w:space="0" w:color="000000"/>
              <w:right w:val="single" w:sz="8" w:space="0" w:color="000000"/>
            </w:tcBorders>
            <w:shd w:val="clear" w:color="auto" w:fill="auto"/>
            <w:vAlign w:val="top"/>
          </w:tcPr>
          <w:p>
            <w:pPr>
              <w:keepNext w:val="0"/>
              <w:keepLines w:val="0"/>
              <w:widowControl/>
              <w:suppressLineNumbers w:val="0"/>
              <w:jc w:val="center"/>
              <w:textAlignment w:val="top"/>
              <w:rPr>
                <w:rFonts w:ascii="Times New Roman" w:eastAsia="宋体" w:hAnsi="Times New Roman" w:cs="Times New Roman" w:hint="default"/>
                <w:i w:val="0"/>
                <w:iCs w:val="0"/>
                <w:color w:val="000000"/>
                <w:sz w:val="21"/>
                <w:szCs w:val="21"/>
                <w:u w:val="none"/>
              </w:rPr>
            </w:pPr>
            <w:r>
              <w:rPr>
                <w:rFonts w:ascii="Times New Roman" w:eastAsia="宋体" w:hAnsi="Times New Roman" w:cs="Times New Roman" w:hint="default"/>
                <w:i w:val="0"/>
                <w:iCs w:val="0"/>
                <w:color w:val="000000"/>
                <w:kern w:val="0"/>
                <w:sz w:val="21"/>
                <w:szCs w:val="21"/>
                <w:u w:val="none"/>
                <w:bdr w:val="none" w:sz="0" w:space="0" w:color="auto"/>
                <w:lang w:val="en-US" w:eastAsia="zh-CN" w:bidi="ar"/>
              </w:rPr>
              <w:t>\</w:t>
            </w:r>
          </w:p>
        </w:tc>
        <w:tc>
          <w:tcPr>
            <w:tcW w:w="360" w:type="dxa"/>
            <w:tcBorders>
              <w:top w:val="nil"/>
              <w:left w:val="nil"/>
              <w:bottom w:val="single" w:sz="8" w:space="0" w:color="000000"/>
              <w:right w:val="single" w:sz="8" w:space="0" w:color="000000"/>
            </w:tcBorders>
            <w:shd w:val="clear" w:color="auto" w:fill="auto"/>
            <w:vAlign w:val="top"/>
          </w:tcPr>
          <w:p>
            <w:pPr>
              <w:keepNext w:val="0"/>
              <w:keepLines w:val="0"/>
              <w:widowControl/>
              <w:suppressLineNumbers w:val="0"/>
              <w:jc w:val="center"/>
              <w:textAlignment w:val="top"/>
              <w:rPr>
                <w:rFonts w:ascii="Times New Roman" w:eastAsia="宋体" w:hAnsi="Times New Roman" w:cs="Times New Roman" w:hint="default"/>
                <w:i w:val="0"/>
                <w:iCs w:val="0"/>
                <w:color w:val="000000"/>
                <w:sz w:val="21"/>
                <w:szCs w:val="21"/>
                <w:u w:val="none"/>
              </w:rPr>
            </w:pPr>
            <w:r>
              <w:rPr>
                <w:rFonts w:ascii="Times New Roman" w:eastAsia="宋体" w:hAnsi="Times New Roman" w:cs="Times New Roman" w:hint="default"/>
                <w:i w:val="0"/>
                <w:iCs w:val="0"/>
                <w:color w:val="000000"/>
                <w:kern w:val="0"/>
                <w:sz w:val="21"/>
                <w:szCs w:val="21"/>
                <w:u w:val="none"/>
                <w:bdr w:val="none" w:sz="0" w:space="0" w:color="auto"/>
                <w:lang w:val="en-US" w:eastAsia="zh-CN" w:bidi="ar"/>
              </w:rPr>
              <w:t>\</w:t>
            </w:r>
          </w:p>
        </w:tc>
        <w:tc>
          <w:tcPr>
            <w:tcW w:w="360" w:type="dxa"/>
            <w:tcBorders>
              <w:top w:val="nil"/>
              <w:left w:val="nil"/>
              <w:bottom w:val="single" w:sz="8" w:space="0" w:color="000000"/>
              <w:right w:val="single" w:sz="8" w:space="0" w:color="000000"/>
            </w:tcBorders>
            <w:shd w:val="clear" w:color="auto" w:fill="auto"/>
            <w:vAlign w:val="top"/>
          </w:tcPr>
          <w:p>
            <w:pPr>
              <w:keepNext w:val="0"/>
              <w:keepLines w:val="0"/>
              <w:widowControl/>
              <w:suppressLineNumbers w:val="0"/>
              <w:jc w:val="center"/>
              <w:textAlignment w:val="top"/>
              <w:rPr>
                <w:rFonts w:ascii="Times New Roman" w:eastAsia="宋体" w:hAnsi="Times New Roman" w:cs="Times New Roman" w:hint="default"/>
                <w:i w:val="0"/>
                <w:iCs w:val="0"/>
                <w:color w:val="000000"/>
                <w:sz w:val="21"/>
                <w:szCs w:val="21"/>
                <w:u w:val="none"/>
              </w:rPr>
            </w:pPr>
            <w:r>
              <w:rPr>
                <w:rFonts w:ascii="Times New Roman" w:eastAsia="宋体" w:hAnsi="Times New Roman" w:cs="Times New Roman" w:hint="default"/>
                <w:i w:val="0"/>
                <w:iCs w:val="0"/>
                <w:color w:val="000000"/>
                <w:kern w:val="0"/>
                <w:sz w:val="21"/>
                <w:szCs w:val="21"/>
                <w:u w:val="none"/>
                <w:bdr w:val="none" w:sz="0" w:space="0" w:color="auto"/>
                <w:lang w:val="en-US" w:eastAsia="zh-CN" w:bidi="ar"/>
              </w:rPr>
              <w:t>\</w:t>
            </w:r>
          </w:p>
        </w:tc>
        <w:tc>
          <w:tcPr>
            <w:tcW w:w="360" w:type="dxa"/>
            <w:tcBorders>
              <w:top w:val="nil"/>
              <w:left w:val="nil"/>
              <w:bottom w:val="single" w:sz="8" w:space="0" w:color="000000"/>
              <w:right w:val="single" w:sz="8"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ar"/>
              </w:rPr>
              <w:t>398520</w:t>
            </w:r>
          </w:p>
        </w:tc>
      </w:tr>
    </w:tbl>
    <w:p>
      <w:pPr>
        <w:keepNext/>
        <w:keepLines/>
        <w:widowControl w:val="0"/>
        <w:numPr>
          <w:ilvl w:val="0"/>
          <w:numId w:val="0"/>
        </w:numPr>
        <w:tabs>
          <w:tab w:val="left" w:pos="1680"/>
        </w:tabs>
        <w:spacing w:before="260" w:after="60" w:afterLines="25"/>
        <w:jc w:val="both"/>
        <w:outlineLvl w:val="2"/>
        <w:rPr>
          <w:rFonts w:ascii="Calibri" w:eastAsia="宋体" w:hAnsi="Calibri" w:cs="Times New Roman" w:hint="eastAsia"/>
          <w:color w:val="FF0000"/>
          <w:kern w:val="2"/>
          <w:sz w:val="21"/>
          <w:szCs w:val="22"/>
          <w:lang w:eastAsia="zh-CN"/>
        </w:rPr>
      </w:pPr>
      <w:bookmarkStart w:id="14" w:name="_GoBack"/>
      <w:bookmarkEnd w:id="14"/>
    </w:p>
    <w:p>
      <w:pPr>
        <w:keepNext/>
        <w:keepLines/>
        <w:widowControl w:val="0"/>
        <w:numPr>
          <w:ilvl w:val="0"/>
          <w:numId w:val="0"/>
        </w:numPr>
        <w:tabs>
          <w:tab w:val="left" w:pos="1680"/>
        </w:tabs>
        <w:spacing w:before="260" w:after="60" w:afterLines="25"/>
        <w:jc w:val="both"/>
        <w:outlineLvl w:val="2"/>
        <w:rPr>
          <w:rFonts w:ascii="Calibri" w:eastAsia="宋体" w:hAnsi="Calibri" w:cs="Times New Roman" w:hint="eastAsia"/>
          <w:color w:val="FF0000"/>
          <w:kern w:val="2"/>
          <w:sz w:val="21"/>
          <w:szCs w:val="22"/>
          <w:lang w:eastAsia="zh-CN"/>
        </w:rPr>
      </w:pPr>
    </w:p>
    <w:p>
      <w:pPr>
        <w:widowControl w:val="0"/>
        <w:jc w:val="both"/>
        <w:rPr>
          <w:rFonts w:ascii="Calibri" w:eastAsia="宋体" w:hAnsi="Calibri"/>
          <w:color w:val="FF0000"/>
          <w:kern w:val="2"/>
          <w:sz w:val="21"/>
          <w:szCs w:val="22"/>
          <w:lang w:eastAsia="zh-CN"/>
        </w:rPr>
      </w:pPr>
      <w:r>
        <w:rPr>
          <w:rFonts w:ascii="Calibri" w:eastAsia="宋体" w:hAnsi="Calibri" w:cs="Times New Roman" w:hint="eastAsia"/>
          <w:color w:val="FF0000"/>
          <w:kern w:val="2"/>
          <w:sz w:val="21"/>
          <w:szCs w:val="22"/>
          <w:lang w:eastAsia="zh-CN"/>
        </w:rPr>
        <w:t>备注：</w:t>
      </w:r>
    </w:p>
    <w:p>
      <w:pPr>
        <w:widowControl w:val="0"/>
        <w:ind w:firstLine="420" w:firstLineChars="200"/>
        <w:jc w:val="both"/>
        <w:rPr>
          <w:rFonts w:ascii="Calibri" w:eastAsia="宋体" w:hAnsi="Calibri"/>
          <w:color w:val="FF0000"/>
          <w:kern w:val="2"/>
          <w:sz w:val="21"/>
          <w:szCs w:val="22"/>
          <w:lang w:eastAsia="zh-CN"/>
        </w:rPr>
      </w:pPr>
      <w:r>
        <w:rPr>
          <w:rFonts w:ascii="Calibri" w:eastAsia="宋体" w:hAnsi="Calibri" w:cs="Times New Roman" w:hint="eastAsia"/>
          <w:color w:val="FF0000"/>
          <w:kern w:val="2"/>
          <w:sz w:val="21"/>
          <w:szCs w:val="22"/>
          <w:lang w:eastAsia="zh-CN"/>
        </w:rPr>
        <w:t>1、“备注”栏注明有“接受进口”或“允许进口”的产品允许投标人选用进口产品参与投标，但不排斥国内产品投标；未注明“接受进口”或“允许进口”的产品均不接受进口产品投标。</w:t>
      </w:r>
    </w:p>
    <w:p>
      <w:pPr>
        <w:widowControl w:val="0"/>
        <w:ind w:firstLine="420" w:firstLineChars="200"/>
        <w:jc w:val="both"/>
        <w:rPr>
          <w:rFonts w:ascii="Calibri" w:eastAsia="宋体" w:hAnsi="Calibri"/>
          <w:color w:val="FF0000"/>
          <w:kern w:val="2"/>
          <w:sz w:val="21"/>
          <w:szCs w:val="22"/>
          <w:lang w:eastAsia="zh-CN"/>
        </w:rPr>
      </w:pPr>
      <w:r>
        <w:rPr>
          <w:rFonts w:ascii="Calibri" w:eastAsia="宋体" w:hAnsi="Calibri" w:cs="Times New Roman" w:hint="eastAsia"/>
          <w:color w:val="FF0000"/>
          <w:kern w:val="2"/>
          <w:sz w:val="21"/>
          <w:szCs w:val="22"/>
          <w:lang w:eastAsia="zh-CN"/>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widowControl w:val="0"/>
        <w:ind w:firstLine="420" w:firstLineChars="200"/>
        <w:jc w:val="both"/>
        <w:rPr>
          <w:rFonts w:ascii="Calibri" w:eastAsia="宋体" w:hAnsi="Calibri"/>
          <w:color w:val="FF0000"/>
          <w:kern w:val="2"/>
          <w:sz w:val="21"/>
          <w:szCs w:val="22"/>
          <w:lang w:eastAsia="zh-CN"/>
        </w:rPr>
      </w:pPr>
      <w:r>
        <w:rPr>
          <w:rFonts w:ascii="Calibri" w:eastAsia="宋体" w:hAnsi="Calibri" w:cs="Times New Roman" w:hint="eastAsia"/>
          <w:color w:val="FF0000"/>
          <w:kern w:val="2"/>
          <w:sz w:val="21"/>
          <w:szCs w:val="22"/>
          <w:lang w:eastAsia="zh-CN"/>
        </w:rPr>
        <w:t>3、如注明有单价控制金额的产品，投标人对该产品的报价不得超过控制金额，否则将作投标无效处理。</w:t>
      </w:r>
    </w:p>
    <w:p>
      <w:pPr>
        <w:widowControl w:val="0"/>
        <w:ind w:firstLine="420" w:firstLineChars="200"/>
        <w:jc w:val="both"/>
        <w:rPr>
          <w:rFonts w:ascii="Calibri" w:eastAsia="宋体" w:hAnsi="Calibri"/>
          <w:color w:val="FF0000"/>
          <w:kern w:val="2"/>
          <w:sz w:val="21"/>
          <w:szCs w:val="22"/>
          <w:lang w:eastAsia="zh-CN"/>
        </w:rPr>
      </w:pPr>
      <w:r>
        <w:rPr>
          <w:rFonts w:ascii="Calibri" w:eastAsia="宋体" w:hAnsi="Calibri" w:cs="Times New Roman" w:hint="eastAsia"/>
          <w:color w:val="FF0000"/>
          <w:kern w:val="2"/>
          <w:sz w:val="21"/>
          <w:szCs w:val="22"/>
          <w:lang w:eastAsia="zh-CN"/>
        </w:rPr>
        <w:t>4、根据《政府采购货物和服务招标投标管理办法》（财政部令第87号）第三十一条规定，单一产品项目或非单一产品项目中的核心产品均应明确品牌，投标人未填报品牌的将作投标无效处理。</w:t>
      </w:r>
    </w:p>
    <w:p>
      <w:pPr>
        <w:keepNext/>
        <w:keepLines/>
        <w:widowControl w:val="0"/>
        <w:spacing w:before="260" w:after="260" w:line="416" w:lineRule="auto"/>
        <w:jc w:val="center"/>
        <w:outlineLvl w:val="1"/>
        <w:rPr>
          <w:rFonts w:ascii="Cambria" w:eastAsia="宋体" w:hAnsi="Cambria"/>
          <w:b/>
          <w:bCs/>
          <w:kern w:val="2"/>
          <w:sz w:val="32"/>
          <w:szCs w:val="32"/>
          <w:lang w:eastAsia="zh-CN"/>
        </w:rPr>
      </w:pPr>
      <w:bookmarkStart w:id="15" w:name="_Toc128884461"/>
      <w:r>
        <w:rPr>
          <w:rFonts w:ascii="Cambria" w:eastAsia="宋体" w:hAnsi="Cambria" w:cs="Times New Roman" w:hint="eastAsia"/>
          <w:b/>
          <w:bCs/>
          <w:kern w:val="2"/>
          <w:sz w:val="32"/>
          <w:szCs w:val="32"/>
          <w:lang w:eastAsia="zh-CN"/>
        </w:rPr>
        <w:t>三、实质性条款</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3"/>
        <w:gridCol w:w="8093"/>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4"/>
          <w:jc w:val="center"/>
        </w:trPr>
        <w:tc>
          <w:tcPr>
            <w:tcW w:w="705" w:type="dxa"/>
            <w:noWrap w:val="0"/>
            <w:vAlign w:val="center"/>
          </w:tcPr>
          <w:p>
            <w:pPr>
              <w:widowControl w:val="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序号</w:t>
            </w:r>
          </w:p>
        </w:tc>
        <w:tc>
          <w:tcPr>
            <w:tcW w:w="7483" w:type="dxa"/>
            <w:noWrap w:val="0"/>
            <w:vAlign w:val="center"/>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实质性条款具体内容</w:t>
            </w:r>
          </w:p>
        </w:tc>
      </w:tr>
      <w:tr>
        <w:tblPrEx>
          <w:tblW w:w="5000" w:type="pct"/>
          <w:jc w:val="center"/>
          <w:tblLayout w:type="fixed"/>
          <w:tblCellMar>
            <w:top w:w="0" w:type="dxa"/>
            <w:left w:w="108" w:type="dxa"/>
            <w:bottom w:w="0" w:type="dxa"/>
            <w:right w:w="108" w:type="dxa"/>
          </w:tblCellMar>
        </w:tblPrEx>
        <w:trPr>
          <w:jc w:val="center"/>
        </w:trPr>
        <w:tc>
          <w:tcPr>
            <w:tcW w:w="705" w:type="dxa"/>
            <w:noWrap w:val="0"/>
            <w:vAlign w:val="top"/>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1</w:t>
            </w:r>
          </w:p>
        </w:tc>
        <w:tc>
          <w:tcPr>
            <w:tcW w:w="7483" w:type="dxa"/>
            <w:noWrap w:val="0"/>
            <w:vAlign w:val="top"/>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本项目招标文件中所有带★号条款内容</w:t>
            </w:r>
          </w:p>
        </w:tc>
      </w:tr>
      <w:bookmarkEnd w:id="15"/>
    </w:tbl>
    <w:p>
      <w:pPr>
        <w:widowControl w:val="0"/>
        <w:jc w:val="both"/>
        <w:rPr>
          <w:rFonts w:ascii="Calibri" w:eastAsia="宋体" w:hAnsi="Calibri"/>
          <w:b/>
          <w:color w:val="FF0000"/>
          <w:kern w:val="2"/>
          <w:sz w:val="21"/>
          <w:szCs w:val="22"/>
          <w:lang w:eastAsia="zh-CN"/>
        </w:rPr>
      </w:pPr>
      <w:r>
        <w:rPr>
          <w:rFonts w:ascii="Calibri" w:eastAsia="宋体" w:hAnsi="Calibri" w:cs="Times New Roman" w:hint="eastAsia"/>
          <w:b/>
          <w:color w:val="FF0000"/>
          <w:kern w:val="2"/>
          <w:sz w:val="21"/>
          <w:szCs w:val="22"/>
          <w:lang w:eastAsia="zh-CN"/>
        </w:rPr>
        <w:t>注</w:t>
      </w:r>
      <w:r>
        <w:rPr>
          <w:rFonts w:ascii="Calibri" w:eastAsia="宋体" w:hAnsi="Calibri" w:cs="Times New Roman" w:hint="eastAsia"/>
          <w:kern w:val="2"/>
          <w:sz w:val="21"/>
          <w:szCs w:val="22"/>
          <w:lang w:eastAsia="zh-CN"/>
        </w:rPr>
        <w:t>：</w:t>
      </w:r>
      <w:r>
        <w:rPr>
          <w:rFonts w:ascii="Calibri" w:eastAsia="宋体" w:hAnsi="Calibri" w:cs="Times New Roman" w:hint="eastAsia"/>
          <w:b/>
          <w:color w:val="FF0000"/>
          <w:kern w:val="2"/>
          <w:sz w:val="21"/>
          <w:szCs w:val="22"/>
          <w:lang w:eastAsia="zh-CN"/>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pPr>
        <w:keepNext/>
        <w:keepLines/>
        <w:widowControl w:val="0"/>
        <w:tabs>
          <w:tab w:val="left" w:pos="1680"/>
        </w:tabs>
        <w:spacing w:before="260" w:after="60" w:afterLines="25"/>
        <w:jc w:val="center"/>
        <w:outlineLvl w:val="2"/>
        <w:rPr>
          <w:rFonts w:ascii="Arial" w:eastAsia="宋体" w:hAnsi="Arial"/>
          <w:b/>
          <w:bCs/>
          <w:kern w:val="2"/>
          <w:sz w:val="32"/>
          <w:szCs w:val="32"/>
          <w:lang w:eastAsia="zh-CN"/>
        </w:rPr>
      </w:pPr>
      <w:r>
        <w:rPr>
          <w:rFonts w:ascii="Calibri" w:eastAsia="宋体" w:hAnsi="Calibri" w:cs="Times New Roman" w:hint="eastAsia"/>
          <w:b/>
          <w:kern w:val="2"/>
          <w:sz w:val="32"/>
          <w:szCs w:val="32"/>
          <w:lang w:eastAsia="zh-CN"/>
        </w:rPr>
        <w:t>四</w:t>
      </w:r>
      <w:r>
        <w:rPr>
          <w:rFonts w:ascii="Arial" w:eastAsia="宋体" w:hAnsi="Arial" w:hint="eastAsia"/>
          <w:b/>
          <w:bCs/>
          <w:kern w:val="2"/>
          <w:sz w:val="32"/>
          <w:szCs w:val="32"/>
          <w:lang w:eastAsia="zh-CN"/>
        </w:rPr>
        <w:t>、商务和服务条款要求</w:t>
      </w:r>
    </w:p>
    <w:p>
      <w:pPr>
        <w:widowControl w:val="0"/>
        <w:ind w:firstLine="420" w:firstLineChars="200"/>
        <w:jc w:val="both"/>
        <w:rPr>
          <w:rFonts w:ascii="Calibri" w:eastAsia="宋体" w:hAnsi="Calibri"/>
          <w:b/>
          <w:kern w:val="2"/>
          <w:sz w:val="21"/>
          <w:szCs w:val="22"/>
          <w:lang w:eastAsia="zh-CN"/>
        </w:rPr>
      </w:pPr>
      <w:r>
        <w:rPr>
          <w:rFonts w:ascii="Calibri" w:eastAsia="宋体" w:hAnsi="Calibri" w:cs="Times New Roman" w:hint="eastAsia"/>
          <w:b/>
          <w:kern w:val="2"/>
          <w:sz w:val="21"/>
          <w:szCs w:val="21"/>
          <w:lang w:eastAsia="zh-CN"/>
        </w:rPr>
        <w:t>说明：</w:t>
      </w:r>
      <w:r>
        <w:rPr>
          <w:rFonts w:ascii="Calibri" w:eastAsia="宋体" w:hAnsi="Calibri" w:cs="Times New Roman"/>
          <w:b/>
          <w:kern w:val="2"/>
          <w:sz w:val="21"/>
          <w:szCs w:val="22"/>
          <w:lang w:eastAsia="zh-CN"/>
        </w:rPr>
        <w:t>1</w:t>
      </w:r>
      <w:r>
        <w:rPr>
          <w:rFonts w:ascii="Calibri" w:eastAsia="宋体" w:hAnsi="Calibri" w:cs="Times New Roman" w:hint="eastAsia"/>
          <w:b/>
          <w:kern w:val="2"/>
          <w:sz w:val="21"/>
          <w:szCs w:val="22"/>
          <w:lang w:eastAsia="zh-CN"/>
        </w:rPr>
        <w:t>、评分时，如对一项招标商务要求（以划分框为准）中的内容存在两处（或以上）负偏离的，在评分时只作一项负偏离扣分。</w:t>
      </w:r>
    </w:p>
    <w:p>
      <w:pPr>
        <w:widowControl w:val="0"/>
        <w:numPr>
          <w:ilvl w:val="0"/>
          <w:numId w:val="2"/>
        </w:numPr>
        <w:ind w:firstLine="420" w:firstLineChars="200"/>
        <w:jc w:val="both"/>
        <w:rPr>
          <w:rFonts w:ascii="Calibri" w:eastAsia="宋体" w:hAnsi="Calibri" w:hint="eastAsia"/>
          <w:b/>
          <w:kern w:val="2"/>
          <w:sz w:val="21"/>
          <w:szCs w:val="21"/>
          <w:lang w:eastAsia="zh-CN"/>
        </w:rPr>
      </w:pPr>
      <w:r>
        <w:rPr>
          <w:rFonts w:ascii="Calibri" w:eastAsia="宋体" w:hAnsi="Calibri" w:cs="Times New Roman" w:hint="eastAsia"/>
          <w:b/>
          <w:kern w:val="2"/>
          <w:sz w:val="21"/>
          <w:szCs w:val="21"/>
          <w:lang w:eastAsia="zh-CN"/>
        </w:rPr>
        <w:t>带★号条款为不可偏离条款，不作为评分准则中的评分内容，如未响应或出现负偏离的，将作投标无效处理；带“</w:t>
      </w:r>
      <w:r>
        <w:rPr>
          <w:rFonts w:ascii="Calibri" w:eastAsia="宋体" w:hAnsi="Calibri" w:cs="Times New Roman"/>
          <w:kern w:val="2"/>
          <w:sz w:val="21"/>
          <w:szCs w:val="22"/>
          <w:lang w:eastAsia="zh-CN"/>
        </w:rPr>
        <w:t>▲</w:t>
      </w:r>
      <w:r>
        <w:rPr>
          <w:rFonts w:ascii="Calibri" w:eastAsia="宋体" w:hAnsi="Calibri" w:cs="Times New Roman" w:hint="eastAsia"/>
          <w:b/>
          <w:kern w:val="2"/>
          <w:sz w:val="21"/>
          <w:szCs w:val="21"/>
          <w:lang w:eastAsia="zh-CN"/>
        </w:rPr>
        <w:t>”指标项为重要参数，负偏离时依相关评分准则内容作重点扣分处理。</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0"/>
        <w:gridCol w:w="1787"/>
        <w:gridCol w:w="6119"/>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jc w:val="center"/>
        </w:trPr>
        <w:tc>
          <w:tcPr>
            <w:tcW w:w="950"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imes New Roman" w:hint="eastAsia"/>
                <w:b/>
                <w:kern w:val="2"/>
                <w:sz w:val="21"/>
                <w:szCs w:val="22"/>
                <w:lang w:eastAsia="zh-CN"/>
              </w:rPr>
              <w:t>序号</w:t>
            </w:r>
          </w:p>
        </w:tc>
        <w:tc>
          <w:tcPr>
            <w:tcW w:w="1787"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imes New Roman" w:hint="eastAsia"/>
                <w:b/>
                <w:kern w:val="2"/>
                <w:sz w:val="21"/>
                <w:szCs w:val="22"/>
                <w:lang w:eastAsia="zh-CN"/>
              </w:rPr>
              <w:t>目录</w:t>
            </w:r>
          </w:p>
        </w:tc>
        <w:tc>
          <w:tcPr>
            <w:tcW w:w="6119"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imes New Roman" w:hint="eastAsia"/>
                <w:b/>
                <w:kern w:val="2"/>
                <w:sz w:val="21"/>
                <w:szCs w:val="22"/>
                <w:lang w:eastAsia="zh-CN"/>
              </w:rPr>
              <w:t>采购商务需求</w:t>
            </w:r>
          </w:p>
        </w:tc>
      </w:tr>
      <w:tr>
        <w:tblPrEx>
          <w:tblW w:w="5000" w:type="pct"/>
          <w:jc w:val="center"/>
          <w:tblLayout w:type="fixed"/>
          <w:tblCellMar>
            <w:top w:w="0" w:type="dxa"/>
            <w:left w:w="108" w:type="dxa"/>
            <w:bottom w:w="0" w:type="dxa"/>
            <w:right w:w="108" w:type="dxa"/>
          </w:tblCellMar>
        </w:tblPrEx>
        <w:trPr>
          <w:trHeight w:val="280"/>
          <w:jc w:val="center"/>
        </w:trPr>
        <w:tc>
          <w:tcPr>
            <w:tcW w:w="8856" w:type="dxa"/>
            <w:gridSpan w:val="3"/>
            <w:noWrap w:val="0"/>
            <w:vAlign w:val="center"/>
          </w:tcPr>
          <w:p>
            <w:pPr>
              <w:widowControl w:val="0"/>
              <w:jc w:val="center"/>
              <w:rPr>
                <w:rFonts w:ascii="Calibri" w:eastAsia="宋体" w:hAnsi="Calibri"/>
                <w:b/>
                <w:kern w:val="2"/>
                <w:sz w:val="21"/>
                <w:szCs w:val="22"/>
                <w:lang w:eastAsia="zh-CN"/>
              </w:rPr>
            </w:pPr>
            <w:r>
              <w:rPr>
                <w:rFonts w:ascii="Calibri" w:eastAsia="宋体" w:hAnsi="Calibri" w:cs="Times New Roman" w:hint="eastAsia"/>
                <w:b/>
                <w:kern w:val="2"/>
                <w:sz w:val="21"/>
                <w:szCs w:val="22"/>
                <w:lang w:eastAsia="zh-CN"/>
              </w:rPr>
              <w:t>（一）免费保修期内售后服务要求</w:t>
            </w:r>
          </w:p>
        </w:tc>
      </w:tr>
      <w:tr>
        <w:tblPrEx>
          <w:tblW w:w="5000" w:type="pct"/>
          <w:jc w:val="center"/>
          <w:tblLayout w:type="fixed"/>
          <w:tblCellMar>
            <w:top w:w="0" w:type="dxa"/>
            <w:left w:w="108" w:type="dxa"/>
            <w:bottom w:w="0" w:type="dxa"/>
            <w:right w:w="108" w:type="dxa"/>
          </w:tblCellMar>
        </w:tblPrEx>
        <w:trPr>
          <w:trHeight w:val="150"/>
          <w:jc w:val="center"/>
        </w:trPr>
        <w:tc>
          <w:tcPr>
            <w:tcW w:w="950"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imes New Roman" w:hint="eastAsia"/>
                <w:b/>
                <w:kern w:val="2"/>
                <w:sz w:val="21"/>
                <w:szCs w:val="22"/>
                <w:lang w:eastAsia="zh-CN"/>
              </w:rPr>
              <w:t>1</w:t>
            </w:r>
          </w:p>
        </w:tc>
        <w:tc>
          <w:tcPr>
            <w:tcW w:w="1787" w:type="dxa"/>
            <w:noWrap w:val="0"/>
            <w:vAlign w:val="center"/>
          </w:tcPr>
          <w:p>
            <w:pPr>
              <w:rPr>
                <w:rFonts w:ascii="宋体" w:eastAsia="宋体" w:hAnsi="宋体" w:cs="宋体" w:hint="eastAsia"/>
                <w:color w:val="FF0000"/>
                <w:kern w:val="2"/>
                <w:sz w:val="21"/>
                <w:szCs w:val="21"/>
                <w:lang w:eastAsia="zh-CN"/>
              </w:rPr>
            </w:pPr>
            <w:r>
              <w:rPr>
                <w:rFonts w:ascii="宋体" w:eastAsia="宋体" w:hAnsi="宋体" w:cs="宋体" w:hint="eastAsia"/>
                <w:sz w:val="21"/>
                <w:szCs w:val="21"/>
              </w:rPr>
              <w:t>免费保修期</w:t>
            </w:r>
          </w:p>
        </w:tc>
        <w:tc>
          <w:tcPr>
            <w:tcW w:w="6119" w:type="dxa"/>
            <w:noWrap w:val="0"/>
            <w:vAlign w:val="top"/>
          </w:tcPr>
          <w:p>
            <w:pPr>
              <w:rPr>
                <w:rFonts w:ascii="宋体" w:eastAsia="宋体" w:hAnsi="宋体" w:cs="宋体" w:hint="eastAsia"/>
                <w:b/>
                <w:color w:val="FF0000"/>
                <w:kern w:val="2"/>
                <w:sz w:val="21"/>
                <w:szCs w:val="21"/>
                <w:lang w:eastAsia="zh-CN"/>
              </w:rPr>
            </w:pPr>
            <w:r>
              <w:rPr>
                <w:rFonts w:ascii="宋体" w:eastAsia="宋体" w:hAnsi="宋体" w:cs="宋体" w:hint="eastAsia"/>
                <w:sz w:val="21"/>
                <w:szCs w:val="21"/>
              </w:rPr>
              <w:t>★</w:t>
            </w:r>
            <w:r>
              <w:rPr>
                <w:rFonts w:ascii="宋体" w:eastAsia="宋体" w:hAnsi="宋体" w:cs="宋体" w:hint="eastAsia"/>
                <w:bCs/>
                <w:sz w:val="21"/>
                <w:szCs w:val="21"/>
              </w:rPr>
              <w:t>货物免费保修期至少_</w:t>
            </w:r>
            <w:r>
              <w:rPr>
                <w:rFonts w:ascii="宋体" w:eastAsia="宋体" w:hAnsi="宋体" w:cs="宋体" w:hint="eastAsia"/>
                <w:bCs/>
                <w:sz w:val="21"/>
                <w:szCs w:val="21"/>
                <w:lang w:val="en-US" w:eastAsia="zh-CN"/>
              </w:rPr>
              <w:t>壹</w:t>
            </w:r>
            <w:r>
              <w:rPr>
                <w:rFonts w:ascii="宋体" w:eastAsia="宋体" w:hAnsi="宋体" w:cs="宋体" w:hint="eastAsia"/>
                <w:bCs/>
                <w:sz w:val="21"/>
                <w:szCs w:val="21"/>
              </w:rPr>
              <w:t>_年，时间自最终验收合格并交付使用之日起计算。</w:t>
            </w:r>
          </w:p>
        </w:tc>
      </w:tr>
      <w:tr>
        <w:tblPrEx>
          <w:tblW w:w="5000" w:type="pct"/>
          <w:jc w:val="center"/>
          <w:tblLayout w:type="fixed"/>
          <w:tblCellMar>
            <w:top w:w="0" w:type="dxa"/>
            <w:left w:w="108" w:type="dxa"/>
            <w:bottom w:w="0" w:type="dxa"/>
            <w:right w:w="108" w:type="dxa"/>
          </w:tblCellMar>
        </w:tblPrEx>
        <w:trPr>
          <w:trHeight w:val="320"/>
          <w:jc w:val="center"/>
        </w:trPr>
        <w:tc>
          <w:tcPr>
            <w:tcW w:w="950"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imes New Roman" w:hint="eastAsia"/>
                <w:b/>
                <w:kern w:val="2"/>
                <w:sz w:val="21"/>
                <w:szCs w:val="22"/>
                <w:lang w:eastAsia="zh-CN"/>
              </w:rPr>
              <w:t>2</w:t>
            </w:r>
          </w:p>
        </w:tc>
        <w:tc>
          <w:tcPr>
            <w:tcW w:w="1787" w:type="dxa"/>
            <w:noWrap w:val="0"/>
            <w:vAlign w:val="top"/>
          </w:tcPr>
          <w:p>
            <w:pPr>
              <w:rPr>
                <w:rFonts w:ascii="宋体" w:eastAsia="宋体" w:hAnsi="宋体" w:cs="宋体" w:hint="eastAsia"/>
                <w:kern w:val="2"/>
                <w:sz w:val="21"/>
                <w:szCs w:val="21"/>
                <w:lang w:eastAsia="zh-CN"/>
              </w:rPr>
            </w:pPr>
            <w:r>
              <w:rPr>
                <w:rFonts w:ascii="宋体" w:eastAsia="宋体" w:hAnsi="宋体" w:cs="宋体" w:hint="eastAsia"/>
                <w:sz w:val="21"/>
                <w:szCs w:val="21"/>
              </w:rPr>
              <w:t>维修响应及故障解决时间</w:t>
            </w:r>
          </w:p>
        </w:tc>
        <w:tc>
          <w:tcPr>
            <w:tcW w:w="6119" w:type="dxa"/>
            <w:noWrap w:val="0"/>
            <w:vAlign w:val="top"/>
          </w:tcPr>
          <w:p>
            <w:pPr>
              <w:rPr>
                <w:rFonts w:ascii="宋体" w:eastAsia="宋体" w:hAnsi="宋体" w:cs="宋体" w:hint="eastAsia"/>
                <w:b/>
                <w:kern w:val="2"/>
                <w:sz w:val="21"/>
                <w:szCs w:val="21"/>
                <w:lang w:eastAsia="zh-CN"/>
              </w:rPr>
            </w:pPr>
            <w:r>
              <w:rPr>
                <w:rFonts w:ascii="宋体" w:eastAsia="宋体" w:hAnsi="宋体" w:cs="宋体" w:hint="eastAsia"/>
                <w:bCs/>
                <w:sz w:val="21"/>
                <w:szCs w:val="21"/>
              </w:rPr>
              <w:t>投标人承诺中标后，在保修期内，一旦发生质量问题，投标人保证在接到通知24小时内赶到现场进行修理或更换。</w:t>
            </w:r>
          </w:p>
        </w:tc>
      </w:tr>
      <w:tr>
        <w:tblPrEx>
          <w:tblW w:w="5000" w:type="pct"/>
          <w:jc w:val="center"/>
          <w:tblLayout w:type="fixed"/>
          <w:tblCellMar>
            <w:top w:w="0" w:type="dxa"/>
            <w:left w:w="108" w:type="dxa"/>
            <w:bottom w:w="0" w:type="dxa"/>
            <w:right w:w="108" w:type="dxa"/>
          </w:tblCellMar>
        </w:tblPrEx>
        <w:trPr>
          <w:trHeight w:val="523"/>
          <w:jc w:val="center"/>
        </w:trPr>
        <w:tc>
          <w:tcPr>
            <w:tcW w:w="950"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imes New Roman" w:hint="eastAsia"/>
                <w:b/>
                <w:kern w:val="2"/>
                <w:sz w:val="21"/>
                <w:szCs w:val="22"/>
                <w:lang w:eastAsia="zh-CN"/>
              </w:rPr>
              <w:t>3</w:t>
            </w:r>
          </w:p>
        </w:tc>
        <w:tc>
          <w:tcPr>
            <w:tcW w:w="1787" w:type="dxa"/>
            <w:noWrap w:val="0"/>
            <w:vAlign w:val="center"/>
          </w:tcPr>
          <w:p>
            <w:pPr>
              <w:rPr>
                <w:rFonts w:ascii="宋体" w:eastAsia="宋体" w:hAnsi="宋体" w:cs="宋体" w:hint="eastAsia"/>
                <w:b/>
                <w:kern w:val="2"/>
                <w:sz w:val="21"/>
                <w:szCs w:val="21"/>
                <w:lang w:eastAsia="zh-CN"/>
              </w:rPr>
            </w:pPr>
            <w:r>
              <w:rPr>
                <w:rFonts w:ascii="宋体" w:eastAsia="宋体" w:hAnsi="宋体" w:cs="宋体" w:hint="eastAsia"/>
                <w:sz w:val="21"/>
                <w:szCs w:val="21"/>
              </w:rPr>
              <w:t>其他</w:t>
            </w:r>
          </w:p>
        </w:tc>
        <w:tc>
          <w:tcPr>
            <w:tcW w:w="6119" w:type="dxa"/>
            <w:noWrap w:val="0"/>
            <w:vAlign w:val="center"/>
          </w:tcPr>
          <w:p>
            <w:pPr>
              <w:rPr>
                <w:rFonts w:ascii="宋体" w:eastAsia="宋体" w:hAnsi="宋体" w:cs="宋体" w:hint="eastAsia"/>
                <w:b/>
                <w:kern w:val="2"/>
                <w:sz w:val="21"/>
                <w:szCs w:val="21"/>
                <w:lang w:eastAsia="zh-CN"/>
              </w:rPr>
            </w:pPr>
            <w:r>
              <w:rPr>
                <w:rFonts w:ascii="宋体" w:eastAsia="宋体" w:hAnsi="宋体" w:cs="宋体" w:hint="eastAsia"/>
                <w:bCs/>
                <w:sz w:val="21"/>
                <w:szCs w:val="21"/>
              </w:rPr>
              <w:t>投标人中标后，应按其投标文件中的承诺，进行其他售后服务工作。</w:t>
            </w:r>
          </w:p>
        </w:tc>
      </w:tr>
      <w:tr>
        <w:tblPrEx>
          <w:tblW w:w="5000" w:type="pct"/>
          <w:jc w:val="center"/>
          <w:tblLayout w:type="fixed"/>
          <w:tblCellMar>
            <w:top w:w="0" w:type="dxa"/>
            <w:left w:w="108" w:type="dxa"/>
            <w:bottom w:w="0" w:type="dxa"/>
            <w:right w:w="108" w:type="dxa"/>
          </w:tblCellMar>
        </w:tblPrEx>
        <w:trPr>
          <w:trHeight w:val="523"/>
          <w:jc w:val="center"/>
        </w:trPr>
        <w:tc>
          <w:tcPr>
            <w:tcW w:w="8856" w:type="dxa"/>
            <w:gridSpan w:val="3"/>
            <w:noWrap w:val="0"/>
            <w:vAlign w:val="center"/>
          </w:tcPr>
          <w:p>
            <w:pPr>
              <w:jc w:val="center"/>
              <w:rPr>
                <w:rFonts w:ascii="宋体" w:eastAsia="宋体" w:hAnsi="宋体" w:cs="宋体" w:hint="eastAsia"/>
                <w:bCs/>
                <w:sz w:val="21"/>
                <w:szCs w:val="21"/>
              </w:rPr>
            </w:pPr>
            <w:r>
              <w:rPr>
                <w:rFonts w:ascii="Calibri" w:eastAsia="宋体" w:hAnsi="Calibri" w:cs="Times New Roman" w:hint="eastAsia"/>
                <w:b/>
                <w:kern w:val="2"/>
                <w:sz w:val="21"/>
                <w:szCs w:val="22"/>
                <w:lang w:eastAsia="zh-CN"/>
              </w:rPr>
              <w:t>（</w:t>
            </w:r>
            <w:r>
              <w:rPr>
                <w:rFonts w:ascii="Calibri" w:eastAsia="宋体" w:hAnsi="Calibri" w:cs="Times New Roman" w:hint="eastAsia"/>
                <w:b/>
                <w:kern w:val="2"/>
                <w:sz w:val="21"/>
                <w:szCs w:val="22"/>
                <w:lang w:val="en-US" w:eastAsia="zh-CN"/>
              </w:rPr>
              <w:t>二</w:t>
            </w:r>
            <w:r>
              <w:rPr>
                <w:rFonts w:ascii="Calibri" w:eastAsia="宋体" w:hAnsi="Calibri" w:cs="Times New Roman" w:hint="eastAsia"/>
                <w:b/>
                <w:kern w:val="2"/>
                <w:sz w:val="21"/>
                <w:szCs w:val="22"/>
                <w:lang w:eastAsia="zh-CN"/>
              </w:rPr>
              <w:t>）免费保修期</w:t>
            </w:r>
            <w:r>
              <w:rPr>
                <w:rFonts w:ascii="Calibri" w:eastAsia="宋体" w:hAnsi="Calibri" w:cs="Times New Roman" w:hint="eastAsia"/>
                <w:b/>
                <w:kern w:val="2"/>
                <w:sz w:val="21"/>
                <w:szCs w:val="22"/>
                <w:lang w:val="en-US" w:eastAsia="zh-CN"/>
              </w:rPr>
              <w:t>外</w:t>
            </w:r>
            <w:r>
              <w:rPr>
                <w:rFonts w:ascii="Calibri" w:eastAsia="宋体" w:hAnsi="Calibri" w:cs="Times New Roman" w:hint="eastAsia"/>
                <w:b/>
                <w:kern w:val="2"/>
                <w:sz w:val="21"/>
                <w:szCs w:val="22"/>
                <w:lang w:eastAsia="zh-CN"/>
              </w:rPr>
              <w:t>售后服务要求</w:t>
            </w:r>
          </w:p>
        </w:tc>
      </w:tr>
      <w:tr>
        <w:tblPrEx>
          <w:tblW w:w="5000" w:type="pct"/>
          <w:jc w:val="center"/>
          <w:tblLayout w:type="fixed"/>
          <w:tblCellMar>
            <w:top w:w="0" w:type="dxa"/>
            <w:left w:w="108" w:type="dxa"/>
            <w:bottom w:w="0" w:type="dxa"/>
            <w:right w:w="108" w:type="dxa"/>
          </w:tblCellMar>
        </w:tblPrEx>
        <w:trPr>
          <w:trHeight w:val="523"/>
          <w:jc w:val="center"/>
        </w:trPr>
        <w:tc>
          <w:tcPr>
            <w:tcW w:w="950" w:type="dxa"/>
            <w:noWrap w:val="0"/>
            <w:vAlign w:val="center"/>
          </w:tcPr>
          <w:p>
            <w:pPr>
              <w:jc w:val="center"/>
              <w:rPr>
                <w:rFonts w:ascii="宋体" w:eastAsia="宋体" w:hAnsi="宋体" w:cs="宋体" w:hint="eastAsia"/>
                <w:bCs/>
                <w:sz w:val="21"/>
                <w:szCs w:val="21"/>
                <w:lang w:eastAsia="zh-CN"/>
              </w:rPr>
            </w:pPr>
            <w:r>
              <w:rPr>
                <w:rFonts w:ascii="宋体" w:eastAsia="宋体" w:hAnsi="宋体" w:cs="宋体" w:hint="eastAsia"/>
                <w:b/>
                <w:bCs w:val="0"/>
                <w:sz w:val="21"/>
                <w:szCs w:val="21"/>
                <w:lang w:val="en-US" w:eastAsia="zh-CN"/>
              </w:rPr>
              <w:t>1</w:t>
            </w:r>
          </w:p>
        </w:tc>
        <w:tc>
          <w:tcPr>
            <w:tcW w:w="1787" w:type="dxa"/>
            <w:noWrap w:val="0"/>
            <w:vAlign w:val="top"/>
          </w:tcPr>
          <w:p>
            <w:pPr>
              <w:rPr>
                <w:rFonts w:ascii="宋体" w:eastAsia="宋体" w:hAnsi="宋体" w:cs="宋体" w:hint="eastAsia"/>
                <w:bCs/>
                <w:sz w:val="21"/>
                <w:szCs w:val="21"/>
              </w:rPr>
            </w:pPr>
            <w:r>
              <w:rPr>
                <w:rFonts w:ascii="宋体" w:eastAsia="宋体" w:hAnsi="宋体" w:cs="宋体" w:hint="eastAsia"/>
                <w:bCs/>
                <w:sz w:val="21"/>
                <w:szCs w:val="21"/>
              </w:rPr>
              <w:t>免费保质期后</w:t>
            </w:r>
          </w:p>
        </w:tc>
        <w:tc>
          <w:tcPr>
            <w:tcW w:w="6119" w:type="dxa"/>
            <w:noWrap w:val="0"/>
            <w:vAlign w:val="top"/>
          </w:tcPr>
          <w:p>
            <w:pPr>
              <w:rPr>
                <w:rFonts w:ascii="宋体" w:eastAsia="宋体" w:hAnsi="宋体" w:cs="宋体" w:hint="eastAsia"/>
                <w:bCs/>
                <w:sz w:val="21"/>
                <w:szCs w:val="21"/>
                <w:lang w:eastAsia="zh-CN"/>
              </w:rPr>
            </w:pPr>
            <w:r>
              <w:rPr>
                <w:rFonts w:ascii="宋体" w:eastAsia="宋体" w:hAnsi="宋体" w:cs="宋体" w:hint="eastAsia"/>
                <w:bCs/>
                <w:sz w:val="21"/>
                <w:szCs w:val="21"/>
              </w:rPr>
              <w:t>免费保质期外1年内发生质量问题，中标供应商保证在接到通知</w:t>
            </w:r>
            <w:r>
              <w:rPr>
                <w:rFonts w:ascii="宋体" w:eastAsia="宋体" w:hAnsi="宋体" w:cs="宋体" w:hint="eastAsia"/>
                <w:bCs/>
                <w:sz w:val="21"/>
                <w:szCs w:val="21"/>
                <w:lang w:val="en-US" w:eastAsia="zh-CN"/>
              </w:rPr>
              <w:t>48</w:t>
            </w:r>
            <w:r>
              <w:rPr>
                <w:rFonts w:ascii="宋体" w:eastAsia="宋体" w:hAnsi="宋体" w:cs="宋体" w:hint="eastAsia"/>
                <w:bCs/>
                <w:sz w:val="21"/>
                <w:szCs w:val="21"/>
              </w:rPr>
              <w:t>小时内赶到现场进行处理。</w:t>
            </w:r>
          </w:p>
        </w:tc>
      </w:tr>
      <w:tr>
        <w:tblPrEx>
          <w:tblW w:w="5000" w:type="pct"/>
          <w:jc w:val="center"/>
          <w:tblLayout w:type="fixed"/>
          <w:tblCellMar>
            <w:top w:w="0" w:type="dxa"/>
            <w:left w:w="108" w:type="dxa"/>
            <w:bottom w:w="0" w:type="dxa"/>
            <w:right w:w="108" w:type="dxa"/>
          </w:tblCellMar>
        </w:tblPrEx>
        <w:trPr>
          <w:trHeight w:val="350"/>
          <w:jc w:val="center"/>
        </w:trPr>
        <w:tc>
          <w:tcPr>
            <w:tcW w:w="8856" w:type="dxa"/>
            <w:gridSpan w:val="3"/>
            <w:noWrap w:val="0"/>
            <w:vAlign w:val="center"/>
          </w:tcPr>
          <w:p>
            <w:pPr>
              <w:widowControl w:val="0"/>
              <w:jc w:val="center"/>
              <w:rPr>
                <w:rFonts w:ascii="Calibri" w:eastAsia="宋体" w:hAnsi="Calibri"/>
                <w:b/>
                <w:kern w:val="2"/>
                <w:sz w:val="21"/>
                <w:szCs w:val="22"/>
                <w:lang w:eastAsia="zh-CN"/>
              </w:rPr>
            </w:pPr>
            <w:r>
              <w:rPr>
                <w:rFonts w:ascii="Calibri" w:eastAsia="宋体" w:hAnsi="Calibri" w:cs="Times New Roman" w:hint="eastAsia"/>
                <w:b/>
                <w:kern w:val="2"/>
                <w:sz w:val="21"/>
                <w:szCs w:val="22"/>
                <w:lang w:eastAsia="zh-CN"/>
              </w:rPr>
              <w:t>（二）其他商务要求</w:t>
            </w:r>
          </w:p>
        </w:tc>
      </w:tr>
      <w:tr>
        <w:tblPrEx>
          <w:tblW w:w="5000" w:type="pct"/>
          <w:jc w:val="center"/>
          <w:tblLayout w:type="fixed"/>
          <w:tblCellMar>
            <w:top w:w="0" w:type="dxa"/>
            <w:left w:w="108" w:type="dxa"/>
            <w:bottom w:w="0" w:type="dxa"/>
            <w:right w:w="108" w:type="dxa"/>
          </w:tblCellMar>
        </w:tblPrEx>
        <w:trPr>
          <w:trHeight w:val="350"/>
          <w:jc w:val="center"/>
        </w:trPr>
        <w:tc>
          <w:tcPr>
            <w:tcW w:w="950" w:type="dxa"/>
            <w:vMerge w:val="restart"/>
            <w:noWrap w:val="0"/>
            <w:vAlign w:val="center"/>
          </w:tcPr>
          <w:p>
            <w:pPr>
              <w:widowControl w:val="0"/>
              <w:jc w:val="center"/>
              <w:rPr>
                <w:rFonts w:ascii="Calibri" w:eastAsia="宋体" w:hAnsi="Calibri"/>
                <w:b/>
                <w:kern w:val="2"/>
                <w:sz w:val="21"/>
                <w:szCs w:val="22"/>
                <w:lang w:eastAsia="zh-CN"/>
              </w:rPr>
            </w:pPr>
            <w:r>
              <w:rPr>
                <w:rFonts w:ascii="Calibri" w:eastAsia="宋体" w:hAnsi="Calibri" w:cs="Times New Roman" w:hint="eastAsia"/>
                <w:b/>
                <w:kern w:val="2"/>
                <w:sz w:val="21"/>
                <w:szCs w:val="22"/>
                <w:lang w:eastAsia="zh-CN"/>
              </w:rPr>
              <w:t>1</w:t>
            </w:r>
          </w:p>
        </w:tc>
        <w:tc>
          <w:tcPr>
            <w:tcW w:w="1787" w:type="dxa"/>
            <w:vMerge w:val="restart"/>
            <w:noWrap w:val="0"/>
            <w:vAlign w:val="center"/>
          </w:tcPr>
          <w:p>
            <w:pPr>
              <w:jc w:val="center"/>
              <w:rPr>
                <w:rFonts w:ascii="宋体" w:eastAsia="宋体" w:hAnsi="宋体" w:cs="宋体" w:hint="eastAsia"/>
                <w:color w:val="FF0000"/>
                <w:kern w:val="2"/>
                <w:sz w:val="21"/>
                <w:szCs w:val="21"/>
                <w:lang w:eastAsia="zh-CN"/>
              </w:rPr>
            </w:pPr>
            <w:r>
              <w:rPr>
                <w:rFonts w:ascii="宋体" w:eastAsia="宋体" w:hAnsi="宋体" w:cs="宋体" w:hint="eastAsia"/>
                <w:sz w:val="21"/>
                <w:szCs w:val="21"/>
              </w:rPr>
              <w:t>关于交货</w:t>
            </w:r>
          </w:p>
        </w:tc>
        <w:tc>
          <w:tcPr>
            <w:tcW w:w="6119" w:type="dxa"/>
            <w:noWrap w:val="0"/>
            <w:vAlign w:val="top"/>
          </w:tcPr>
          <w:p>
            <w:pPr>
              <w:rPr>
                <w:rFonts w:ascii="宋体" w:eastAsia="宋体" w:hAnsi="宋体" w:cs="宋体" w:hint="eastAsia"/>
                <w:b/>
                <w:color w:val="FF0000"/>
                <w:kern w:val="2"/>
                <w:sz w:val="21"/>
                <w:szCs w:val="21"/>
                <w:lang w:eastAsia="zh-CN"/>
              </w:rPr>
            </w:pPr>
            <w:r>
              <w:rPr>
                <w:rFonts w:ascii="宋体" w:eastAsia="宋体" w:hAnsi="宋体" w:cs="宋体" w:hint="eastAsia"/>
                <w:bCs/>
                <w:sz w:val="21"/>
                <w:szCs w:val="21"/>
              </w:rPr>
              <w:t>1.1</w:t>
            </w:r>
            <w:r>
              <w:rPr>
                <w:rFonts w:ascii="宋体" w:eastAsia="宋体" w:hAnsi="宋体" w:cs="宋体" w:hint="eastAsia"/>
                <w:sz w:val="21"/>
                <w:szCs w:val="21"/>
              </w:rPr>
              <w:t>★</w:t>
            </w:r>
            <w:r>
              <w:rPr>
                <w:rFonts w:ascii="宋体" w:eastAsia="宋体" w:hAnsi="宋体" w:cs="宋体" w:hint="eastAsia"/>
                <w:bCs/>
                <w:sz w:val="21"/>
                <w:szCs w:val="21"/>
              </w:rPr>
              <w:t>签订合同后___3</w:t>
            </w:r>
            <w:r>
              <w:rPr>
                <w:rFonts w:ascii="宋体" w:eastAsia="宋体" w:hAnsi="宋体" w:cs="宋体" w:hint="eastAsia"/>
                <w:bCs/>
                <w:sz w:val="21"/>
                <w:szCs w:val="21"/>
                <w:lang w:eastAsia="zh-CN"/>
              </w:rPr>
              <w:t>0</w:t>
            </w:r>
            <w:r>
              <w:rPr>
                <w:rFonts w:ascii="宋体" w:eastAsia="宋体" w:hAnsi="宋体" w:cs="宋体" w:hint="eastAsia"/>
                <w:bCs/>
                <w:sz w:val="21"/>
                <w:szCs w:val="21"/>
              </w:rPr>
              <w:t>___天（日历日）内。</w:t>
            </w:r>
          </w:p>
        </w:tc>
      </w:tr>
      <w:tr>
        <w:tblPrEx>
          <w:tblW w:w="5000" w:type="pct"/>
          <w:jc w:val="center"/>
          <w:tblLayout w:type="fixed"/>
          <w:tblCellMar>
            <w:top w:w="0" w:type="dxa"/>
            <w:left w:w="108" w:type="dxa"/>
            <w:bottom w:w="0" w:type="dxa"/>
            <w:right w:w="108" w:type="dxa"/>
          </w:tblCellMar>
        </w:tblPrEx>
        <w:trPr>
          <w:trHeight w:val="451"/>
          <w:jc w:val="center"/>
        </w:trPr>
        <w:tc>
          <w:tcPr>
            <w:tcW w:w="950" w:type="dxa"/>
            <w:vMerge/>
            <w:noWrap w:val="0"/>
            <w:vAlign w:val="center"/>
          </w:tcPr>
          <w:p>
            <w:pPr>
              <w:widowControl w:val="0"/>
              <w:jc w:val="center"/>
              <w:rPr>
                <w:rFonts w:ascii="Calibri" w:eastAsia="宋体" w:hAnsi="Calibri"/>
                <w:b/>
                <w:kern w:val="2"/>
                <w:sz w:val="21"/>
                <w:szCs w:val="22"/>
                <w:lang w:eastAsia="zh-CN"/>
              </w:rPr>
            </w:pPr>
          </w:p>
        </w:tc>
        <w:tc>
          <w:tcPr>
            <w:tcW w:w="1787" w:type="dxa"/>
            <w:vMerge/>
            <w:noWrap w:val="0"/>
            <w:vAlign w:val="center"/>
          </w:tcPr>
          <w:p>
            <w:pPr>
              <w:jc w:val="center"/>
              <w:rPr>
                <w:rFonts w:ascii="宋体" w:eastAsia="宋体" w:hAnsi="宋体" w:cs="宋体" w:hint="eastAsia"/>
                <w:kern w:val="2"/>
                <w:sz w:val="21"/>
                <w:szCs w:val="21"/>
                <w:lang w:eastAsia="zh-CN"/>
              </w:rPr>
            </w:pPr>
          </w:p>
        </w:tc>
        <w:tc>
          <w:tcPr>
            <w:tcW w:w="6119" w:type="dxa"/>
            <w:noWrap w:val="0"/>
            <w:vAlign w:val="top"/>
          </w:tcPr>
          <w:p>
            <w:pPr>
              <w:rPr>
                <w:rFonts w:ascii="宋体" w:eastAsia="宋体" w:hAnsi="宋体" w:cs="宋体" w:hint="eastAsia"/>
                <w:bCs/>
                <w:kern w:val="2"/>
                <w:sz w:val="21"/>
                <w:szCs w:val="21"/>
                <w:lang w:eastAsia="zh-CN"/>
              </w:rPr>
            </w:pPr>
            <w:r>
              <w:rPr>
                <w:rFonts w:ascii="宋体" w:eastAsia="宋体" w:hAnsi="宋体" w:cs="宋体" w:hint="eastAsia"/>
                <w:bCs/>
                <w:sz w:val="21"/>
                <w:szCs w:val="21"/>
              </w:rPr>
              <w:t>1.2投标人中标后，必须承担设备运输、安装调试、验收检测和提供设备操作说明书、图纸等其他类似的义务。</w:t>
            </w:r>
          </w:p>
        </w:tc>
      </w:tr>
      <w:tr>
        <w:tblPrEx>
          <w:tblW w:w="5000" w:type="pct"/>
          <w:jc w:val="center"/>
          <w:tblLayout w:type="fixed"/>
          <w:tblCellMar>
            <w:top w:w="0" w:type="dxa"/>
            <w:left w:w="108" w:type="dxa"/>
            <w:bottom w:w="0" w:type="dxa"/>
            <w:right w:w="108" w:type="dxa"/>
          </w:tblCellMar>
        </w:tblPrEx>
        <w:trPr>
          <w:trHeight w:val="350"/>
          <w:jc w:val="center"/>
        </w:trPr>
        <w:tc>
          <w:tcPr>
            <w:tcW w:w="950" w:type="dxa"/>
            <w:vMerge w:val="restart"/>
            <w:noWrap w:val="0"/>
            <w:vAlign w:val="center"/>
          </w:tcPr>
          <w:p>
            <w:pPr>
              <w:widowControl w:val="0"/>
              <w:jc w:val="center"/>
              <w:rPr>
                <w:rFonts w:ascii="Calibri" w:eastAsia="宋体" w:hAnsi="Calibri"/>
                <w:b/>
                <w:kern w:val="2"/>
                <w:sz w:val="21"/>
                <w:szCs w:val="22"/>
                <w:lang w:eastAsia="zh-CN"/>
              </w:rPr>
            </w:pPr>
            <w:r>
              <w:rPr>
                <w:rFonts w:ascii="Calibri" w:eastAsia="宋体" w:hAnsi="Calibri" w:cs="Times New Roman" w:hint="eastAsia"/>
                <w:b/>
                <w:kern w:val="2"/>
                <w:sz w:val="21"/>
                <w:szCs w:val="22"/>
                <w:lang w:eastAsia="zh-CN"/>
              </w:rPr>
              <w:t>2</w:t>
            </w:r>
          </w:p>
        </w:tc>
        <w:tc>
          <w:tcPr>
            <w:tcW w:w="1787" w:type="dxa"/>
            <w:vMerge w:val="restart"/>
            <w:noWrap w:val="0"/>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rPr>
              <w:t>关于验收</w:t>
            </w:r>
          </w:p>
        </w:tc>
        <w:tc>
          <w:tcPr>
            <w:tcW w:w="6119" w:type="dxa"/>
            <w:noWrap w:val="0"/>
            <w:vAlign w:val="top"/>
          </w:tcPr>
          <w:p>
            <w:pPr>
              <w:spacing w:line="340" w:lineRule="exact"/>
              <w:rPr>
                <w:rFonts w:ascii="宋体" w:eastAsia="宋体" w:hAnsi="宋体" w:cs="宋体" w:hint="eastAsia"/>
                <w:bCs/>
                <w:kern w:val="2"/>
                <w:sz w:val="21"/>
                <w:szCs w:val="21"/>
                <w:lang w:eastAsia="zh-CN"/>
              </w:rPr>
            </w:pPr>
            <w:r>
              <w:rPr>
                <w:rFonts w:ascii="宋体" w:eastAsia="宋体" w:hAnsi="宋体" w:cs="宋体" w:hint="eastAsia"/>
                <w:bCs/>
                <w:sz w:val="21"/>
                <w:szCs w:val="21"/>
              </w:rPr>
              <w:t>2.1投标人中标后，其货物经过双方检验认可后，签署验收报告，产品保修期自验收合格之日起算，由投标人提供产品保修文件。</w:t>
            </w:r>
          </w:p>
        </w:tc>
      </w:tr>
      <w:tr>
        <w:tblPrEx>
          <w:tblW w:w="5000" w:type="pct"/>
          <w:jc w:val="center"/>
          <w:tblLayout w:type="fixed"/>
          <w:tblCellMar>
            <w:top w:w="0" w:type="dxa"/>
            <w:left w:w="108" w:type="dxa"/>
            <w:bottom w:w="0" w:type="dxa"/>
            <w:right w:w="108" w:type="dxa"/>
          </w:tblCellMar>
        </w:tblPrEx>
        <w:trPr>
          <w:trHeight w:val="350"/>
          <w:jc w:val="center"/>
        </w:trPr>
        <w:tc>
          <w:tcPr>
            <w:tcW w:w="950" w:type="dxa"/>
            <w:vMerge/>
            <w:noWrap w:val="0"/>
            <w:vAlign w:val="center"/>
          </w:tcPr>
          <w:p>
            <w:pPr>
              <w:widowControl w:val="0"/>
              <w:jc w:val="center"/>
              <w:rPr>
                <w:rFonts w:ascii="Calibri" w:eastAsia="宋体" w:hAnsi="Calibri"/>
                <w:b/>
                <w:kern w:val="2"/>
                <w:sz w:val="21"/>
                <w:szCs w:val="22"/>
                <w:lang w:eastAsia="zh-CN"/>
              </w:rPr>
            </w:pPr>
          </w:p>
        </w:tc>
        <w:tc>
          <w:tcPr>
            <w:tcW w:w="1787" w:type="dxa"/>
            <w:vMerge/>
            <w:noWrap w:val="0"/>
            <w:vAlign w:val="top"/>
          </w:tcPr>
          <w:p>
            <w:pPr>
              <w:rPr>
                <w:rFonts w:ascii="宋体" w:eastAsia="宋体" w:hAnsi="宋体" w:cs="宋体" w:hint="eastAsia"/>
                <w:b/>
                <w:kern w:val="2"/>
                <w:sz w:val="21"/>
                <w:szCs w:val="21"/>
                <w:lang w:eastAsia="zh-CN"/>
              </w:rPr>
            </w:pPr>
          </w:p>
        </w:tc>
        <w:tc>
          <w:tcPr>
            <w:tcW w:w="6119" w:type="dxa"/>
            <w:noWrap w:val="0"/>
            <w:vAlign w:val="top"/>
          </w:tcPr>
          <w:p>
            <w:pPr>
              <w:spacing w:line="340" w:lineRule="exact"/>
              <w:rPr>
                <w:rFonts w:ascii="宋体" w:eastAsia="宋体" w:hAnsi="宋体" w:cs="宋体" w:hint="eastAsia"/>
                <w:bCs/>
                <w:sz w:val="21"/>
                <w:szCs w:val="21"/>
              </w:rPr>
            </w:pPr>
            <w:r>
              <w:rPr>
                <w:rFonts w:ascii="宋体" w:eastAsia="宋体" w:hAnsi="宋体" w:cs="宋体" w:hint="eastAsia"/>
                <w:bCs/>
                <w:sz w:val="21"/>
                <w:szCs w:val="21"/>
              </w:rPr>
              <w:t>2.2投标人中标后，当满足以下条件时，采购人才向投标人签发货物验收报告：</w:t>
            </w:r>
          </w:p>
          <w:p>
            <w:pPr>
              <w:tabs>
                <w:tab w:val="left" w:pos="1260"/>
              </w:tabs>
              <w:spacing w:line="340" w:lineRule="exact"/>
              <w:rPr>
                <w:rFonts w:ascii="宋体" w:eastAsia="宋体" w:hAnsi="宋体" w:cs="宋体" w:hint="eastAsia"/>
                <w:bCs/>
                <w:sz w:val="21"/>
                <w:szCs w:val="21"/>
              </w:rPr>
            </w:pPr>
            <w:r>
              <w:rPr>
                <w:rFonts w:ascii="宋体" w:eastAsia="宋体" w:hAnsi="宋体" w:cs="宋体" w:hint="eastAsia"/>
                <w:bCs/>
                <w:sz w:val="21"/>
                <w:szCs w:val="21"/>
              </w:rPr>
              <w:t>a、投标人已按照合同规定提供了全部产品及完整的技术资料。</w:t>
            </w:r>
          </w:p>
          <w:p>
            <w:pPr>
              <w:tabs>
                <w:tab w:val="left" w:pos="1260"/>
              </w:tabs>
              <w:spacing w:line="340" w:lineRule="exact"/>
              <w:rPr>
                <w:rFonts w:ascii="宋体" w:eastAsia="宋体" w:hAnsi="宋体" w:cs="宋体" w:hint="eastAsia"/>
                <w:bCs/>
                <w:sz w:val="21"/>
                <w:szCs w:val="21"/>
              </w:rPr>
            </w:pPr>
            <w:r>
              <w:rPr>
                <w:rFonts w:ascii="宋体" w:eastAsia="宋体" w:hAnsi="宋体" w:cs="宋体" w:hint="eastAsia"/>
                <w:bCs/>
                <w:sz w:val="21"/>
                <w:szCs w:val="21"/>
              </w:rPr>
              <w:t>b、货物符合采购文件技术规格书的要求，性能满足要求。</w:t>
            </w:r>
          </w:p>
          <w:p>
            <w:pPr>
              <w:tabs>
                <w:tab w:val="left" w:pos="1260"/>
              </w:tabs>
              <w:spacing w:line="340" w:lineRule="exact"/>
              <w:rPr>
                <w:rFonts w:ascii="宋体" w:eastAsia="宋体" w:hAnsi="宋体" w:cs="宋体" w:hint="eastAsia"/>
                <w:bCs/>
                <w:kern w:val="2"/>
                <w:sz w:val="21"/>
                <w:szCs w:val="21"/>
                <w:lang w:eastAsia="zh-CN"/>
              </w:rPr>
            </w:pPr>
            <w:r>
              <w:rPr>
                <w:rFonts w:ascii="宋体" w:eastAsia="宋体" w:hAnsi="宋体" w:cs="宋体" w:hint="eastAsia"/>
                <w:bCs/>
                <w:sz w:val="21"/>
                <w:szCs w:val="21"/>
              </w:rPr>
              <w:t>c、货物具备产品合格证。</w:t>
            </w:r>
          </w:p>
        </w:tc>
      </w:tr>
      <w:tr>
        <w:tblPrEx>
          <w:tblW w:w="5000" w:type="pct"/>
          <w:jc w:val="center"/>
          <w:tblLayout w:type="fixed"/>
          <w:tblCellMar>
            <w:top w:w="0" w:type="dxa"/>
            <w:left w:w="108" w:type="dxa"/>
            <w:bottom w:w="0" w:type="dxa"/>
            <w:right w:w="108" w:type="dxa"/>
          </w:tblCellMar>
        </w:tblPrEx>
        <w:trPr>
          <w:trHeight w:val="350"/>
          <w:jc w:val="center"/>
        </w:trPr>
        <w:tc>
          <w:tcPr>
            <w:tcW w:w="950" w:type="dxa"/>
            <w:vMerge w:val="restart"/>
            <w:noWrap w:val="0"/>
            <w:vAlign w:val="center"/>
          </w:tcPr>
          <w:p>
            <w:pPr>
              <w:widowControl w:val="0"/>
              <w:jc w:val="center"/>
              <w:rPr>
                <w:rFonts w:ascii="Calibri" w:eastAsia="宋体" w:hAnsi="Calibri" w:hint="eastAsia"/>
                <w:bCs/>
                <w:kern w:val="2"/>
                <w:sz w:val="21"/>
                <w:szCs w:val="22"/>
                <w:lang w:eastAsia="zh-CN"/>
              </w:rPr>
            </w:pPr>
            <w:r>
              <w:rPr>
                <w:rFonts w:ascii="Calibri" w:eastAsia="宋体" w:hAnsi="Calibri" w:cs="Times New Roman" w:hint="eastAsia"/>
                <w:bCs/>
                <w:kern w:val="2"/>
                <w:sz w:val="21"/>
                <w:szCs w:val="22"/>
                <w:lang w:eastAsia="zh-CN"/>
              </w:rPr>
              <w:t>3</w:t>
            </w:r>
          </w:p>
        </w:tc>
        <w:tc>
          <w:tcPr>
            <w:tcW w:w="1787" w:type="dxa"/>
            <w:vMerge w:val="restart"/>
            <w:noWrap w:val="0"/>
            <w:vAlign w:val="center"/>
          </w:tcPr>
          <w:p>
            <w:pPr>
              <w:jc w:val="center"/>
              <w:rPr>
                <w:rFonts w:ascii="宋体" w:eastAsia="宋体" w:hAnsi="宋体" w:cs="宋体" w:hint="eastAsia"/>
                <w:bCs/>
                <w:kern w:val="2"/>
                <w:sz w:val="21"/>
                <w:szCs w:val="21"/>
                <w:lang w:eastAsia="zh-CN"/>
              </w:rPr>
            </w:pPr>
            <w:r>
              <w:rPr>
                <w:rFonts w:ascii="宋体" w:eastAsia="宋体" w:hAnsi="宋体" w:cs="宋体" w:hint="eastAsia"/>
                <w:bCs/>
                <w:sz w:val="21"/>
                <w:szCs w:val="21"/>
              </w:rPr>
              <w:t>违约责任</w:t>
            </w:r>
          </w:p>
        </w:tc>
        <w:tc>
          <w:tcPr>
            <w:tcW w:w="6119" w:type="dxa"/>
            <w:noWrap w:val="0"/>
            <w:vAlign w:val="top"/>
          </w:tcPr>
          <w:p>
            <w:pPr>
              <w:spacing w:line="340" w:lineRule="exact"/>
              <w:rPr>
                <w:rFonts w:ascii="宋体" w:eastAsia="宋体" w:hAnsi="宋体" w:cs="宋体" w:hint="eastAsia"/>
                <w:bCs/>
                <w:kern w:val="2"/>
                <w:sz w:val="21"/>
                <w:szCs w:val="21"/>
                <w:lang w:eastAsia="zh-CN"/>
              </w:rPr>
            </w:pPr>
            <w:r>
              <w:rPr>
                <w:rFonts w:ascii="宋体" w:eastAsia="宋体" w:hAnsi="宋体" w:cs="宋体" w:hint="eastAsia"/>
                <w:sz w:val="21"/>
                <w:szCs w:val="21"/>
              </w:rPr>
              <w:t>3.1如</w:t>
            </w:r>
            <w:r>
              <w:rPr>
                <w:rFonts w:ascii="宋体" w:eastAsia="宋体" w:hAnsi="宋体" w:cs="宋体" w:hint="eastAsia"/>
                <w:bCs/>
                <w:sz w:val="21"/>
                <w:szCs w:val="21"/>
              </w:rPr>
              <w:t>投标人中标后</w:t>
            </w:r>
            <w:r>
              <w:rPr>
                <w:rFonts w:ascii="宋体" w:eastAsia="宋体" w:hAnsi="宋体" w:cs="宋体" w:hint="eastAsia"/>
                <w:sz w:val="21"/>
                <w:szCs w:val="21"/>
              </w:rPr>
              <w:t>未按照投标文件中承诺的时间交货或提供服务，</w:t>
            </w:r>
            <w:r>
              <w:rPr>
                <w:rFonts w:ascii="宋体" w:eastAsia="宋体" w:hAnsi="宋体" w:cs="宋体" w:hint="eastAsia"/>
                <w:bCs/>
                <w:sz w:val="21"/>
                <w:szCs w:val="21"/>
              </w:rPr>
              <w:t>投标人</w:t>
            </w:r>
            <w:r>
              <w:rPr>
                <w:rFonts w:ascii="宋体" w:eastAsia="宋体" w:hAnsi="宋体" w:cs="宋体" w:hint="eastAsia"/>
                <w:sz w:val="21"/>
                <w:szCs w:val="21"/>
              </w:rPr>
              <w:t>应承担延期交货和延期服务的违约责任，并赔偿采购人因此造成的实际经济损失，采购人有权终止合同。</w:t>
            </w:r>
          </w:p>
        </w:tc>
      </w:tr>
      <w:tr>
        <w:tblPrEx>
          <w:tblW w:w="5000" w:type="pct"/>
          <w:jc w:val="center"/>
          <w:tblLayout w:type="fixed"/>
          <w:tblCellMar>
            <w:top w:w="0" w:type="dxa"/>
            <w:left w:w="108" w:type="dxa"/>
            <w:bottom w:w="0" w:type="dxa"/>
            <w:right w:w="108" w:type="dxa"/>
          </w:tblCellMar>
        </w:tblPrEx>
        <w:trPr>
          <w:trHeight w:val="350"/>
          <w:jc w:val="center"/>
        </w:trPr>
        <w:tc>
          <w:tcPr>
            <w:tcW w:w="950" w:type="dxa"/>
            <w:vMerge/>
            <w:noWrap w:val="0"/>
            <w:vAlign w:val="center"/>
          </w:tcPr>
          <w:p>
            <w:pPr>
              <w:widowControl w:val="0"/>
              <w:jc w:val="center"/>
              <w:rPr>
                <w:rFonts w:ascii="Calibri" w:eastAsia="宋体" w:hAnsi="Calibri" w:hint="eastAsia"/>
                <w:bCs/>
                <w:kern w:val="2"/>
                <w:sz w:val="21"/>
                <w:szCs w:val="22"/>
                <w:lang w:eastAsia="zh-CN"/>
              </w:rPr>
            </w:pPr>
          </w:p>
        </w:tc>
        <w:tc>
          <w:tcPr>
            <w:tcW w:w="1787" w:type="dxa"/>
            <w:vMerge/>
            <w:noWrap w:val="0"/>
            <w:vAlign w:val="center"/>
          </w:tcPr>
          <w:p>
            <w:pPr>
              <w:jc w:val="center"/>
              <w:rPr>
                <w:rFonts w:ascii="宋体" w:eastAsia="宋体" w:hAnsi="宋体" w:cs="宋体" w:hint="eastAsia"/>
                <w:bCs/>
                <w:kern w:val="2"/>
                <w:sz w:val="21"/>
                <w:szCs w:val="21"/>
                <w:lang w:eastAsia="zh-CN"/>
              </w:rPr>
            </w:pPr>
          </w:p>
        </w:tc>
        <w:tc>
          <w:tcPr>
            <w:tcW w:w="6119" w:type="dxa"/>
            <w:noWrap w:val="0"/>
            <w:vAlign w:val="top"/>
          </w:tcPr>
          <w:p>
            <w:pPr>
              <w:spacing w:line="340" w:lineRule="exact"/>
              <w:rPr>
                <w:rFonts w:ascii="宋体" w:eastAsia="宋体" w:hAnsi="宋体" w:cs="宋体" w:hint="eastAsia"/>
                <w:bCs/>
                <w:kern w:val="2"/>
                <w:sz w:val="21"/>
                <w:szCs w:val="21"/>
                <w:lang w:eastAsia="zh-CN"/>
              </w:rPr>
            </w:pPr>
            <w:r>
              <w:rPr>
                <w:rFonts w:ascii="宋体" w:eastAsia="宋体" w:hAnsi="宋体" w:cs="宋体" w:hint="eastAsia"/>
                <w:bCs/>
                <w:sz w:val="21"/>
                <w:szCs w:val="21"/>
              </w:rPr>
              <w:t>3.2投标人中标后所交设备的品种、型号、规格、质量、功能、技术参数等方面不能实质性满足采购文件要求的，采购人有权拒绝收货，投标人向采购人偿付项目采购金额【</w:t>
            </w:r>
            <w:r>
              <w:rPr>
                <w:rFonts w:ascii="宋体" w:eastAsia="宋体" w:hAnsi="宋体" w:cs="宋体" w:hint="eastAsia"/>
                <w:bCs/>
                <w:sz w:val="21"/>
                <w:szCs w:val="21"/>
                <w:lang w:eastAsia="zh-CN"/>
              </w:rPr>
              <w:t>1</w:t>
            </w:r>
            <w:r>
              <w:rPr>
                <w:rFonts w:ascii="宋体" w:eastAsia="宋体" w:hAnsi="宋体" w:cs="宋体" w:hint="eastAsia"/>
                <w:bCs/>
                <w:sz w:val="21"/>
                <w:szCs w:val="21"/>
                <w:lang w:val="en-US" w:eastAsia="zh-CN"/>
              </w:rPr>
              <w:t>0</w:t>
            </w:r>
            <w:r>
              <w:rPr>
                <w:rFonts w:ascii="宋体" w:eastAsia="宋体" w:hAnsi="宋体" w:cs="宋体" w:hint="eastAsia"/>
                <w:bCs/>
                <w:sz w:val="21"/>
                <w:szCs w:val="21"/>
              </w:rPr>
              <w:t xml:space="preserve">】% 的违约金并采取更换、补足等补救措施，致使逾期交付的，还应承担逾期交付的违约责任。 </w:t>
            </w:r>
          </w:p>
        </w:tc>
      </w:tr>
      <w:tr>
        <w:tblPrEx>
          <w:tblW w:w="5000" w:type="pct"/>
          <w:jc w:val="center"/>
          <w:tblLayout w:type="fixed"/>
          <w:tblCellMar>
            <w:top w:w="0" w:type="dxa"/>
            <w:left w:w="108" w:type="dxa"/>
            <w:bottom w:w="0" w:type="dxa"/>
            <w:right w:w="108" w:type="dxa"/>
          </w:tblCellMar>
        </w:tblPrEx>
        <w:trPr>
          <w:trHeight w:val="350"/>
          <w:jc w:val="center"/>
        </w:trPr>
        <w:tc>
          <w:tcPr>
            <w:tcW w:w="950" w:type="dxa"/>
            <w:vMerge/>
            <w:noWrap w:val="0"/>
            <w:vAlign w:val="center"/>
          </w:tcPr>
          <w:p>
            <w:pPr>
              <w:widowControl w:val="0"/>
              <w:jc w:val="center"/>
              <w:rPr>
                <w:rFonts w:ascii="Calibri" w:eastAsia="宋体" w:hAnsi="Calibri" w:hint="eastAsia"/>
                <w:bCs/>
                <w:kern w:val="2"/>
                <w:sz w:val="21"/>
                <w:szCs w:val="22"/>
                <w:lang w:eastAsia="zh-CN"/>
              </w:rPr>
            </w:pPr>
          </w:p>
        </w:tc>
        <w:tc>
          <w:tcPr>
            <w:tcW w:w="1787" w:type="dxa"/>
            <w:vMerge/>
            <w:noWrap w:val="0"/>
            <w:vAlign w:val="center"/>
          </w:tcPr>
          <w:p>
            <w:pPr>
              <w:jc w:val="center"/>
              <w:rPr>
                <w:rFonts w:ascii="宋体" w:eastAsia="宋体" w:hAnsi="宋体" w:cs="宋体" w:hint="eastAsia"/>
                <w:bCs/>
                <w:kern w:val="2"/>
                <w:sz w:val="21"/>
                <w:szCs w:val="21"/>
                <w:lang w:eastAsia="zh-CN"/>
              </w:rPr>
            </w:pPr>
          </w:p>
        </w:tc>
        <w:tc>
          <w:tcPr>
            <w:tcW w:w="6119" w:type="dxa"/>
            <w:noWrap w:val="0"/>
            <w:vAlign w:val="top"/>
          </w:tcPr>
          <w:p>
            <w:pPr>
              <w:spacing w:line="340" w:lineRule="exact"/>
              <w:rPr>
                <w:rFonts w:ascii="宋体" w:eastAsia="宋体" w:hAnsi="宋体" w:cs="宋体" w:hint="eastAsia"/>
                <w:bCs/>
                <w:kern w:val="2"/>
                <w:sz w:val="21"/>
                <w:szCs w:val="21"/>
                <w:lang w:eastAsia="zh-CN"/>
              </w:rPr>
            </w:pPr>
            <w:r>
              <w:rPr>
                <w:rFonts w:ascii="宋体" w:eastAsia="宋体" w:hAnsi="宋体" w:cs="宋体" w:hint="eastAsia"/>
                <w:bCs/>
                <w:sz w:val="21"/>
                <w:szCs w:val="21"/>
              </w:rPr>
              <w:t>3.3投标人中标后不能交付设备的，投标人向采购人偿付项目采购金额【</w:t>
            </w:r>
            <w:r>
              <w:rPr>
                <w:rFonts w:ascii="宋体" w:eastAsia="宋体" w:hAnsi="宋体" w:cs="宋体" w:hint="eastAsia"/>
                <w:bCs/>
                <w:sz w:val="21"/>
                <w:szCs w:val="21"/>
                <w:lang w:val="en-US" w:eastAsia="zh-CN"/>
              </w:rPr>
              <w:t>10</w:t>
            </w:r>
            <w:r>
              <w:rPr>
                <w:rFonts w:ascii="宋体" w:eastAsia="宋体" w:hAnsi="宋体" w:cs="宋体" w:hint="eastAsia"/>
                <w:bCs/>
                <w:sz w:val="21"/>
                <w:szCs w:val="21"/>
              </w:rPr>
              <w:t>】%的违约金。</w:t>
            </w:r>
          </w:p>
        </w:tc>
      </w:tr>
      <w:tr>
        <w:tblPrEx>
          <w:tblW w:w="5000" w:type="pct"/>
          <w:jc w:val="center"/>
          <w:tblLayout w:type="fixed"/>
          <w:tblCellMar>
            <w:top w:w="0" w:type="dxa"/>
            <w:left w:w="108" w:type="dxa"/>
            <w:bottom w:w="0" w:type="dxa"/>
            <w:right w:w="108" w:type="dxa"/>
          </w:tblCellMar>
        </w:tblPrEx>
        <w:trPr>
          <w:trHeight w:val="350"/>
          <w:jc w:val="center"/>
        </w:trPr>
        <w:tc>
          <w:tcPr>
            <w:tcW w:w="950" w:type="dxa"/>
            <w:vMerge/>
            <w:noWrap w:val="0"/>
            <w:vAlign w:val="center"/>
          </w:tcPr>
          <w:p>
            <w:pPr>
              <w:widowControl w:val="0"/>
              <w:jc w:val="center"/>
              <w:rPr>
                <w:rFonts w:ascii="Calibri" w:eastAsia="宋体" w:hAnsi="Calibri" w:hint="eastAsia"/>
                <w:bCs/>
                <w:kern w:val="2"/>
                <w:sz w:val="21"/>
                <w:szCs w:val="22"/>
                <w:lang w:eastAsia="zh-CN"/>
              </w:rPr>
            </w:pPr>
          </w:p>
        </w:tc>
        <w:tc>
          <w:tcPr>
            <w:tcW w:w="1787" w:type="dxa"/>
            <w:vMerge/>
            <w:noWrap w:val="0"/>
            <w:vAlign w:val="top"/>
          </w:tcPr>
          <w:p>
            <w:pPr>
              <w:rPr>
                <w:rFonts w:ascii="宋体" w:eastAsia="宋体" w:hAnsi="宋体" w:cs="宋体" w:hint="eastAsia"/>
                <w:bCs/>
                <w:kern w:val="2"/>
                <w:sz w:val="21"/>
                <w:szCs w:val="21"/>
                <w:lang w:eastAsia="zh-CN"/>
              </w:rPr>
            </w:pPr>
          </w:p>
        </w:tc>
        <w:tc>
          <w:tcPr>
            <w:tcW w:w="6119" w:type="dxa"/>
            <w:noWrap w:val="0"/>
            <w:vAlign w:val="top"/>
          </w:tcPr>
          <w:p>
            <w:pPr>
              <w:spacing w:line="340" w:lineRule="exact"/>
              <w:rPr>
                <w:rFonts w:ascii="宋体" w:eastAsia="宋体" w:hAnsi="宋体" w:cs="宋体" w:hint="eastAsia"/>
                <w:bCs/>
                <w:kern w:val="2"/>
                <w:sz w:val="21"/>
                <w:szCs w:val="21"/>
                <w:lang w:eastAsia="zh-CN"/>
              </w:rPr>
            </w:pPr>
            <w:r>
              <w:rPr>
                <w:rFonts w:ascii="宋体" w:eastAsia="宋体" w:hAnsi="宋体" w:cs="宋体" w:hint="eastAsia"/>
                <w:bCs/>
                <w:sz w:val="21"/>
                <w:szCs w:val="21"/>
              </w:rPr>
              <w:t>3.4投标人中标后逾期交付货物的，每逾期1天，投标人向采购人偿付项目采购金额的【</w:t>
            </w:r>
            <w:r>
              <w:rPr>
                <w:rFonts w:ascii="宋体" w:eastAsia="宋体" w:hAnsi="宋体" w:cs="宋体" w:hint="eastAsia"/>
                <w:bCs/>
                <w:sz w:val="21"/>
                <w:szCs w:val="21"/>
                <w:lang w:val="en-US" w:eastAsia="zh-CN"/>
              </w:rPr>
              <w:t>2</w:t>
            </w:r>
            <w:r>
              <w:rPr>
                <w:rFonts w:ascii="宋体" w:eastAsia="宋体" w:hAnsi="宋体" w:cs="宋体" w:hint="eastAsia"/>
                <w:bCs/>
                <w:sz w:val="21"/>
                <w:szCs w:val="21"/>
              </w:rPr>
              <w:t>】‰的违约金。如投标人逾期交货达</w:t>
            </w:r>
            <w:r>
              <w:rPr>
                <w:rFonts w:ascii="宋体" w:eastAsia="宋体" w:hAnsi="宋体" w:cs="宋体" w:hint="eastAsia"/>
                <w:bCs/>
                <w:sz w:val="21"/>
                <w:szCs w:val="21"/>
                <w:u w:val="single"/>
              </w:rPr>
              <w:t xml:space="preserve"> </w:t>
            </w:r>
            <w:r>
              <w:rPr>
                <w:rFonts w:ascii="宋体" w:eastAsia="宋体" w:hAnsi="宋体" w:cs="宋体" w:hint="eastAsia"/>
                <w:bCs/>
                <w:sz w:val="21"/>
                <w:szCs w:val="21"/>
                <w:u w:val="single"/>
                <w:lang w:eastAsia="zh-CN"/>
              </w:rPr>
              <w:t>1</w:t>
            </w:r>
            <w:r>
              <w:rPr>
                <w:rFonts w:ascii="宋体" w:eastAsia="宋体" w:hAnsi="宋体" w:cs="宋体" w:hint="eastAsia"/>
                <w:bCs/>
                <w:sz w:val="21"/>
                <w:szCs w:val="21"/>
                <w:u w:val="single"/>
              </w:rPr>
              <w:t xml:space="preserve">5 </w:t>
            </w:r>
            <w:r>
              <w:rPr>
                <w:rFonts w:ascii="宋体" w:eastAsia="宋体" w:hAnsi="宋体" w:cs="宋体" w:hint="eastAsia"/>
                <w:bCs/>
                <w:sz w:val="21"/>
                <w:szCs w:val="21"/>
              </w:rPr>
              <w:t>天，采购人有权解除合同。</w:t>
            </w:r>
          </w:p>
        </w:tc>
      </w:tr>
      <w:tr>
        <w:tblPrEx>
          <w:tblW w:w="5000" w:type="pct"/>
          <w:jc w:val="center"/>
          <w:tblLayout w:type="fixed"/>
          <w:tblCellMar>
            <w:top w:w="0" w:type="dxa"/>
            <w:left w:w="108" w:type="dxa"/>
            <w:bottom w:w="0" w:type="dxa"/>
            <w:right w:w="108" w:type="dxa"/>
          </w:tblCellMar>
        </w:tblPrEx>
        <w:trPr>
          <w:trHeight w:val="350"/>
          <w:jc w:val="center"/>
        </w:trPr>
        <w:tc>
          <w:tcPr>
            <w:tcW w:w="950" w:type="dxa"/>
            <w:vMerge/>
            <w:noWrap w:val="0"/>
            <w:vAlign w:val="center"/>
          </w:tcPr>
          <w:p>
            <w:pPr>
              <w:widowControl w:val="0"/>
              <w:jc w:val="center"/>
              <w:rPr>
                <w:rFonts w:ascii="Calibri" w:eastAsia="宋体" w:hAnsi="Calibri" w:hint="eastAsia"/>
                <w:bCs/>
                <w:kern w:val="2"/>
                <w:sz w:val="21"/>
                <w:szCs w:val="22"/>
                <w:lang w:eastAsia="zh-CN"/>
              </w:rPr>
            </w:pPr>
          </w:p>
        </w:tc>
        <w:tc>
          <w:tcPr>
            <w:tcW w:w="1787" w:type="dxa"/>
            <w:vMerge/>
            <w:noWrap w:val="0"/>
            <w:vAlign w:val="top"/>
          </w:tcPr>
          <w:p>
            <w:pPr>
              <w:rPr>
                <w:rFonts w:ascii="宋体" w:eastAsia="宋体" w:hAnsi="宋体" w:cs="宋体" w:hint="eastAsia"/>
                <w:bCs/>
                <w:kern w:val="2"/>
                <w:sz w:val="21"/>
                <w:szCs w:val="21"/>
                <w:lang w:eastAsia="zh-CN"/>
              </w:rPr>
            </w:pPr>
          </w:p>
        </w:tc>
        <w:tc>
          <w:tcPr>
            <w:tcW w:w="6119" w:type="dxa"/>
            <w:noWrap w:val="0"/>
            <w:vAlign w:val="top"/>
          </w:tcPr>
          <w:p>
            <w:pPr>
              <w:rPr>
                <w:rFonts w:ascii="宋体" w:eastAsia="宋体" w:hAnsi="宋体" w:cs="宋体" w:hint="eastAsia"/>
                <w:b/>
                <w:kern w:val="2"/>
                <w:sz w:val="21"/>
                <w:szCs w:val="21"/>
                <w:lang w:eastAsia="zh-CN"/>
              </w:rPr>
            </w:pPr>
            <w:r>
              <w:rPr>
                <w:rFonts w:ascii="宋体" w:eastAsia="宋体" w:hAnsi="宋体" w:cs="宋体" w:hint="eastAsia"/>
                <w:bCs/>
                <w:sz w:val="21"/>
                <w:szCs w:val="21"/>
              </w:rPr>
              <w:t>3.5投标人中标后，在其承诺的或国家规定的质量保证期内（取两者中最长的期限），如经投标人两次维修或更换，货物仍不能达到采购文件要求及投标文件承诺的质量标准，采购人有权退货，投标人应退回全部货款并赔偿采购人因此遭受的损失。</w:t>
            </w:r>
          </w:p>
        </w:tc>
      </w:tr>
      <w:tr>
        <w:tblPrEx>
          <w:tblW w:w="5000" w:type="pct"/>
          <w:jc w:val="center"/>
          <w:tblLayout w:type="fixed"/>
          <w:tblCellMar>
            <w:top w:w="0" w:type="dxa"/>
            <w:left w:w="108" w:type="dxa"/>
            <w:bottom w:w="0" w:type="dxa"/>
            <w:right w:w="108" w:type="dxa"/>
          </w:tblCellMar>
        </w:tblPrEx>
        <w:trPr>
          <w:trHeight w:val="350"/>
          <w:jc w:val="center"/>
        </w:trPr>
        <w:tc>
          <w:tcPr>
            <w:tcW w:w="950" w:type="dxa"/>
            <w:vMerge/>
            <w:noWrap w:val="0"/>
            <w:vAlign w:val="center"/>
          </w:tcPr>
          <w:p>
            <w:pPr>
              <w:widowControl w:val="0"/>
              <w:jc w:val="center"/>
              <w:rPr>
                <w:rFonts w:ascii="Calibri" w:eastAsia="宋体" w:hAnsi="Calibri" w:hint="eastAsia"/>
                <w:bCs/>
                <w:kern w:val="2"/>
                <w:sz w:val="21"/>
                <w:szCs w:val="22"/>
                <w:lang w:eastAsia="zh-CN"/>
              </w:rPr>
            </w:pPr>
          </w:p>
        </w:tc>
        <w:tc>
          <w:tcPr>
            <w:tcW w:w="1787" w:type="dxa"/>
            <w:vMerge/>
            <w:noWrap w:val="0"/>
            <w:vAlign w:val="top"/>
          </w:tcPr>
          <w:p>
            <w:pPr>
              <w:rPr>
                <w:rFonts w:ascii="宋体" w:eastAsia="宋体" w:hAnsi="宋体" w:cs="宋体" w:hint="eastAsia"/>
                <w:bCs/>
                <w:kern w:val="2"/>
                <w:sz w:val="21"/>
                <w:szCs w:val="21"/>
                <w:lang w:eastAsia="zh-CN"/>
              </w:rPr>
            </w:pPr>
          </w:p>
        </w:tc>
        <w:tc>
          <w:tcPr>
            <w:tcW w:w="6119" w:type="dxa"/>
            <w:noWrap w:val="0"/>
            <w:vAlign w:val="top"/>
          </w:tcPr>
          <w:p>
            <w:pPr>
              <w:rPr>
                <w:rFonts w:ascii="宋体" w:eastAsia="宋体" w:hAnsi="宋体" w:cs="宋体" w:hint="eastAsia"/>
                <w:b/>
                <w:kern w:val="2"/>
                <w:sz w:val="21"/>
                <w:szCs w:val="21"/>
                <w:lang w:eastAsia="zh-CN"/>
              </w:rPr>
            </w:pPr>
            <w:r>
              <w:rPr>
                <w:rFonts w:ascii="宋体" w:eastAsia="宋体" w:hAnsi="宋体" w:cs="宋体" w:hint="eastAsia"/>
                <w:bCs/>
                <w:sz w:val="21"/>
                <w:szCs w:val="21"/>
              </w:rPr>
              <w:t>3.6投标人中标后在承担上述一项或多项违约责任后，仍应继续履行合同规定的义务（采购人解除合同的除外）。采购人未能及时追究投标人的任何一项违约责任并不表明采购人放弃追究投标人该项或其他违约责任。</w:t>
            </w:r>
          </w:p>
        </w:tc>
      </w:tr>
      <w:tr>
        <w:tblPrEx>
          <w:tblW w:w="5000" w:type="pct"/>
          <w:jc w:val="center"/>
          <w:tblLayout w:type="fixed"/>
          <w:tblCellMar>
            <w:top w:w="0" w:type="dxa"/>
            <w:left w:w="108" w:type="dxa"/>
            <w:bottom w:w="0" w:type="dxa"/>
            <w:right w:w="108" w:type="dxa"/>
          </w:tblCellMar>
        </w:tblPrEx>
        <w:trPr>
          <w:trHeight w:val="350"/>
          <w:jc w:val="center"/>
        </w:trPr>
        <w:tc>
          <w:tcPr>
            <w:tcW w:w="950" w:type="dxa"/>
            <w:noWrap w:val="0"/>
            <w:vAlign w:val="center"/>
          </w:tcPr>
          <w:p>
            <w:pPr>
              <w:widowControl w:val="0"/>
              <w:jc w:val="center"/>
              <w:rPr>
                <w:rFonts w:ascii="Calibri" w:eastAsia="宋体" w:hAnsi="Calibri" w:hint="eastAsia"/>
                <w:bCs/>
                <w:kern w:val="2"/>
                <w:sz w:val="21"/>
                <w:szCs w:val="22"/>
                <w:lang w:eastAsia="zh-CN"/>
              </w:rPr>
            </w:pPr>
            <w:r>
              <w:rPr>
                <w:rFonts w:ascii="Calibri" w:eastAsia="宋体" w:hAnsi="Calibri" w:cs="Times New Roman" w:hint="eastAsia"/>
                <w:bCs/>
                <w:kern w:val="2"/>
                <w:sz w:val="21"/>
                <w:szCs w:val="22"/>
                <w:lang w:eastAsia="zh-CN"/>
              </w:rPr>
              <w:t>4</w:t>
            </w:r>
          </w:p>
        </w:tc>
        <w:tc>
          <w:tcPr>
            <w:tcW w:w="1787" w:type="dxa"/>
            <w:noWrap w:val="0"/>
            <w:vAlign w:val="top"/>
          </w:tcPr>
          <w:p>
            <w:pPr>
              <w:rPr>
                <w:rFonts w:ascii="宋体" w:eastAsia="宋体" w:hAnsi="宋体" w:cs="宋体" w:hint="eastAsia"/>
                <w:bCs/>
                <w:kern w:val="2"/>
                <w:sz w:val="21"/>
                <w:szCs w:val="21"/>
                <w:lang w:eastAsia="zh-CN"/>
              </w:rPr>
            </w:pPr>
            <w:r>
              <w:rPr>
                <w:rFonts w:ascii="宋体" w:eastAsia="宋体" w:hAnsi="宋体" w:cs="宋体" w:hint="eastAsia"/>
                <w:bCs/>
                <w:sz w:val="21"/>
                <w:szCs w:val="21"/>
              </w:rPr>
              <w:t>其他</w:t>
            </w:r>
          </w:p>
        </w:tc>
        <w:tc>
          <w:tcPr>
            <w:tcW w:w="6119" w:type="dxa"/>
            <w:noWrap w:val="0"/>
            <w:vAlign w:val="top"/>
          </w:tcPr>
          <w:p>
            <w:pPr>
              <w:rPr>
                <w:rFonts w:ascii="宋体" w:eastAsia="宋体" w:hAnsi="宋体" w:cs="宋体" w:hint="eastAsia"/>
                <w:bCs/>
                <w:kern w:val="2"/>
                <w:sz w:val="21"/>
                <w:szCs w:val="21"/>
                <w:lang w:eastAsia="zh-CN"/>
              </w:rPr>
            </w:pPr>
            <w:r>
              <w:rPr>
                <w:rFonts w:ascii="宋体" w:eastAsia="宋体" w:hAnsi="宋体" w:cs="宋体" w:hint="eastAsia"/>
                <w:bCs/>
                <w:sz w:val="21"/>
                <w:szCs w:val="21"/>
              </w:rPr>
              <w:t>投标人中标后应按其投标文件中的承诺，进行其他售后服务工作。</w:t>
            </w:r>
          </w:p>
        </w:tc>
      </w:tr>
    </w:tbl>
    <w:p>
      <w:pPr>
        <w:widowControl w:val="0"/>
        <w:numPr>
          <w:ilvl w:val="0"/>
          <w:numId w:val="0"/>
        </w:numPr>
        <w:spacing w:line="360" w:lineRule="auto"/>
        <w:ind w:left="0" w:firstLine="0"/>
        <w:jc w:val="both"/>
        <w:rPr>
          <w:rFonts w:ascii="Calibri" w:eastAsia="宋体" w:hAnsi="Calibri"/>
          <w:b/>
          <w:bCs/>
          <w:kern w:val="2"/>
          <w:szCs w:val="22"/>
          <w:lang w:eastAsia="zh-CN"/>
        </w:rPr>
      </w:pPr>
    </w:p>
    <w:p>
      <w:pPr>
        <w:keepNext/>
        <w:keepLines/>
        <w:widowControl w:val="0"/>
        <w:spacing w:before="120" w:beforeLines="50" w:after="120" w:afterLines="50" w:line="416" w:lineRule="auto"/>
        <w:jc w:val="both"/>
        <w:outlineLvl w:val="2"/>
        <w:rPr>
          <w:rFonts w:ascii="宋体" w:eastAsia="黑体" w:hAnsi="宋体" w:hint="eastAsia"/>
          <w:b/>
          <w:bCs/>
          <w:kern w:val="44"/>
          <w:sz w:val="28"/>
          <w:szCs w:val="44"/>
          <w:lang w:eastAsia="zh-CN"/>
        </w:rPr>
      </w:pPr>
      <w:r>
        <w:rPr>
          <w:rFonts w:ascii="宋体" w:eastAsia="黑体" w:hAnsi="宋体" w:hint="eastAsia"/>
          <w:b/>
          <w:bCs/>
          <w:kern w:val="44"/>
          <w:sz w:val="28"/>
          <w:szCs w:val="44"/>
          <w:lang w:eastAsia="zh-CN"/>
        </w:rPr>
        <w:t>付款方式</w:t>
      </w:r>
    </w:p>
    <w:p>
      <w:pPr>
        <w:widowControl/>
        <w:numPr>
          <w:ilvl w:val="0"/>
          <w:numId w:val="3"/>
        </w:numPr>
        <w:jc w:val="left"/>
        <w:rPr>
          <w:rFonts w:ascii="Arial" w:eastAsia="宋体" w:hAnsi="Arial" w:hint="eastAsia"/>
          <w:kern w:val="2"/>
          <w:sz w:val="21"/>
          <w:lang w:eastAsia="zh-CN"/>
        </w:rPr>
      </w:pPr>
      <w:r>
        <w:rPr>
          <w:rFonts w:ascii="Arial" w:eastAsia="宋体" w:hAnsi="Arial" w:hint="eastAsia"/>
          <w:kern w:val="2"/>
          <w:sz w:val="21"/>
          <w:lang w:eastAsia="zh-CN"/>
        </w:rPr>
        <w:t xml:space="preserve">全部货物送到采购人指定地点、完成安装并验收合格后 </w:t>
      </w:r>
      <w:r>
        <w:rPr>
          <w:rFonts w:ascii="Arial" w:eastAsia="宋体" w:hAnsi="Arial" w:hint="eastAsia"/>
          <w:kern w:val="2"/>
          <w:sz w:val="21"/>
          <w:u w:val="single"/>
          <w:lang w:eastAsia="zh-CN"/>
        </w:rPr>
        <w:t xml:space="preserve">  </w:t>
      </w:r>
      <w:r>
        <w:rPr>
          <w:rFonts w:ascii="Arial" w:eastAsia="宋体" w:hAnsi="Arial" w:hint="eastAsia"/>
          <w:kern w:val="2"/>
          <w:sz w:val="21"/>
          <w:u w:val="single"/>
          <w:lang w:val="en-US" w:eastAsia="zh-CN"/>
        </w:rPr>
        <w:t>30</w:t>
      </w:r>
      <w:r>
        <w:rPr>
          <w:rFonts w:ascii="Arial" w:eastAsia="宋体" w:hAnsi="Arial" w:hint="eastAsia"/>
          <w:kern w:val="2"/>
          <w:sz w:val="21"/>
          <w:u w:val="single"/>
          <w:lang w:eastAsia="zh-CN"/>
        </w:rPr>
        <w:t xml:space="preserve">   </w:t>
      </w:r>
      <w:r>
        <w:rPr>
          <w:rFonts w:ascii="Arial" w:eastAsia="宋体" w:hAnsi="Arial" w:hint="eastAsia"/>
          <w:kern w:val="2"/>
          <w:sz w:val="21"/>
          <w:lang w:eastAsia="zh-CN"/>
        </w:rPr>
        <w:t>个工作日内，采购人向中标供应商支付合同总价【100】%的款项；</w:t>
      </w:r>
    </w:p>
    <w:p>
      <w:pPr>
        <w:widowControl/>
        <w:numPr>
          <w:ilvl w:val="0"/>
          <w:numId w:val="3"/>
        </w:numPr>
        <w:jc w:val="left"/>
        <w:rPr>
          <w:rFonts w:ascii="Arial" w:eastAsia="宋体" w:hAnsi="Arial" w:hint="eastAsia"/>
          <w:kern w:val="2"/>
          <w:sz w:val="21"/>
          <w:lang w:eastAsia="zh-CN"/>
        </w:rPr>
      </w:pPr>
      <w:r>
        <w:rPr>
          <w:rFonts w:ascii="宋体" w:eastAsia="宋体" w:hAnsi="宋体" w:cs="宋体" w:hint="eastAsia"/>
          <w:kern w:val="2"/>
          <w:sz w:val="21"/>
          <w:szCs w:val="21"/>
          <w:lang w:eastAsia="zh-CN"/>
        </w:rPr>
        <w:t>因财政资金拨款未到位而导致甲方未在约定期限内支付合同费用的，中标供应商不得要求采购人承担逾期付款的违约责任。每次付款前，中标供应商应需先提供相应额度的正规发票给采购人，以便办理支付手续</w:t>
      </w:r>
      <w:r>
        <w:rPr>
          <w:rFonts w:ascii="Arial" w:eastAsia="宋体" w:hAnsi="Arial" w:hint="eastAsia"/>
          <w:kern w:val="2"/>
          <w:sz w:val="21"/>
          <w:lang w:eastAsia="zh-CN"/>
        </w:rPr>
        <w:t>。</w:t>
      </w:r>
    </w:p>
    <w:p>
      <w:pPr>
        <w:keepNext/>
        <w:keepLines/>
        <w:widowControl w:val="0"/>
        <w:tabs>
          <w:tab w:val="left" w:pos="1680"/>
        </w:tabs>
        <w:spacing w:before="260" w:after="60" w:afterLines="25"/>
        <w:jc w:val="center"/>
        <w:outlineLvl w:val="2"/>
        <w:rPr>
          <w:rFonts w:ascii="Arial" w:eastAsia="宋体" w:hAnsi="Arial" w:hint="eastAsia"/>
          <w:b/>
          <w:bCs/>
          <w:kern w:val="2"/>
          <w:sz w:val="32"/>
          <w:szCs w:val="32"/>
          <w:lang w:eastAsia="zh-CN"/>
        </w:rPr>
      </w:pPr>
    </w:p>
    <w:p>
      <w:pPr>
        <w:keepNext/>
        <w:keepLines/>
        <w:widowControl w:val="0"/>
        <w:tabs>
          <w:tab w:val="left" w:pos="1680"/>
        </w:tabs>
        <w:spacing w:before="260" w:after="60" w:afterLines="25"/>
        <w:jc w:val="center"/>
        <w:outlineLvl w:val="2"/>
        <w:rPr>
          <w:rFonts w:ascii="Arial" w:eastAsia="宋体" w:hAnsi="Arial"/>
          <w:b/>
          <w:bCs/>
          <w:kern w:val="2"/>
          <w:sz w:val="32"/>
          <w:szCs w:val="32"/>
          <w:lang w:eastAsia="zh-CN"/>
        </w:rPr>
      </w:pPr>
      <w:r>
        <w:rPr>
          <w:rFonts w:ascii="Arial" w:eastAsia="宋体" w:hAnsi="Arial" w:hint="eastAsia"/>
          <w:b/>
          <w:bCs/>
          <w:kern w:val="2"/>
          <w:sz w:val="32"/>
          <w:szCs w:val="32"/>
          <w:lang w:eastAsia="zh-CN"/>
        </w:rPr>
        <w:t>五、技术要求部分</w:t>
      </w:r>
    </w:p>
    <w:p>
      <w:pPr>
        <w:widowControl w:val="0"/>
        <w:jc w:val="left"/>
        <w:rPr>
          <w:rFonts w:ascii="宋体" w:eastAsia="宋体" w:hAnsi="宋体" w:cs="宋体" w:hint="eastAsia"/>
          <w:b/>
          <w:bCs/>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b w:val="0"/>
          <w:bCs w:val="0"/>
          <w:sz w:val="21"/>
          <w:szCs w:val="21"/>
          <w:lang w:eastAsia="zh-CN"/>
        </w:rPr>
      </w:pPr>
      <w:r>
        <w:rPr>
          <w:rFonts w:ascii="宋体" w:eastAsia="宋体" w:hAnsi="宋体" w:cs="宋体" w:hint="eastAsia"/>
          <w:b w:val="0"/>
          <w:bCs w:val="0"/>
          <w:sz w:val="21"/>
          <w:szCs w:val="21"/>
          <w:lang w:eastAsia="zh-CN"/>
        </w:rPr>
        <w:t>1.货物为全新的（原装）产品（含零部件、配件、工具等），表面无划伤、无碰撞。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b w:val="0"/>
          <w:bCs w:val="0"/>
          <w:sz w:val="21"/>
          <w:szCs w:val="21"/>
          <w:lang w:eastAsia="zh-CN"/>
        </w:rPr>
      </w:pPr>
      <w:r>
        <w:rPr>
          <w:rFonts w:ascii="宋体" w:eastAsia="宋体" w:hAnsi="宋体" w:cs="宋体" w:hint="eastAsia"/>
          <w:b w:val="0"/>
          <w:bCs w:val="0"/>
          <w:sz w:val="21"/>
          <w:szCs w:val="21"/>
          <w:lang w:eastAsia="zh-CN"/>
        </w:rPr>
        <w:t>2.本标的所指的货物及服务应符合相应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b w:val="0"/>
          <w:bCs w:val="0"/>
          <w:sz w:val="21"/>
          <w:szCs w:val="21"/>
          <w:lang w:eastAsia="zh-CN"/>
        </w:rPr>
      </w:pPr>
      <w:r>
        <w:rPr>
          <w:rFonts w:ascii="宋体" w:eastAsia="宋体" w:hAnsi="宋体" w:cs="宋体" w:hint="eastAsia"/>
          <w:b w:val="0"/>
          <w:bCs w:val="0"/>
          <w:sz w:val="21"/>
          <w:szCs w:val="21"/>
          <w:lang w:eastAsia="zh-CN"/>
        </w:rPr>
        <w:t>3.国内产品或合资厂的产品必须具备出厂合格证。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b w:val="0"/>
          <w:bCs w:val="0"/>
          <w:sz w:val="21"/>
          <w:szCs w:val="21"/>
          <w:lang w:eastAsia="zh-CN"/>
        </w:rPr>
      </w:pPr>
      <w:r>
        <w:rPr>
          <w:rFonts w:ascii="宋体" w:eastAsia="宋体" w:hAnsi="宋体" w:cs="宋体" w:hint="eastAsia"/>
          <w:b w:val="0"/>
          <w:bCs w:val="0"/>
          <w:sz w:val="21"/>
          <w:szCs w:val="21"/>
          <w:lang w:eastAsia="zh-CN"/>
        </w:rPr>
        <w:t>4.供应商应将所供物品的用户手册、保修手册、有关资料及配件、工具等交付给采购人。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b w:val="0"/>
          <w:bCs w:val="0"/>
          <w:sz w:val="21"/>
          <w:szCs w:val="21"/>
          <w:lang w:eastAsia="zh-CN"/>
        </w:rPr>
      </w:pPr>
      <w:r>
        <w:rPr>
          <w:rFonts w:ascii="宋体" w:eastAsia="宋体" w:hAnsi="宋体" w:cs="宋体" w:hint="eastAsia"/>
          <w:b w:val="0"/>
          <w:bCs w:val="0"/>
          <w:sz w:val="21"/>
          <w:szCs w:val="21"/>
          <w:lang w:eastAsia="zh-CN"/>
        </w:rPr>
        <w:t>5.供应商保证所售系统不会侵犯任何第三方权利。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b/>
          <w:color w:val="FF0000"/>
          <w:kern w:val="2"/>
          <w:sz w:val="21"/>
          <w:szCs w:val="21"/>
          <w:lang w:eastAsia="zh-CN"/>
        </w:rPr>
      </w:pPr>
      <w:r>
        <w:rPr>
          <w:rFonts w:ascii="宋体" w:eastAsia="宋体" w:hAnsi="宋体" w:cs="宋体" w:hint="eastAsia"/>
          <w:b/>
          <w:bCs/>
          <w:sz w:val="21"/>
          <w:szCs w:val="21"/>
          <w:lang w:val="en-US" w:eastAsia="zh-CN"/>
        </w:rPr>
        <w:t>6.</w:t>
      </w:r>
      <w:r>
        <w:rPr>
          <w:rFonts w:ascii="宋体" w:eastAsia="宋体" w:hAnsi="宋体" w:cs="宋体" w:hint="eastAsia"/>
          <w:b/>
          <w:bCs/>
          <w:sz w:val="21"/>
          <w:szCs w:val="21"/>
          <w:lang w:eastAsia="zh-CN"/>
        </w:rPr>
        <w:t>采购技术要求表</w:t>
      </w:r>
    </w:p>
    <w:tbl>
      <w:tblPr>
        <w:tblStyle w:val="TableNormal"/>
        <w:tblW w:w="500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30"/>
        <w:gridCol w:w="2069"/>
        <w:gridCol w:w="5657"/>
      </w:tblGrid>
      <w:tr>
        <w:tblPrEx>
          <w:tblW w:w="500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0"/>
        </w:trPr>
        <w:tc>
          <w:tcPr>
            <w:tcW w:w="1081" w:type="dxa"/>
            <w:noWrap w:val="0"/>
            <w:vAlign w:val="center"/>
          </w:tcPr>
          <w:p>
            <w:pPr>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980" w:type="dxa"/>
            <w:noWrap w:val="0"/>
            <w:vAlign w:val="center"/>
          </w:tcPr>
          <w:p>
            <w:pPr>
              <w:widowControl/>
              <w:jc w:val="center"/>
              <w:rPr>
                <w:rFonts w:ascii="宋体" w:eastAsia="宋体" w:hAnsi="宋体" w:cs="宋体" w:hint="eastAsia"/>
                <w:b/>
                <w:bCs/>
                <w:sz w:val="21"/>
                <w:szCs w:val="21"/>
              </w:rPr>
            </w:pPr>
            <w:r>
              <w:rPr>
                <w:rFonts w:ascii="宋体" w:eastAsia="宋体" w:hAnsi="宋体" w:cs="宋体" w:hint="eastAsia"/>
                <w:b/>
                <w:bCs/>
                <w:sz w:val="21"/>
                <w:szCs w:val="21"/>
              </w:rPr>
              <w:t>货物名称</w:t>
            </w:r>
          </w:p>
        </w:tc>
        <w:tc>
          <w:tcPr>
            <w:tcW w:w="5414" w:type="dxa"/>
            <w:noWrap w:val="0"/>
            <w:vAlign w:val="center"/>
          </w:tcPr>
          <w:p>
            <w:pPr>
              <w:jc w:val="center"/>
              <w:rPr>
                <w:rFonts w:ascii="宋体" w:eastAsia="宋体" w:hAnsi="宋体" w:cs="宋体" w:hint="eastAsia"/>
                <w:b/>
                <w:bCs/>
                <w:sz w:val="21"/>
                <w:szCs w:val="21"/>
              </w:rPr>
            </w:pPr>
            <w:r>
              <w:rPr>
                <w:rFonts w:ascii="宋体" w:eastAsia="宋体" w:hAnsi="宋体" w:cs="宋体" w:hint="eastAsia"/>
                <w:b/>
                <w:bCs/>
                <w:sz w:val="21"/>
                <w:szCs w:val="21"/>
              </w:rPr>
              <w:t>招标技术要求</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1-10数字对对碰游戏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2、产品尺寸：26*13.5*7.5cm（±5%）。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168片磁力片</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2、产品尺寸：25*27*35cm（±5%）。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3、产品配置：168片。</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3D打印笔材料</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1、产品材质：热熔胶。</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2、产品尺寸：约0.02mm 5米/卷（±5%）。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3D立体拼图 混款 浅色系</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2、产品尺寸：15*21cm（±5%）。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LCD数字时钟 闹钟</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2、产品尺寸：16*8cm（±5%）。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爱生活中式早茶 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2、产品尺寸：18*24cm（±5%）。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爱刷牙</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白医生角色服</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1、产品材质：涤纶布。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2、产品尺寸：120码（±5%）。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3、产品配置：9件套。</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百变穿线板积木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2、产品尺寸：24*24cm（±5%）。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变脸魔方</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2、产品尺寸：16*16cm（±5%）。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冰淇淋玩具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2、产品尺寸：31.5*9*20cm（±5%）。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不织布忙碌板衣饰提包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1、产品材质：不织布。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2、产品尺寸：45*28.5cm（±5%）。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彩盒 会飞的花朵-蝴蝶二标本</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1、产品材质：树脂。</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2、产品尺寸：35.5*27*4cm（±5%）。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彩盒 小蟋蟀成长记标本</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1、产品材质：树脂。</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2、产品尺寸：23*19cm（±5%）。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彩盒 玉米是怎么发芽的标本</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1、产品材质：树脂。</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2、产品尺寸：23*19cm（±5%）。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彩虹积木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2、产品尺寸：224*50*112mm（±5%）。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彩色锁 9色带托盘</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1、产品材质：木质、塑料、铁。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2、产品尺寸：14*23cm（±5%）。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彩色形状颜色配对拼板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2、产品尺寸：26*26cm（±5%）。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场景人物模型套装 透明箱装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2、产品尺寸：28*16*19cm（±5%）。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3、产品配置：17件。</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城市交通 图案地毯</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1、产品材质：涤纶布。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2、产品尺寸：140*200cm（±5%）。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初级数学几何积木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2、产品尺寸：24*23*3cm（±5%）。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厨具 积木套装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2、产品尺寸：31*15*10.5cm（±5%）。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3、产品配置：14件。</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穿绳游戏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2、产品尺寸：24*22*6.5cm（±5%）。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创意马赛克-雪花</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2、产品尺寸：28*28*2.3cm（±5%）。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创意拼图长积木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2、产品尺寸：27*8*13.5cm（±5%）。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3、产品配置：100pcs。</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城市高铁站</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2、产品尺寸：46.5*30.7*16cm（±5%）。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磁铁找朋友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2、产品尺寸：27*19*10cm（±5%）。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磁铁组合套装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2、产品尺寸：36*29*9cm（±5%）。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大号数字叠叠高</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2、产品尺寸：29*8*8cm（±5%）。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3、产品配置：51pcs。</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地理探索套装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2、产品尺寸：45*33*8cm（±5%）。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地球仪1</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2、产品尺寸：直径20cm（±5%）。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电动仿真洗碗机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2、产品尺寸：44.5*31*10cm（±5%）。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电碰迷宫 盒装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2、产品尺寸：35*41cm（±5%）。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电视机故事剧场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电学实验</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2、产品尺寸：35*28*9cm（±5%）。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电子积木 电路豪华版</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2、产品尺寸：45*32*7cm（±5%）。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电子积木 趣味万向灯</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2、产品尺寸：39*28*10cm（±5%）。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电子积木 手摇发电</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2、产品尺寸：44*31*5cm（±5%）。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3、产品配置：34片。</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电子温度计 湿度计</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2、产品尺寸：17*13*3cm（±5%）。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动物模型 家禽动物</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2、产品尺寸：6寸/只（±5%）。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3、产品配置：5只。</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动物模型 恐龙生物</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2、产品尺寸：8寸/只（±5%）。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3、产品配置：6只。</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动物模型 农场生物</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2、产品尺寸：8寸/只（±5%）。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3、产品配置：6只。</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动物模型 野生生物</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2、产品尺寸：8寸/只（±5%）。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3、产品配置：6只。</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动物模型 陆地动物套装 透明箱装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2、产品尺寸：28*16*19cm（±5%）。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3、产品配置：22件。</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多层拼图-人体结构 男孩</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2、产品尺寸：29*26*2cm（±5%）。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多层拼图-人体结构 女孩</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2、产品尺寸：29*26*2cm（±5%）。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多层形状层层乐</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2、产品尺寸：30*30*4cm（±5%）。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多功能夹珠子</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2、产品尺寸：34*33*4cm（±5%）。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多功能教具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2、产品尺寸：30*29*5cm（±5%）。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 安全帽子 加厚</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2、产品尺寸：20*24*10cm（±5%）。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 购物车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2、产品尺寸：58*48*33cm（±5%）。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儿童低温3D打印笔</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2、产品尺寸：20*13*6.5cm（±5%）。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儿童放大镜</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1、产品材质：塑料、玻璃。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2、产品尺寸：65mm 16*5.5cm（±5%）。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儿童挂式扫拖清洁套装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2、产品尺寸：24*8*60cm（±5%）。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儿童迷你小扫把</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2、产品尺寸：20*14cm（±5%）。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儿童迷你小扫把套装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2、产品尺寸：52*16cm（±5%）。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3、产品配置：3件。</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儿童透明防水围裙</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2、产品尺寸：120码（±5%）。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方形积木片1</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方形积木片2</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2、产品尺寸：30*40cm（±5%）。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方形积木片3</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2、产品尺寸：30*60cm（±5%）。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仿真高档娃娃 男女混款</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2、产品尺寸：约55cm（±5%）。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仿真娃娃 萌萌哒互动娃娃</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2、产品尺寸：36*27.3*29.5cm（±5%）。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粉红护士角色服</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2、产品尺寸：120码（±5%）。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风筒扎辫机套装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2、产品尺寸：39*9*28cm（±5%）。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工程师角色服</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2、产品尺寸：120码（±5%）。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3、产品配置：9件。</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惯性拼装工程车-起重机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2、产品尺寸：16*8*12.5cm（±5%）。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光学高级版 三合一</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2、产品尺寸：35*28*9cm（±5%）。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光学五件套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1、产品材质：塑料、玻璃。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2、产品尺寸：单个8*15cm（±5%）。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3、产品配置：5件。</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光影魔术盒子</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2、产品尺寸：30*23*15cm（±5%）。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果蔬颜色分类杯</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2、产品尺寸：18*12.5*5cm（±5%）。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豪华医生套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2、产品尺寸：29*15*12cm（±5%）。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合金模型 自行车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1、产品材质：铝合金。</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2、产品尺寸：22*7*15cm（±5%）。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机械学高级版三合一</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2、产品尺寸：35*28*9cm（±5%）。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几何积木和轮廓</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2、产品尺寸：24*12*6.8cm（±5%）。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几何空间概念分类积木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2、产品尺寸：32*32cm（±5%）。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几何纽扣串线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2、产品尺寸：包装25*30cm（±5%）。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几何图形钉板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2、产品尺寸：18*18cm（±5%）。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几何形体模型套装 透明盒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2、产品尺寸：16*24cm（±5%）。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3、产品配置：15件。</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记忆闯关游戏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2、产品尺寸：30*30*1.7cm（±5%）。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加减法游戏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2、产品尺寸：35*24*8cm（±5%）。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夹棍球之穿越太阳系</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2、产品尺寸：12*7*33cm（±5%）。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建构球积木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2、产品尺寸：39*27*14cm（±5%）。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3、产品配置：320件。</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交通标志 路标</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2、产品尺寸：79cm（±5%）。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3、产品配置：5个/套。</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交通标志指示灯 红绿灯</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角色服 交通反光衣背心</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1、产品材质：涤纶。</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2、产品尺寸：110码（±5%）。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角色服装消防员帽子马甲</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1、产品材质：涤纶、塑料。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2、产品尺寸：110码（±5%）。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角色服装小交警帽子马甲</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1、产品材质：涤纶、塑料。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2、产品尺寸：110码（±5%）。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角色服装小警察帽子马甲</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1、产品材质：涤纶、塑料。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2、产品尺寸：110码（±5%）。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惊喜化学3</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2、产品尺寸：30*26*7cm（±5%）。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90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净水过滤实验</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91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榉木大号刮沙盘盒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2、产品尺寸：34.7*25*3.7cm（±5%）。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92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卡片分类游戏-找相反</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2、产品尺寸：205*135*45mm（±5%）。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93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超级电路积木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1、产品材质：金属、塑料。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2、产品尺寸：40*28.5*10cm（±5%）。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94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学生显微镜</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1、产品材质：金属、塑料。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2、产品尺寸：38*29*13.5cm（±5%）。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95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科学实验 磁力魔术球</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1、产品材质：磁铁、塑料。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2、产品尺寸：23*18*25cm（±5%）。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96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科学实验 大滴管套装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2、产品尺寸：12*10.5*18cm（±5%）。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97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科学实验 大试管套装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2、产品尺寸：9.5*18.5*25.5cm（±5%）。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98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科学实验 动物养育舱</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1、产品材质：金属、塑料。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2、产品尺寸：21*16*28cm（±5%）。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99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科学实验 光的三原色实验器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2、产品尺寸：14.5*12*8cm（±5%）。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100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科学实验 火山爆发</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2、产品尺寸：20*15.5*7cm（±5%）。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101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科学实验 魔术蛋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2、产品尺寸：27*18*6cm（±5%）。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102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科学实验 三合一观察站</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1、产品材质：塑料、玻璃。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2、产品尺寸：23.5*26*6cm（±5%）。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103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科学实验 水净化套装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2、产品尺寸：20*15.5*6cm（±5%）。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104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科学实验 太阳系行星语音投影仪</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2、产品尺寸：30*24*11cm（±5%）。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105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科学实验 调色眼镜</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2、产品尺寸：16*8.5*5.5cm（±5%）。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106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科学实验 我们的身体语音百科</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2、产品尺寸：24*29*25.5cm（±5%）。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107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科学实验 颜色混合游戏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2、产品尺寸：38*2*22cm（±5%）。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108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科学实验套装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2、产品尺寸：30*23*7.5cm（±5%）。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109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科学种植实验室</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2、产品尺寸：32*24*7.2cm（±5%）。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110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可充式LED手电筒侧面带灯 带USB线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1、产品材质：铁、塑料、金属。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2、产品尺寸：2.5*9.1cm（±5%）。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111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快乐拼搭组合积木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2、产品尺寸：17.5*39*19cm（±5%）。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3、产品配置：109件。</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112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快乐小屋大积木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2、产品尺寸：包装42*26cm（±5%）。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113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昆虫找家游戏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2、产品尺寸：34*23*7.5cm（±5%）。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114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蓝牙麦克风+音响 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1、产品材质：铁、塑料、金属。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2、产品尺寸：15*16cm（±5%）。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115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蓝医生角色服</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1、产品材质：涤纶、塑料。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2、产品尺寸：120码（±5%）。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3、产品配置：10件套。</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116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理发师角色服</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1、产品材质：涤纶、塑料。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2、产品尺寸：120码（±5%）。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117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力学高级版 三合一</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2、产品尺寸：34*28*9cm（±5%）。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118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立体模型 特大号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2、产品尺寸：25.5*21*6cm（±5%）。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119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连一连十方格游戏盘</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2、产品尺寸：26*18*6cm（±5%）。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120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晾衣服换装游戏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2、产品尺寸：31*14.5*2.7cm（±5%）。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121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铝合金汽车模型 消防云梯车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1、产品材质：铝合金。</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2、产品尺寸：13.5*20*6cm（±5%）。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122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蚂蚁基地</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2、产品尺寸：36.5*28*8cm（±5%）。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123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木质 忙写板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2、产品尺寸：32*15*4cm（±5%）。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124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迷你电子称 带托盘</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2、产品尺寸：18.5*18*5.5cm（±5%）。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125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木质 面条机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2、产品尺寸：38*13.5*29cm（±5%）。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126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木框棒冰组</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2、产品尺寸：18*14.5*5cm（±5%）。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127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木框食物组-蔬菜</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2、产品尺寸：17*13*4cm（±5%）。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128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木框食物组-饮品</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2、产品尺寸：17*13*4cm（±5%）。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129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木沙漏  10分钟</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1、产品材质：木质、玻璃、沙。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2、产品尺寸：15*8.5cm（±5%）。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130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木沙漏  15分钟</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1、产品材质：木质、玻璃、沙。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2、产品尺寸：10*18cm（±5%）。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131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木沙漏  1分钟</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1、产品材质：木质、玻璃、沙。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2、产品尺寸：9.5*4cm（±5%）。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132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木沙漏  3分钟</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1、产品材质：木质、玻璃、沙。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2、产品尺寸：12*6.5cm（±5%）。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133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木沙漏  5分钟</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1、产品材质：木质、玻璃、沙。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2、产品尺寸：12*6.5cm（±5%）。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134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木沙漏 30分钟</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1、产品材质：木质、玻璃、沙。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2、产品尺寸：15*8.5*8.5cm（±5%）。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135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木质 几何形状组合</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2、产品尺寸：25*15.5*8cm（±5%）。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136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木质 沥水架 八柱7格</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2、产品尺寸：31*12cm（±5%）。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137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木质 沥水架 四柱3格</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2、产品尺寸：18*12cm（±5%）。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138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木质 双面棋板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2、产品尺寸：40*27.5*3cm（±5%）。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139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木质 蒜缸</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2、产品尺寸：9.5*9.5cm（±5%）。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140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木质 消防车 小号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2、产品尺寸：13*6.4*8.4cm（±5%）。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141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木质 压路机车 小号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2、产品尺寸：13*6.4*8.4cm（±5%）。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142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木质 中号交通标志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2、产品尺寸：单个11*3.5cm（±5%）。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3、产品配置：15个。</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143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木质钓鱼游戏桌</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2、产品尺寸：46*4*46cm（±5%）。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144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木质儿童清洁工具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2、产品尺寸：37.5*24*10cm（±5%）。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145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木质理发玩具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2、产品尺寸：23*19*10cm（±5%）。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3、产品配置：18个。</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146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木质套盒笔筒套塔</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2、产品尺寸：10.5*10.5*9.5cm（±5%）。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147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泡泡科学实验超能实验室</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2、产品尺寸：46.5*13.5*39cm（±5%）。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148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配对-找相反</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2、产品尺寸：22*13*6.5cm（±5%）。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149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瓢虫游戏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2、产品尺寸：34*23*7.5cm（±5%）。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150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汽车模型 公安车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2、产品尺寸：20*33.5*11.5cm（±5%）。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151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汽车模型 惯性导弹车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2、产品尺寸：27.5*10*12cm（±5%）。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152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汽车模型 讲故事的搅拌工程车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2、产品尺寸：38.5*21*10.5cm（±5%）。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153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汽车模型 讲故事的救援消防车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2、产品尺寸：38.5*21*10.5cm（±5%）。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154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汽车模型 讲故事的喷水消防车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2、产品尺寸：38.5*21*10.5cm（±5%）。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155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汽车模型 讲故事的校车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2、产品尺寸：38.5*21*10.5cm（±5%）。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156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汽车模型 讲故事的油罐工程车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2、产品尺寸：38.5*21*10.5cm（±5%）。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157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汽车模型 讲故事的云梯消防车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2、产品尺寸：38.5*21*10.5cm（±5%）。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158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汽车模型 讲故事的运输工程车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2、产品尺寸：38.5*21*10.5cm（±5%）。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159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汽车模型 救护车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2、产品尺寸：34*19.5*11.2cm（±5%）。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160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千奇百怪的叶子标本  彩盒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1、产品材质：树脂。</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2、产品尺寸：35.5*27*4cm（±5%）。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161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万象积木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2、产品尺寸：40*28*19cm（±5%）。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3、产品配置：185件。</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162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趣味传声筒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2、产品尺寸：32*9*27.5cm（±5%）。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163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趣味互动对讲机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2、产品尺寸：17*15*4cm（±5%）。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164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趣味机关多米诺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2、产品尺寸：28*24*16.5cm（±5%）。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3、产品配置：480片/桶。</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165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赛车运载车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2、产品尺寸：15*26.5*5cm（±5%）。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166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三维积木搭建游戏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2、产品尺寸：155*155*152mm（±5%）。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167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沙画台灯箱</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2、产品尺寸：40*28*9cm（±5%）。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168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生命周期</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2、产品尺寸：32*24*6.5cm（±5%）。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169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时尚美发梳子</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170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时尚小家电大套装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2、产品尺寸：38*38*11cm（±5%）。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171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时尚煮蛋炉</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2、产品尺寸：24*18*10cm（±5%）。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172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实验守恒几何量具套装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2、产品尺寸：29*12*20cm（±5%）。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173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收银机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2、产品尺寸：21*23*14cm（±5%）。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174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数字分合</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2、产品尺寸：32.5*16*3.3cm（±5%）。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175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数字分解滚珠</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2、产品尺寸：30*24*4.5cm（±5%）。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176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数字拼图游戏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2、产品尺寸：26.5*25*5.5cm（±5%）。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177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数字时钟 木质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2、产品尺寸：20.5*20.5*7.3cm（±5%）。</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178</w:t>
            </w:r>
          </w:p>
        </w:tc>
        <w:tc>
          <w:tcPr>
            <w:tcW w:w="19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双面公路交通系统</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1、产品材质：密度板贴橡胶木皮。</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2、包装尺寸：40*33.5*8cm（±5%）。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3、产品配置：42件。</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1980"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i w:val="0"/>
                <w:iCs w:val="0"/>
                <w:color w:val="000000"/>
                <w:kern w:val="0"/>
                <w:sz w:val="21"/>
                <w:szCs w:val="21"/>
                <w:u w:val="none"/>
                <w:lang w:val="en-US" w:eastAsia="zh-CN" w:bidi="ar"/>
              </w:rPr>
            </w:pPr>
            <w:r>
              <w:rPr>
                <w:rStyle w:val="font121"/>
                <w:rFonts w:ascii="宋体" w:eastAsia="宋体" w:hAnsi="宋体" w:cs="宋体" w:hint="eastAsia"/>
                <w:color w:val="FF0000"/>
                <w:sz w:val="21"/>
                <w:szCs w:val="21"/>
                <w:lang w:val="en-US" w:eastAsia="zh-CN" w:bidi="ar"/>
              </w:rPr>
              <w:t>▲</w:t>
            </w:r>
            <w:r>
              <w:rPr>
                <w:rFonts w:ascii="宋体" w:eastAsia="宋体" w:hAnsi="宋体" w:cs="宋体" w:hint="eastAsia"/>
                <w:i w:val="0"/>
                <w:iCs w:val="0"/>
                <w:color w:val="FF0000"/>
                <w:kern w:val="0"/>
                <w:sz w:val="21"/>
                <w:szCs w:val="21"/>
                <w:u w:val="none"/>
                <w:lang w:val="en-US" w:eastAsia="zh-CN" w:bidi="ar"/>
              </w:rPr>
              <w:t>4、依据中华人民共和国国家玩具安全标准GB6675-2014检测（包括: 1.GB 6675.1-2014-玩具安全第1部分：基本规范；2.GB6675.2-2014-玩具第2部分：机械与物理性能；3.GB6675.3-2014玩具安全第3部分：易燃性能；共三个项目检测合格！）</w:t>
            </w:r>
            <w:r>
              <w:rPr>
                <w:rStyle w:val="font121"/>
                <w:rFonts w:ascii="宋体" w:eastAsia="宋体" w:hAnsi="宋体" w:cs="宋体" w:hint="eastAsia"/>
                <w:color w:val="FF0000"/>
                <w:sz w:val="21"/>
                <w:szCs w:val="21"/>
                <w:lang w:val="en-US" w:eastAsia="zh-CN" w:bidi="ar"/>
              </w:rPr>
              <w:t>（</w:t>
            </w:r>
            <w:r>
              <w:rPr>
                <w:rFonts w:ascii="宋体" w:eastAsia="宋体" w:hAnsi="宋体" w:cs="宋体" w:hint="eastAsia"/>
                <w:color w:val="FF0000"/>
                <w:sz w:val="21"/>
                <w:szCs w:val="21"/>
              </w:rPr>
              <w:t>需同时提供标注CMA或CNAS标识的检测报告及检测报告在全国认证认可信息公共服务平台网站（http://cx.cnca.cn/CertECloud/qts/qts/qtsPage）查询截图扫描件作为得分依据，否则不得分。</w:t>
            </w:r>
            <w:r>
              <w:rPr>
                <w:rStyle w:val="font121"/>
                <w:rFonts w:ascii="宋体" w:eastAsia="宋体" w:hAnsi="宋体" w:cs="宋体" w:hint="eastAsia"/>
                <w:color w:val="FF0000"/>
                <w:sz w:val="21"/>
                <w:szCs w:val="21"/>
                <w:lang w:val="en-US" w:eastAsia="zh-CN" w:bidi="ar"/>
              </w:rPr>
              <w:t>）</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179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水流演示器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2、产品尺寸：7*19cm（±5%）。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180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水试验套装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2、产品尺寸：35*26*11cm（±5%）。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3、产品配置：24件/套。</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181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四大思维 科技探索3-5岁</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2、产品尺寸：33*26.5*10.3cm（±5%）。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182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四大思维 数理逻辑3-5岁</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2、产品尺寸：33*26.5*10.3cm（±5%）。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183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四色游戏 木质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2、产品尺寸：19.5*24*4cm（±5%）。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184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速叠杯</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2、产品尺寸：7.8*7.8*27.8cm（±5%）。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185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塑料 垃圾分类玩具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2、产品尺寸：14*11.5*17cm（±5%）。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186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太空款磁性拼图游戏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2、产品尺寸：24*19.3*5cm（±5%）。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187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天平称</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2、产品尺寸：27*25*5cm（±5%）。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188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透明几何体套装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2、产品尺寸：26*19*6cm（±5%）。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189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托盘天平称</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2、产品尺寸：28*18*11cm（±5%）。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190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万能风车积木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1、产品材质：木质、亚克力。</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2、产品尺寸：40*28*19cm（±5%）。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3、产品配置：171件。</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191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望远镜  黑色</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2、产品尺寸：12.5*11.5cm（±5%）。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192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温度计 湿度计 圆形</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193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无线电学三合一</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2、产品尺寸：35*28*9cm（±5%）。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194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掀盖记忆游戏-阴影与轮廓</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2、产品尺寸：31*31*8cm（±5%）。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195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显微镜套装 金属底座</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2、产品尺寸：23.3**23*12cm（±5%）。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196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响声亚克力彩虹积木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1、产品材质：木质、亚克力。</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2、产品尺寸：8.5*35*31.5cm（±5%）。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3、产品配置：16片。</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197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橡皮筋 彩色 桶装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1、产品材质：橡胶。</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2、产品尺寸：3.5*21cm（±5%）。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3、产品配置：300条。</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198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消防款磁性拼图游戏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2、产品尺寸：24*19.3*5cm（±5%）。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199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小鸡21天孵化过程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2、产品尺寸：42*24*6.7cm（±5%）。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200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小小飞车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2、产品尺寸：490*320*95mm（±5%）。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201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星际城市实验</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2、产品尺寸：500*290*140mm（±5%）。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202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形状积木板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2、产品尺寸：33*22*4cm（±5%）。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203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形状块组图游戏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2、产品尺寸：32*24*6.5cm（±5%）。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204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形状吸盘游戏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2、产品尺寸：24*22*6.5cm（±5%）。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205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颜色分类杯12色</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2、产品尺寸：25*23.5*6cm（±5%）。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206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液晶写字板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2、产品尺寸：12寸（±5%）。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207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一家人 长脚手偶</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1、产品材质：涤纶。</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2、产品尺寸：约30cm（±5%）。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3、产品配置：6款/包。</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208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医生 护士服</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1、产品材质：涤纶。</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2、产品尺寸：140码（±5%）。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209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医生粉蓝套装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2、产品尺寸：21*17*14cm（±5%）。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210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医生人体套装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2、产品尺寸：45*33*9cm（±5%）。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211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因果关系游戏 新</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2、产品尺寸：33.5*19.5*6cm（±5%）。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212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有毒的动物标本 彩盒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1、产品材质：树脂。</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2、产品尺寸：35.5*27*4cm（±5%）。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213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幼儿科研套装实验工具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2、产品尺寸：20*18*23cm（±5%）。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3、产品配置：12件/套。</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214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幼儿早教视频学习机器人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2、产品尺寸：26*19*33cm（±5%）。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215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语言区 购物商店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2、产品尺寸：20*30cm（±5%）。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3、产品配置：140张不同纸币。</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216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育脑思维游戏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2、产品尺寸：23*23cm（±5%）。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217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圆形积木片1</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218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圆形积木片2</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219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圆形积木片3</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220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圆形木质指偶架</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2、产品尺寸：8*28cm（±5%）。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221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圆形嵌板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222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早教智慧套柱</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223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造型配对游戏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2、产品尺寸：25*13.5*7.5cm（±5%）。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224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长颈鹿彩光片</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2、产品尺寸：22*33cm（±5%）。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225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找错游戏盒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2、产品尺寸：18*26cm（±5%）。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226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植物成长 观察盒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2、产品尺寸：25*23*6cm（±5%）。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227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纸杯 牛皮色</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2、产品尺寸：9安（±5%）。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3、产品配置：50个/条。</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228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纸砖加厚 灰色</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2、产品尺寸：25*12*7cm（±5%）。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229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指偶 动物</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2、产品尺寸：6*7.5cm（±5%）。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3、产品配置：10个。</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230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指偶 海洋动物</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2、产品尺寸：6*7.5cm（±5%）。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3、产品配置：10个。</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231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指偶 三只小猪故事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2、产品尺寸：6*7.5cm（±5%）。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3、产品配置：3个。</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232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指偶 十二生肖</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2、产品尺寸：6*7.5cm（±5%）。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3、产品配置：12个。</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233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指偶 小红帽</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2、产品尺寸：6*7.5cm。</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3、产品配置：4个。</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234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指偶 一家6口</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2、产品尺寸：6*7.5cm（±5%）。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3、产品配置：6个。</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235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智力几何拼装积木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2、产品尺寸：15*19cm（±5%）。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236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智能气象仪</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2、产品尺寸：43*26*13cm（±5%）。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237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自然感知和配对积木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2、产品尺寸：39.5*31*9.5cm（±5%）。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238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字母学开锁</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2、产品尺寸：31*21*10cm（±5%）。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3、产品配置：16个。</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239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综合磁性套装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2、产品尺寸：21*38cm（±5%）。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240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组合教具 八合一</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2、产品尺寸：38.5*15.5cm（±5%）。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241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组合游戏-找关系 新</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2、产品尺寸：25*13.5*7.5cm（±5%）。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242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组装式万花筒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243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蓝牙耳机 天真蓝</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1、产品材质：不锈钢、金属。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2、产品尺寸：15.5*18cm（±5%）。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244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蓝牙音箱Q糖系列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1、产品材质：不锈钢、金属。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2、产品尺寸：184*98*74mm（±5%）。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245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正方形故事盒子</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3、产品配置：40个/套。</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246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绘画白卡纸</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2、产品尺寸：10*10cm（±5%）。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3、产品配置：100张/包。</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247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一家6口指偶 配架子</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1、产品材质：木质、涤纶布。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2、产品尺寸：10*13*24cm（±5%）。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3、产品配置：一家6口。</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248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职业指偶 配架子</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1、产品材质：木质、涤纶布。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2、产品尺寸：10*13*20cm（±5%）。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3、产品配置：5种职业。</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249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十二生肖指偶 配架子</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1、产品材质：木质、涤纶布。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2、产品尺寸：10*13*24cm（±5%）。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3、产品配置：十二生肖。</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250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瓦楞纸板电视机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2、产品尺寸：28*33*14cm（±5%）。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251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儿童控笔练习工具套装 60页</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2、产品尺寸：21*29.7cm（±5%）。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252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听力大闯关材料包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2、产品尺寸：21*29.7cm（±5%）。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253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地垫 长方形</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1、产品材质：涤纶布。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2、产品尺寸：50*160cm（±5%）。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254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录音器材料包 5分钟</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2、产品尺寸：48*22mm（±5%）。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3、产品配置：20个装。</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255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控笔训练卡 64页</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2、产品尺寸：15*21cm（±5%）。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256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帐篷 猫头鹰</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1、产品材质：布、木质。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2、产品尺寸：115*115*140cm（±5%）。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257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兔男孩日历</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1、产品材质：树脂。</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2、产品尺寸：15*6*13cm（±5%）。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258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操作版认知日历</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2、产品尺寸：28*42cm（±5%）。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259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软皮尺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2、产品尺寸：43*43mm 长2米（±5%）。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260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交通标识牌</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2、产品尺寸：2.5*8.5cm（±5%）。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3、产品配置：33粒。</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261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磁感线实验</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262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趣味空气大炮</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2、产品尺寸：19.5*19.5cm（±5%）。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263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手摇发动机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1、产品材质：木质、塑料、铁。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2、产品尺寸：12*8.5*15cm（±5%）。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264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手动压井机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2、产品尺寸：23*14.5*15.5cm（±5%）。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265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原木 儿童倍力桥鲁班桥</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2、产品尺寸：12.5*41cm（±5%）。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266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碱性电池</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1、产品材质：碱性电池。</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2、产品尺寸：5号、7号（±5%）。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3、产品配置：5号20粒+7号20粒。</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267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编辫子材料包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1、产品材质：纸质、毛线。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2、产品尺寸：19.5*19.5（±5%）。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3、产品配置：4套组合。</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268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儿童切菜板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2、产品尺寸：20*29cm（±5%）。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269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蒙氏 捻子研磨器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1、产品材质：石头。</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270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蒙氏 捣碎器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1、产品材质：陶瓷、木质、塑料。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271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小石磨 配木架</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1、产品材质：石头、木质。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2、产品尺寸：13*20cm（±5%）。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272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花辫子材料包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1、产品材质：毛线、纸质。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2、产品尺寸：5.5*10cm（±5%）。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273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蒙氏擦玻璃套装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274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七合一棋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275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磁性飞行棋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2、产品尺寸：22*22cm（±5%）。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276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三合一跳棋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277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简约几何地垫</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1、产品材质：涤纶布。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2、产品尺寸：直径120cm（±5%）。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278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儿童卡通亚克力软镜子</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1、产品材质：亚克力。</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2、产品尺寸：23*30cm（±5%）。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279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儿童古风汉服假发包一体式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1、产品材质：常温丝。</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2、产品尺寸：长约58cm（±5%）。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280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理发套装 充电版</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2、产品尺寸：22*13.5*15cm（±5%）。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3、产品配置：19件/套。</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281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可伸缩枕头洗头躺椅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2、产品尺寸：34*110cm（±5%）。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282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理发围布</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2、产品尺寸：97*132cm（±5%）。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283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可梳头发女孩玩具假美发套装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1、产品材质：常温丝、塑料。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2、产品尺寸：包装36*18.8*26.5cm（±5%）。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284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发饰礼盒 繁花似锦款</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1、产品材质：布、塑料。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2、产品尺寸：包装26*11*21cm（±5%）。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285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儿童汉服假发包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1、产品材质：常温丝。</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2、产品尺寸：12*16cm（±5%）。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286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羊毛卷假发套 黑茶色</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1、产品材质：高温丝。</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2、产品尺寸：长约29cm（±5%）。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287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模特头套架</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2、产品尺寸：帽围45cm（±5%）、高度20cm（±5%）。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288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2025-2029台式日历材料</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2、产品尺寸：21*29.7cm（±5%）。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289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水果翻翻棋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1、产品材质：无纺布、塑料。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290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动物翻翻棋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1、产品材质：无纺布、塑料。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291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交通翻翻棋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1、产品材质：无纺布、塑料。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292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实木日历</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2、产品尺寸：16.5*5.5*6.5cm（±5%）。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293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木框日历</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2、产品尺寸：20.5*8.5*11.9cm（±5%）。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294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纸管投影</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2、产品尺寸：35*40cm（±5%）。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3、产品配置：18个含手电筒。</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295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龙猫日历</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2、产品尺寸：105*97mm（±5%）。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296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沙水裤 中长款</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1、产品材质：PVC。</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297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星星抱枕 配枕芯</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2、产品尺寸：50*50cm（±5%）。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298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蓝色狗狗方枕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299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蓝色长形方枕 配枕芯</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2、产品尺寸：30*50cm（±5%）。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300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彩虹方枕 配枕芯</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301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点点方枕 配枕芯</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302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长形彩虹枕 配枕芯</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2、产品尺寸：30*50cm（±5%）。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303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方形点滴枕 配枕芯</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304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长形点滴枕 配枕芯</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305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靠枕 奶白色</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2、产品尺寸：42*25*62cm（±5%）。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306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南瓜花枕头</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2、产品尺寸：38*38cm（±5%）。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307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花边抱枕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308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彩虹腰枕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2、产品尺寸：30*50cm（±5%）。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309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蝴蝶结抱枕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2、产品尺寸：35*38cm（±5%）。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310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粉粉兔靠枕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2、产品尺寸：82*45cm（±5%）。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311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大旺狮靠枕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2、产品尺寸：90*42cm（±5%）。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312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小方兔耳枕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313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贴心方枕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314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帐篷 咖啡色</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2、产品尺寸：100*100cm（±5%）。</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315</w:t>
            </w:r>
          </w:p>
        </w:tc>
        <w:tc>
          <w:tcPr>
            <w:tcW w:w="19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涂鸦小怪兽</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Style w:val="font31"/>
                <w:rFonts w:ascii="宋体" w:eastAsia="宋体" w:hAnsi="宋体" w:cs="宋体" w:hint="eastAsia"/>
                <w:sz w:val="21"/>
                <w:szCs w:val="21"/>
                <w:lang w:val="en-US" w:eastAsia="zh-CN" w:bidi="ar"/>
              </w:rPr>
              <w:t>1、材质：荷木、纸卡；</w:t>
            </w:r>
            <w:r>
              <w:rPr>
                <w:rStyle w:val="font31"/>
                <w:rFonts w:ascii="宋体" w:eastAsia="宋体" w:hAnsi="宋体" w:cs="宋体" w:hint="eastAsia"/>
                <w:sz w:val="21"/>
                <w:szCs w:val="21"/>
                <w:lang w:val="en-US" w:eastAsia="zh-CN" w:bidi="ar"/>
              </w:rPr>
              <w:br/>
            </w:r>
            <w:r>
              <w:rPr>
                <w:rStyle w:val="font31"/>
                <w:rFonts w:ascii="宋体" w:eastAsia="宋体" w:hAnsi="宋体" w:cs="宋体" w:hint="eastAsia"/>
                <w:sz w:val="21"/>
                <w:szCs w:val="21"/>
                <w:lang w:val="en-US" w:eastAsia="zh-CN" w:bidi="ar"/>
              </w:rPr>
              <w:t>2、包装尺寸：31.5*23.5*5CM（±5%）</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1980"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font31"/>
                <w:rFonts w:ascii="宋体" w:eastAsia="宋体" w:hAnsi="宋体" w:cs="宋体" w:hint="eastAsia"/>
                <w:sz w:val="21"/>
                <w:szCs w:val="21"/>
                <w:lang w:val="en-US" w:eastAsia="zh-CN" w:bidi="ar"/>
              </w:rPr>
            </w:pPr>
            <w:r>
              <w:rPr>
                <w:rStyle w:val="font121"/>
                <w:rFonts w:ascii="宋体" w:eastAsia="宋体" w:hAnsi="宋体" w:cs="宋体" w:hint="eastAsia"/>
                <w:color w:val="FF0000"/>
                <w:sz w:val="21"/>
                <w:szCs w:val="21"/>
                <w:lang w:val="en-US" w:eastAsia="zh-CN" w:bidi="ar"/>
              </w:rPr>
              <w:t>▲</w:t>
            </w:r>
            <w:r>
              <w:rPr>
                <w:rStyle w:val="font121"/>
                <w:rFonts w:ascii="宋体" w:eastAsia="宋体" w:hAnsi="宋体" w:cs="宋体" w:hint="eastAsia"/>
                <w:sz w:val="21"/>
                <w:szCs w:val="21"/>
                <w:lang w:val="en-US" w:eastAsia="zh-CN" w:bidi="ar"/>
              </w:rPr>
              <w:t>3、“涂鸦小怪兽” 玩具检测：砷、钡、镉、铬、汞、铅、锑、硒有害元素限值指标按国标GB6675.4-2014-特定元素的迁移检测合格；邻苯二甲酸盐有害物质限值指标按国标GB/T 22048-2022检测合格；机械和物理性能按国标GB6675.2-2014检测合格；易燃性能按国标GB6675.3-2014检测合格。</w:t>
            </w:r>
            <w:r>
              <w:rPr>
                <w:rStyle w:val="font121"/>
                <w:rFonts w:ascii="宋体" w:eastAsia="宋体" w:hAnsi="宋体" w:cs="宋体" w:hint="eastAsia"/>
                <w:color w:val="FF0000"/>
                <w:sz w:val="21"/>
                <w:szCs w:val="21"/>
                <w:lang w:val="en-US" w:eastAsia="zh-CN" w:bidi="ar"/>
              </w:rPr>
              <w:t>（</w:t>
            </w:r>
            <w:r>
              <w:rPr>
                <w:rFonts w:ascii="宋体" w:eastAsia="宋体" w:hAnsi="宋体" w:cs="宋体" w:hint="eastAsia"/>
                <w:color w:val="FF0000"/>
                <w:sz w:val="21"/>
                <w:szCs w:val="21"/>
              </w:rPr>
              <w:t>需同时提供标注CMA或CNAS标识的检测报告及检测报告在全国认证认可信息公共服务平台网站（http://cx.cnca.cn/CertECloud/qts/qts/qtsPage）查询截图扫描件作为得分依据，否则不得分。</w:t>
            </w:r>
            <w:r>
              <w:rPr>
                <w:rStyle w:val="font121"/>
                <w:rFonts w:ascii="宋体" w:eastAsia="宋体" w:hAnsi="宋体" w:cs="宋体" w:hint="eastAsia"/>
                <w:color w:val="FF0000"/>
                <w:sz w:val="21"/>
                <w:szCs w:val="21"/>
                <w:lang w:val="en-US" w:eastAsia="zh-CN" w:bidi="ar"/>
              </w:rPr>
              <w:t>）</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316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排序-由满到无 精华版</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1、产品材质：椴木胶合板。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2、产品尺寸：包装盒210*120*60H 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3、产品配置：25张木制游戏卡、1本指导手册、1个含有磁吸的收纳盒。</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317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测量与比较 精华版</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1、产品材质：MDF、实木。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2、产品尺寸：包装盒210*120*60H 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3、产品配置：2块带凹槽木制游戏底板、36根6种颜色6中长度木条、1个颜色骰子、1个含有磁吸的收纳盒、1本指导手册。</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318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矩阵配对游戏 精华版</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1、产品材质：椴木胶合板。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2、产品尺寸：包装盒230*210*60H 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3、产品配置：4组两两对应任务条、64块木制图像卡片、1个含有磁吸的收纳盒、1本指导手册。</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319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小熊排队游戏 精华版</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1、产品材质：椴木胶合板、ABS。</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2、产品尺寸：包装盒310*230*60H 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3、产品配置：5张双面任务卡、32只塑料小熊、1个木夹子、1本指导手册、1个含有磁吸的收纳盒。</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320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全景组图游戏 精华版</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1、产品材质：椴木胶合板。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2、产品尺寸：包装盒230*210*60H 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3、产品配置：9张任务卡、8个木制造型、1个木槽、1本指导手册、1个含有磁吸的收纳盒。</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321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兔鹿寻踪</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1、产品材质：胶合板、纸张、榉木、聚酯纤维+珍珠棉+硅胶。</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2、产品尺寸：370*120*120h 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3、产品配置：1套房子；1个游戏垫；1个骰子；1个卡座；24张游戏卡；1只兔子；1只鹿；1个灌木丛；13个木片。</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322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怪兽格鲁特家族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1、产品材质：棉花；纸；山毛榉木；毡布。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2、产品尺寸：包装盒465*240*60H 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3、产品配置：1个棉袋、1个骰子、10个拥有不同数字口袋的怪兽、60片毛毡树叶。</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323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趣味配对-计数怪兽</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1、产品材质：胶合板。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2、产品尺寸：木盒180*180*60H 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3、产品配置：10组拼图，每组4片；1个木盒，1本说明书。</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324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艺术磁贴魔盒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1、产品材质：胶合板、纸。</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2、产品尺寸：包装盒300*230*60H 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3、产品配置：1个收纳盒、1块磁性板、12张任务卡、91块磁片。</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325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计数图解游戏11-20</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1、产品材质：榉木、PP。</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2、产品尺寸：拼图框架340*340mm（±5%）。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3、产品配置：1块11-15的数字与数量匹配拼图组，1块16-20的数字与数量匹配拼图组。</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326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逻辑游戏-计数</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1、产品材质：胶合板、实木、纸卡、毛毡、棉布。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2、产品尺寸：包装盒395*295*92H mm（±5%），游戏板375*285*14H 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3、产品配置：1块游戏底板；1个棉布袋；1个大毛毡篮子；4个小毛毡篮子；21张任务卡；10张双面印刷的数字点数拼块；66个同尺寸木制小球；1个骰子。</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327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找一找，数一数 精华版</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1、产品材质：椴木胶合板、ABS、PP。</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2、产品尺寸：包装盒310*230*60H 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3、产品配置：3张木制双面印刷计数主题板、6张木制任务卡、40个红色塑料串珠、6根塑料可拔插软棒、1个木制底座、1本指导手册、1个含有磁吸的收纳盒。</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328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数图接龙游戏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1、产品材质：胶合板。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2、产品尺寸：木盒250*195*60mm（±5%）。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3、产品配置：1个木制收纳盒、32块印有数字和隐藏数量的多米诺游戏卡。</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329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形状块组图游戏 精华版</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1、产品材质：椴木胶合板。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2、产品尺寸：包装盒310*230*60H 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3、产品配置：48片木制形状卡、6张木制双面印刷任务卡、1个可开合90°塑料安全镜、1本指导手册、1个含有磁吸的收纳盒。</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330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棒环创意拼图 精华版</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1、产品材质：椴木胶合板、塑料。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2、产品尺寸：包装盒310*230*60H 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3、产品配置：6张双面木制卡片100个塑料片1本指导手册、1个含有磁吸的收纳盒。</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331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形状叠加 精华版</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1、产品材质：椴木胶合板。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2、产品尺寸：包装盒310*230*60H 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3、产品配置：8张木制任务卡、1个木制游戏底座、3个可拔插木钉、14片木制形状、1本指导手册、1个含有磁吸的收纳盒。</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332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形状配对游戏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1、产品材质：桦木胶合板、PS。</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2、产品尺寸：木盒240*125*68H mm （±5%）。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3、产品配置：1个木盒、8张双面印刷主题板、32张双面印刷游戏卡、1本说明书。</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333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组合搭配拼图-交通工具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1、产品材质：桦木胶合板。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2、产品尺寸：336*289*9H 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3、产品配置：1个框架、30个木片组成15种交通工具。</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334</w:t>
            </w:r>
          </w:p>
        </w:tc>
        <w:tc>
          <w:tcPr>
            <w:tcW w:w="19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绘画拼图</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Style w:val="font31"/>
                <w:rFonts w:ascii="宋体" w:eastAsia="宋体" w:hAnsi="宋体" w:cs="宋体" w:hint="eastAsia"/>
                <w:sz w:val="21"/>
                <w:szCs w:val="21"/>
                <w:lang w:val="en-US" w:eastAsia="zh-CN" w:bidi="ar"/>
              </w:rPr>
              <w:t>1、材质：木制、水性颜料；</w:t>
            </w:r>
            <w:r>
              <w:rPr>
                <w:rStyle w:val="font31"/>
                <w:rFonts w:ascii="宋体" w:eastAsia="宋体" w:hAnsi="宋体" w:cs="宋体" w:hint="eastAsia"/>
                <w:sz w:val="21"/>
                <w:szCs w:val="21"/>
                <w:lang w:val="en-US" w:eastAsia="zh-CN" w:bidi="ar"/>
              </w:rPr>
              <w:br/>
            </w:r>
            <w:r>
              <w:rPr>
                <w:rStyle w:val="font31"/>
                <w:rFonts w:ascii="宋体" w:eastAsia="宋体" w:hAnsi="宋体" w:cs="宋体" w:hint="eastAsia"/>
                <w:sz w:val="21"/>
                <w:szCs w:val="21"/>
                <w:lang w:val="en-US" w:eastAsia="zh-CN" w:bidi="ar"/>
              </w:rPr>
              <w:t>2、产品尺寸：22.5*22.5*6CM（±5%）</w:t>
            </w:r>
            <w:r>
              <w:rPr>
                <w:rStyle w:val="font31"/>
                <w:rFonts w:ascii="宋体" w:eastAsia="宋体" w:hAnsi="宋体" w:cs="宋体" w:hint="eastAsia"/>
                <w:sz w:val="21"/>
                <w:szCs w:val="21"/>
                <w:lang w:val="en-US" w:eastAsia="zh-CN" w:bidi="ar"/>
              </w:rPr>
              <w:br/>
            </w:r>
            <w:r>
              <w:rPr>
                <w:rStyle w:val="font31"/>
                <w:rFonts w:ascii="宋体" w:eastAsia="宋体" w:hAnsi="宋体" w:cs="宋体" w:hint="eastAsia"/>
                <w:sz w:val="21"/>
                <w:szCs w:val="21"/>
                <w:lang w:val="en-US" w:eastAsia="zh-CN" w:bidi="ar"/>
              </w:rPr>
              <w:t>3、配置：红色、黄色、绿色、浅蓝、深蓝、白色颜料各1盒，毛笔一支，木制底板1块，木制拼图9个。</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1980"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font31"/>
                <w:rFonts w:ascii="宋体" w:eastAsia="宋体" w:hAnsi="宋体" w:cs="宋体" w:hint="eastAsia"/>
                <w:sz w:val="21"/>
                <w:szCs w:val="21"/>
                <w:lang w:val="en-US" w:eastAsia="zh-CN" w:bidi="ar"/>
              </w:rPr>
            </w:pPr>
            <w:r>
              <w:rPr>
                <w:rStyle w:val="font121"/>
                <w:rFonts w:ascii="宋体" w:eastAsia="宋体" w:hAnsi="宋体" w:cs="宋体" w:hint="eastAsia"/>
                <w:color w:val="FF0000"/>
                <w:sz w:val="21"/>
                <w:szCs w:val="21"/>
                <w:lang w:val="en-US" w:eastAsia="zh-CN" w:bidi="ar"/>
              </w:rPr>
              <w:t>▲</w:t>
            </w:r>
            <w:r>
              <w:rPr>
                <w:rStyle w:val="font121"/>
                <w:rFonts w:ascii="宋体" w:eastAsia="宋体" w:hAnsi="宋体" w:cs="宋体" w:hint="eastAsia"/>
                <w:sz w:val="21"/>
                <w:szCs w:val="21"/>
                <w:lang w:val="en-US" w:eastAsia="zh-CN" w:bidi="ar"/>
              </w:rPr>
              <w:t>4、“绘画拼图” 玩具检测：依据国标GB6675.2-2014检测合格。</w:t>
            </w:r>
            <w:r>
              <w:rPr>
                <w:rStyle w:val="font121"/>
                <w:rFonts w:ascii="宋体" w:eastAsia="宋体" w:hAnsi="宋体" w:cs="宋体" w:hint="eastAsia"/>
                <w:color w:val="FF0000"/>
                <w:sz w:val="21"/>
                <w:szCs w:val="21"/>
                <w:lang w:val="en-US" w:eastAsia="zh-CN" w:bidi="ar"/>
              </w:rPr>
              <w:t>（</w:t>
            </w:r>
            <w:r>
              <w:rPr>
                <w:rFonts w:ascii="宋体" w:eastAsia="宋体" w:hAnsi="宋体" w:cs="宋体" w:hint="eastAsia"/>
                <w:color w:val="FF0000"/>
                <w:sz w:val="21"/>
                <w:szCs w:val="21"/>
              </w:rPr>
              <w:t>需同时提供标注CMA或CNAS标识的检测报告及检测报告在全国认证认可信息公共服务平台网站（http://cx.cnca.cn/CertECloud/qts/qts/qtsPage）查询截图扫描件作为得分依据，否则不得分。</w:t>
            </w:r>
            <w:r>
              <w:rPr>
                <w:rStyle w:val="font121"/>
                <w:rFonts w:ascii="宋体" w:eastAsia="宋体" w:hAnsi="宋体" w:cs="宋体" w:hint="eastAsia"/>
                <w:color w:val="FF0000"/>
                <w:sz w:val="21"/>
                <w:szCs w:val="21"/>
                <w:lang w:val="en-US" w:eastAsia="zh-CN" w:bidi="ar"/>
              </w:rPr>
              <w:t>）</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335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匹配拼图-孩子们</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1、产品材质：桦木胶合板、MDF板。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2、产品尺寸：289*336*9H 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3、产品配置：30个拼块、1个拼图底板。</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336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匹配拼图-奇幻角色</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1、产品材质：桦木胶合板、MDF板。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2、产品尺寸：289*336*9H 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3、产品配置：30个拼块、1个拼图底板。</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337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匹配拼图-动物王国</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1、产品材质：桦木胶合板、MDF板。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2、产品尺寸：289*336*9H 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3、产品配置：24个拼块、1个拼图底板。</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338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匹配拼图-怪物精灵</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1、产品材质：榉木，密度板，胶合板。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2、产品尺寸：每块拼图框架240*240*11H 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3、产品配置：4组框架拼图，1块宝宝洗衣房、1块宝宝厨房，12块宝宝宠物，1块宝宝杂货铺。</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339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水果蔬菜玩具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1、产品材质：椴木夹板、荷木。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2、产品尺寸：包装29*20*28cm（±5%）。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3、产品配置：弥猴桃、苹果、橙、梨、香蕉、柠檬、大蒜、茄子、胡萝卜、香菇各7个。</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340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饮料饼干套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1、产品材质：新西兰松、荷木。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2、产品尺寸：包装35*23*6.5cm（±5%）。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3、产品配置：矿泉水/橙汁/可乐荷木，其他新西兰松，可乐瓶46*46*160mm（±5%），矿泉水/橙汁50*50*140mm（±5%），牛奶50*50*69mm（±5%），果酱1号61*30*158mm（±5%），果酱2号74*30*158mm（±5%），饼干91*30*116mm（±5%）。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341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白色幼童收银机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1、产品材质：椴木夹板、密度板。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2、产品尺寸：包装23.5*21*14.5cm（±5%）。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342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白色幼童秤子</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1、产品材质：橡胶木、椴木、荷木，密度板。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2、产品尺寸：包装22*20*9cm（±5%）。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343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冷藏食品套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1、产品材质：椴木、荷木，密度板。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2、产品尺寸：包装31.5*21.5*7cm（±5%）。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3、产品配置：盒子桦木边框+3mm厚椴木夹板底，配件荷木、MDF，单盒规格200*140*55mm（±5%），共2盒。</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344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棒冰组合</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1、产品材质：新西兰松、密度板。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2、产品尺寸：包装16*12.5*14cm（±5%）。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3、产品配置：1个托盘，6根棒冰，棒冰7*3.5*1.2cm（±5%）、冰棍把手3.4*1.2*0.5cm（±5%），4色圆形棒冰φ2.6*7cm（±5%）、冰棍把手3.4*1.2*0.5cm（±5%）。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345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棒棒糖组合</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1、产品材质：新西兰松、密度板。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2、产品尺寸：包装16*12.5*14cm（±5%）。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3、产品配置：1个托盘，6根棒棒糖，棒棒糖圆形糖φ4.5*1.2cm（±5%），棒子φ0.6*6.5cm（±5%）。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346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仿真警服套装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1、产品材质：涤纶、塑料。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2、产品尺寸：包装63*46*4cm（±5%）。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3、产品配置：内含一件上衣，衣服长约53cm（±5%），配有警帽。仿真手铐、手枪、口哨、警徽等配件，仿真的造型增加孩子们游戏的代入感。</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347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仿真建筑夹克套装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1、产品材质：涤纶、塑料。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2、产品尺寸：包装63*46*4cm（±5%）。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3、产品配置：内含一件上衣，衣服长约45cm（±5%），并配有安全帽、护目镜、防噪音耳包和工作手套；仿真的造型设计增加孩子们角色扮演时的游戏体验，满足孩子的好奇心。</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348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仿真消防服套装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1、产品材质：涤纶、塑料。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2、产品尺寸：包装63*46*4cm（±5%）。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3、产品配置：内含一件上衣，衣服长约45cm（±5%），并配有安全帽、护目镜、防噪音耳包和工作手套；仿真的造型设计增加孩子们角色扮演时 的游戏体验，满足孩子的好奇心。</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349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沙模水桶五件套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1、产品材质：涤纶、塑料。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2、产品尺寸：包装63*46*4cm（±5%）。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3、产品配置：内含一件上衣，衣服长约53cm（±5%），并配有消防头盔、可喷水的灭火器、喇叭和撬棍等配件；仿真的造型设计增加孩子们角色扮演时的游戏体验。</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350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沙滩冒险小套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1、产品材质：ABS塑料。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2、产品尺寸：包装20*13*13cm（±5%）。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3、产品配置：一个小桶、一把铲子，一把耙子和一个筛盘，是小朋友们在沙滩玩耍的必备工具。</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351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海滨动物</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1、产品材质：ABS塑料。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2、产品尺寸：包装17*14cm（±5%）。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352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冰淇淋套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1、产品材质：ABS塑料。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2、产品尺寸：包装18*14*6cm（±5%）。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353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多用靶子</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1、产品材质：ABS塑料。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2、产品尺寸：长约61cm（±5%）。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354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强力大铲</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1、产品材质：ABS塑料。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2、产品尺寸：包装55*12.5*4cm（±5%）。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355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便携沙滩工程车套装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1、产品材质：PP、PE、铁。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2、产品尺寸：包装49*35*23cm（±5%）。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3、产品配置：推沙铲*1、挖沙桶*1、安全锥*1、指示牌*1、推车*1。</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356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双轮沙漏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1、产品材质：ABS塑料。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2、产品尺寸：包装20.5*28.5*20.5cm（±5%）。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357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花洒水壶</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1、产品材质：ABS塑料。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2、产品尺寸：包装15*12*23.5cm（±5%）。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358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大桶组合</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1、产品材质：ABS塑料。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2、产品尺寸：包装21*16.5*16.5cm（±5%）。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359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灵巧抓沙斗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1、产品材质：ABS塑料。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2、产品尺寸：包装38*12*8.5cm（±5%）。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360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怪力挖沙机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1、产品材质：ABS塑料。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2、产品尺寸：23*13*13cm（±5%）。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361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园艺工具套装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1、产品材质：竹子、金属。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2、产品尺寸：包装39*24*18cm（±5%）。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3、产品配置：浇水壶*1、铲子*1、耙*1、圆柱形铲子*1、竹制立牌*2。</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362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观察显微镜</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1、产品材质：竹子、环保PE、PmmA。</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2、产品尺寸：包装18*15*5cm（±5%）。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3、产品配置：显微镜*1、底座*1、观察片*4。</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363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防护手套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2、产品尺寸：包装19*9.5*0.5cm（±5%）。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364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本色餐具套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1、产品材质：橡胶木。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2、产品尺寸：包装23*19*7.5cm（±5%）。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3、产品配置：2个盘子、2个碗、2把刀、2个勺子、2个叉子。</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365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锅具套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1、产品材质：榉木。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2、产品尺寸：包装19.5*14*7cm（±5%）。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3、产品配置：双柄锅12.5*9.3*8.2cm（±5%），单柄锅16.3*9.3*3cm（±5%），手套：18.5*13.5cm（±5%）。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366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小卖部收银台</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1、产品材质：夹板、荷木、FASAL、铁、纸、细绳。</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2、产品尺寸：包装26*23*15cm（±5%）。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3、产品配置：1个收银台、5张记账纸、15张钱、1张银行卡、15个硬币。</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367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墨西哥卷饼套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1、产品材质：榉木、密度板、实木。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2、产品尺寸：包装42.5*24.5*6.5cm（±5%）。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辣椒酱φ40*95mm（±5%），调味罐φ50*35mm（±5%），勺子84*20*8mm（±5%），米白色无纺布φ200mm（±5%），深色无纺布展开φ150mm缝合后150*75mm（±5%）；西红柿片φ60*5mm（±5%），辣椒圈70*70*5mm（±5%），工艺油漆+丝印。</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368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仿真蔬菜模型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1、产品材质：过胶泡沫加重。</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2、产品尺寸：约5*28cm（±5%）。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3、产品配置：包含胡萝卜、生菜、白花菜、大白菜、奶油黄菜、奶油青菜、青花菜、长条黄菜、中包菜、黄南瓜、青南瓜、紫包菜、红椒、青椒、豆角、黄瓜各1个，土豆、茄子各2个。及绿色镂空收纳袋。</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369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仿真水果套模型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1、产品材质：过胶泡沫加重。</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2、产品尺寸：约5*20cm（±5%）。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包含8cm（±5%）红苹果、8cm（±5%）青苹果、8cm（±5%）蛇果、13cm（±5%）黄色芒果、13cm（±5%）双色芒果、7cm（±5%）石榴、8cm（±5%）橙子、8cm（±5%）黄橘、8cm（±5%）青桔、20cm（±5%）香蕉、8cm（±5%）桃子、8cm（±5%）柿子、9cm（±5%）梨子、10cm（±5%）杨桃、25cm（±5%）青葡萄、25cm（±5%）紫葡萄、18cm（±5%）菠萝、20cm（±5%）火龙果、草莓、柠檬各1个及绿色镂空收纳袋。</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370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仿真海鲜套模型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1、产品材质：过胶泡沫加重、塑料。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2、产品尺寸：约5*30cm（±5%）。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包含28cm（±5%）小金枪鱼、26cm（±5%）红鲤鱼、30cm（±5%）金仓鱼、30cm（±5%）鳊鱼、21cm（±5%）鲳鱼、30cm（±5%）多宝鱼、28cm（±5%）鲑鱼、26cm（±5%）青鲤鱼、27cm（±5%）小黄鱼、30cm（±5%）大龙虾、13cm（±5%）大螃蟹各1个及绿色镂空收纳袋。</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371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六块小蛋糕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1、产品材质：荷木。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2、产品尺寸：包装21.5*4.5*17.5cm（±5%）。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372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鸡蛋套装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1、产品材质：实木。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2、产品尺寸：包装16*11*7cm（±5%）。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3、产品配置：每个鸡蛋尺寸4*4*5.3cm（±5%），白色鸡蛋3个，棕色鸡蛋3个，鸡蛋盒1个。</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373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布艺面粉</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1、产品材质：布、棉絮。</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2、产品尺寸：42*25cm（±5%）。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374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布艺大米</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1、产品材质：布、棉絮。</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2、产品尺寸：42*25cm（±5%）。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375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美食家厨师服</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1、产品材质：100%涤纶、PP。</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2、产品尺寸：包装20*24*5cm（±5%）。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3、产品配置：1围裙、1手套、1抹布、1量勺、1帽子。</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376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厨师围裙帽子红色</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1、产品材质：布制。</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2、产品尺寸：包装30*23*4cm（±5%）。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377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沙龙美发师套装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1、产品材质：中密度纤维板，山毛榉木，聚丙烯，ABS。</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2、产品尺寸：30*6*24cm（±5%）。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3、产品配置：1个理发师围裙，1个理发围脖，1把吹风机，1个喷雾壶，1个直发烫板，1把剪刀，1把木梳，1镜子，1把毛刷，2个卷发器，2个理发夹。</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378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剪发套装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1、产品材质：荷木 、MDF、实木。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2、产品尺寸：包装27*21*5cm（±5%）。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3、产品配置：工具腰带230*110mm（±5%），电动剪刀35*80*18mm（±5%），电夹板120*25*24mm（±5%），电吹风122.8*77*31mm（±5%），梳子130*30*9mm（±5%），剪刀117*79*14mm（±5%），工艺油漆+丝印，清水部件有上清漆。</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379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化妆套装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1、产品材质：椴木夹板 、荷木 、MDF、实木。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2、产品尺寸：包装22*8.5*16cm（±5%）。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380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数字分组卡片11-20</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1、产品材质：桦木夹板/PS板。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2、产品尺寸：单款34*34*1cm（±5%），2款一套。</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3、产品配置：50张塑料卡片，2个木框架。</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381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双层动物系列拼图</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1、产品材质：桦木夹板/PS板。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2、产品尺寸：34*34*1cm（±5%），4款一套。</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3、产品配置：4个木制框架，上下两层共72片塑料卡片。</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382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动物与之食物</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1、产品材质：桦木夹板/PS板。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2、产品尺寸：34*34*1cm（±5%）。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3、产品配置：1个木制框架，上下两层共18片塑料卡片。</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383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动物与之住所</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1、产品材质：桦木夹板/PS板。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2、产品尺寸：34*34*1cm（±5%）。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3、产品配置：1个木制框架，上下两层共18片塑料卡片。</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384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串珠对应盒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1、产品材质：椴木、荷木、棉线。</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2、产品尺寸：包装33*33*4cm（±5%）。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3、产品配置：整套游戏包括72个柱子、10个图案板、10个圆棒、2条线。</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385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红色天平</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1、产品材质：桦木夹板、榉木、金属。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2、产品尺寸：包装47*39.5*14cm（±5%）。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3、产品配置：天平尺寸：40*15cm（±5%），托盘直径17.5cm（±5%），一个木制支架，2个天平托盘。</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386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红色天平砝码组</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1、产品材质：榉木、塑料。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2、产品尺寸：包装18.5*10.5*9cm（±5%）。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3、产品配置：8个不同大小和轻重的砝码，底座尺寸18*5cm（±5%），砝码直径3.5cm（±5%）8个不同大小和轻重的砝码。</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387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触觉之重量筒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1、产品材质：榉木、塑料。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2、产品尺寸：包装39*14*11cm（±5%）。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3、产品配件：380*130mm（±5%）（底座）。</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388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听觉之音色筒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1、产品材质：榉木、PP。</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2、产品尺寸：包装39*14*11cm（±5%）。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3、产品配件：380*130mm（±5%）（底座）。</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389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牙医套装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1、产品材质：椴木夹板 、荷木 、MDF、实木。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2、产品尺寸：包装22*8.5*16cm（±5%）。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3、产品配置：可拆卸牙齿的假牙模型、牙镜、注射器、钳子、2张*光照片、钻头、牙膏管、牙刷、牙线和牙医包。</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390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医护用具箱</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1、产品材质：ABS塑料。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2、产品尺寸：包装27*26.5*18cm（±5%）。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391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医疗推车组合</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1、产品材质：ABS塑料。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2、产品尺寸：包装62*40*24cm（±5%）。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3、产品配置：组装推车一个、医具箱一套，内装听器、注射器、温度计、*光片、输液瓶等16件医具。</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392</w:t>
            </w:r>
          </w:p>
        </w:tc>
        <w:tc>
          <w:tcPr>
            <w:tcW w:w="19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46件木情景积木配件</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1、工艺：环保油漆、磨圆角、光滑无毛刺、彩图印刷；</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2、材质：榉木；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3、配置参数（尺寸允许偏差±5%）：人物系列：老奶奶3*7*1cm，1块；老爷爷 2.9*7*1cm，1块；爸爸 2.7*8*1cm ，1块；妈妈 2.7*8*1cm ，1块；姐姐 2.9*5*1cm ，1块；弟弟 2.7*5*1cm ，1块；</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 xml:space="preserve">森林系列：小树1：5.8*8*1cm，1块；小树2 ：5.5*8*1cm，1块；小树3：6.5*8*1cm，1块；小树4：4.8*9*1cm ，1块；小树5：5.8*8*1cm ，1块；小树6： 5.5*8*1cm ，1块；小树7：6.5*8*1cm ，1块；小树8：4.8*9*1cm，1块； </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城市系列：直升飞机 5.6*4.8*1cm，1块；公交车 7.9*4.1*1cm ，1块；轮船 7.9*3.6*1cm，1块；施工车 5.6*4.9*1cm，1块；救护车 5.6*4.8*1cm,1块；消防车 6*5.2*1cm，1块；警车 5.8*4.8*1cm ，1块；货车 6*4.7*1cm，1块；</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 xml:space="preserve">海洋系列： 乌龟 6*4.4*1cm ，1块；石斑鱼 6*2.2*1cm ，1块；螃蟹 5*3*1cm ，1块；海马 6*2.6*1cm ；1块；鲸鱼6.3*3*1cm，1块 ；蝴蝶鱼 5*3*1cm 1块；海星 5*5*1cm，1块；海豚 6*3*1cm，1块 ； </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农场系列：绵羊 6.5*5*1cm ，1块；小猪 7*4.5*1cm ，1块；奶牛 7*5*1cm ，1块；毛驴 4.8*5.5*1cm ，1块；小马 5*5.5*1cm ，1块；公鸡 4*4.5*1cm ，1块；母鸡 4.5*4.5*1cm ，1块；鸭子 4*5*1cm，1块 ；</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太空系列：宇航员 4.5*7*1cm，1块；火箭：8*3*1cm ，1块；雷达 10*6*1cm ,1块；慧星 6*3*1cm，1块；星球1 7.5*6*1cm ，1块；星球2 6.5*4*1cm，1块；宇宙飞船1：5.5*4.5*1cm ，1块；宇宙飞船2 ：6.5*4*1cm ，1块；</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1980"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i w:val="0"/>
                <w:iCs w:val="0"/>
                <w:color w:val="000000"/>
                <w:kern w:val="0"/>
                <w:sz w:val="21"/>
                <w:szCs w:val="21"/>
                <w:u w:val="none"/>
                <w:lang w:val="en-US" w:eastAsia="zh-CN" w:bidi="ar"/>
              </w:rPr>
            </w:pPr>
            <w:r>
              <w:rPr>
                <w:rStyle w:val="font121"/>
                <w:rFonts w:ascii="宋体" w:eastAsia="宋体" w:hAnsi="宋体" w:cs="宋体" w:hint="eastAsia"/>
                <w:color w:val="FF0000"/>
                <w:sz w:val="21"/>
                <w:szCs w:val="21"/>
                <w:lang w:val="en-US" w:eastAsia="zh-CN" w:bidi="ar"/>
              </w:rPr>
              <w:t>▲</w:t>
            </w:r>
            <w:r>
              <w:rPr>
                <w:rFonts w:ascii="宋体" w:eastAsia="宋体" w:hAnsi="宋体" w:cs="宋体" w:hint="eastAsia"/>
                <w:i w:val="0"/>
                <w:iCs w:val="0"/>
                <w:color w:val="FF0000"/>
                <w:kern w:val="0"/>
                <w:sz w:val="21"/>
                <w:szCs w:val="21"/>
                <w:u w:val="none"/>
                <w:lang w:val="en-US" w:eastAsia="zh-CN" w:bidi="ar"/>
              </w:rPr>
              <w:t xml:space="preserve">4、依据中华人民共和国国家玩具安全标准GB6675-2014检测（包括: </w:t>
            </w:r>
            <w:r>
              <w:rPr>
                <w:rStyle w:val="font131"/>
                <w:rFonts w:ascii="宋体" w:eastAsia="宋体" w:hAnsi="宋体" w:cs="宋体" w:hint="eastAsia"/>
                <w:sz w:val="21"/>
                <w:szCs w:val="21"/>
                <w:lang w:val="en-US" w:eastAsia="zh-CN" w:bidi="ar"/>
              </w:rPr>
              <w:t>1.GB 6675.1-2014-玩具安全第1部分：基本规范；2.GB6675.2-2014-玩具第2部分：机械与物理性能；3.GB6675.3-2014玩具安全第3部分：易燃性能；4.GB6675.1-2014-章节5.3.7-邻苯二甲酸酯增塑剂；5.GB6675.1-2014章节5.3.3&amp;GB6675.4-2014-特定元素的迁移;6.GB18581-2020-甲醛；共六个项目检测合格！）</w:t>
            </w:r>
            <w:r>
              <w:rPr>
                <w:rStyle w:val="font121"/>
                <w:rFonts w:ascii="宋体" w:eastAsia="宋体" w:hAnsi="宋体" w:cs="宋体" w:hint="eastAsia"/>
                <w:color w:val="FF0000"/>
                <w:sz w:val="21"/>
                <w:szCs w:val="21"/>
                <w:lang w:val="en-US" w:eastAsia="zh-CN" w:bidi="ar"/>
              </w:rPr>
              <w:t>（</w:t>
            </w:r>
            <w:r>
              <w:rPr>
                <w:rFonts w:ascii="宋体" w:eastAsia="宋体" w:hAnsi="宋体" w:cs="宋体" w:hint="eastAsia"/>
                <w:color w:val="FF0000"/>
                <w:sz w:val="21"/>
                <w:szCs w:val="21"/>
              </w:rPr>
              <w:t>需同时提供标注CMA或CNAS标识的检测报告及检测报告在全国认证认可信息公共服务平台网站（http://cx.cnca.cn/CertECloud/qts/qts/qtsPage）查询截图扫描件作为得分依据，否则不得分。</w:t>
            </w:r>
            <w:r>
              <w:rPr>
                <w:rStyle w:val="font121"/>
                <w:rFonts w:ascii="宋体" w:eastAsia="宋体" w:hAnsi="宋体" w:cs="宋体" w:hint="eastAsia"/>
                <w:color w:val="FF0000"/>
                <w:sz w:val="21"/>
                <w:szCs w:val="21"/>
                <w:lang w:val="en-US" w:eastAsia="zh-CN" w:bidi="ar"/>
              </w:rPr>
              <w:t>）</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393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红砖积木 红砖</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1、产品材质：新西兰松木。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2、产品尺寸：15*7.5*5cm（±5%）。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394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红砖积木 瓦片</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1、产品材质：新西兰松木。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2、产品尺寸：15*15*3.5cm（±5%）。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395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红砖积木 半瓦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1、产品材质：新西兰松木。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2、产品尺寸：15*7.5*3.5cm（±5%）。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396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红砖积木 短砖块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1、产品材质：新西兰松木。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2、产品尺寸：7.5*7.5*5cm（±5%）。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397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红砖积木 垫块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1、产品材质：新西兰松木。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2、产品尺寸：7.5*5*2.5cm（±5%）。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398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红砖积木 薄垫块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1、产品材质：新西兰松木。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2、产品尺寸：7.5*5*1.25cm（±5%）。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399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红砖积木 三角型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1、产品材质：新西兰松木。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2、产品尺寸：15*7.5*5cm（±5%）。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400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红砖积木 桥梁板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1、产品材质：新西兰松木。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2、产品尺寸：60*7.5*2.5cm（±5%）。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401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红砖积木 圆柱体</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1、产品材质：新西兰松木。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2、产品尺寸：15*8*8cm（±5%）。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402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红砖积木 短圆柱体</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1、产品材质：新西兰松木。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2、产品尺寸：7.5*8*8cm（±5%）。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403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红砖积木 碳化城堡顶</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1、产品材质：新西兰松木。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2、产品尺寸：15*10*10cm（±5%）。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404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红砖积木 红顶</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1、产品材质：新西兰松木。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2、产品尺寸：10*7.5*7.5cm（±5%）。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405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交通标志牌 大号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分道指示标志20*15*0.5cm（±5%）、人行横道20*20*0.5cm（±5%）、直行20*15*0.5cm（±5%）、机动车车道20*15*0.5cm（±5%）、非机动车行驶直径20*0.5cm（±5%）、环岛行驶直径20*0.5cm（±5%）、向左转弯直径20*0.5cm（±5%）、向右转弯直径20*0.5cm（±5%）、步行直径20*0.5cm（±5%）、红绿灯22.5*11*0.9cm（±5%）、禁止鸣笛直径20*0.5cm（±5%）、禁止左转弯直径20*0.5cm（±5%）、禁止右转弯直径20*0.5cm（±5%）、禁止掉头直径20*0.5cm（±5%）、禁止掉头直径20*0.5cm（±5%）、禁止机动车通行直径20*0.5cm（±5%）、禁止驶入直径20*0.5cm（±5%）、禁止行人通行直径20*0.5cm（±5%）、限高3.5m直径20*0.5cm（±5%）、底座直径19*1.5cm（±5%）、圆棍长度35*2cm（±5%）。</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406</w:t>
            </w:r>
          </w:p>
        </w:tc>
        <w:tc>
          <w:tcPr>
            <w:tcW w:w="19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b/>
                <w:bCs/>
                <w:i w:val="0"/>
                <w:iCs w:val="0"/>
                <w:color w:val="000000"/>
                <w:kern w:val="0"/>
                <w:sz w:val="21"/>
                <w:szCs w:val="21"/>
                <w:u w:val="none"/>
                <w:lang w:val="en-US" w:eastAsia="zh-CN" w:bidi="ar"/>
              </w:rPr>
              <w:t>轨道小镇</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1、材质：PVC软胶，夹板，榉木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2、配置参数：合计135个/套，内容如下（尺寸允许偏差±5%）：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1.公路，黑色，PVC软胶，24*12cm，16个；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2.斑马线，黑色，PVC软胶，24*12cm，8个；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3.停车位，黑色，PVC软胶，24*12cm，8个；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4.十字路口，黑色，PVC软胶，12*12cm，16个；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5.向右轨道，黑色，PVC软胶，12*16.8*8.3cm，16个；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6.向左轨道，黑色，PVC软胶，12*16.8*8.3cm，16个；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7.小屋，原木色，夹板，25*24*29cm，6个；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8.大楼，原木色，夹板，65*20*40cm，13个；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9.大桥，原木色，夹板，30*18*28.5cm，6个；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10.别墅，原木色，夹板，25*25*30cm，5个；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11.教堂，原木色，夹板，25*25*32.5cm，4个；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12.交通标志：停止标志、红绿灯标志、施工标志、安全标志、禁止掉头标志、前方有行人标志、停车场标志、前方拥堵标志、限速40标志、自行车道标志、人行横道标志、禁止鸣笛标志、直升机场标志、公交车道标志、禁停标志，高度11cm，15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13.滑动小车：私家车、出租车、消防车、救护车、小火车、警车等6辆；</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1980"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i w:val="0"/>
                <w:iCs w:val="0"/>
                <w:color w:val="000000"/>
                <w:kern w:val="0"/>
                <w:sz w:val="21"/>
                <w:szCs w:val="21"/>
                <w:u w:val="none"/>
                <w:lang w:val="en-US" w:eastAsia="zh-CN" w:bidi="ar"/>
              </w:rPr>
            </w:pPr>
            <w:r>
              <w:rPr>
                <w:rStyle w:val="font121"/>
                <w:rFonts w:ascii="宋体" w:eastAsia="宋体" w:hAnsi="宋体" w:cs="宋体" w:hint="eastAsia"/>
                <w:color w:val="FF0000"/>
                <w:sz w:val="21"/>
                <w:szCs w:val="21"/>
                <w:lang w:val="en-US" w:eastAsia="zh-CN" w:bidi="ar"/>
              </w:rPr>
              <w:t>▲3、</w:t>
            </w:r>
            <w:r>
              <w:rPr>
                <w:rFonts w:ascii="宋体" w:eastAsia="宋体" w:hAnsi="宋体" w:cs="宋体" w:hint="eastAsia"/>
                <w:i w:val="0"/>
                <w:iCs w:val="0"/>
                <w:color w:val="FF0000"/>
                <w:kern w:val="0"/>
                <w:sz w:val="21"/>
                <w:szCs w:val="21"/>
                <w:u w:val="none"/>
                <w:lang w:val="en-US" w:eastAsia="zh-CN" w:bidi="ar"/>
              </w:rPr>
              <w:t>依据中华人民共和国国家玩具安全标准GB6675-2014检测（包括:</w:t>
            </w:r>
            <w:r>
              <w:rPr>
                <w:rStyle w:val="font131"/>
                <w:rFonts w:ascii="宋体" w:eastAsia="宋体" w:hAnsi="宋体" w:cs="宋体" w:hint="eastAsia"/>
                <w:sz w:val="21"/>
                <w:szCs w:val="21"/>
                <w:lang w:val="en-US" w:eastAsia="zh-CN" w:bidi="ar"/>
              </w:rPr>
              <w:t xml:space="preserve"> 1.GB 6675.1-2014-玩具安全第1部分：基本规范；2.GB6675.2-2014-玩具第2部分：机械与物理性能；3.GB6675.3-2014玩具安全第3部分：易燃性能；4.GB6675.1-2014-章节5.3.7-邻苯二甲酸酯增塑剂；5.GB6675.1-2014章节5.3.3&amp;GB6675.4-2014-特定元素的迁移;6.GB18581-2020-甲醛；共六个项目检测合格！）</w:t>
            </w:r>
            <w:r>
              <w:rPr>
                <w:rStyle w:val="font121"/>
                <w:rFonts w:ascii="宋体" w:eastAsia="宋体" w:hAnsi="宋体" w:cs="宋体" w:hint="eastAsia"/>
                <w:color w:val="FF0000"/>
                <w:sz w:val="21"/>
                <w:szCs w:val="21"/>
                <w:lang w:val="en-US" w:eastAsia="zh-CN" w:bidi="ar"/>
              </w:rPr>
              <w:t>（</w:t>
            </w:r>
            <w:r>
              <w:rPr>
                <w:rFonts w:ascii="宋体" w:eastAsia="宋体" w:hAnsi="宋体" w:cs="宋体" w:hint="eastAsia"/>
                <w:color w:val="FF0000"/>
                <w:sz w:val="21"/>
                <w:szCs w:val="21"/>
              </w:rPr>
              <w:t>需同时提供标注CMA或CNAS标识的检测报告及检测报告在全国认证认可信息公共服务平台网站（http://cx.cnca.cn/CertECloud/qts/qts/qtsPage）查询截图扫描件作为得分依据，否则不得分。</w:t>
            </w:r>
            <w:r>
              <w:rPr>
                <w:rStyle w:val="font121"/>
                <w:rFonts w:ascii="宋体" w:eastAsia="宋体" w:hAnsi="宋体" w:cs="宋体" w:hint="eastAsia"/>
                <w:color w:val="FF0000"/>
                <w:sz w:val="21"/>
                <w:szCs w:val="21"/>
                <w:lang w:val="en-US" w:eastAsia="zh-CN" w:bidi="ar"/>
              </w:rPr>
              <w:t>）</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407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古风国潮榫卯积木 多卯柱件</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2、产品尺寸：25*5*2.5cm（±5%）。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408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古风国潮榫卯积木 一字孔件</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2、产品尺寸：25*5*2.5cm（±5%）。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409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古风国潮榫卯积木 十字孔件</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2、产品尺寸：25*7.5*2.5cm（±5%）。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410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古风国潮榫卯积木 大飞檐</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2、产品尺寸：30*7*2.5cm（±5%）（开槽2.5*1.3cm（±5%））。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411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古风国潮榫卯积木 小飞檐</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2、产品尺寸：12.5*5*2.5cm（±5%）（开槽2.5*1.3cm（±5%））。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412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古风国潮榫卯积木 方形连接件</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2、产品尺寸：10*10*2.5cm（±5%）（开槽2.5*1.3cm（±5%））。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413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古风国潮榫卯积木 单边锯齿1</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2、产品尺寸：22.9*5*2.5cm（±5%）（开槽2.6*1.3cm（±5%））。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414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古风国潮榫卯积木 单边锯齿2</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2、产品尺寸：33.1*5*2.5cm（±5%）（开槽2.6*1.3cm（±5%））。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415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古风国潮榫卯积木 单边锯齿3</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2、产品尺寸：43.3*5*2.5cm（±5%）（开槽2.6*1.3cm（±5%））。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416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古风国潮榫卯积木 单边锯齿4</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2、产品尺寸：53.5*5*2.5cm（±5%）（开槽2.6*1.3cm（±5%））。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417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古风国潮榫卯积木 锯齿形</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2、产品尺寸：25*7.5*2.5cm（开槽2.6*1.3cm）。</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418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正方块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419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双倍块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420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四倍块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421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单倍积木块（打孔）</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422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双倍块（打孔）</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423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三倍块（打孔）</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2、产品尺寸：18*6*3cm（±5%）。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424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四倍块（打孔）</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425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五倍块（打孔）</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426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六倍块（打孔）</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2、产品尺寸：36*4*3cm（±5%）。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427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直轨道1</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428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直轨道2</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429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直轨道3</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2、产品尺寸：48*6*3cm（±5%）。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430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直轨道4（打洞）</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431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直轨道5（打洞）</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2、产品尺寸：48*6*3cm（±5%）。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432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多米诺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2、产品尺寸：6*3*1.5cm（±5%）。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433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圆盘</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2、产品尺寸：21*21*3cm（±5%）。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434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底座</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2、产品尺寸：10*10*1.5cm（±5%）。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435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卡座</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2、产品尺寸：9*6*3.5cm（±5%）。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436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等边三角形</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2、产品尺寸：5*5*6*3cm（±5%）。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437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岔路</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2、产品尺寸：13.5*13.5*18*3cm（±5%）。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438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弯道轨道</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2、产品尺寸：19.5*6*3cm（±5%）。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439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弯道轨道带底座</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2、产品尺寸：26.5*6*3cm（±5%）。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440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坡道轨道</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441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转弯方体</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2、产品尺寸：6*6*6cm（±5%）。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442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四向方体</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2、产品尺寸：6*6*6cm（±5%）。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443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斜坡方体</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2、产品尺寸：6*6*6cm（±5%）。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444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风车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2、产品尺寸：8*6.7*0.9cm（±5%）。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445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铃铛方体</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2、产品尺寸：6*6*6cm（±5%）。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446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圆柱1</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2、产品尺寸：12*6*6cm（±5%）。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447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滚珠立交桥积木 圆柱2</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2、产品尺寸：6*6*6cm（±5%）。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448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超大实心构建积木 基本块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2、产品尺寸：7*7*3.5cm（±5%）。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449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超大实心构建积木 小方块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2、产品尺寸：7*14*3.5cm（±5%）。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450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超大实心构建积木 双倍方块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2、产品尺寸：7*28*3.5cm（±5%）。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451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超大实心构建积木 四倍方块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2、产品尺寸：7*56*3.5cm（±5%）。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452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超大实心构建积木 长板条1</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2、产品尺寸：7*28*1.75cm（±5%）。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453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超大实心构建积木 长板条2</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2、产品尺寸：7*56*1.75cm（±5%）。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454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超大实心构建积木 长方体</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2、产品尺寸：3.5*3.5*28cm（±5%）。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455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超大实心构建积木 等腰直角三角形</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2、产品尺寸：7*7*3.5cm（±5%）。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456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超大实心构建积木 直角三角形</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2、产品尺寸：7*14*3.5cm（±5%）。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457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超大实心构建积木 大直角三角形</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2、产品尺寸：7*28*3.5cm（±5%）。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458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超大实心构建积木 拱形桥</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2、产品尺寸：7*14*3.5cm（±5%）。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459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超大实心构建积木 小半圆</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2、产品尺寸：7*3.5*3.5cm（±5%）。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460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超大实心构建积木 半拱门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2、产品尺寸：7*14*3.5cm（±5%）。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461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超大实心构建积木 小拱壁</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2、产品尺寸：3.5*10.5*3.5cm（±5%）。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462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超大实心构建积木 半圆环</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2、产品尺寸：28*14*3.5cm（±5%）。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463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超大实心构建积木 大半圆</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2、产品尺寸：14*7*3.5cm（±5%）。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464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超大实心构建积木 1/4圆环</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2、产品尺寸：21*21*3.5cm（±5%）。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465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超大实心构建积木 圆柱体1</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2、产品尺寸：7*3.5*3.5cm（±5%）。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466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超大实心构建积木 扇形</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2、产品尺寸：10.5*10.5*3.5cm（±5%）。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467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超大实心构建积木 圆柱体2</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2、产品尺寸：14*7*7cm（±5%）。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468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超大实心构建积木 大岔路</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2、产品尺寸：21*28*3.5cm（±5%）。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469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超大实心构建积木 歌德门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2、产品尺寸：5*12*3.5cm（±5%）。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470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小方块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471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基本块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472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双倍块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473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四倍块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2、产品尺寸：48*6*3cm（±5%）。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474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小方柱</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2、产品尺寸：6*3*3cm（±5%）。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475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方柱块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2、产品尺寸：12*3*3cm（±5%）。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476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大方柱</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2、产品尺寸：24*3*3cm（±5%）。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477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薄长板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2、产品尺寸：48*6*1.5cm（±5%）。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478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大底板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2、产品尺寸：24*14*1.5cm（±5%）。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479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十字形</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2、产品尺寸：18*18*3cm（±5%）。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480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半拱门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481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转角块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482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小圆柱</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2、产品尺寸：6*3*3cm（±5%）。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483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长圆柱</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2、产品尺寸：12*3*3cm（±5%）。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484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大圆柱</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2、产品尺寸：12*6*6cm（±5%）。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485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桥形块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486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小半圆</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2、产品尺寸：6*3*3cm（±5%）。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487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大半圆1</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488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扇形</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489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大尾顶板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2、产品尺寸：60*6*1.5cm（±5%）。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490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丁形状</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2、产品尺寸：18*9*3cm（±5%）。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491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小弯曲</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2、产品尺寸：12*12*3cm（±5%）。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492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小拱壁</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2、产品尺寸：9*3*3cm（±5%）。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493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小三角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494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三角块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495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长三角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496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斜坡</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497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正方形</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2、产品尺寸：6*6*1.5cm（±5%）。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498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小底板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2、产品尺寸：12*6*1.5cm（±5%）。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499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双倍地板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2、产品尺寸：24*6*1.5cm（±5%）。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500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大半圆2</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2、产品尺寸：24*12*3cm（±5%）。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501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小叉路</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2、产品尺寸：18*18*3cm（±5%）。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502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大叉路</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2、产品尺寸：24*16*3cm（±5%）。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503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榉木积木 歌德门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2、产品尺寸：11*4*3cm（±5%）。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504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长方形1</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2、产品尺寸：60*7*2.2cm（±5%）。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505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长方形1（薄）</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2、产品尺寸：60*7*1.1cm（±5%）。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506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长方形2</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2、产品尺寸：30*7*2.2cm（±5%）。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507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长方形2（薄）</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2、产品尺寸：30*7*1.1cm（±5%）。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508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长方形3</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2、产品尺寸：15*7*2.2cm（±5%）。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509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长方形4</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2、产品尺寸：10*7*2.2cm（±5%）。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510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长方形5</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2、产品尺寸：5*7*2.2cm（±5%）。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511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长方形6</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2、产品尺寸：15*2.2*2.2cm（±5%）。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512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三角形1</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2、产品尺寸：15*7*2.2cm（±5%）。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513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三角形2</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2、产品尺寸：7*7*2.2cm（±5%）。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514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圆柱形1</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2、产品尺寸：15*6*6cm（±5%）。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515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圆柱形2</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2、产品尺寸：15*4*4cm（±5%）。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516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圆柱形3</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2、产品尺寸：10*4*4cm（±5%）。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517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圆柱形4</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2、产品尺寸：5*4*4cm（±5%）。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518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圆柱形5</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2、产品尺寸：10*2.2*2.2cm（±5%）。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519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七字形</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2、产品尺寸：15*7*2.2cm（±5%）。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520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七字形内心</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2、产品尺寸：7.5*4.5*2.2cm（±5%）。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521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半环形1</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2、产品尺寸：30*15*2.2cm（±5%）。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522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半环形2</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2、产品尺寸：15*7.5*2.2cm（±5%）。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523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半圆形1</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2、产品尺寸：15*7.5*2.2cm（±5%）。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524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半圆形2</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2、产品尺寸：10*5*2.2cm（±5%）。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525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拱形</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2、产品尺寸：20*10*2.2cm（±5%）。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526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U形</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2、产品尺寸：20*15*2.2cm（±5%）。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527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实心积木 U形内心</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2、产品尺寸：15*5*2.2cm（±5%）。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528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中空积木 半圆积木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2、产品尺寸：12*24*12cm（±5%）。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529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中空积木 凹半圆积木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2、产品尺寸：12*24*12cm（±5%）。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530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中空积木 小半圆积木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2、产品尺寸：6*12*12cm（±5%）。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531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中空积木 等腰三角形积木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2、产品尺寸：12*12*6cm（±5%）。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532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中空积木 直角三角形积木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2、产品尺寸：6*24*12cm（±5%）。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533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中空积木 小正方形积木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2、产品尺寸：6*6*12cm（±5%）。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534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中空积木 大正方形积木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2、产品尺寸：6*12*12cm（±5%）。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535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中空积木 矩形积木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2、产品尺寸：6*24*12cm（±5%）。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536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中空积木 双矩形积木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2、产品尺寸：6*48*12cm（±5%）。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537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中空积木 拱桥积木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2、产品尺寸：12*24*12cm（±5%）。</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538</w:t>
            </w:r>
          </w:p>
        </w:tc>
        <w:tc>
          <w:tcPr>
            <w:tcW w:w="19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树穿绳</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1、材质：桦木夹板、荷木、涤纶；</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2、包装尺寸：28*28*4CM（±5%）。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3、配置：1棵树、2只鸟、1只狐狸、1只松鼠、1个灌木丛、3个苹果、4只蝴蝶、1个鸟巢、20片树叶、2根带木珠绳子。</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1980"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i w:val="0"/>
                <w:iCs w:val="0"/>
                <w:color w:val="000000"/>
                <w:kern w:val="0"/>
                <w:sz w:val="21"/>
                <w:szCs w:val="21"/>
                <w:u w:val="none"/>
                <w:lang w:val="en-US" w:eastAsia="zh-CN" w:bidi="ar"/>
              </w:rPr>
            </w:pPr>
            <w:r>
              <w:rPr>
                <w:rFonts w:ascii="宋体" w:eastAsia="宋体" w:hAnsi="宋体" w:cs="宋体" w:hint="eastAsia"/>
                <w:i w:val="0"/>
                <w:iCs w:val="0"/>
                <w:color w:val="FF0000"/>
                <w:kern w:val="0"/>
                <w:sz w:val="21"/>
                <w:szCs w:val="21"/>
                <w:u w:val="none"/>
                <w:lang w:val="en-US" w:eastAsia="zh-CN" w:bidi="ar"/>
              </w:rPr>
              <w:t>▲4、“树穿绳” 玩具检测：砷、钡、镉、铬、汞、铅、锑、硒有害元素限值指标按国标GB6675.4-2014-特定元素的迁移检测合格；邻苯二甲酸盐有害物质限值指标按国标GB/T 22048-2022检测合格；机械和物理性能按国标GB6675.2-2014检测合格；易燃性能按国标GB6675.3-2014检测合格。</w:t>
            </w:r>
            <w:r>
              <w:rPr>
                <w:rStyle w:val="font121"/>
                <w:rFonts w:ascii="宋体" w:eastAsia="宋体" w:hAnsi="宋体" w:cs="宋体" w:hint="eastAsia"/>
                <w:color w:val="FF0000"/>
                <w:sz w:val="21"/>
                <w:szCs w:val="21"/>
                <w:lang w:val="en-US" w:eastAsia="zh-CN" w:bidi="ar"/>
              </w:rPr>
              <w:t>（</w:t>
            </w:r>
            <w:r>
              <w:rPr>
                <w:rFonts w:ascii="宋体" w:eastAsia="宋体" w:hAnsi="宋体" w:cs="宋体" w:hint="eastAsia"/>
                <w:color w:val="FF0000"/>
                <w:sz w:val="21"/>
                <w:szCs w:val="21"/>
              </w:rPr>
              <w:t>需同时提供标注CMA或CNAS标识的检测报告及检测报告在全国认证认可信息公共服务平台网站（http://cx.cnca.cn/CertECloud/qts/qts/qtsPage）查询截图扫描件作为得分依据，否则不得分。</w:t>
            </w:r>
            <w:r>
              <w:rPr>
                <w:rStyle w:val="font121"/>
                <w:rFonts w:ascii="宋体" w:eastAsia="宋体" w:hAnsi="宋体" w:cs="宋体" w:hint="eastAsia"/>
                <w:color w:val="FF0000"/>
                <w:sz w:val="21"/>
                <w:szCs w:val="21"/>
                <w:lang w:val="en-US" w:eastAsia="zh-CN" w:bidi="ar"/>
              </w:rPr>
              <w:t>）</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539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雪尼尔球球粉抱枕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540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丝绒南瓜花苞抱枕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541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彩虹方枕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2、产品尺寸：42*25*62cm（±5%）。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542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雨滴抱枕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543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月亮抱枕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544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太阳抱枕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2、产品尺寸：45*45cmcm（±5%）。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545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小号月亮太阳抱枕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2、产品尺寸：25*25cmcm（±5%）。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546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豆绿色星星抱枕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2、产品尺寸：50*50cm（±5%）。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547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彩虹灰色抱枕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2、产品尺寸：46*46cm（±5%）。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548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鹅黄抱枕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2、产品尺寸：50*50cm（±5%）。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549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扭扭条抱枕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2、产品尺寸：展开14*164cmcm（±5%）。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550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流苏格子抱枕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551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流苏抱枕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552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粉色小羊球抱枕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2、产品尺寸：直径30cm（±5%）。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553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白色小羊球抱枕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2、产品尺寸：直径30cm（±5%）。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554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棕色小羊球抱枕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2、产品尺寸：直径30cm（±5%）。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555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宇航员抱枕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2、产品尺寸：直径50cm（±5%）。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556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火箭抱枕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2、产品尺寸：直径60cm（±5%）。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557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火星抱枕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2、产品尺寸：直径40cm（±5%）。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558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太空飞船抱枕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2、产品尺寸：直径40cm（±5%）。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559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NOT趴趴鸭抱枕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2、产品尺寸：62*32*28cm（±5%）。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560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圆绒U型抱枕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561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圆绒线条抱枕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1、产品材质：棉花、布。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2、产品尺寸：45*45cm（±5%）。</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562</w:t>
            </w:r>
          </w:p>
        </w:tc>
        <w:tc>
          <w:tcPr>
            <w:tcW w:w="19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亚瑟皇冠</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1、材质：桦木夹板、荷木；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2、包装尺寸：34*34*6CM（±5%）。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3、配置：1块木质游戏板、5个木制角色人偶、1颗骰子。</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1980"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i w:val="0"/>
                <w:iCs w:val="0"/>
                <w:color w:val="000000"/>
                <w:kern w:val="0"/>
                <w:sz w:val="21"/>
                <w:szCs w:val="21"/>
                <w:u w:val="none"/>
                <w:lang w:val="en-US" w:eastAsia="zh-CN" w:bidi="ar"/>
              </w:rPr>
            </w:pPr>
            <w:r>
              <w:rPr>
                <w:rStyle w:val="font121"/>
                <w:rFonts w:ascii="宋体" w:eastAsia="宋体" w:hAnsi="宋体" w:cs="宋体" w:hint="eastAsia"/>
                <w:color w:val="FF0000"/>
                <w:sz w:val="21"/>
                <w:szCs w:val="21"/>
                <w:lang w:val="en-US" w:eastAsia="zh-CN" w:bidi="ar"/>
              </w:rPr>
              <w:t>▲</w:t>
            </w:r>
            <w:r>
              <w:rPr>
                <w:rFonts w:ascii="宋体" w:eastAsia="宋体" w:hAnsi="宋体" w:cs="宋体" w:hint="eastAsia"/>
                <w:i w:val="0"/>
                <w:iCs w:val="0"/>
                <w:color w:val="FF0000"/>
                <w:kern w:val="0"/>
                <w:sz w:val="21"/>
                <w:szCs w:val="21"/>
                <w:u w:val="none"/>
                <w:lang w:val="en-US" w:eastAsia="zh-CN" w:bidi="ar"/>
              </w:rPr>
              <w:t>4、“亚瑟皇冠” 玩具检测：砷、钡、镉、铬、汞、铅、锑、硒有害元素限值指标按国标GB6675.4-2014-特定元素的迁移检测合格；邻苯二甲酸盐有害物质限值指标按国标GB/T 22048-2022检测合格；机械和物理性能按国标GB6675.2-2014检测合格；易燃性能按国标GB6675.3-2014检测合格。</w:t>
            </w:r>
            <w:r>
              <w:rPr>
                <w:rStyle w:val="font121"/>
                <w:rFonts w:ascii="宋体" w:eastAsia="宋体" w:hAnsi="宋体" w:cs="宋体" w:hint="eastAsia"/>
                <w:color w:val="FF0000"/>
                <w:sz w:val="21"/>
                <w:szCs w:val="21"/>
                <w:lang w:val="en-US" w:eastAsia="zh-CN" w:bidi="ar"/>
              </w:rPr>
              <w:t>（</w:t>
            </w:r>
            <w:r>
              <w:rPr>
                <w:rFonts w:ascii="宋体" w:eastAsia="宋体" w:hAnsi="宋体" w:cs="宋体" w:hint="eastAsia"/>
                <w:color w:val="FF0000"/>
                <w:sz w:val="21"/>
                <w:szCs w:val="21"/>
              </w:rPr>
              <w:t>需同时提供标注CMA或CNAS标识的检测报告及检测报告在全国认证认可信息公共服务平台网站（http://cx.cnca.cn/CertECloud/qts/qts/qtsPage）查询截图扫描件作为得分依据，否则不得分。</w:t>
            </w:r>
            <w:r>
              <w:rPr>
                <w:rStyle w:val="font121"/>
                <w:rFonts w:ascii="宋体" w:eastAsia="宋体" w:hAnsi="宋体" w:cs="宋体" w:hint="eastAsia"/>
                <w:color w:val="FF0000"/>
                <w:sz w:val="21"/>
                <w:szCs w:val="21"/>
                <w:lang w:val="en-US" w:eastAsia="zh-CN" w:bidi="ar"/>
              </w:rPr>
              <w:t>）</w:t>
            </w:r>
          </w:p>
        </w:tc>
      </w:tr>
      <w:tr>
        <w:tblPrEx>
          <w:tblW w:w="5000" w:type="pct"/>
          <w:tblInd w:w="107" w:type="dxa"/>
          <w:tblLayout w:type="fixed"/>
          <w:tblCellMar>
            <w:top w:w="0" w:type="dxa"/>
            <w:left w:w="108" w:type="dxa"/>
            <w:bottom w:w="0" w:type="dxa"/>
            <w:right w:w="108" w:type="dxa"/>
          </w:tblCellMar>
        </w:tblPrEx>
        <w:trPr>
          <w:trHeight w:val="4600"/>
        </w:trPr>
        <w:tc>
          <w:tcPr>
            <w:tcW w:w="10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563</w:t>
            </w:r>
          </w:p>
        </w:tc>
        <w:tc>
          <w:tcPr>
            <w:tcW w:w="19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自然积木配件包1.0</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 xml:space="preserve">1、采用优质松木， 禾木，PP。  </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 xml:space="preserve">2、工艺：环保水性油漆，磨圆角、光滑无毛刺。                                                       </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3、配置参数（尺寸允许偏差±5%）：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树桩积木：8*2cm3个；8*3cm 2个； 8*4cm 2个 ；5*4cm 2个； 5*8cm 2个； 8*7cm 2个 ；8*8cm 2个；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精灵人偶清单：红，蓝，绿，紫，黄，橙各1个，（精灵带衣服，帽子，翅膀）；尺寸：高8cm（戴帽尺寸），直径2.5cm；</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货车，灰色，PP，12cm*6cm,轮胎轴直径0.2cm，1个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轿车，灰色，PP，12cm*4.3cm,轮胎轴直径0.2cm，1个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公交车，灰色，PP，10cm*5cm,轮胎轴直径0.2cm，1个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货车，灰色，PP，10cm*6cm,轮胎轴直径0.2cm，1个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苹果树，绿色，PP，8*5*1.5cm，1个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杨树，绿色，PP，9.9*6.9*1.5cm，1个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椰子树，绿色，PP，8*6.5*1.5cm，1个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杉树，绿色，PP，9.9*5.3*1.5cm，1个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共24个形状，合计29片。</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564</w:t>
            </w:r>
          </w:p>
        </w:tc>
        <w:tc>
          <w:tcPr>
            <w:tcW w:w="19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60粒蘑菇积木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1、材质：优质松木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2、工艺：静电喷两底一面环保水性漆，磨圆角、光滑无毛刺。</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3、配置参数（尺寸允许偏差±5%）：矮蘑菇1：松木原色+配色，数量6个，直径4*高度3cm，颜色：粉色*1，橙色*1，蓝色*2，绿色*2个；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矮蘑菇2：松木原色+配色，数量6个，直径6*高度3cm，颜色：粉色*1，橙色*1，蓝色*2，绿色*2个；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矮蘑菇3：松木原色+配色，数量4个，直径8*高度3cm，颜色：粉色*1，橙色*1，蓝色*1，绿色*1个；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中蘑菇1：松木原色+配色，数量6个，直径4*高度6cm，颜色：粉色*1，橙色*1，蓝色*2，绿色*2个；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中蘑菇2：松木原色+配色，数量6个，直径6*高度6cm，颜色：粉色*1，橙色*1，蓝色*2，绿色*2个；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中蘑菇3：松木原色+配色，数量4个，直径8*高度6cm，颜色：粉色*1，橙色*1，蓝色*1，绿色*1个；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高蘑菇1：松木原色+配色，数量6个，直径4*高度9cm，颜色：粉色*1，橙色*1，蓝色*2，绿色*2个；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高蘑菇2：松木原色+配色，数量6个，直径6*高度9cm，颜色：粉色*1，橙色*1，蓝色*2，绿色*2个；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高蘑菇3：松木原色+配色，数量4个，直径8*高度9cm，颜色：粉色*1，橙色*1，蓝色*1，绿色*1个；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小底板：松木原色+白色，长24，宽8cm，数量10个；</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 xml:space="preserve">木盒：松木原色，40*40cm，数量2个；共计60个。 </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1980"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i w:val="0"/>
                <w:iCs w:val="0"/>
                <w:color w:val="000000"/>
                <w:kern w:val="0"/>
                <w:sz w:val="21"/>
                <w:szCs w:val="21"/>
                <w:u w:val="none"/>
                <w:lang w:val="en-US" w:eastAsia="zh-CN" w:bidi="ar"/>
              </w:rPr>
            </w:pPr>
            <w:r>
              <w:rPr>
                <w:rStyle w:val="font121"/>
                <w:rFonts w:ascii="宋体" w:eastAsia="宋体" w:hAnsi="宋体" w:cs="宋体" w:hint="eastAsia"/>
                <w:color w:val="FF0000"/>
                <w:sz w:val="21"/>
                <w:szCs w:val="21"/>
                <w:lang w:val="en-US" w:eastAsia="zh-CN" w:bidi="ar"/>
              </w:rPr>
              <w:t>▲</w:t>
            </w:r>
            <w:r>
              <w:rPr>
                <w:rFonts w:ascii="宋体" w:eastAsia="宋体" w:hAnsi="宋体" w:cs="宋体" w:hint="eastAsia"/>
                <w:i w:val="0"/>
                <w:iCs w:val="0"/>
                <w:color w:val="FF0000"/>
                <w:kern w:val="0"/>
                <w:sz w:val="21"/>
                <w:szCs w:val="21"/>
                <w:u w:val="none"/>
                <w:lang w:val="en-US" w:eastAsia="zh-CN" w:bidi="ar"/>
              </w:rPr>
              <w:t>4、依据中华人民共和国国家玩具安全标准GB6675-2014检测（包括: 1.GB 6675.1-2014-玩具安全第1部分：基本规范；2.GB6675.2-2014-玩具第2部分：机械与物理性能；3.GB6675.3-2014玩具安全第3部分：易燃性能；4.GB6675.1-2014-章节5.3.7-邻苯二甲酸酯增塑剂；5.GB6675.1-2014章节5.3.3&amp;GB6675.4-2014-特定元素的迁移;6.GB18581-2020-甲醛；共六个项目检测合格！）</w:t>
            </w:r>
            <w:r>
              <w:rPr>
                <w:rStyle w:val="font121"/>
                <w:rFonts w:ascii="宋体" w:eastAsia="宋体" w:hAnsi="宋体" w:cs="宋体" w:hint="eastAsia"/>
                <w:color w:val="FF0000"/>
                <w:sz w:val="21"/>
                <w:szCs w:val="21"/>
                <w:lang w:val="en-US" w:eastAsia="zh-CN" w:bidi="ar"/>
              </w:rPr>
              <w:t>（</w:t>
            </w:r>
            <w:r>
              <w:rPr>
                <w:rFonts w:ascii="宋体" w:eastAsia="宋体" w:hAnsi="宋体" w:cs="宋体" w:hint="eastAsia"/>
                <w:color w:val="FF0000"/>
                <w:sz w:val="21"/>
                <w:szCs w:val="21"/>
              </w:rPr>
              <w:t>需同时提供标注CMA或CNAS标识的检测报告及检测报告在全国认证认可信息公共服务平台网站（http://cx.cnca.cn/CertECloud/qts/qts/qtsPage）查询截图扫描件作为得分依据，否则不得分。</w:t>
            </w:r>
            <w:r>
              <w:rPr>
                <w:rStyle w:val="font121"/>
                <w:rFonts w:ascii="宋体" w:eastAsia="宋体" w:hAnsi="宋体" w:cs="宋体" w:hint="eastAsia"/>
                <w:color w:val="FF0000"/>
                <w:sz w:val="21"/>
                <w:szCs w:val="21"/>
                <w:lang w:val="en-US" w:eastAsia="zh-CN" w:bidi="ar"/>
              </w:rPr>
              <w:t>）</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565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原色叠石积木 正方形1</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2、产品尺寸：4*4*4cm（±5%）。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566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原色叠石积木 正方形2</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567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原色叠石积木 正方形3</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2、产品尺寸：6*6*6cm（±5%）。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568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原色叠石积木 正方形4</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2、产品尺寸：10*10*10cm（±5%）。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569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原色叠石积木 长方形1</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2、产品尺寸：10*10*5cm（±5%）。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570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原色叠石积木 长方形2</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2、产品尺寸：20*10*5cm（±5%）。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571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原色叠石积木 长方形3</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2、产品尺寸：30*10*5cm（±5%）。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572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原色叠石积木 长方形4</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2、产品尺寸：40*10*5cm（±5%）。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573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原色叠石积木 长方形5</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574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原色叠石积木 长方形6</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1、产品材质：松木。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575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巨型穿珠套叠游戏套装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2、产品尺寸：42*20.5*10cm（±5%）。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576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动物王国探索家</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1、产品材质：纸质、塑料、PVC。</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2、产品尺寸：12*30*24cm（±5%）。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577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桌面 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2、产品尺寸：28.5*16cm（±5%）。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578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玻璃纸</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1、产品材质：PVC。</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2、产品尺寸：宽60cm（±5%）。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3、产品配置：10米/卷。</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579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水枪</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580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工程车+搅拌车+压路车+铲车套装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2、产品尺寸：32*32cm（±5%）。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581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木质玩具 秤</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2、产品尺寸：11*24*30.5cm（±5%）。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582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木质玩具 披萨拼盘</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2、产品尺寸：23*23*5cm（±5%）。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583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木质玩具 生日蛋糕拼盘</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2、产品尺寸：23*23*5cm（±5%）。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584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木质玩具 时钟学习</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2、产品尺寸：22*35*3.5cm（±5%）。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585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木质玩具 下午茶甜点套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2、产品尺寸：21.5*21.5*4cm（±5%）。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586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缤果冰棒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2、产品尺寸：15*12cm（±5%）。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587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彩盒 小乌龟成长标本</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1、产品材质：树脂。</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2、产品尺寸：23*19cm（±5%）。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588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串珠与套筒套装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2、产品尺寸：43*20*1.1cm（±5%）。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589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吹塑板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1、产品材质：泡沫。</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2、产品尺寸：厚4mm 21*29.7cm（±5%）。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3、产品配置：10张/包。</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590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磁力棒积木 表情套装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2、产品尺寸：31.7*28*11.4cm（±5%）。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591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磁力宝贝棒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2、产品尺寸：62*37*39cm（±5%）。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592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万变旋转磁力积木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2、产品尺寸：17.5*3.5*32cm（±5%）。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593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弹力线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1、产品材质：橡胶。</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2、产品尺寸：0.7cm 100米/卷（±5%）。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594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多功能智慧拼盘</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2、产品尺寸：26*39cm（±5%）。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595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吸吸乐玩具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1、产品材质：橡胶。</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596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怪力挖沙车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2、产品尺寸：9*6*13cm（±5%）。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597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轨道滚珠游戏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2、产品尺寸：43*37*8cm（±5%）。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598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绘画软PVC胶片</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1、产品材质：PVC。</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2、产品尺寸：宽40cm（±5%）。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599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活字印刷术DIY套装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2、产品尺寸：31*31*5cm（±5%）。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600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计数和旋转玩具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2、产品尺寸：38*12*8cm（±5%）。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601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科学实验投影绘画手提箱</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2、产品尺寸：30*23*7cm（±5%）。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602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美味寿司餐台</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2、产品尺寸：26*38cm（±5%）。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603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迷你六边砖积木 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2、产品尺寸：27*27*7.5cm（±5%）。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3、产品配置：60件。</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604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木活体印刷术 静夜思</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2、产品尺寸：13.5*17.5cm（±5%）。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605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木质 天平称</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2、产品尺寸：18.5*23.5*3.5cm（±5%）。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606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A5夹板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607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拧螺丝套装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2、产品尺寸：30*22*13.5cm（±5%）。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608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汽车模型 火车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2、产品尺寸：56*20cm（±5%）。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609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汽车模型 讲故事的警察消防车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2、产品尺寸：38.5*21*10.5cm（±5%）。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610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汽车模型 讲故事的双层巴士</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2、产品尺寸：38.5*21*10.5cm（±5%）。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611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汽车模型 讲故事的挖掘工程车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2、产品尺寸：38.5*21*10.5cm（±5%）。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612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趣味教学磁铁实验套装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2、产品尺寸：8*12*3cm（±5%）。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613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沙滩建筑工具套装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2、产品尺寸：15*20*20cm（±5%）。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614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沙滩冒险套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2、产品尺寸：约12*20cm（±5%）。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3、产品配置：4件套。</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615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沙滩模具水桶套装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2、产品尺寸：20*19*25cm（±5%）。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3、产品配置：5件套。</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616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沙滩玩具 大号钢杆 耙子</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2、产品尺寸：60*19cm（±5%）。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617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沙滩玩具 漏沙网筛</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2、产品尺寸：22cm（±5%）。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3、产品配置：4个/套。</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618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十字架宝石积木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2、产品尺寸：24*24*3.5cm（±5%）。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619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水果圆眼方筛</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2、产品尺寸：17.5*12*6cm（±5%）。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620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拓染锤子 胶锤</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2、产品尺寸：长25cm（±5%）。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621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小厨师蒸汽锅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2、产品尺寸：16*25.5*3.5cm（±5%）。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622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小黄鸭磁吸运笔 大号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2、产品尺寸：38*38*3cm（±5%）。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623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工程车机器人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2、产品尺寸：47*34*9cm（±5%）。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624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大号滑行起吊车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2、产品尺寸：41.5*15.5*23.5cm（±5%）。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625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沙滩惯性推土机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2、产品尺寸：90*47*56cm（±5%）。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626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炫彩磁力棒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2、产品尺寸：29*19*17cm（±5%）。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3、产品配置：54片。</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627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牙齿 模型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2、产品尺寸：13*21*9cm（±5%）。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628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艺术彩窗积木 建筑</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2、包装尺寸：35*26.5*8cm（±5%）。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3、产品配置：42PCS</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629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艺术印章/丛林系列</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2、包装尺寸：22.5*15*4cm（±5%）。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3、产品配置：8个木质印章玩具。</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630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木质面粉机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2、产品尺寸：22*19.5*13cm（±5%）。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631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早茶组积木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2、产品尺寸：21*14*9.5cm（±5%）。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632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榨汁机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2、产品尺寸：18*12*12cm（±5%）。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633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真煮 空气炸锅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2、产品尺寸：52*31*33cm（±5%）。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634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真煮 迷你电烤箱</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2、产品尺寸：43*37*24cm（±5%）。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635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真煮 棉花糖机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2、产品尺寸：51*33*15cm（±5%）。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636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吸吸乐家族 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1、产品材质：橡胶。</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2、产品尺寸：18*17.5*34cm（±5%）。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637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桌面凹口积木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2、产品尺寸：45*34*10cm（±5%）。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3、产品配置：129件。</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638</w:t>
            </w:r>
          </w:p>
        </w:tc>
        <w:tc>
          <w:tcPr>
            <w:tcW w:w="19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XO三子棋</w:t>
            </w:r>
          </w:p>
        </w:tc>
        <w:tc>
          <w:tcPr>
            <w:tcW w:w="5414" w:type="dxa"/>
            <w:noWrap w:val="0"/>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1、材质：椴木胶合板、榉木、磁铁；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包装尺寸约：30.3*34*3.5cm（±5%）；产品尺寸（±5%）：棋盘，椴木胶合板、磁铁，约29.5*29.5*1.5cm，1个；X棋子，榉木、磁铁，约7.8*7.8*1.8cm，5个；O棋子，榉木+磁铁，约7.7*7.7*1.8cm，4个；支撑架，约14.9*3*1.2cm，木制，2个。内含：棋盘*1、X棋子*5、0棋子*4、支撑架*2。</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1980"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5414" w:type="dxa"/>
            <w:noWrap w:val="0"/>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ascii="宋体" w:eastAsia="宋体" w:hAnsi="宋体" w:cs="宋体" w:hint="eastAsia"/>
                <w:i w:val="0"/>
                <w:iCs w:val="0"/>
                <w:color w:val="000000"/>
                <w:kern w:val="0"/>
                <w:sz w:val="21"/>
                <w:szCs w:val="21"/>
                <w:u w:val="none"/>
                <w:lang w:val="en-US" w:eastAsia="zh-CN" w:bidi="ar"/>
              </w:rPr>
            </w:pPr>
            <w:r>
              <w:rPr>
                <w:rStyle w:val="font121"/>
                <w:rFonts w:ascii="宋体" w:eastAsia="宋体" w:hAnsi="宋体" w:cs="宋体" w:hint="eastAsia"/>
                <w:color w:val="FF0000"/>
                <w:sz w:val="21"/>
                <w:szCs w:val="21"/>
                <w:lang w:val="en-US" w:eastAsia="zh-CN" w:bidi="ar"/>
              </w:rPr>
              <w:t>▲</w:t>
            </w:r>
            <w:r>
              <w:rPr>
                <w:rFonts w:ascii="宋体" w:eastAsia="宋体" w:hAnsi="宋体" w:cs="宋体" w:hint="eastAsia"/>
                <w:i w:val="0"/>
                <w:iCs w:val="0"/>
                <w:color w:val="FF0000"/>
                <w:kern w:val="0"/>
                <w:sz w:val="21"/>
                <w:szCs w:val="21"/>
                <w:u w:val="none"/>
                <w:lang w:val="en-US" w:eastAsia="zh-CN" w:bidi="ar"/>
              </w:rPr>
              <w:t>3、依据中华人民共和国国家玩具安全标准GB6675.2-2014-玩具安全 第2部分：机械与物理性能检测合格。</w:t>
            </w:r>
            <w:r>
              <w:rPr>
                <w:rStyle w:val="font121"/>
                <w:rFonts w:ascii="宋体" w:eastAsia="宋体" w:hAnsi="宋体" w:cs="宋体" w:hint="eastAsia"/>
                <w:color w:val="FF0000"/>
                <w:sz w:val="21"/>
                <w:szCs w:val="21"/>
                <w:lang w:val="en-US" w:eastAsia="zh-CN" w:bidi="ar"/>
              </w:rPr>
              <w:t>（</w:t>
            </w:r>
            <w:r>
              <w:rPr>
                <w:rFonts w:ascii="宋体" w:eastAsia="宋体" w:hAnsi="宋体" w:cs="宋体" w:hint="eastAsia"/>
                <w:color w:val="FF0000"/>
                <w:sz w:val="21"/>
                <w:szCs w:val="21"/>
              </w:rPr>
              <w:t>需同时提供标注CMA或CNAS标识的检测报告及检测报告在全国认证认可信息公共服务平台网站（http://cx.cnca.cn/CertECloud/qts/qts/qtsPage）查询截图扫描件作为得分依据，否则不得分。</w:t>
            </w:r>
            <w:r>
              <w:rPr>
                <w:rStyle w:val="font121"/>
                <w:rFonts w:ascii="宋体" w:eastAsia="宋体" w:hAnsi="宋体" w:cs="宋体" w:hint="eastAsia"/>
                <w:color w:val="FF0000"/>
                <w:sz w:val="21"/>
                <w:szCs w:val="21"/>
                <w:lang w:val="en-US" w:eastAsia="zh-CN" w:bidi="ar"/>
              </w:rPr>
              <w:t>）</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639</w:t>
            </w:r>
          </w:p>
        </w:tc>
        <w:tc>
          <w:tcPr>
            <w:tcW w:w="19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微笑动物手偶</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1、材质：超柔面料、聚酯纤维、填充棉；</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2、包装尺寸约：40.5*36.3*10cm（±5%）；产品尺寸约（±5%）：老虎25*24cm,长颈鹿25*24cm、大象25*24cm、兔子25*24cm、猴子25*24cm、狮子25*24cm。内含：6款一套。</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1980"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i w:val="0"/>
                <w:iCs w:val="0"/>
                <w:color w:val="000000"/>
                <w:kern w:val="0"/>
                <w:sz w:val="21"/>
                <w:szCs w:val="21"/>
                <w:u w:val="none"/>
                <w:lang w:val="en-US" w:eastAsia="zh-CN" w:bidi="ar"/>
              </w:rPr>
            </w:pPr>
            <w:r>
              <w:rPr>
                <w:rStyle w:val="font121"/>
                <w:rFonts w:ascii="宋体" w:eastAsia="宋体" w:hAnsi="宋体" w:cs="宋体" w:hint="eastAsia"/>
                <w:color w:val="FF0000"/>
                <w:sz w:val="21"/>
                <w:szCs w:val="21"/>
                <w:lang w:val="en-US" w:eastAsia="zh-CN" w:bidi="ar"/>
              </w:rPr>
              <w:t>▲</w:t>
            </w:r>
            <w:r>
              <w:rPr>
                <w:rFonts w:ascii="宋体" w:eastAsia="宋体" w:hAnsi="宋体" w:cs="宋体" w:hint="eastAsia"/>
                <w:i w:val="0"/>
                <w:iCs w:val="0"/>
                <w:color w:val="FF0000"/>
                <w:kern w:val="0"/>
                <w:sz w:val="21"/>
                <w:szCs w:val="21"/>
                <w:u w:val="none"/>
                <w:lang w:val="en-US" w:eastAsia="zh-CN" w:bidi="ar"/>
              </w:rPr>
              <w:t>3、依据GB/T22048-2022的测定，增塑剂测试结果（DBP、BBP、DEHP三种之和、DNOP、DINP、DIDP三种之和）含量应≤0.1%；砷、钡、镉、铬、汞、铅、锑、硒有害元素限值指标按国标GB6675.4-2014-特定元素的迁移检测合格。</w:t>
            </w:r>
            <w:r>
              <w:rPr>
                <w:rStyle w:val="font121"/>
                <w:rFonts w:ascii="宋体" w:eastAsia="宋体" w:hAnsi="宋体" w:cs="宋体" w:hint="eastAsia"/>
                <w:color w:val="FF0000"/>
                <w:sz w:val="21"/>
                <w:szCs w:val="21"/>
                <w:lang w:val="en-US" w:eastAsia="zh-CN" w:bidi="ar"/>
              </w:rPr>
              <w:t>（</w:t>
            </w:r>
            <w:r>
              <w:rPr>
                <w:rFonts w:ascii="宋体" w:eastAsia="宋体" w:hAnsi="宋体" w:cs="宋体" w:hint="eastAsia"/>
                <w:color w:val="FF0000"/>
                <w:sz w:val="21"/>
                <w:szCs w:val="21"/>
              </w:rPr>
              <w:t>需同时提供标注CMA或CNAS标识的检测报告及检测报告在全国认证认可信息公共服务平台网站（http://cx.cnca.cn/CertECloud/qts/qts/qtsPage）查询截图扫描件作为得分依据，否则不得分。</w:t>
            </w:r>
            <w:r>
              <w:rPr>
                <w:rStyle w:val="font121"/>
                <w:rFonts w:ascii="宋体" w:eastAsia="宋体" w:hAnsi="宋体" w:cs="宋体" w:hint="eastAsia"/>
                <w:color w:val="FF0000"/>
                <w:sz w:val="21"/>
                <w:szCs w:val="21"/>
                <w:lang w:val="en-US" w:eastAsia="zh-CN" w:bidi="ar"/>
              </w:rPr>
              <w:t>）</w:t>
            </w:r>
          </w:p>
        </w:tc>
      </w:tr>
      <w:tr>
        <w:tblPrEx>
          <w:tblW w:w="5000" w:type="pct"/>
          <w:tblInd w:w="107" w:type="dxa"/>
          <w:tblLayout w:type="fixed"/>
          <w:tblCellMar>
            <w:top w:w="0" w:type="dxa"/>
            <w:left w:w="108" w:type="dxa"/>
            <w:bottom w:w="0" w:type="dxa"/>
            <w:right w:w="108" w:type="dxa"/>
          </w:tblCellMar>
        </w:tblPrEx>
        <w:trPr>
          <w:trHeight w:val="638"/>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640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桌上型手偶架</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1、材质： 木制、布制；</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2、尺寸：桌上型手偶架：57.7×63×25cm（±5%），内含：桌上型手偶架x1</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641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万能工匠 桌面高阶</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2、包装尺寸：41*31*15cm（±5%）。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3、配置：399PCS</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642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万能工匠 桌面中阶</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2、包装尺寸：34*31*15.5cm（±5%）。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3、配置：316PCS</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643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万能工匠 桌面初阶</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2、包装尺寸：31*27.5*12.5cm（±5%）。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3、配置：196PCS</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644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电子积木 电路拼装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1、产品材质：ABS环保塑料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2、产品电池：需用5号电池</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3、产品配件：124片装</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4、产品包装：51.5*35.5*11cm（±5%）。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645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便捷式手提称</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1、产品材质：ABS工程塑料外壳+精钢挂钩+高精度传感器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 xml:space="preserve">2、产品尺寸：17.5*9.5*3cm（±5%）。 </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3、测量范围：50KG内</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646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科学教具 三球仪</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1、材质：ABS塑料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2、包装尺寸：26*22*20cm（±5%）。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647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大牙齿模型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1、产品材质：PVC。</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2、产品尺寸：16*15*12cm（±5%）。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648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高档 凹透镜</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1、产品材质：塑料、玻璃镜面。</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2、尺寸：22.5*5.5*15.5cm（±5%）。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649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高档 凸透镜</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1、产品材质：塑料、玻璃镜面。</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2、尺寸：22.5*5.5*15.5cm（±5%）。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650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高档 凸面镜</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1、产品材质：塑料、玻璃镜面。</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2、尺寸：22.5*5.5*15.5cm（±5%）。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651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高档 凹面镜</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1、产品材质：塑料、玻璃镜面。</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2、尺寸：22.5*5.5*15.5cm（±5%）。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652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彩盒 瓢虫成长记标本</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1、产品材质：树脂</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2、包装尺寸：23*19cm（±5%）。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653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彩盒 花生是怎样发芽的标本</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1、产品材质：树脂</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2、包装尺寸：23*19cm（±5%）。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654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彩盒 蝴蝶成长记标本</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1、产品材质：树脂</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2、包装尺寸：23*19cm（±5%）。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655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24种真虫标本套装 彩盒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1、产品材质：树脂。</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2、产品尺寸：35.5*27*4cm（±5%）。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656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有毒的植物标本  彩盒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1、产品材质：树脂。</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2、产品尺寸：35.5*27*4cm（±5%）。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657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多功能动物观察桶</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1、产品材质：ABS、PC。</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2、包装尺寸：22.5*22.5*15cm（±5%）。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658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抽水机模型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2、产品尺寸：12*20cm（±5%）。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659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自然探索豪华套装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1、产品材质：ABS。</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2、包装尺寸：21.7*21.2*29.6cm（±5%）。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660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多功能停车场磁力片</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1、材质：ABS塑料，钕铁硼磁铁榉木球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2、包装尺寸：46.5*30.7*23.5cm（±5%）。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3、配置：64pcs</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661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小小探索</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2、产品尺寸：490*320*95mm（±5%）。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662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科学物理实验台玩具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 xml:space="preserve">1、产品材质：夹板，山毛榉，PA，ABS，硅胶，PE    </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 xml:space="preserve">2、配件数： 58     </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3、包装尺寸：52x36x6cm（±5%）。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663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汽车维修服务工作台</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1、产品材质：夹板 ABS PA PP PE TPE PVC</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2、配件数：71</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3、产品尺寸：45x16x40cm（±5%）。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664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编程机器人 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2、尺寸：42*30*8CM（±5%）。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3、配置：396粒</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665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儿童围裙 防水连体围裙</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1、产品材质：涤纶+PU防泼面料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2、尺寸：均码</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666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长江5号火箭模型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2、产品尺寸：8*8*40cm（±5%）。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667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中国火箭 空间站星际巡航模型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1、产品材质：塑胶</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2、包装尺寸：25*19*15cm（±5%）。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668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火箭笔</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2、产品尺寸：5*5*21cm（±5%）。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669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1200倍显微镜</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1、产品材质：安全塑料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2、包装尺寸：24*19*8.5cm（±5%）。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670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天文望远镜</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1、产品材质：ABS、金属。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2、包装尺寸：62*19*34cm（±5%）。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671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编程大师积木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1、产品材质：ABS、PP。</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2、包装尺寸：35.5*29*10cm（±5%）。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672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螺丝碰对积木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2、产品尺寸：40*28*19cm（±5%）。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3、产品配置：192件。</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673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水管滑道积木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2、产品尺寸：40*28*19cm（±5%）。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3、产品配置：360件。</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674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地球仪2</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2、产品尺寸：直径32cm（±5%）。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675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双性人体半身模型 开背</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1、产品材质：PVC。</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2、产品尺寸：85*34*22cm（±5%）。</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676</w:t>
            </w:r>
          </w:p>
        </w:tc>
        <w:tc>
          <w:tcPr>
            <w:tcW w:w="19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企鹅排队</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1、包装尺寸：430*420*30mm（±5%）、216*140*108mm（±5%）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2、材质：主要采用安全环保ABS制作；</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3、产品：内含四色棋盘1个、主题插卡12张、企鹅棋子48粒、小红旗20面、沙漏1个、收纳盒1个、漫画说明书1份、游戏等级卡1份。</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1980"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i w:val="0"/>
                <w:iCs w:val="0"/>
                <w:color w:val="000000"/>
                <w:kern w:val="0"/>
                <w:sz w:val="21"/>
                <w:szCs w:val="21"/>
                <w:u w:val="none"/>
                <w:lang w:val="en-US" w:eastAsia="zh-CN" w:bidi="ar"/>
              </w:rPr>
            </w:pPr>
            <w:r>
              <w:rPr>
                <w:rStyle w:val="font121"/>
                <w:rFonts w:ascii="宋体" w:eastAsia="宋体" w:hAnsi="宋体" w:cs="宋体" w:hint="eastAsia"/>
                <w:sz w:val="21"/>
                <w:szCs w:val="21"/>
                <w:lang w:val="en-US" w:eastAsia="zh-CN" w:bidi="ar"/>
              </w:rPr>
              <w:t>▲4、玩具的机械强度、稳定性、可触及边缘、突出物，玩具的设计和结构，玩具的设计和制造（形状、尺寸）皆符合GB6675.2-2014相关要求。通过测试符合GB 6675.2-2014机械与物理性能要求、符合GB 6675.3-2014易燃性能要求、符合GB 6675.4-2014特定元素的迁移的要求。</w:t>
            </w:r>
            <w:r>
              <w:rPr>
                <w:rStyle w:val="font121"/>
                <w:rFonts w:ascii="宋体" w:eastAsia="宋体" w:hAnsi="宋体" w:cs="宋体" w:hint="eastAsia"/>
                <w:sz w:val="21"/>
                <w:szCs w:val="21"/>
                <w:lang w:val="en-US" w:eastAsia="zh-CN" w:bidi="ar"/>
              </w:rPr>
              <w:br/>
            </w:r>
            <w:r>
              <w:rPr>
                <w:rStyle w:val="font121"/>
                <w:rFonts w:ascii="宋体" w:eastAsia="宋体" w:hAnsi="宋体" w:cs="宋体" w:hint="eastAsia"/>
                <w:color w:val="FF0000"/>
                <w:sz w:val="21"/>
                <w:szCs w:val="21"/>
                <w:lang w:val="en-US" w:eastAsia="zh-CN" w:bidi="ar"/>
              </w:rPr>
              <w:t>（</w:t>
            </w:r>
            <w:r>
              <w:rPr>
                <w:rFonts w:ascii="宋体" w:eastAsia="宋体" w:hAnsi="宋体" w:cs="宋体" w:hint="eastAsia"/>
                <w:color w:val="FF0000"/>
                <w:sz w:val="21"/>
                <w:szCs w:val="21"/>
              </w:rPr>
              <w:t>需同时提供标注CMA或CNAS标识的检测报告及检测报告在全国认证认可信息公共服务平台网站（http://cx.cnca.cn/CertECloud/qts/qts/qtsPage）查询截图扫描件作为得分依据，否则不得分。</w:t>
            </w:r>
            <w:r>
              <w:rPr>
                <w:rStyle w:val="font121"/>
                <w:rFonts w:ascii="宋体" w:eastAsia="宋体" w:hAnsi="宋体" w:cs="宋体" w:hint="eastAsia"/>
                <w:color w:val="FF0000"/>
                <w:sz w:val="21"/>
                <w:szCs w:val="21"/>
                <w:lang w:val="en-US" w:eastAsia="zh-CN" w:bidi="ar"/>
              </w:rPr>
              <w:t>）</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677</w:t>
            </w:r>
          </w:p>
        </w:tc>
        <w:tc>
          <w:tcPr>
            <w:tcW w:w="19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企鹅捕鱼（加强版）</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1、包装尺寸：315*208*140mm（±5%）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2、材质：主要采用安全环保ABS制作；</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3、产品：内蜂窝盘8个、鱼块56个、企鹅棋子12个、收纳盒1个、漫画说明书1份、游戏等级卡1份。</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1980"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i w:val="0"/>
                <w:iCs w:val="0"/>
                <w:color w:val="000000"/>
                <w:kern w:val="0"/>
                <w:sz w:val="21"/>
                <w:szCs w:val="21"/>
                <w:u w:val="none"/>
                <w:lang w:val="en-US" w:eastAsia="zh-CN" w:bidi="ar"/>
              </w:rPr>
            </w:pPr>
            <w:r>
              <w:rPr>
                <w:rStyle w:val="font121"/>
                <w:rFonts w:ascii="宋体" w:eastAsia="宋体" w:hAnsi="宋体" w:cs="宋体" w:hint="eastAsia"/>
                <w:sz w:val="21"/>
                <w:szCs w:val="21"/>
                <w:lang w:val="en-US" w:eastAsia="zh-CN" w:bidi="ar"/>
              </w:rPr>
              <w:t>▲4、材料光滑、无尖端、无突出部件、无味，通过测试符合GB 6675.2-2014机械与物理性能要求、符合GB 6675.3-2014易燃性能要求、符合GB 6675.4-2014特定元素的迁移的要求。</w:t>
            </w:r>
            <w:r>
              <w:rPr>
                <w:rStyle w:val="font121"/>
                <w:rFonts w:ascii="宋体" w:eastAsia="宋体" w:hAnsi="宋体" w:cs="宋体" w:hint="eastAsia"/>
                <w:sz w:val="21"/>
                <w:szCs w:val="21"/>
                <w:lang w:val="en-US" w:eastAsia="zh-CN" w:bidi="ar"/>
              </w:rPr>
              <w:br/>
            </w:r>
            <w:r>
              <w:rPr>
                <w:rStyle w:val="font121"/>
                <w:rFonts w:ascii="宋体" w:eastAsia="宋体" w:hAnsi="宋体" w:cs="宋体" w:hint="eastAsia"/>
                <w:color w:val="FF0000"/>
                <w:sz w:val="21"/>
                <w:szCs w:val="21"/>
                <w:lang w:val="en-US" w:eastAsia="zh-CN" w:bidi="ar"/>
              </w:rPr>
              <w:t>（</w:t>
            </w:r>
            <w:r>
              <w:rPr>
                <w:rFonts w:ascii="宋体" w:eastAsia="宋体" w:hAnsi="宋体" w:cs="宋体" w:hint="eastAsia"/>
                <w:color w:val="FF0000"/>
                <w:sz w:val="21"/>
                <w:szCs w:val="21"/>
              </w:rPr>
              <w:t>需同时提供标注CMA或CNAS标识的检测报告及检测报告在全国认证认可信息公共服务平台网站（http://cx.cnca.cn/CertECloud/qts/qts/qtsPage）查询截图扫描件作为得分依据，否则不得分。</w:t>
            </w:r>
            <w:r>
              <w:rPr>
                <w:rStyle w:val="font121"/>
                <w:rFonts w:ascii="宋体" w:eastAsia="宋体" w:hAnsi="宋体" w:cs="宋体" w:hint="eastAsia"/>
                <w:color w:val="FF0000"/>
                <w:sz w:val="21"/>
                <w:szCs w:val="21"/>
                <w:lang w:val="en-US" w:eastAsia="zh-CN" w:bidi="ar"/>
              </w:rPr>
              <w:t>）</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678</w:t>
            </w:r>
          </w:p>
        </w:tc>
        <w:tc>
          <w:tcPr>
            <w:tcW w:w="19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琪琪的心情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1、包装尺寸：315*208*140mm（±5%）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2、材质：主要采用安全环保ABS制作；</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3、产品：蜂窝棋盘8个、表情块56个、转盘1个、情绪学习卡12张、收纳盒1个、漫画说明书1份、游戏等级卡1份。</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1980"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i w:val="0"/>
                <w:iCs w:val="0"/>
                <w:color w:val="000000"/>
                <w:kern w:val="0"/>
                <w:sz w:val="21"/>
                <w:szCs w:val="21"/>
                <w:u w:val="none"/>
                <w:lang w:val="en-US" w:eastAsia="zh-CN" w:bidi="ar"/>
              </w:rPr>
            </w:pPr>
            <w:r>
              <w:rPr>
                <w:rStyle w:val="font121"/>
                <w:rFonts w:ascii="宋体" w:eastAsia="宋体" w:hAnsi="宋体" w:cs="宋体" w:hint="eastAsia"/>
                <w:sz w:val="21"/>
                <w:szCs w:val="21"/>
                <w:lang w:val="en-US" w:eastAsia="zh-CN" w:bidi="ar"/>
              </w:rPr>
              <w:t>▲4、玩具的机械强度、稳定性、可触及边缘、突出物，玩具的设计和结构，玩具的设计和制造（形状、尺寸）皆符合GB6675.2-2014相关要求。通过测试符合GB 6675.2-2014机械与物理性能要求、符合GB 6675.3-2014易燃性能要求、符合GB 6675.4-2014特定元素的迁移的要求。</w:t>
            </w:r>
            <w:r>
              <w:rPr>
                <w:rStyle w:val="font121"/>
                <w:rFonts w:ascii="宋体" w:eastAsia="宋体" w:hAnsi="宋体" w:cs="宋体" w:hint="eastAsia"/>
                <w:sz w:val="21"/>
                <w:szCs w:val="21"/>
                <w:lang w:val="en-US" w:eastAsia="zh-CN" w:bidi="ar"/>
              </w:rPr>
              <w:br/>
            </w:r>
            <w:r>
              <w:rPr>
                <w:rStyle w:val="font121"/>
                <w:rFonts w:ascii="宋体" w:eastAsia="宋体" w:hAnsi="宋体" w:cs="宋体" w:hint="eastAsia"/>
                <w:color w:val="FF0000"/>
                <w:sz w:val="21"/>
                <w:szCs w:val="21"/>
                <w:lang w:val="en-US" w:eastAsia="zh-CN" w:bidi="ar"/>
              </w:rPr>
              <w:t>（</w:t>
            </w:r>
            <w:r>
              <w:rPr>
                <w:rFonts w:ascii="宋体" w:eastAsia="宋体" w:hAnsi="宋体" w:cs="宋体" w:hint="eastAsia"/>
                <w:color w:val="FF0000"/>
                <w:sz w:val="21"/>
                <w:szCs w:val="21"/>
              </w:rPr>
              <w:t>需同时提供标注CMA或CNAS标识的检测报告及检测报告在全国认证认可信息公共服务平台网站（http://cx.cnca.cn/CertECloud/qts/qts/qtsPage）查询截图扫描件作为得分依据，否则不得分。</w:t>
            </w:r>
            <w:r>
              <w:rPr>
                <w:rStyle w:val="font121"/>
                <w:rFonts w:ascii="宋体" w:eastAsia="宋体" w:hAnsi="宋体" w:cs="宋体" w:hint="eastAsia"/>
                <w:color w:val="FF0000"/>
                <w:sz w:val="21"/>
                <w:szCs w:val="21"/>
                <w:lang w:val="en-US" w:eastAsia="zh-CN" w:bidi="ar"/>
              </w:rPr>
              <w:t>）</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679</w:t>
            </w:r>
          </w:p>
        </w:tc>
        <w:tc>
          <w:tcPr>
            <w:tcW w:w="19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保卫羊羊羊</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1、包装尺寸：315*208*140mm（±5%）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2、材质：主要采用安全环保ABS制作；</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3、产品：内含蜂窝盘8个、羊羊块56个、牧羊犬棋子9个、收纳盒1个、漫画说明书1份、游戏等级卡1份。</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1980"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i w:val="0"/>
                <w:iCs w:val="0"/>
                <w:color w:val="000000"/>
                <w:kern w:val="0"/>
                <w:sz w:val="21"/>
                <w:szCs w:val="21"/>
                <w:u w:val="none"/>
                <w:lang w:val="en-US" w:eastAsia="zh-CN" w:bidi="ar"/>
              </w:rPr>
            </w:pPr>
            <w:r>
              <w:rPr>
                <w:rStyle w:val="font121"/>
                <w:rFonts w:ascii="宋体" w:eastAsia="宋体" w:hAnsi="宋体" w:cs="宋体" w:hint="eastAsia"/>
                <w:sz w:val="21"/>
                <w:szCs w:val="21"/>
                <w:lang w:val="en-US" w:eastAsia="zh-CN" w:bidi="ar"/>
              </w:rPr>
              <w:t>▲4、材料光滑、无尖端、无突出部件、无味，通过测试符合GB 6675.2-2014机械与物理性能要求、符合GB 6675.3-2014易燃性能要求、符合GB 6675.4-2014特定元素的迁移的要求。</w:t>
            </w:r>
            <w:r>
              <w:rPr>
                <w:rStyle w:val="font121"/>
                <w:rFonts w:ascii="宋体" w:eastAsia="宋体" w:hAnsi="宋体" w:cs="宋体" w:hint="eastAsia"/>
                <w:sz w:val="21"/>
                <w:szCs w:val="21"/>
                <w:lang w:val="en-US" w:eastAsia="zh-CN" w:bidi="ar"/>
              </w:rPr>
              <w:br/>
            </w:r>
            <w:r>
              <w:rPr>
                <w:rStyle w:val="font121"/>
                <w:rFonts w:ascii="宋体" w:eastAsia="宋体" w:hAnsi="宋体" w:cs="宋体" w:hint="eastAsia"/>
                <w:color w:val="FF0000"/>
                <w:sz w:val="21"/>
                <w:szCs w:val="21"/>
                <w:lang w:val="en-US" w:eastAsia="zh-CN" w:bidi="ar"/>
              </w:rPr>
              <w:t>（</w:t>
            </w:r>
            <w:r>
              <w:rPr>
                <w:rFonts w:ascii="宋体" w:eastAsia="宋体" w:hAnsi="宋体" w:cs="宋体" w:hint="eastAsia"/>
                <w:color w:val="FF0000"/>
                <w:sz w:val="21"/>
                <w:szCs w:val="21"/>
              </w:rPr>
              <w:t>需同时提供标注CMA或CNAS标识的检测报告及检测报告在全国认证认可信息公共服务平台网站（http://cx.cnca.cn/CertECloud/qts/qts/qtsPage）查询截图扫描件作为得分依据，否则不得分。</w:t>
            </w:r>
            <w:r>
              <w:rPr>
                <w:rStyle w:val="font121"/>
                <w:rFonts w:ascii="宋体" w:eastAsia="宋体" w:hAnsi="宋体" w:cs="宋体" w:hint="eastAsia"/>
                <w:color w:val="FF0000"/>
                <w:sz w:val="21"/>
                <w:szCs w:val="21"/>
                <w:lang w:val="en-US" w:eastAsia="zh-CN" w:bidi="ar"/>
              </w:rPr>
              <w:t>）</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680</w:t>
            </w:r>
          </w:p>
        </w:tc>
        <w:tc>
          <w:tcPr>
            <w:tcW w:w="19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猫猫迷宫</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1、包装尺寸：535*535*80mm（±5%）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2、材质：主要采用安全环保ABS制作；</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3、产品：内含圆盘1个、挡片80片、滚球6个、沙漏1个、任务书1份、游戏等级卡1份。</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1980"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i w:val="0"/>
                <w:iCs w:val="0"/>
                <w:color w:val="000000"/>
                <w:kern w:val="0"/>
                <w:sz w:val="21"/>
                <w:szCs w:val="21"/>
                <w:u w:val="none"/>
                <w:lang w:val="en-US" w:eastAsia="zh-CN" w:bidi="ar"/>
              </w:rPr>
            </w:pPr>
            <w:r>
              <w:rPr>
                <w:rStyle w:val="font121"/>
                <w:rFonts w:ascii="宋体" w:eastAsia="宋体" w:hAnsi="宋体" w:cs="宋体" w:hint="eastAsia"/>
                <w:sz w:val="21"/>
                <w:szCs w:val="21"/>
                <w:lang w:val="en-US" w:eastAsia="zh-CN" w:bidi="ar"/>
              </w:rPr>
              <w:t>▲4、材料光滑、无尖端、无突出部件、无味，通过测试符合GB 6675.1-2014中邻苯二甲酸酯含量要求、GB 6675.2-2014机械与物理性能要求、符合GB 6675.3-2014易燃性能要求、符合GB 6675.4-2014特定元素的迁移的要求。</w:t>
            </w:r>
            <w:r>
              <w:rPr>
                <w:rStyle w:val="font121"/>
                <w:rFonts w:ascii="宋体" w:eastAsia="宋体" w:hAnsi="宋体" w:cs="宋体" w:hint="eastAsia"/>
                <w:sz w:val="21"/>
                <w:szCs w:val="21"/>
                <w:lang w:val="en-US" w:eastAsia="zh-CN" w:bidi="ar"/>
              </w:rPr>
              <w:br/>
            </w:r>
            <w:r>
              <w:rPr>
                <w:rStyle w:val="font121"/>
                <w:rFonts w:ascii="宋体" w:eastAsia="宋体" w:hAnsi="宋体" w:cs="宋体" w:hint="eastAsia"/>
                <w:color w:val="FF0000"/>
                <w:sz w:val="21"/>
                <w:szCs w:val="21"/>
                <w:lang w:val="en-US" w:eastAsia="zh-CN" w:bidi="ar"/>
              </w:rPr>
              <w:t>（</w:t>
            </w:r>
            <w:r>
              <w:rPr>
                <w:rFonts w:ascii="宋体" w:eastAsia="宋体" w:hAnsi="宋体" w:cs="宋体" w:hint="eastAsia"/>
                <w:color w:val="FF0000"/>
                <w:sz w:val="21"/>
                <w:szCs w:val="21"/>
              </w:rPr>
              <w:t>需同时提供标注CMA或CNAS标识的检测报告及检测报告在全国认证认可信息公共服务平台网站（http://cx.cnca.cn/CertECloud/qts/qts/qtsPage）查询截图扫描件作为得分依据，否则不得分。</w:t>
            </w:r>
            <w:r>
              <w:rPr>
                <w:rStyle w:val="font121"/>
                <w:rFonts w:ascii="宋体" w:eastAsia="宋体" w:hAnsi="宋体" w:cs="宋体" w:hint="eastAsia"/>
                <w:color w:val="FF0000"/>
                <w:sz w:val="21"/>
                <w:szCs w:val="21"/>
                <w:lang w:val="en-US" w:eastAsia="zh-CN" w:bidi="ar"/>
              </w:rPr>
              <w:t>）</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681</w:t>
            </w:r>
          </w:p>
        </w:tc>
        <w:tc>
          <w:tcPr>
            <w:tcW w:w="19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俯仰生姿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1、包装尺寸：315*208*140mm（±5%）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2、材质：主要采用安全环保木材制作；</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3、产品：内含木质彩色积木22块，塑料彩色积木8块，游戏底板2块，任务卡47张，木底座2个、收纳盒1个、漫画说明书1份、游戏等级卡1份。</w:t>
            </w:r>
          </w:p>
        </w:tc>
      </w:tr>
      <w:tr>
        <w:tblPrEx>
          <w:tblW w:w="5000" w:type="pct"/>
          <w:tblInd w:w="107" w:type="dxa"/>
          <w:tblLayout w:type="fixed"/>
          <w:tblCellMar>
            <w:top w:w="0" w:type="dxa"/>
            <w:left w:w="108" w:type="dxa"/>
            <w:bottom w:w="0" w:type="dxa"/>
            <w:right w:w="108" w:type="dxa"/>
          </w:tblCellMar>
        </w:tblPrEx>
        <w:trPr>
          <w:trHeight w:val="470"/>
        </w:trPr>
        <w:tc>
          <w:tcPr>
            <w:tcW w:w="1081"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1980" w:type="dxa"/>
            <w:vMerge/>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i w:val="0"/>
                <w:iCs w:val="0"/>
                <w:color w:val="000000"/>
                <w:kern w:val="0"/>
                <w:sz w:val="21"/>
                <w:szCs w:val="21"/>
                <w:u w:val="none"/>
                <w:lang w:val="en-US" w:eastAsia="zh-CN" w:bidi="ar"/>
              </w:rPr>
            </w:pP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i w:val="0"/>
                <w:iCs w:val="0"/>
                <w:color w:val="000000"/>
                <w:kern w:val="0"/>
                <w:sz w:val="21"/>
                <w:szCs w:val="21"/>
                <w:u w:val="none"/>
                <w:lang w:val="en-US" w:eastAsia="zh-CN" w:bidi="ar"/>
              </w:rPr>
            </w:pPr>
            <w:r>
              <w:rPr>
                <w:rStyle w:val="font121"/>
                <w:rFonts w:ascii="宋体" w:eastAsia="宋体" w:hAnsi="宋体" w:cs="宋体" w:hint="eastAsia"/>
                <w:sz w:val="21"/>
                <w:szCs w:val="21"/>
                <w:lang w:val="en-US" w:eastAsia="zh-CN" w:bidi="ar"/>
              </w:rPr>
              <w:t>▲4、材料光滑、无尖端、无突出部件、无味，通过测试符合GB 6675.1-2014中邻苯二甲酸酯含量要求、GB 6675.2-2014机械与物理性能要求、符合GB 6675.3-2014易燃性能要求、符合GB 6675.4-2014特定元素的迁移的要求。</w:t>
            </w:r>
            <w:r>
              <w:rPr>
                <w:rStyle w:val="font121"/>
                <w:rFonts w:ascii="宋体" w:eastAsia="宋体" w:hAnsi="宋体" w:cs="宋体" w:hint="eastAsia"/>
                <w:sz w:val="21"/>
                <w:szCs w:val="21"/>
                <w:lang w:val="en-US" w:eastAsia="zh-CN" w:bidi="ar"/>
              </w:rPr>
              <w:br/>
            </w:r>
            <w:r>
              <w:rPr>
                <w:rStyle w:val="font121"/>
                <w:rFonts w:ascii="宋体" w:eastAsia="宋体" w:hAnsi="宋体" w:cs="宋体" w:hint="eastAsia"/>
                <w:color w:val="FF0000"/>
                <w:sz w:val="21"/>
                <w:szCs w:val="21"/>
                <w:lang w:val="en-US" w:eastAsia="zh-CN" w:bidi="ar"/>
              </w:rPr>
              <w:t>（</w:t>
            </w:r>
            <w:r>
              <w:rPr>
                <w:rFonts w:ascii="宋体" w:eastAsia="宋体" w:hAnsi="宋体" w:cs="宋体" w:hint="eastAsia"/>
                <w:color w:val="FF0000"/>
                <w:sz w:val="21"/>
                <w:szCs w:val="21"/>
              </w:rPr>
              <w:t>需同时提供标注CMA或CNAS标识的检测报告及检测报告在全国认证认可信息公共服务平台网站（http://cx.cnca.cn/CertECloud/qts/qts/qtsPage）查询截图扫描件作为得分依据，否则不得分。</w:t>
            </w:r>
            <w:r>
              <w:rPr>
                <w:rStyle w:val="font121"/>
                <w:rFonts w:ascii="宋体" w:eastAsia="宋体" w:hAnsi="宋体" w:cs="宋体" w:hint="eastAsia"/>
                <w:color w:val="FF0000"/>
                <w:sz w:val="21"/>
                <w:szCs w:val="21"/>
                <w:lang w:val="en-US" w:eastAsia="zh-CN" w:bidi="ar"/>
              </w:rPr>
              <w:t>）</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682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音乐喷泉</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1、材质：进口桦木夹板，环保水性漆；</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2、尺寸60cm*40cm（±5%）；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采用模块化手摇发电机构和稳压稳流技术供电，驱动音乐电路、功放电路、变频电路、微型水泵等正常工作。利用变频电路将音乐的节奏和强度转变为控制信号，使水泵的的转速随音乐的音调、节奏和强弱的变化而变化，形成不同的水柱，同时点亮七彩的LED灯光，使喷泉更具动感。</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683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光电盘</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1、材质：进口桦木夹板，环保水性漆；</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2、尺寸60cm*40cm（±5%）；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采用模块化手摇发电机构和稳压稳流技术供电，采用微电流升压技术，使光电盘中心产生安全的高电压，并使气体分子电离，激发荧光物产生断续的彩色弧光；用手触摸盘面，弧光的图案会发生相应的改变。不使用AC220V电源，确保操作的安全性。</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684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光压风车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1、材质：进口桦木夹板，环保水性漆；</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2、尺寸：60cm*40cm（±5%）；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采用模块化手摇发电机构和稳压稳流技术供电，驱动鼓声模拟电路、功放电路和红外传感器电路正常工作，当用手作敲鼓状遮挡住光束时，接收器接收不到光信号，光电开关就会驱动相应鼓声模拟电路工作，发出三种不同音频的鼓声。</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685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声悬浮</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1、材质：进口桦木夹板，环保水性漆；</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2、尺寸60cm*40cm（±5%）；</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3、采用模块化手摇发电机构和稳压稳流技术供电，使音乐、功放等电路模块正常工作。声波在传播，形成的驻波，使物体产生竖直方向上的悬浮力而悬于空中；当音乐频率发生变化，驻波节点上下变化，物体跟随着上下跳动。</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686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木制手掌认知拼图拼板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2、产品尺寸：29.8*22.3cm（±5%）。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687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木制脚掌认知拼图拼板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2、产品尺寸：29.8*22.3cm（±5%）。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688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木制运动小人玩具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2、产品尺寸：29.5*22.5cm（±5%）。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689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身体器官骨骼肌肉配对</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2、产品尺寸：21*29.7cm（±5%）。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690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牙齿与食物玩教具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2、产品尺寸：21*29.7cm（±5%）。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691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电路迷宫小实验玩教具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2、产品尺寸：17*2*13cm（±5%）。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692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磁铁套装玩具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2、产品尺寸：长方形10*2*0.6cm、圆形3.2cm、U形7*5*1.1cm（±5%）。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693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指纹提取玩具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2、产品尺寸：15*10cm（±5%）。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694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我会卷头发玩具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1、产品材质：不织布。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2、产品尺寸：30.5*29cm（±5%）。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695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折叠双面镜</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1、产品材质：塑料、玻璃。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2、产品尺寸：36.5*24.8cm（±5%）。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696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多米诺骨牌游戏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2、产品尺寸：16*4*14cm（±5%）。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697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影子配对拼图</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2、产品尺寸：17*17*3.7cm（±5%）。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698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人体模型玩具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1、产品材质：不织布。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2、产品尺寸：64*25.5cm（±5%）。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699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鞋子分左右</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1、产品材质：不织布。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2、产品尺寸：20*23cm（±5%）。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700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五官表情贴玩具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1、产品材质：不织布。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701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趣味抽小棒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2、产品尺寸：20.5*13*13cm（±5%）。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702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塑料数字天平</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2、产品尺寸：33*9.5*16cm（±5%）。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703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电碰迷宫玩具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2、产品尺寸：15*10*3cm（±5%）。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704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水晶种植实验玩具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1、产品材质：人造水晶沙。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2、产品尺寸：11.5*9*11.5cm（±5%）。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705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拆装车拧螺丝</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2、产品尺寸：34*25cm（±5%）。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706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俄罗斯方块叠叠乐</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2、产品尺寸：21*7*17cm（±5%）。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707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科学实验漂浮笔</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2、产品尺寸：14.2cm（±5%）。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708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儿童缝缝戳戳乐</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1、产品材质：不织布。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2、产品尺寸：15*19cm（±5%）。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709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磁力拼图玩具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2、产品尺寸：23*20cm（±5%）。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710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钥匙开锁玩具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2、产品尺寸：12*7.5*9cm（±5%）。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711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可擦绘画册</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1、产品材质：不织布。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2、产品尺寸：20.5*20.5cm（±5%）。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712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七巧板拼图板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2、产品尺寸：20*20cm（±5%）。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713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磁性数字小火车玩具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2、产品尺寸：37*8.5*24cm（±5%）。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714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纽扣训练忙碌板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715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拉拉链训练忙碌板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716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磁性运笔画板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2、产品尺寸：31*31cm（±5%）。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717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旋转镜面成像轴对称拼图</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2、产品尺寸：10*18cm（±5%）。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718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仿真垃圾车玩具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2、产品尺寸：37*13*19cm（±5%）。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719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手工磁力小车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2、产品尺寸：3*9*5cm（±5%）。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720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DIY水轮车玩具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2、产品尺寸：13*20cm（±5%）。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721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儿童多功能拆装螺母工具车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2、产品尺寸：24.5*11*12.5cm（±5%）。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722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摩擦起电玩具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723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磁力蜗牛小车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1、产品材质：木质、塑料、磁铁。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2、产品尺寸：8*16cm（±5%）。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724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角色披风斗篷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1、产品材质：涤纶布。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2、产品尺寸：长66cm（±5%）。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725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儿童工程师组合套装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1、产品材质：涤纶布、塑料。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2、产品尺寸：90-120cm（±5%）。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726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角色区公主裙衣</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1、产品材质：涤纶布。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727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角色区白雪公主披风</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1、产品材质：涤纶布。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728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塑料雪花片</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2、产品尺寸：直径33mm（±5%）。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729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晾衣服换装玩具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2、产品尺寸：33*15.5*3.3cm（±5%）。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730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便携手提光影动画魔术盒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2、产品尺寸：30*23*15cm（±5%）。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731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镭射迷宫玩具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2、产品尺寸：23.8*7.6*26.7cm（±5%）。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732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齿轮游戏玩具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2、产品尺寸：29.5*24*6cm（±5%）。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733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智能显微镜</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2、产品尺寸：20.6*18.5*14.5cm（±5%）。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734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轨道车玩具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2、产品尺寸：39*27*7.5cm（±5%）。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735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大颗粒拼装编程机器人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2、产品尺寸：22*12*15cm（±5%）。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736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捕捉昆虫拼图</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2、产品尺寸：178*178*6mm（±5%）。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737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来来回回滚轮玩具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2、产品尺寸：14*10cm（±5%）。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738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投石器玩具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2、产品尺寸：10*10cm（±5%）。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739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折叠 斗兽棋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2、产品尺寸：30*290*155mm（±5%）。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740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折叠 五子棋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2、产品尺寸：245*125*30mm（±5%）。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741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趣味造纸玩具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2、产品尺寸：38*32cm（±5%）。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742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压花器花边剪套装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2、产品尺寸：22*14cm（±5%）。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743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小小中药师道具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2、产品尺寸：28.5*23.5*13cm（±5%）。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744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捏捏乐玩具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2、产品尺寸：11.5*5.5*13cm（±5%）。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745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国潮变装秀玩具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2、产品尺寸：26.5*21.2*3.6cm（±5%）。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746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齿轮积木拼图</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2、产品尺寸：28.5*28.5cm（±5%）。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747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塑料小乐高</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748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童话故事拼图</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2、产品尺寸：14*14*1.5cm（±5%）。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749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遨游太空拼图</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2、产品尺寸：14*14*1.5cm（±5%）。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750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消防救援拼图</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2、产品尺寸：14*14*1.5cm（±5%）。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751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史前恐龙拼图</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2、产品尺寸：14*14*1.5cm（±5%）。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752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电子积木电路实验</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2、产品尺寸：30*21*11cm（±5%）。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753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记忆力训练玩具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2、产品尺寸：13.6*9.8*4.5cm（±5%）。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754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儿童逻辑板思维玩具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2、产品尺寸：21.5*28*3cm（±5%）。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755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语言区视听玩具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2、产品尺寸：21*29.7cm（±5%）。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756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模拟肺的呼吸</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757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DIY磁悬浮笔</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2、产品尺寸：15*7*5.5cm（±5%）。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758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塑料蒸笼 小号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2、产品尺寸：直径14.5cm（±5%）。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759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塑料蒸笼盖</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2、产品尺寸：直径14.5cm（±5%）。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760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广式早茶模型 排骨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761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广式早茶模型 鸭舌</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762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广式早茶模型 牛肚</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763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广式早茶模型 莲藕</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764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广式早茶模型 毛豆</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765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广式早茶模型 肉丸</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766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广式早茶模型 虾饺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767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空气火箭实验</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2、产品尺寸：18*4.5cm（±5%）。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768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磁力跷跷板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1、产品材质：磁铁、木质。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769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缤纷消消乐棋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2、产品尺寸：24.5*24.5*2.5cm（±5%）。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770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智慧金字塔棋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2、产品尺寸：22*22*10.5cm（±5%）。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771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井字立体四子棋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2、产品尺寸：22*18*16cm（±5%）。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772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磁力移车出库 12格</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2、产品尺寸：22*22cm（±5%）。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773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磁力移车出库 15格</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2、产品尺寸：22*22cm（±5%）。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774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连锁三角棋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2、产品尺寸：28*28*3.5cm（±5%）。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775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TPE积木套装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776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抽木棍游戏棒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2、产品尺寸：20.5*12*3.5cm（±5%）。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777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有趣的测量游戏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778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解绳大挑战游戏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2、产品尺寸：23*23*2cm（±5%）。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779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人体解剖模型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2、产品尺寸：24*15.5*29cm（±5%）。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780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科学实验儿童色素</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1、产品材质：色素。</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2、产品尺寸：10ml（±5%）。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781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基础方块电路积木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2、产品尺寸：45*31.5*7cm（±5%）。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782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图形钉板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2、产品尺寸：22*22cm（±5%）。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783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物体沉浮实验盒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2、产品尺寸：16*10*9cm（±5%）。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784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趣味翻绳游戏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2、产品尺寸：20*23.5cm（±5%）。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785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百变创意齿轮玩具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2、产品尺寸：21*29cm（±5%）。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786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科学实验电子积木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2、产品尺寸：37.5*7*27.5cm（±5%）。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787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电子积木电路玩具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2、产品尺寸：55*11.5*39cm（±5%）。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788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益智拼插玩具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2、产品尺寸：22*28cm（±5%）。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789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涂鸦画板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2、产品尺寸：17*23cm（±5%）。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790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塑料大乐高积木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791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滚珠轨道玩具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2、产品尺寸：26.5*30*10cm（±5%）。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792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迷宫闯关游戏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2、产品尺寸：36*7*26cm（±5%）。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793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三合一井字棋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2、产品尺寸：10*9.5*7.3cm（±5%）。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794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多功能棋盘 五子棋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2、产品尺寸：16.9*14.4*1.4cm（±5%）。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795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科学小实验套装电动编程积木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2、产品尺寸：26*8.5*18cm（±5%）。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796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电路实验电子积木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2、产品尺寸：47.5*32.5*6cm（±5%）。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797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伸缩机械钳实验</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2、产品尺寸：6*13cm（±5%）。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798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气球动力反冲小车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2、产品尺寸：5*11cm（±5%）。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799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逻辑思维机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2、产品尺寸：22*6*31cm（±5%）。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800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可充电无线耳机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2、产品尺寸：15*18cm（±5%）。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801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吸尘器实验材料包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2、产品尺寸：16*24cm（±5%）。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802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水轮车实验材料包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2、产品尺寸：16*24cm（±5%）。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803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人体眼球模型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2、产品尺寸：25*16*15cm（±5%）。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804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血液循环图卡</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2、产品尺寸：25*40cm（±5%）。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805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电子画画板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2、产品尺寸：24*18*5cm（±5%）。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806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重力轨道球</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2、产品尺寸：52*11*34cm（±5%）。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807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儿童美发造型玩具 黑发</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2、产品尺寸：36*18.8*25cm（±5%）。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808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儿童美发造型玩具 金发</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2、产品尺寸：36*18*25cm（±5%）。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809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男孩腰包理发道具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2、产品尺寸：18.5*9*12.5cm（±5%）。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810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声光理发玩具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2、产品尺寸：25*13*18.5cm（±5%）。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811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儿童化妆品玩具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2、产品尺寸：23*38cm（±5%）。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812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儿童指甲油玩具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2、产品尺寸：26.4*27.3（±5%）。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813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儿童指甲贴玩具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2、产品尺寸：7.5*7.5*2.4cm（±5%）。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814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红色小象儿童指甲油玩具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2、产品尺寸：8*17cm（±5%）。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815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盐水发电风扇</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2、产品尺寸：14*20cm（±5%）。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816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瓶子吹气球科学小实验</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2、产品尺寸：12*17cm（±5%）。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817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简易显微镜实验</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2、产品尺寸：14*20cm（±5%）。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818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声波成像实验</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2、产品尺寸：15*10*7.5cm（±5%）。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819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蜂眼万花筒</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2、产品尺寸：5*5.5cm（±5%）。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820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百变形状拼搭套柱</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2、产品尺寸：21*21cm（±5%）。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821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四面数字翻盘棋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2、产品尺寸：22.5*22.5cm（±5%）。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822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动物住楼房玩具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2、产品尺寸：38*33.5*4cm（±5%）。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823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夹豆子玩具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2、产品尺寸：28*28cm（±5%）。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824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儿童日历时钟</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825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绘本故事电视机道具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2、产品尺寸：33*27.7*13.5cm（±5%）。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826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绘本故事机配套故事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1、产品材质：PVC。</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2、产品尺寸：28*432.8cm（±5%）。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827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吸吸乐棋类游戏</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2、产品尺寸：23.2*23.5cm（±5%）。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828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儿童电路玩具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2、产品尺寸：46.5*35.5*8.2cm（±5%）。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829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积木轨道电动玩具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2、产品尺寸：36*6*22cm（±5%）。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830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儿童积木玩具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2、产品尺寸：21*27cm（±5%）。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831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电动科教积木</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2、产品尺寸：23*33cm（±5%）。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832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我做你猜 玩具套装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2、产品尺寸：38*32*10cm（±5%）。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833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磁力安静书</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2、产品尺寸：21*29.7cm（±5%）。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834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翻花绳玩具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835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磁力滑板车小实验</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2、产品尺寸：16.5*7*15cm（±5%）。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836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系鞋带玩具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2、产品尺寸：11*6.5*4cm（±5%）。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837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拍立得儿童相机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2、产品尺寸：8.7*6.4*3.4cm（±5%）。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838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仿真收银台玩具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2、产品尺寸：19*12*19cm（±5%）。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839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摄影师角色服装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1、产品材质：涤纶布。</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2、产品尺寸：120cm（±5%）。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840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拍照道具 电影板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2、产品尺寸：20*20*1.5cm（±5%）。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841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拍照眼镜道具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2、产品尺寸：6*19cm（±5%）。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842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角色区挂牌</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2、产品尺寸：103*80mm（±5%）。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843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塑料四子棋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2、产品尺寸：18.2*13*14.5cm（±5%）。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844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双人弹弹棋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2、产品尺寸：31.5*18.5*2.3cm（±5%）。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845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电子井字棋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1、产品材质：数量。</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2、产品尺寸：9*9cm（±5%）。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846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塑料轨道棋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2、产品尺寸：22.6*22.6cm（±5%）。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847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兔子飞行棋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2、产品尺寸：31.5*26.5cm（±5%）。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848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动画光学实验</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2、产品尺寸：11*15cm（±5%）。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849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四合一棋套装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2、产品尺寸：33*33*6cm（±5%）。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850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数独棋套装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2、产品尺寸：22.5*4*23.5cm（±5%）。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851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DIY录音盒子玩具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2、产品尺寸：3*6cm（±5%）。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852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3D几何拼贴画</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2、产品尺寸：21*29.7cm（±5%）。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853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拉密数字牌</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2、产品尺寸：32*12.5*8.5cm（±5%）。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854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智能数独六宫格</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2、产品尺寸：21.5*15*5.5cm（±5%）。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855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地铁站台模型</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2、产品尺寸：24.5*5.5*11.5cm（±5%）。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856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系红领巾教具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1、产品材质：木质。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2、产品尺寸：30*40cm（±5%）。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857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科学磁铁套装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2、产品尺寸：25*6*28.5cm（±5%）。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858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口袋棋套装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2、产品尺寸：16*2.5*7.3cm（±5%）。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859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公主换装秀玩具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860</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妆容贴画魔法公主化妆包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2、产品尺寸：20*30cm（±5%）。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861</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公主戳戳乐玩具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1、产品材质：纸质。</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2、产品尺寸：13*22cm（±5%）。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862</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儿童美甲玩具 金粉炫雅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1、产品材质：PVC。</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2、产品尺寸：15*23cm（±5%）。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863</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儿童美甲玩具 带钻樱花</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1、产品材质：PVC。</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2、产品尺寸：15*23cm（±5%）。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864</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美甲三层畅玩套装</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2、产品尺寸：18*29cm（±5%）。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865</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儿童额头樱花妆容贴玩具</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1、产品材质：PVC。</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2、产品尺寸：18*27cm（±5%）。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866</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儿童民族风头饰项圈</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867</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彩色磁力片</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1、产品材质：塑料、磁铁。</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2、产品尺寸：21*17*27cm（±5%）。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868</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小鸡磁力画板</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2、产品尺寸：14*14.5cm（±5%）。</w:t>
            </w:r>
          </w:p>
        </w:tc>
      </w:tr>
      <w:tr>
        <w:tblPrEx>
          <w:tblW w:w="5000" w:type="pct"/>
          <w:tblInd w:w="107" w:type="dxa"/>
          <w:tblLayout w:type="fixed"/>
          <w:tblCellMar>
            <w:top w:w="0" w:type="dxa"/>
            <w:left w:w="108" w:type="dxa"/>
            <w:bottom w:w="0" w:type="dxa"/>
            <w:right w:w="108" w:type="dxa"/>
          </w:tblCellMar>
        </w:tblPrEx>
        <w:trPr>
          <w:trHeight w:val="470"/>
        </w:trPr>
        <w:tc>
          <w:tcPr>
            <w:tcW w:w="1081"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869</w:t>
            </w:r>
          </w:p>
        </w:tc>
        <w:tc>
          <w:tcPr>
            <w:tcW w:w="19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可变形发光陀螺</w:t>
            </w:r>
          </w:p>
        </w:tc>
        <w:tc>
          <w:tcPr>
            <w:tcW w:w="541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eastAsia="宋体" w:hAnsi="宋体" w:cs="宋体" w:hint="eastAsia"/>
                <w:sz w:val="21"/>
                <w:szCs w:val="21"/>
              </w:rPr>
            </w:pPr>
            <w:r>
              <w:rPr>
                <w:rFonts w:ascii="宋体" w:eastAsia="宋体" w:hAnsi="宋体" w:cs="宋体" w:hint="eastAsia"/>
                <w:i w:val="0"/>
                <w:iCs w:val="0"/>
                <w:color w:val="000000"/>
                <w:kern w:val="0"/>
                <w:sz w:val="21"/>
                <w:szCs w:val="21"/>
                <w:u w:val="none"/>
                <w:lang w:val="en-US" w:eastAsia="zh-CN" w:bidi="ar"/>
              </w:rPr>
              <w:t>1、产品材质：塑料、金属。</w:t>
            </w:r>
            <w:r>
              <w:rPr>
                <w:rFonts w:ascii="宋体" w:eastAsia="宋体" w:hAnsi="宋体" w:cs="宋体" w:hint="eastAsia"/>
                <w:i w:val="0"/>
                <w:iCs w:val="0"/>
                <w:color w:val="000000"/>
                <w:kern w:val="0"/>
                <w:sz w:val="21"/>
                <w:szCs w:val="21"/>
                <w:u w:val="none"/>
                <w:lang w:val="en-US" w:eastAsia="zh-CN" w:bidi="ar"/>
              </w:rPr>
              <w:br/>
            </w:r>
            <w:r>
              <w:rPr>
                <w:rFonts w:ascii="宋体" w:eastAsia="宋体" w:hAnsi="宋体" w:cs="宋体" w:hint="eastAsia"/>
                <w:i w:val="0"/>
                <w:iCs w:val="0"/>
                <w:color w:val="000000"/>
                <w:kern w:val="0"/>
                <w:sz w:val="21"/>
                <w:szCs w:val="21"/>
                <w:u w:val="none"/>
                <w:lang w:val="en-US" w:eastAsia="zh-CN" w:bidi="ar"/>
              </w:rPr>
              <w:t>2、产品尺寸：直径16cm（±5%）。</w:t>
            </w:r>
          </w:p>
        </w:tc>
      </w:tr>
    </w:tbl>
    <w:p>
      <w:pPr>
        <w:rPr>
          <w:rFonts w:ascii="宋体" w:eastAsia="宋体" w:hAnsi="宋体" w:hint="eastAsia"/>
          <w:b/>
          <w:color w:val="FF0000"/>
          <w:kern w:val="2"/>
          <w:sz w:val="21"/>
          <w:szCs w:val="21"/>
          <w:lang w:eastAsia="zh-CN"/>
        </w:rPr>
      </w:pPr>
    </w:p>
    <w:p>
      <w:pPr>
        <w:rPr>
          <w:rFonts w:ascii="宋体" w:eastAsia="宋体" w:hAnsi="宋体" w:hint="eastAsia"/>
          <w:b/>
          <w:color w:val="FF0000"/>
          <w:kern w:val="2"/>
          <w:sz w:val="21"/>
          <w:szCs w:val="21"/>
          <w:lang w:eastAsia="zh-CN"/>
        </w:rPr>
      </w:pPr>
    </w:p>
    <w:p>
      <w:pPr>
        <w:widowControl w:val="0"/>
        <w:jc w:val="both"/>
        <w:rPr>
          <w:rFonts w:ascii="Calibri" w:eastAsia="宋体" w:hAnsi="Calibri" w:hint="eastAsia"/>
          <w:kern w:val="2"/>
          <w:sz w:val="21"/>
          <w:szCs w:val="22"/>
          <w:lang w:eastAsia="zh-CN"/>
        </w:rPr>
      </w:pPr>
    </w:p>
    <w:p>
      <w:pPr>
        <w:widowControl w:val="0"/>
        <w:jc w:val="both"/>
        <w:rPr>
          <w:rFonts w:ascii="宋体" w:eastAsia="宋体" w:hAnsi="宋体" w:hint="eastAsia"/>
          <w:b/>
          <w:color w:val="FF0000"/>
          <w:kern w:val="2"/>
          <w:sz w:val="21"/>
          <w:szCs w:val="21"/>
          <w:highlight w:val="yellow"/>
          <w:lang w:eastAsia="zh-CN"/>
        </w:rPr>
      </w:pPr>
      <w:r>
        <w:rPr>
          <w:rFonts w:ascii="宋体" w:eastAsia="宋体" w:hAnsi="宋体" w:hint="eastAsia"/>
          <w:b/>
          <w:color w:val="FF0000"/>
          <w:kern w:val="2"/>
          <w:sz w:val="21"/>
          <w:szCs w:val="21"/>
          <w:lang w:eastAsia="zh-CN"/>
        </w:rPr>
        <w:t>1、带</w:t>
      </w:r>
      <w:r>
        <w:rPr>
          <w:rFonts w:ascii="宋体" w:eastAsia="宋体" w:hAnsi="宋体" w:hint="eastAsia"/>
          <w:b/>
          <w:bCs/>
          <w:color w:val="FF0000"/>
          <w:kern w:val="2"/>
          <w:sz w:val="21"/>
          <w:szCs w:val="21"/>
          <w:lang w:eastAsia="zh-CN"/>
        </w:rPr>
        <w:t>★</w:t>
      </w:r>
      <w:r>
        <w:rPr>
          <w:rFonts w:ascii="宋体" w:eastAsia="宋体" w:hAnsi="宋体" w:hint="eastAsia"/>
          <w:b/>
          <w:color w:val="FF0000"/>
          <w:kern w:val="2"/>
          <w:sz w:val="21"/>
          <w:szCs w:val="21"/>
          <w:lang w:eastAsia="zh-CN"/>
        </w:rPr>
        <w:t>号要求为不可偏离要求，如出现负偏离，将导致投标无效。带▲号参数为重要参数，其他参数（非▲号参数）为普通参数，如出现负偏离，将按照评分准则做扣分处理。</w:t>
      </w:r>
      <w:r>
        <w:rPr>
          <w:rFonts w:ascii="宋体" w:eastAsia="宋体" w:hAnsi="宋体" w:hint="eastAsia"/>
          <w:b/>
          <w:color w:val="FF0000"/>
          <w:kern w:val="2"/>
          <w:sz w:val="21"/>
          <w:szCs w:val="21"/>
          <w:highlight w:val="yellow"/>
          <w:lang w:eastAsia="zh-CN"/>
        </w:rPr>
        <w:t>如注明要求提供相关佐证材料的，需以佐证材料作为是否偏离的依据。</w:t>
      </w:r>
    </w:p>
    <w:p>
      <w:pPr>
        <w:widowControl w:val="0"/>
        <w:spacing w:after="78"/>
        <w:jc w:val="left"/>
        <w:rPr>
          <w:rFonts w:ascii="Calibri" w:eastAsia="宋体" w:hAnsi="Calibri"/>
          <w:color w:val="FF0000"/>
          <w:kern w:val="2"/>
          <w:sz w:val="21"/>
          <w:szCs w:val="21"/>
          <w:lang w:eastAsia="zh-CN"/>
        </w:rPr>
      </w:pPr>
      <w:r>
        <w:rPr>
          <w:rFonts w:ascii="Calibri" w:eastAsia="宋体" w:hAnsi="Calibri" w:hint="eastAsia"/>
          <w:color w:val="FF0000"/>
          <w:kern w:val="2"/>
          <w:sz w:val="21"/>
          <w:szCs w:val="21"/>
          <w:lang w:eastAsia="zh-CN"/>
        </w:rPr>
        <w:t>2、所列的技术</w:t>
      </w:r>
      <w:r>
        <w:rPr>
          <w:rFonts w:ascii="Calibri" w:eastAsia="宋体" w:hAnsi="Calibri"/>
          <w:color w:val="FF0000"/>
          <w:kern w:val="2"/>
          <w:sz w:val="21"/>
          <w:szCs w:val="21"/>
          <w:lang w:eastAsia="zh-CN"/>
        </w:rPr>
        <w:t>参数</w:t>
      </w:r>
      <w:r>
        <w:rPr>
          <w:rFonts w:ascii="Calibri" w:eastAsia="宋体" w:hAnsi="Calibri" w:hint="eastAsia"/>
          <w:color w:val="FF0000"/>
          <w:kern w:val="2"/>
          <w:sz w:val="21"/>
          <w:szCs w:val="21"/>
          <w:lang w:eastAsia="zh-CN"/>
        </w:rPr>
        <w:t>需求中如出现品牌信息仅供参考，不作为参数要求，目的只为投标人更清楚地了解采购需求，投标人可提供其他品牌设备投标。</w:t>
      </w:r>
    </w:p>
    <w:p>
      <w:pPr>
        <w:widowControl w:val="0"/>
        <w:spacing w:after="78"/>
        <w:jc w:val="left"/>
        <w:rPr>
          <w:rFonts w:ascii="Calibri" w:eastAsia="宋体" w:hAnsi="Calibri"/>
          <w:color w:val="FF0000"/>
          <w:kern w:val="2"/>
          <w:sz w:val="21"/>
          <w:szCs w:val="21"/>
          <w:lang w:eastAsia="zh-CN"/>
        </w:rPr>
      </w:pPr>
      <w:r>
        <w:rPr>
          <w:rFonts w:ascii="Calibri" w:eastAsia="宋体" w:hAnsi="Calibri" w:hint="eastAsia"/>
          <w:color w:val="FF0000"/>
          <w:kern w:val="2"/>
          <w:sz w:val="21"/>
          <w:szCs w:val="21"/>
          <w:lang w:eastAsia="zh-CN"/>
        </w:rPr>
        <w:t>3、如有</w:t>
      </w:r>
      <w:r>
        <w:rPr>
          <w:rFonts w:ascii="Calibri" w:eastAsia="宋体" w:hAnsi="Calibri"/>
          <w:color w:val="FF0000"/>
          <w:kern w:val="2"/>
          <w:sz w:val="21"/>
          <w:szCs w:val="21"/>
          <w:lang w:eastAsia="zh-CN"/>
        </w:rPr>
        <w:t>方案表述中有出现类似可实现、</w:t>
      </w:r>
      <w:r>
        <w:rPr>
          <w:rFonts w:ascii="Calibri" w:eastAsia="宋体" w:hAnsi="Calibri" w:hint="eastAsia"/>
          <w:color w:val="FF0000"/>
          <w:kern w:val="2"/>
          <w:sz w:val="21"/>
          <w:szCs w:val="21"/>
          <w:lang w:eastAsia="zh-CN"/>
        </w:rPr>
        <w:t>实现</w:t>
      </w:r>
      <w:r>
        <w:rPr>
          <w:rFonts w:ascii="Calibri" w:eastAsia="宋体" w:hAnsi="Calibri"/>
          <w:color w:val="FF0000"/>
          <w:kern w:val="2"/>
          <w:sz w:val="21"/>
          <w:szCs w:val="21"/>
          <w:lang w:eastAsia="zh-CN"/>
        </w:rPr>
        <w:t>、</w:t>
      </w:r>
      <w:r>
        <w:rPr>
          <w:rFonts w:ascii="Calibri" w:eastAsia="宋体" w:hAnsi="Calibri" w:hint="eastAsia"/>
          <w:color w:val="FF0000"/>
          <w:kern w:val="2"/>
          <w:sz w:val="21"/>
          <w:szCs w:val="21"/>
          <w:lang w:eastAsia="zh-CN"/>
        </w:rPr>
        <w:t>可</w:t>
      </w:r>
      <w:r>
        <w:rPr>
          <w:rFonts w:ascii="Calibri" w:eastAsia="宋体" w:hAnsi="Calibri"/>
          <w:color w:val="FF0000"/>
          <w:kern w:val="2"/>
          <w:sz w:val="21"/>
          <w:szCs w:val="21"/>
          <w:lang w:eastAsia="zh-CN"/>
        </w:rPr>
        <w:t>支持、支持</w:t>
      </w:r>
      <w:r>
        <w:rPr>
          <w:rFonts w:ascii="Calibri" w:eastAsia="宋体" w:hAnsi="Calibri" w:hint="eastAsia"/>
          <w:color w:val="FF0000"/>
          <w:kern w:val="2"/>
          <w:sz w:val="21"/>
          <w:szCs w:val="21"/>
          <w:lang w:eastAsia="zh-CN"/>
        </w:rPr>
        <w:t>等</w:t>
      </w:r>
      <w:r>
        <w:rPr>
          <w:rFonts w:ascii="Calibri" w:eastAsia="宋体" w:hAnsi="Calibri"/>
          <w:color w:val="FF0000"/>
          <w:kern w:val="2"/>
          <w:sz w:val="21"/>
          <w:szCs w:val="21"/>
          <w:lang w:eastAsia="zh-CN"/>
        </w:rPr>
        <w:t>描述的，均表示方案需要实现的功能或</w:t>
      </w:r>
      <w:r>
        <w:rPr>
          <w:rFonts w:ascii="Calibri" w:eastAsia="宋体" w:hAnsi="Calibri" w:hint="eastAsia"/>
          <w:color w:val="FF0000"/>
          <w:kern w:val="2"/>
          <w:sz w:val="21"/>
          <w:szCs w:val="21"/>
          <w:lang w:eastAsia="zh-CN"/>
        </w:rPr>
        <w:t>应满足的</w:t>
      </w:r>
      <w:r>
        <w:rPr>
          <w:rFonts w:ascii="Calibri" w:eastAsia="宋体" w:hAnsi="Calibri"/>
          <w:color w:val="FF0000"/>
          <w:kern w:val="2"/>
          <w:sz w:val="21"/>
          <w:szCs w:val="21"/>
          <w:lang w:eastAsia="zh-CN"/>
        </w:rPr>
        <w:t>要求，即项目在验收时无须增加其他</w:t>
      </w:r>
      <w:r>
        <w:rPr>
          <w:rFonts w:ascii="Calibri" w:eastAsia="宋体" w:hAnsi="Calibri" w:hint="eastAsia"/>
          <w:color w:val="FF0000"/>
          <w:kern w:val="2"/>
          <w:sz w:val="21"/>
          <w:szCs w:val="21"/>
          <w:lang w:eastAsia="zh-CN"/>
        </w:rPr>
        <w:t>额外</w:t>
      </w:r>
      <w:r>
        <w:rPr>
          <w:rFonts w:ascii="Calibri" w:eastAsia="宋体" w:hAnsi="Calibri"/>
          <w:color w:val="FF0000"/>
          <w:kern w:val="2"/>
          <w:sz w:val="21"/>
          <w:szCs w:val="21"/>
          <w:lang w:eastAsia="zh-CN"/>
        </w:rPr>
        <w:t>设备</w:t>
      </w:r>
      <w:r>
        <w:rPr>
          <w:rFonts w:ascii="Calibri" w:eastAsia="宋体" w:hAnsi="Calibri" w:hint="eastAsia"/>
          <w:color w:val="FF0000"/>
          <w:kern w:val="2"/>
          <w:sz w:val="21"/>
          <w:szCs w:val="21"/>
          <w:lang w:eastAsia="zh-CN"/>
        </w:rPr>
        <w:t>或</w:t>
      </w:r>
      <w:r>
        <w:rPr>
          <w:rFonts w:ascii="Calibri" w:eastAsia="宋体" w:hAnsi="Calibri"/>
          <w:color w:val="FF0000"/>
          <w:kern w:val="2"/>
          <w:sz w:val="21"/>
          <w:szCs w:val="21"/>
          <w:lang w:eastAsia="zh-CN"/>
        </w:rPr>
        <w:t>系统</w:t>
      </w:r>
      <w:r>
        <w:rPr>
          <w:rFonts w:ascii="Calibri" w:eastAsia="宋体" w:hAnsi="Calibri" w:hint="eastAsia"/>
          <w:color w:val="FF0000"/>
          <w:kern w:val="2"/>
          <w:sz w:val="21"/>
          <w:szCs w:val="21"/>
          <w:lang w:eastAsia="zh-CN"/>
        </w:rPr>
        <w:t>，</w:t>
      </w:r>
      <w:r>
        <w:rPr>
          <w:rFonts w:ascii="Calibri" w:eastAsia="宋体" w:hAnsi="Calibri"/>
          <w:color w:val="FF0000"/>
          <w:kern w:val="2"/>
          <w:sz w:val="21"/>
          <w:szCs w:val="21"/>
          <w:lang w:eastAsia="zh-CN"/>
        </w:rPr>
        <w:t>使用本项目中的设备或</w:t>
      </w:r>
      <w:r>
        <w:rPr>
          <w:rFonts w:ascii="Calibri" w:eastAsia="宋体" w:hAnsi="Calibri" w:hint="eastAsia"/>
          <w:color w:val="FF0000"/>
          <w:kern w:val="2"/>
          <w:sz w:val="21"/>
          <w:szCs w:val="21"/>
          <w:lang w:eastAsia="zh-CN"/>
        </w:rPr>
        <w:t>系统</w:t>
      </w:r>
      <w:r>
        <w:rPr>
          <w:rFonts w:ascii="Calibri" w:eastAsia="宋体" w:hAnsi="Calibri"/>
          <w:color w:val="FF0000"/>
          <w:kern w:val="2"/>
          <w:sz w:val="21"/>
          <w:szCs w:val="21"/>
          <w:lang w:eastAsia="zh-CN"/>
        </w:rPr>
        <w:t>即能实现</w:t>
      </w:r>
      <w:r>
        <w:rPr>
          <w:rFonts w:ascii="Calibri" w:eastAsia="宋体" w:hAnsi="Calibri" w:hint="eastAsia"/>
          <w:color w:val="FF0000"/>
          <w:kern w:val="2"/>
          <w:sz w:val="21"/>
          <w:szCs w:val="21"/>
          <w:lang w:eastAsia="zh-CN"/>
        </w:rPr>
        <w:t>相应功能</w:t>
      </w:r>
      <w:r>
        <w:rPr>
          <w:rFonts w:ascii="Calibri" w:eastAsia="宋体" w:hAnsi="Calibri"/>
          <w:color w:val="FF0000"/>
          <w:kern w:val="2"/>
          <w:sz w:val="21"/>
          <w:szCs w:val="21"/>
          <w:lang w:eastAsia="zh-CN"/>
        </w:rPr>
        <w:t>或</w:t>
      </w:r>
      <w:r>
        <w:rPr>
          <w:rFonts w:ascii="Calibri" w:eastAsia="宋体" w:hAnsi="Calibri" w:hint="eastAsia"/>
          <w:color w:val="FF0000"/>
          <w:kern w:val="2"/>
          <w:sz w:val="21"/>
          <w:szCs w:val="21"/>
          <w:lang w:eastAsia="zh-CN"/>
        </w:rPr>
        <w:t>满足相关</w:t>
      </w:r>
      <w:r>
        <w:rPr>
          <w:rFonts w:ascii="Calibri" w:eastAsia="宋体" w:hAnsi="Calibri"/>
          <w:color w:val="FF0000"/>
          <w:kern w:val="2"/>
          <w:sz w:val="21"/>
          <w:szCs w:val="21"/>
          <w:lang w:eastAsia="zh-CN"/>
        </w:rPr>
        <w:t>要求。</w:t>
      </w:r>
    </w:p>
    <w:p>
      <w:pPr>
        <w:widowControl w:val="0"/>
        <w:spacing w:after="78"/>
        <w:jc w:val="left"/>
        <w:rPr>
          <w:rFonts w:ascii="Calibri" w:eastAsia="宋体" w:hAnsi="Calibri"/>
          <w:color w:val="FF0000"/>
          <w:kern w:val="2"/>
          <w:sz w:val="21"/>
          <w:szCs w:val="21"/>
          <w:lang w:eastAsia="zh-CN"/>
        </w:rPr>
      </w:pPr>
      <w:r>
        <w:rPr>
          <w:rFonts w:ascii="Calibri" w:eastAsia="宋体" w:hAnsi="Calibri"/>
          <w:color w:val="FF0000"/>
          <w:kern w:val="2"/>
          <w:sz w:val="21"/>
          <w:szCs w:val="21"/>
          <w:lang w:eastAsia="zh-CN"/>
        </w:rPr>
        <w:t>4、针对招标文件产品技术参数如涉及相关既定值、单向范围值、区间范围值的，投标技术参数响应方式举例说明如下：</w:t>
      </w:r>
    </w:p>
    <w:p>
      <w:pPr>
        <w:widowControl w:val="0"/>
        <w:spacing w:after="78"/>
        <w:jc w:val="left"/>
        <w:rPr>
          <w:rFonts w:ascii="Calibri" w:eastAsia="宋体" w:hAnsi="Calibri"/>
          <w:color w:val="FF0000"/>
          <w:kern w:val="2"/>
          <w:sz w:val="21"/>
          <w:szCs w:val="21"/>
          <w:lang w:eastAsia="zh-CN"/>
        </w:rPr>
      </w:pPr>
      <w:r>
        <w:rPr>
          <w:rFonts w:ascii="Calibri" w:eastAsia="宋体" w:hAnsi="Calibri"/>
          <w:color w:val="FF0000"/>
          <w:kern w:val="2"/>
          <w:sz w:val="21"/>
          <w:szCs w:val="21"/>
          <w:lang w:eastAsia="zh-CN"/>
        </w:rPr>
        <w:t>（1）涉及相关既定值的，例：招标技术参数要求值为“20L”，投标技术参数响应值与“20L”不一致的，均视为负偏离；</w:t>
      </w:r>
    </w:p>
    <w:p>
      <w:pPr>
        <w:widowControl w:val="0"/>
        <w:spacing w:after="78"/>
        <w:jc w:val="left"/>
        <w:rPr>
          <w:rFonts w:ascii="Calibri" w:eastAsia="宋体" w:hAnsi="Calibri"/>
          <w:color w:val="FF0000"/>
          <w:kern w:val="2"/>
          <w:sz w:val="21"/>
          <w:szCs w:val="21"/>
          <w:lang w:eastAsia="zh-CN"/>
        </w:rPr>
      </w:pPr>
      <w:r>
        <w:rPr>
          <w:rFonts w:ascii="Calibri" w:eastAsia="宋体" w:hAnsi="Calibri"/>
          <w:color w:val="FF0000"/>
          <w:kern w:val="2"/>
          <w:sz w:val="21"/>
          <w:szCs w:val="21"/>
          <w:lang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pPr>
        <w:widowControl w:val="0"/>
        <w:spacing w:after="78"/>
        <w:jc w:val="left"/>
        <w:rPr>
          <w:rFonts w:ascii="Calibri" w:eastAsia="黑体" w:hAnsi="Calibri" w:hint="eastAsia"/>
          <w:kern w:val="44"/>
          <w:sz w:val="21"/>
          <w:szCs w:val="44"/>
          <w:lang w:eastAsia="zh-CN"/>
        </w:rPr>
      </w:pPr>
      <w:r>
        <w:rPr>
          <w:rFonts w:ascii="Calibri" w:eastAsia="宋体" w:hAnsi="Calibri"/>
          <w:color w:val="FF0000"/>
          <w:kern w:val="2"/>
          <w:sz w:val="21"/>
          <w:szCs w:val="21"/>
          <w:lang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pPr>
        <w:keepNext/>
        <w:keepLines/>
        <w:widowControl w:val="0"/>
        <w:spacing w:before="120" w:beforeLines="50" w:after="120" w:afterLines="50" w:line="416" w:lineRule="auto"/>
        <w:jc w:val="center"/>
        <w:outlineLvl w:val="2"/>
        <w:rPr>
          <w:rFonts w:ascii="宋体" w:eastAsia="宋体" w:hAnsi="宋体" w:hint="eastAsia"/>
          <w:b/>
          <w:bCs/>
          <w:kern w:val="2"/>
          <w:sz w:val="28"/>
          <w:szCs w:val="28"/>
          <w:lang w:eastAsia="zh-CN"/>
        </w:rPr>
      </w:pPr>
      <w:r>
        <w:rPr>
          <w:rFonts w:ascii="宋体" w:eastAsia="宋体" w:hAnsi="宋体" w:cs="Times New Roman" w:hint="eastAsia"/>
          <w:b/>
          <w:bCs/>
          <w:kern w:val="2"/>
          <w:sz w:val="28"/>
          <w:szCs w:val="28"/>
          <w:lang w:eastAsia="zh-CN"/>
        </w:rPr>
        <w:t>六、其他重要条款</w:t>
      </w:r>
    </w:p>
    <w:p>
      <w:pPr>
        <w:widowControl w:val="0"/>
        <w:bidi w:val="0"/>
        <w:jc w:val="both"/>
        <w:rPr>
          <w:rFonts w:ascii="Calibri" w:eastAsia="宋体" w:hAnsi="Calibri" w:hint="eastAsia"/>
          <w:kern w:val="2"/>
          <w:sz w:val="21"/>
          <w:szCs w:val="22"/>
          <w:lang w:eastAsia="zh-CN"/>
        </w:rPr>
      </w:pPr>
      <w:r>
        <w:rPr>
          <w:rFonts w:ascii="Calibri" w:eastAsia="宋体" w:hAnsi="Calibri" w:cs="Times New Roman" w:hint="eastAsia"/>
          <w:kern w:val="2"/>
          <w:sz w:val="21"/>
          <w:szCs w:val="22"/>
          <w:lang w:eastAsia="zh-CN"/>
        </w:rPr>
        <w:t>1、本项目服务费采用包干制，应包括服务成本、法定税费和利润。由投标人根据采购文件所提供的资料自行测算投标报价；一经中标，投标报价总价作为中标单位与采购单位签定的合同金额，合同期限内不做调整；</w:t>
      </w:r>
    </w:p>
    <w:p>
      <w:pPr>
        <w:widowControl w:val="0"/>
        <w:bidi w:val="0"/>
        <w:jc w:val="both"/>
        <w:rPr>
          <w:rFonts w:ascii="Calibri" w:eastAsia="宋体" w:hAnsi="Calibri" w:hint="eastAsia"/>
          <w:kern w:val="2"/>
          <w:sz w:val="21"/>
          <w:szCs w:val="22"/>
          <w:lang w:eastAsia="zh-CN"/>
        </w:rPr>
      </w:pPr>
      <w:r>
        <w:rPr>
          <w:rFonts w:ascii="Calibri" w:eastAsia="宋体" w:hAnsi="Calibri" w:cs="Times New Roman" w:hint="eastAsia"/>
          <w:kern w:val="2"/>
          <w:sz w:val="21"/>
          <w:szCs w:val="22"/>
          <w:lang w:eastAsia="zh-CN"/>
        </w:rPr>
        <w:t>2、投标人应根据其成本自行决定报价。评审小组认为投标人的报价明显低于其他通过符合性审查投标人的报价，有可能影响服务质量或不能诚信履约的，将会要求该投标人在评审现场合理的时间内提供书面说明，必要时提交相关证明材料。投标人不能证明其报价合理性的，评审委员会应将其作为无效投标处理。若评审小组对是否须由投标人作出报价合理性说明，以及书面说明是否采纳等判断不一致的，按照“少数服从多数”的原则确定评审小组的意见。</w:t>
      </w:r>
    </w:p>
    <w:p>
      <w:pPr>
        <w:widowControl w:val="0"/>
        <w:bidi w:val="0"/>
        <w:jc w:val="both"/>
        <w:rPr>
          <w:rFonts w:ascii="Calibri" w:eastAsia="宋体" w:hAnsi="Calibri" w:hint="eastAsia"/>
          <w:kern w:val="2"/>
          <w:sz w:val="21"/>
          <w:szCs w:val="22"/>
          <w:lang w:eastAsia="zh-CN"/>
        </w:rPr>
      </w:pPr>
      <w:r>
        <w:rPr>
          <w:rFonts w:ascii="Calibri" w:eastAsia="宋体" w:hAnsi="Calibri" w:cs="Times New Roman" w:hint="eastAsia"/>
          <w:kern w:val="2"/>
          <w:sz w:val="21"/>
          <w:szCs w:val="22"/>
          <w:lang w:eastAsia="zh-CN"/>
        </w:rPr>
        <w:t>3、如果中标价低于财政预算限额的70%，该项目将被列为优先实施履约检查的项目。</w:t>
      </w:r>
    </w:p>
    <w:p>
      <w:pPr>
        <w:widowControl w:val="0"/>
        <w:bidi w:val="0"/>
        <w:jc w:val="both"/>
        <w:rPr>
          <w:rFonts w:ascii="Calibri" w:eastAsia="宋体" w:hAnsi="Calibri" w:hint="eastAsia"/>
          <w:kern w:val="2"/>
          <w:sz w:val="21"/>
          <w:szCs w:val="22"/>
          <w:lang w:eastAsia="zh-CN"/>
        </w:rPr>
      </w:pPr>
      <w:r>
        <w:rPr>
          <w:rFonts w:ascii="Calibri" w:eastAsia="宋体" w:hAnsi="Calibri" w:cs="Times New Roman" w:hint="eastAsia"/>
          <w:kern w:val="2"/>
          <w:sz w:val="21"/>
          <w:szCs w:val="22"/>
          <w:lang w:eastAsia="zh-CN"/>
        </w:rPr>
        <w:t>4、投标人的投标报价不得超过财政预算限额，如设投标最高限价的，报价不得超过最高限价；</w:t>
      </w:r>
    </w:p>
    <w:p>
      <w:pPr>
        <w:widowControl w:val="0"/>
        <w:bidi w:val="0"/>
        <w:jc w:val="both"/>
        <w:rPr>
          <w:rFonts w:ascii="Calibri" w:eastAsia="宋体" w:hAnsi="Calibri" w:hint="eastAsia"/>
          <w:kern w:val="2"/>
          <w:sz w:val="21"/>
          <w:szCs w:val="22"/>
          <w:lang w:eastAsia="zh-CN"/>
        </w:rPr>
      </w:pPr>
      <w:r>
        <w:rPr>
          <w:rFonts w:ascii="Calibri" w:eastAsia="宋体" w:hAnsi="Calibri" w:cs="Times New Roman" w:hint="eastAsia"/>
          <w:kern w:val="2"/>
          <w:sz w:val="21"/>
          <w:szCs w:val="22"/>
          <w:lang w:eastAsia="zh-CN"/>
        </w:rPr>
        <w:t>5、投标人的投标报价，应是本项目采购范围和采购文件及合同条款上所列的各项内容中所述的全部，不得以任何理由予以重复，并以投标人在中提出的综合单价或总价为依据；</w:t>
      </w:r>
    </w:p>
    <w:p>
      <w:pPr>
        <w:widowControl w:val="0"/>
        <w:bidi w:val="0"/>
        <w:jc w:val="both"/>
        <w:rPr>
          <w:rFonts w:ascii="Calibri" w:eastAsia="宋体" w:hAnsi="Calibri" w:hint="eastAsia"/>
          <w:kern w:val="2"/>
          <w:sz w:val="21"/>
          <w:szCs w:val="22"/>
          <w:lang w:eastAsia="zh-CN"/>
        </w:rPr>
      </w:pPr>
      <w:r>
        <w:rPr>
          <w:rFonts w:ascii="Calibri" w:eastAsia="宋体" w:hAnsi="Calibri" w:cs="Times New Roman" w:hint="eastAsia"/>
          <w:kern w:val="2"/>
          <w:sz w:val="21"/>
          <w:szCs w:val="22"/>
          <w:lang w:eastAsia="zh-CN"/>
        </w:rPr>
        <w:t>6、除非龙华区教育系统通过修改采购文件予以更正，否则，投标人应毫无例外地按采购文件所列的清单中项目和数量填报综合单价和合价。投标人未填综合单价或合价的项目，视作该项费用已包括在其它有价款的综合单价或合价内；</w:t>
      </w:r>
    </w:p>
    <w:p>
      <w:pPr>
        <w:widowControl w:val="0"/>
        <w:bidi w:val="0"/>
        <w:jc w:val="both"/>
        <w:rPr>
          <w:rFonts w:ascii="Calibri" w:eastAsia="宋体" w:hAnsi="Calibri" w:hint="eastAsia"/>
          <w:kern w:val="2"/>
          <w:sz w:val="21"/>
          <w:szCs w:val="22"/>
          <w:lang w:eastAsia="zh-CN"/>
        </w:rPr>
      </w:pPr>
      <w:r>
        <w:rPr>
          <w:rFonts w:ascii="Calibri" w:eastAsia="宋体" w:hAnsi="Calibri" w:cs="Times New Roman" w:hint="eastAsia"/>
          <w:kern w:val="2"/>
          <w:sz w:val="21"/>
          <w:szCs w:val="22"/>
          <w:lang w:eastAsia="zh-CN"/>
        </w:rPr>
        <w:t>7、投标人应先到项目地点踏勘以充分了解项目的位置、情况、道路及任何其它足以影响投标报价的情况，任何因忽视或误解项目情况而导致的索赔或服务期限延长申请将不获批准；</w:t>
      </w:r>
    </w:p>
    <w:p>
      <w:pPr>
        <w:widowControl w:val="0"/>
        <w:bidi w:val="0"/>
        <w:jc w:val="both"/>
        <w:rPr>
          <w:rFonts w:ascii="Calibri" w:eastAsia="宋体" w:hAnsi="Calibri" w:hint="eastAsia"/>
          <w:kern w:val="2"/>
          <w:sz w:val="21"/>
          <w:szCs w:val="22"/>
          <w:lang w:eastAsia="zh-CN"/>
        </w:rPr>
      </w:pPr>
      <w:r>
        <w:rPr>
          <w:rFonts w:ascii="Calibri" w:eastAsia="宋体" w:hAnsi="Calibri" w:cs="Times New Roman" w:hint="eastAsia"/>
          <w:kern w:val="2"/>
          <w:sz w:val="21"/>
          <w:szCs w:val="22"/>
          <w:lang w:eastAsia="zh-CN"/>
        </w:rPr>
        <w:t>8、投标人不得期望通过索赔等方式获取补偿，否则，除可能遭到拒绝外，还可能将被作为不良行为记录在案，并可能影响其以后参加龙华区教育系统自行采购的项目投标。各投标人在投标报价时，应充分考虑投标报价的风险。</w:t>
      </w:r>
    </w:p>
    <w:p>
      <w:pPr>
        <w:widowControl w:val="0"/>
        <w:bidi w:val="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9、中标供应商</w:t>
      </w:r>
      <w:r>
        <w:rPr>
          <w:rFonts w:ascii="Calibri" w:eastAsia="宋体" w:hAnsi="Calibri" w:cs="Times New Roman"/>
          <w:kern w:val="2"/>
          <w:sz w:val="21"/>
          <w:szCs w:val="22"/>
          <w:lang w:eastAsia="zh-CN"/>
        </w:rPr>
        <w:t>不得将项目非法分包或转包给任何单位和个人。否则，采购单位有权即刻终止合同，并要求</w:t>
      </w:r>
      <w:r>
        <w:rPr>
          <w:rFonts w:ascii="Calibri" w:eastAsia="宋体" w:hAnsi="Calibri" w:cs="Times New Roman" w:hint="eastAsia"/>
          <w:kern w:val="2"/>
          <w:sz w:val="21"/>
          <w:szCs w:val="22"/>
          <w:lang w:eastAsia="zh-CN"/>
        </w:rPr>
        <w:t>中标供应商</w:t>
      </w:r>
      <w:r>
        <w:rPr>
          <w:rFonts w:ascii="Calibri" w:eastAsia="宋体" w:hAnsi="Calibri" w:cs="Times New Roman"/>
          <w:kern w:val="2"/>
          <w:sz w:val="21"/>
          <w:szCs w:val="22"/>
          <w:lang w:eastAsia="zh-CN"/>
        </w:rPr>
        <w:t>赔偿相应损失。</w:t>
      </w:r>
    </w:p>
    <w:p>
      <w:pPr>
        <w:widowControl w:val="0"/>
        <w:bidi w:val="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10、投标人使用的标准必须是国际公认或国家、或地方政府颁布的同等或更高的标准，如投标人使用的标准低于上述标准,评审委员会将有权不予接受，投标人必须列表将明显的差异详细说明。</w:t>
      </w:r>
    </w:p>
    <w:p>
      <w:pPr>
        <w:widowControl w:val="0"/>
        <w:bidi w:val="0"/>
        <w:jc w:val="both"/>
        <w:rPr>
          <w:rFonts w:ascii="Calibri" w:eastAsia="宋体" w:hAnsi="Calibri" w:hint="eastAsia"/>
          <w:kern w:val="2"/>
          <w:sz w:val="21"/>
          <w:szCs w:val="22"/>
          <w:lang w:eastAsia="zh-CN"/>
        </w:rPr>
      </w:pPr>
      <w:r>
        <w:rPr>
          <w:rFonts w:ascii="Calibri" w:eastAsia="宋体" w:hAnsi="Calibri" w:cs="Times New Roman" w:hint="eastAsia"/>
          <w:kern w:val="2"/>
          <w:sz w:val="21"/>
          <w:szCs w:val="22"/>
          <w:lang w:eastAsia="zh-CN"/>
        </w:rPr>
        <w:t>11、供应商须在质疑期内一次性提出针对同一采购程序环节的质疑。</w:t>
      </w:r>
    </w:p>
    <w:p>
      <w:pPr>
        <w:widowControl w:val="0"/>
        <w:bidi w:val="0"/>
        <w:jc w:val="both"/>
        <w:rPr>
          <w:rFonts w:ascii="Calibri" w:eastAsia="宋体" w:hAnsi="Calibri" w:hint="eastAsia"/>
          <w:color w:val="FF0000"/>
          <w:kern w:val="2"/>
          <w:sz w:val="21"/>
          <w:szCs w:val="22"/>
          <w:lang w:eastAsia="zh-CN"/>
        </w:rPr>
      </w:pPr>
      <w:r>
        <w:rPr>
          <w:rFonts w:ascii="Calibri" w:eastAsia="宋体" w:hAnsi="Calibri" w:cs="Times New Roman" w:hint="eastAsia"/>
          <w:color w:val="FF0000"/>
          <w:kern w:val="2"/>
          <w:sz w:val="21"/>
          <w:szCs w:val="22"/>
          <w:lang w:eastAsia="zh-CN"/>
        </w:rPr>
        <w:t>12、本项目按照深圳市龙华区教育局的相关采购规定执行，招标文件未明确的事项，参照政府采购有关法律法规执行。</w:t>
      </w:r>
    </w:p>
    <w:p>
      <w:pPr>
        <w:widowControl w:val="0"/>
        <w:bidi w:val="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13、除政府采购合同继续履行将损害国家利益和社会公共利益外，双方当事人不得擅自变更、中止或者终止合同。</w:t>
      </w:r>
    </w:p>
    <w:p>
      <w:pPr>
        <w:widowControl w:val="0"/>
        <w:bidi w:val="0"/>
        <w:jc w:val="both"/>
        <w:rPr>
          <w:rFonts w:ascii="Calibri" w:eastAsia="宋体" w:hAnsi="Calibri" w:hint="eastAsia"/>
          <w:kern w:val="2"/>
          <w:sz w:val="21"/>
          <w:szCs w:val="22"/>
          <w:lang w:eastAsia="zh-CN"/>
        </w:rPr>
      </w:pPr>
      <w:r>
        <w:rPr>
          <w:rFonts w:ascii="Calibri" w:eastAsia="宋体" w:hAnsi="Calibri" w:cs="Times New Roman" w:hint="eastAsia"/>
          <w:kern w:val="2"/>
          <w:sz w:val="21"/>
          <w:szCs w:val="22"/>
          <w:lang w:eastAsia="zh-CN"/>
        </w:rPr>
        <w:t>14、“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widowControl/>
        <w:spacing w:before="60" w:beforeLines="25" w:beforeAutospacing="1" w:after="60" w:afterLines="25" w:afterAutospacing="1"/>
        <w:ind w:firstLine="393" w:firstLineChars="187"/>
        <w:jc w:val="left"/>
        <w:rPr>
          <w:rFonts w:ascii="宋体" w:eastAsia="宋体" w:hAnsi="宋体" w:cs="宋体" w:hint="eastAsia"/>
          <w:kern w:val="2"/>
          <w:sz w:val="21"/>
          <w:szCs w:val="21"/>
          <w:lang w:eastAsia="zh-CN" w:bidi="ar"/>
        </w:rPr>
      </w:pPr>
    </w:p>
    <w:p>
      <w:pPr>
        <w:widowControl w:val="0"/>
        <w:spacing w:line="360" w:lineRule="auto"/>
        <w:jc w:val="both"/>
        <w:rPr>
          <w:rFonts w:ascii="Calibri" w:eastAsia="宋体" w:hAnsi="Calibri" w:hint="eastAsia"/>
          <w:b/>
          <w:bCs/>
          <w:kern w:val="2"/>
          <w:szCs w:val="21"/>
          <w:lang w:eastAsia="zh-CN"/>
        </w:rPr>
      </w:pPr>
    </w:p>
    <w:p>
      <w:pPr>
        <w:widowControl w:val="0"/>
        <w:jc w:val="both"/>
        <w:rPr>
          <w:rFonts w:ascii="Calibri" w:eastAsia="宋体" w:hAnsi="Calibri" w:hint="eastAsia"/>
          <w:bCs/>
          <w:kern w:val="2"/>
          <w:sz w:val="21"/>
          <w:szCs w:val="21"/>
          <w:lang w:eastAsia="zh-CN"/>
        </w:rPr>
      </w:pPr>
    </w:p>
    <w:p>
      <w:pPr>
        <w:widowControl w:val="0"/>
        <w:jc w:val="both"/>
        <w:rPr>
          <w:rFonts w:ascii="Calibri" w:eastAsia="宋体" w:hAnsi="Calibri" w:hint="eastAsia"/>
          <w:bCs/>
          <w:kern w:val="2"/>
          <w:sz w:val="21"/>
          <w:szCs w:val="21"/>
          <w:lang w:eastAsia="zh-CN"/>
        </w:rPr>
      </w:pPr>
    </w:p>
    <w:p>
      <w:pPr>
        <w:widowControl w:val="0"/>
        <w:jc w:val="both"/>
        <w:rPr>
          <w:rFonts w:ascii="Calibri" w:eastAsia="宋体" w:hAnsi="Calibri" w:hint="eastAsia"/>
          <w:bCs/>
          <w:kern w:val="2"/>
          <w:sz w:val="21"/>
          <w:szCs w:val="21"/>
          <w:lang w:eastAsia="zh-CN"/>
        </w:rPr>
      </w:pPr>
    </w:p>
    <w:p>
      <w:pPr>
        <w:widowControl w:val="0"/>
        <w:jc w:val="both"/>
        <w:rPr>
          <w:rFonts w:ascii="Calibri" w:eastAsia="宋体" w:hAnsi="Calibri" w:hint="eastAsia"/>
          <w:bCs/>
          <w:kern w:val="2"/>
          <w:sz w:val="21"/>
          <w:szCs w:val="21"/>
          <w:lang w:eastAsia="zh-CN"/>
        </w:rPr>
      </w:pPr>
    </w:p>
    <w:p>
      <w:pPr>
        <w:widowControl w:val="0"/>
        <w:spacing w:line="360" w:lineRule="auto"/>
        <w:jc w:val="both"/>
        <w:rPr>
          <w:rFonts w:ascii="Calibri" w:eastAsia="宋体" w:hAnsi="Calibri" w:hint="eastAsia"/>
          <w:b/>
          <w:bCs/>
          <w:kern w:val="2"/>
          <w:szCs w:val="22"/>
          <w:lang w:eastAsia="zh-CN"/>
        </w:rPr>
      </w:pPr>
    </w:p>
    <w:p>
      <w:pPr>
        <w:keepNext/>
        <w:keepLines/>
        <w:widowControl w:val="0"/>
        <w:adjustRightInd w:val="0"/>
        <w:spacing w:line="320" w:lineRule="atLeast"/>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第四章</w:t>
      </w:r>
      <w:r>
        <w:rPr>
          <w:rFonts w:ascii="宋体" w:eastAsia="宋体" w:hAnsi="宋体"/>
          <w:b/>
          <w:bCs/>
          <w:sz w:val="28"/>
          <w:szCs w:val="28"/>
          <w:lang w:eastAsia="zh-CN"/>
        </w:rPr>
        <w:t xml:space="preserve"> </w:t>
      </w:r>
      <w:r>
        <w:rPr>
          <w:rFonts w:ascii="宋体" w:eastAsia="宋体" w:hAnsi="宋体" w:hint="eastAsia"/>
          <w:b/>
          <w:bCs/>
          <w:sz w:val="28"/>
          <w:szCs w:val="28"/>
          <w:lang w:eastAsia="zh-CN"/>
        </w:rPr>
        <w:t xml:space="preserve"> 投标文件组成要求及格式</w:t>
      </w:r>
    </w:p>
    <w:p>
      <w:pPr>
        <w:widowControl w:val="0"/>
        <w:spacing w:line="360" w:lineRule="auto"/>
        <w:jc w:val="both"/>
        <w:rPr>
          <w:rFonts w:ascii="Calibri" w:eastAsia="宋体" w:hAnsi="Calibri"/>
          <w:b/>
          <w:bCs/>
          <w:kern w:val="2"/>
          <w:szCs w:val="22"/>
          <w:lang w:eastAsia="zh-CN"/>
        </w:rPr>
      </w:pPr>
      <w:bookmarkStart w:id="16" w:name="_Hlk72257167"/>
    </w:p>
    <w:bookmarkEnd w:id="16"/>
    <w:p>
      <w:pPr>
        <w:widowControl/>
        <w:spacing w:line="320" w:lineRule="atLeast"/>
        <w:jc w:val="left"/>
        <w:outlineLvl w:val="2"/>
        <w:rPr>
          <w:rFonts w:ascii="宋体" w:eastAsia="黑体" w:hAnsi="宋体" w:hint="eastAsia"/>
          <w:bCs/>
          <w:kern w:val="44"/>
          <w:lang w:eastAsia="zh-CN"/>
        </w:rPr>
      </w:pPr>
      <w:r>
        <w:rPr>
          <w:rFonts w:ascii="宋体" w:eastAsia="黑体" w:hAnsi="宋体" w:hint="eastAsia"/>
          <w:bCs/>
          <w:kern w:val="44"/>
          <w:lang w:eastAsia="zh-CN"/>
        </w:rPr>
        <w:t>投标文件组成：</w:t>
      </w:r>
    </w:p>
    <w:p>
      <w:pPr>
        <w:widowControl w:val="0"/>
        <w:ind w:firstLine="1200" w:firstLineChars="500"/>
        <w:jc w:val="both"/>
        <w:outlineLvl w:val="0"/>
        <w:rPr>
          <w:rFonts w:ascii="宋体" w:eastAsia="宋体" w:hAnsi="宋体" w:hint="eastAsia"/>
          <w:kern w:val="2"/>
          <w:szCs w:val="22"/>
          <w:lang w:eastAsia="zh-CN"/>
        </w:rPr>
      </w:pPr>
      <w:bookmarkStart w:id="17" w:name="_Hlk72257771"/>
      <w:r>
        <w:rPr>
          <w:rFonts w:ascii="宋体" w:eastAsia="宋体" w:hAnsi="宋体" w:cs="Times New Roman" w:hint="eastAsia"/>
          <w:kern w:val="2"/>
          <w:szCs w:val="22"/>
          <w:lang w:eastAsia="zh-CN"/>
        </w:rPr>
        <w:t>1.投标文件正文，主要包括以下内容：</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（1）</w:t>
      </w:r>
      <w:bookmarkStart w:id="18" w:name="_Hlk72070784"/>
      <w:r>
        <w:rPr>
          <w:rFonts w:ascii="Calibri" w:eastAsia="宋体" w:hAnsi="Calibri" w:cs="Times New Roman" w:hint="eastAsia"/>
          <w:kern w:val="2"/>
          <w:sz w:val="21"/>
          <w:szCs w:val="21"/>
          <w:lang w:eastAsia="zh-CN"/>
        </w:rPr>
        <w:t>投标函</w:t>
      </w:r>
      <w:bookmarkEnd w:id="18"/>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（2）</w:t>
      </w:r>
      <w:bookmarkStart w:id="19" w:name="_Hlk72062521"/>
      <w:r>
        <w:rPr>
          <w:rFonts w:ascii="Calibri" w:eastAsia="宋体" w:hAnsi="Calibri" w:cs="Times New Roman" w:hint="eastAsia"/>
          <w:kern w:val="2"/>
          <w:sz w:val="21"/>
          <w:szCs w:val="21"/>
          <w:lang w:eastAsia="zh-CN"/>
        </w:rPr>
        <w:t>政府采购投标及履约承诺函</w:t>
      </w:r>
      <w:bookmarkEnd w:id="19"/>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w:t>
      </w:r>
      <w:r>
        <w:rPr>
          <w:rFonts w:ascii="Calibri" w:eastAsia="宋体" w:hAnsi="Calibri" w:cs="Times New Roman"/>
          <w:kern w:val="2"/>
          <w:sz w:val="21"/>
          <w:szCs w:val="21"/>
          <w:lang w:eastAsia="zh-CN"/>
        </w:rPr>
        <w:t>3</w:t>
      </w:r>
      <w:r>
        <w:rPr>
          <w:rFonts w:ascii="Calibri" w:eastAsia="宋体" w:hAnsi="Calibri" w:cs="Times New Roman" w:hint="eastAsia"/>
          <w:kern w:val="2"/>
          <w:sz w:val="21"/>
          <w:szCs w:val="21"/>
          <w:lang w:eastAsia="zh-CN"/>
        </w:rPr>
        <w:t>）投标人情况及资格证明文件</w:t>
      </w:r>
    </w:p>
    <w:p>
      <w:pPr>
        <w:widowControl w:val="0"/>
        <w:ind w:left="821" w:firstLine="1418" w:leftChars="342" w:firstLineChars="675"/>
        <w:jc w:val="both"/>
        <w:rPr>
          <w:rFonts w:ascii="Calibri" w:eastAsia="宋体" w:hAnsi="Calibri"/>
          <w:kern w:val="2"/>
          <w:sz w:val="21"/>
          <w:szCs w:val="21"/>
          <w:lang w:eastAsia="zh-CN"/>
        </w:rPr>
      </w:pPr>
      <w:bookmarkStart w:id="20" w:name="_Hlk72257201"/>
      <w:r>
        <w:rPr>
          <w:rFonts w:ascii="Calibri" w:eastAsia="宋体" w:hAnsi="Calibri" w:cs="Times New Roman" w:hint="eastAsia"/>
          <w:kern w:val="2"/>
          <w:sz w:val="21"/>
          <w:szCs w:val="21"/>
          <w:lang w:eastAsia="zh-CN"/>
        </w:rPr>
        <w:t>（</w:t>
      </w:r>
      <w:r>
        <w:rPr>
          <w:rFonts w:ascii="Calibri" w:eastAsia="宋体" w:hAnsi="Calibri" w:cs="Times New Roman"/>
          <w:kern w:val="2"/>
          <w:sz w:val="21"/>
          <w:szCs w:val="21"/>
          <w:lang w:eastAsia="zh-CN"/>
        </w:rPr>
        <w:t>4</w:t>
      </w:r>
      <w:r>
        <w:rPr>
          <w:rFonts w:ascii="Calibri" w:eastAsia="宋体" w:hAnsi="Calibri" w:cs="Times New Roman" w:hint="eastAsia"/>
          <w:kern w:val="2"/>
          <w:sz w:val="21"/>
          <w:szCs w:val="21"/>
          <w:lang w:eastAsia="zh-CN"/>
        </w:rPr>
        <w:t>）</w:t>
      </w:r>
      <w:bookmarkStart w:id="21" w:name="OLE_LINK6"/>
      <w:r>
        <w:rPr>
          <w:rFonts w:ascii="Calibri" w:eastAsia="宋体" w:hAnsi="Calibri" w:cs="Times New Roman" w:hint="eastAsia"/>
          <w:kern w:val="2"/>
          <w:sz w:val="21"/>
          <w:szCs w:val="21"/>
          <w:lang w:eastAsia="zh-CN"/>
        </w:rPr>
        <w:t>项目详细报价</w:t>
      </w:r>
      <w:bookmarkEnd w:id="21"/>
    </w:p>
    <w:bookmarkEnd w:id="20"/>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imes New Roman" w:hint="eastAsia"/>
          <w:kern w:val="2"/>
          <w:sz w:val="21"/>
          <w:szCs w:val="21"/>
          <w:lang w:eastAsia="zh-CN"/>
        </w:rPr>
        <w:t>（5）</w:t>
      </w:r>
      <w:bookmarkStart w:id="22" w:name="OLE_LINK10"/>
      <w:r>
        <w:rPr>
          <w:rFonts w:ascii="Calibri" w:eastAsia="宋体" w:hAnsi="Calibri" w:cs="Times New Roman" w:hint="eastAsia"/>
          <w:kern w:val="2"/>
          <w:sz w:val="21"/>
          <w:szCs w:val="21"/>
          <w:lang w:eastAsia="zh-CN"/>
        </w:rPr>
        <w:t>供应商情况表</w:t>
      </w:r>
      <w:bookmarkEnd w:id="22"/>
    </w:p>
    <w:p>
      <w:pPr>
        <w:widowControl w:val="0"/>
        <w:ind w:firstLine="1200" w:firstLineChars="500"/>
        <w:jc w:val="both"/>
        <w:outlineLvl w:val="0"/>
        <w:rPr>
          <w:rFonts w:ascii="宋体" w:eastAsia="宋体" w:hAnsi="宋体" w:hint="eastAsia"/>
          <w:kern w:val="2"/>
          <w:szCs w:val="22"/>
          <w:lang w:eastAsia="zh-CN"/>
        </w:rPr>
      </w:pPr>
      <w:r>
        <w:rPr>
          <w:rFonts w:ascii="宋体" w:eastAsia="宋体" w:hAnsi="宋体" w:cs="Times New Roman" w:hint="eastAsia"/>
          <w:kern w:val="2"/>
          <w:szCs w:val="22"/>
          <w:lang w:eastAsia="zh-CN"/>
        </w:rPr>
        <w:t>2.投标文件附件：主要包括以下内容：</w:t>
      </w:r>
    </w:p>
    <w:p>
      <w:pPr>
        <w:widowControl w:val="0"/>
        <w:ind w:firstLine="2310" w:firstLineChars="1100"/>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（1）法定代表人（负责人）证明书</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（2）</w:t>
      </w:r>
      <w:bookmarkStart w:id="23" w:name="OLE_LINK11"/>
      <w:r>
        <w:rPr>
          <w:rFonts w:ascii="Calibri" w:eastAsia="宋体" w:hAnsi="Calibri" w:cs="Times New Roman" w:hint="eastAsia"/>
          <w:kern w:val="2"/>
          <w:sz w:val="21"/>
          <w:szCs w:val="21"/>
          <w:lang w:eastAsia="zh-CN"/>
        </w:rPr>
        <w:t>投标文件签署授权委托书</w:t>
      </w:r>
      <w:bookmarkEnd w:id="23"/>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（3）实质性条款响应情况表</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w:t>
      </w:r>
      <w:r>
        <w:rPr>
          <w:rFonts w:ascii="Calibri" w:eastAsia="宋体" w:hAnsi="Calibri" w:cs="Times New Roman"/>
          <w:kern w:val="2"/>
          <w:sz w:val="21"/>
          <w:szCs w:val="21"/>
          <w:lang w:eastAsia="zh-CN"/>
        </w:rPr>
        <w:t>4</w:t>
      </w:r>
      <w:r>
        <w:rPr>
          <w:rFonts w:ascii="Calibri" w:eastAsia="宋体" w:hAnsi="Calibri" w:cs="Times New Roman" w:hint="eastAsia"/>
          <w:kern w:val="2"/>
          <w:sz w:val="21"/>
          <w:szCs w:val="21"/>
          <w:lang w:eastAsia="zh-CN"/>
        </w:rPr>
        <w:t>）</w:t>
      </w:r>
      <w:bookmarkStart w:id="24" w:name="OLE_LINK14"/>
      <w:r>
        <w:rPr>
          <w:rFonts w:ascii="Calibri" w:eastAsia="宋体" w:hAnsi="Calibri" w:cs="Times New Roman" w:hint="eastAsia"/>
          <w:kern w:val="2"/>
          <w:sz w:val="21"/>
          <w:szCs w:val="21"/>
          <w:lang w:eastAsia="zh-CN"/>
        </w:rPr>
        <w:t>商务要求偏离表</w:t>
      </w:r>
      <w:bookmarkEnd w:id="24"/>
      <w:r>
        <w:rPr>
          <w:rFonts w:ascii="Calibri" w:eastAsia="宋体" w:hAnsi="Calibri" w:cs="Times New Roman" w:hint="eastAsia"/>
          <w:kern w:val="2"/>
          <w:sz w:val="21"/>
          <w:szCs w:val="21"/>
          <w:lang w:eastAsia="zh-CN"/>
        </w:rPr>
        <w:tab/>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w:t>
      </w:r>
      <w:r>
        <w:rPr>
          <w:rFonts w:ascii="Calibri" w:eastAsia="宋体" w:hAnsi="Calibri" w:cs="Times New Roman"/>
          <w:kern w:val="2"/>
          <w:sz w:val="21"/>
          <w:szCs w:val="21"/>
          <w:lang w:eastAsia="zh-CN"/>
        </w:rPr>
        <w:t>5</w:t>
      </w:r>
      <w:r>
        <w:rPr>
          <w:rFonts w:ascii="Calibri" w:eastAsia="宋体" w:hAnsi="Calibri" w:cs="Times New Roman" w:hint="eastAsia"/>
          <w:kern w:val="2"/>
          <w:sz w:val="21"/>
          <w:szCs w:val="21"/>
          <w:lang w:eastAsia="zh-CN"/>
        </w:rPr>
        <w:t>）技术要求偏离表</w:t>
      </w:r>
    </w:p>
    <w:p>
      <w:pPr>
        <w:widowControl w:val="0"/>
        <w:ind w:left="821" w:firstLine="1418" w:leftChars="342" w:firstLineChars="675"/>
        <w:jc w:val="both"/>
        <w:rPr>
          <w:rFonts w:ascii="Calibri" w:eastAsia="宋体" w:hAnsi="Calibri" w:hint="default"/>
          <w:kern w:val="2"/>
          <w:sz w:val="21"/>
          <w:szCs w:val="21"/>
          <w:lang w:val="en-US" w:eastAsia="zh-CN"/>
        </w:rPr>
      </w:pPr>
      <w:r>
        <w:rPr>
          <w:rFonts w:ascii="Calibri" w:eastAsia="宋体" w:hAnsi="Calibri" w:cs="Times New Roman" w:hint="eastAsia"/>
          <w:kern w:val="2"/>
          <w:sz w:val="21"/>
          <w:szCs w:val="21"/>
          <w:lang w:eastAsia="zh-CN"/>
        </w:rPr>
        <w:t>（6）</w:t>
      </w:r>
      <w:r>
        <w:rPr>
          <w:rFonts w:ascii="Calibri" w:eastAsia="宋体" w:hAnsi="Calibri" w:cs="Times New Roman" w:hint="eastAsia"/>
          <w:kern w:val="2"/>
          <w:sz w:val="21"/>
          <w:szCs w:val="21"/>
          <w:lang w:val="en-US" w:eastAsia="zh-CN"/>
        </w:rPr>
        <w:t>项目实施方案</w:t>
      </w:r>
    </w:p>
    <w:p>
      <w:pPr>
        <w:widowControl w:val="0"/>
        <w:ind w:left="821" w:firstLine="1418" w:leftChars="342" w:firstLineChars="675"/>
        <w:jc w:val="both"/>
        <w:rPr>
          <w:rFonts w:ascii="Calibri" w:eastAsia="宋体" w:hAnsi="Calibri" w:hint="default"/>
          <w:kern w:val="2"/>
          <w:sz w:val="21"/>
          <w:szCs w:val="21"/>
          <w:lang w:val="en-US" w:eastAsia="zh-CN"/>
        </w:rPr>
      </w:pPr>
      <w:r>
        <w:rPr>
          <w:rFonts w:ascii="Calibri" w:eastAsia="宋体" w:hAnsi="Calibri" w:cs="Times New Roman" w:hint="eastAsia"/>
          <w:kern w:val="2"/>
          <w:sz w:val="21"/>
          <w:szCs w:val="21"/>
          <w:lang w:eastAsia="zh-CN"/>
        </w:rPr>
        <w:t>（7）</w:t>
      </w:r>
      <w:r>
        <w:rPr>
          <w:rFonts w:ascii="Calibri" w:eastAsia="宋体" w:hAnsi="Calibri" w:cs="Times New Roman" w:hint="eastAsia"/>
          <w:kern w:val="2"/>
          <w:sz w:val="21"/>
          <w:szCs w:val="21"/>
          <w:lang w:val="en-US" w:eastAsia="zh-CN"/>
        </w:rPr>
        <w:t>售后服务方案</w:t>
      </w:r>
    </w:p>
    <w:p>
      <w:pPr>
        <w:widowControl w:val="0"/>
        <w:ind w:left="821" w:firstLine="1418" w:leftChars="342" w:firstLineChars="675"/>
        <w:jc w:val="both"/>
        <w:rPr>
          <w:rFonts w:ascii="Calibri" w:eastAsia="宋体" w:hAnsi="Calibri" w:hint="default"/>
          <w:kern w:val="2"/>
          <w:sz w:val="21"/>
          <w:szCs w:val="21"/>
          <w:lang w:val="en-US" w:eastAsia="zh-CN"/>
        </w:rPr>
      </w:pPr>
      <w:r>
        <w:rPr>
          <w:rFonts w:ascii="Calibri" w:eastAsia="宋体" w:hAnsi="Calibri" w:cs="Times New Roman" w:hint="eastAsia"/>
          <w:kern w:val="2"/>
          <w:sz w:val="21"/>
          <w:szCs w:val="21"/>
          <w:lang w:eastAsia="zh-CN"/>
        </w:rPr>
        <w:t>（8）</w:t>
      </w:r>
      <w:r>
        <w:rPr>
          <w:rFonts w:ascii="Calibri" w:eastAsia="宋体" w:hAnsi="Calibri" w:cs="Times New Roman" w:hint="eastAsia"/>
          <w:kern w:val="2"/>
          <w:sz w:val="21"/>
          <w:szCs w:val="21"/>
          <w:lang w:val="en-US" w:eastAsia="zh-CN"/>
        </w:rPr>
        <w:t>同类项目业绩</w:t>
      </w:r>
    </w:p>
    <w:p>
      <w:pPr>
        <w:widowControl w:val="0"/>
        <w:ind w:left="821" w:firstLine="1418" w:leftChars="342" w:firstLineChars="675"/>
        <w:jc w:val="both"/>
        <w:rPr>
          <w:rFonts w:ascii="Calibri" w:eastAsia="宋体" w:hAnsi="Calibri" w:hint="default"/>
          <w:kern w:val="2"/>
          <w:sz w:val="21"/>
          <w:szCs w:val="21"/>
          <w:lang w:val="en-US" w:eastAsia="zh-CN"/>
        </w:rPr>
      </w:pPr>
      <w:r>
        <w:rPr>
          <w:rFonts w:ascii="Calibri" w:eastAsia="宋体" w:hAnsi="Calibri" w:cs="Times New Roman" w:hint="eastAsia"/>
          <w:kern w:val="2"/>
          <w:sz w:val="21"/>
          <w:szCs w:val="21"/>
          <w:lang w:eastAsia="zh-CN"/>
        </w:rPr>
        <w:t>（9）</w:t>
      </w:r>
      <w:r>
        <w:rPr>
          <w:rFonts w:ascii="Calibri" w:eastAsia="宋体" w:hAnsi="Calibri" w:cs="Times New Roman" w:hint="eastAsia"/>
          <w:kern w:val="2"/>
          <w:sz w:val="21"/>
          <w:szCs w:val="21"/>
          <w:lang w:val="en-US" w:eastAsia="zh-CN"/>
        </w:rPr>
        <w:t>履约评价情况</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imes New Roman" w:hint="eastAsia"/>
          <w:kern w:val="2"/>
          <w:sz w:val="21"/>
          <w:szCs w:val="21"/>
          <w:lang w:eastAsia="zh-CN"/>
        </w:rPr>
        <w:t>（10）</w:t>
      </w:r>
      <w:r>
        <w:rPr>
          <w:rFonts w:ascii="Calibri" w:eastAsia="宋体" w:hAnsi="Calibri" w:cs="Times New Roman" w:hint="eastAsia"/>
          <w:kern w:val="2"/>
          <w:sz w:val="21"/>
          <w:szCs w:val="21"/>
          <w:lang w:val="en-US" w:eastAsia="zh-CN"/>
        </w:rPr>
        <w:t>厂家针对本项目的保证</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（1</w:t>
      </w:r>
      <w:r>
        <w:rPr>
          <w:rFonts w:ascii="Calibri" w:eastAsia="宋体" w:hAnsi="Calibri" w:cs="Times New Roman" w:hint="eastAsia"/>
          <w:kern w:val="2"/>
          <w:sz w:val="21"/>
          <w:szCs w:val="21"/>
          <w:lang w:val="en-US" w:eastAsia="zh-CN"/>
        </w:rPr>
        <w:t>1</w:t>
      </w:r>
      <w:r>
        <w:rPr>
          <w:rFonts w:ascii="Calibri" w:eastAsia="宋体" w:hAnsi="Calibri" w:cs="Times New Roman" w:hint="eastAsia"/>
          <w:kern w:val="2"/>
          <w:sz w:val="21"/>
          <w:szCs w:val="21"/>
          <w:lang w:eastAsia="zh-CN"/>
        </w:rPr>
        <w:t>）</w:t>
      </w:r>
      <w:bookmarkStart w:id="25" w:name="OLE_LINK13"/>
      <w:r>
        <w:rPr>
          <w:rFonts w:ascii="Calibri" w:eastAsia="宋体" w:hAnsi="Calibri" w:cs="Times New Roman" w:hint="eastAsia"/>
          <w:kern w:val="2"/>
          <w:sz w:val="21"/>
          <w:szCs w:val="21"/>
          <w:lang w:eastAsia="zh-CN"/>
        </w:rPr>
        <w:t>投标人认为需要加以说明的其他内容</w:t>
      </w:r>
      <w:bookmarkEnd w:id="25"/>
    </w:p>
    <w:p>
      <w:pPr>
        <w:widowControl w:val="0"/>
        <w:ind w:left="821" w:firstLine="1418" w:leftChars="342" w:firstLineChars="675"/>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w:t>
      </w:r>
    </w:p>
    <w:p>
      <w:pPr>
        <w:widowControl w:val="0"/>
        <w:spacing w:line="320" w:lineRule="atLeast"/>
        <w:jc w:val="both"/>
        <w:rPr>
          <w:rFonts w:ascii="宋体" w:eastAsia="宋体" w:hAnsi="宋体" w:hint="eastAsia"/>
          <w:b/>
          <w:kern w:val="2"/>
          <w:lang w:eastAsia="zh-CN"/>
        </w:rPr>
      </w:pPr>
      <w:r>
        <w:rPr>
          <w:rFonts w:ascii="宋体" w:eastAsia="宋体" w:hAnsi="宋体" w:cs="Times New Roman" w:hint="eastAsia"/>
          <w:b/>
          <w:kern w:val="2"/>
          <w:lang w:eastAsia="zh-CN"/>
        </w:rPr>
        <w:t>备注：</w:t>
      </w:r>
    </w:p>
    <w:p>
      <w:pPr>
        <w:widowControl w:val="0"/>
        <w:snapToGrid w:val="0"/>
        <w:spacing w:line="320" w:lineRule="atLeast"/>
        <w:ind w:firstLine="480" w:firstLineChars="200"/>
        <w:jc w:val="both"/>
        <w:rPr>
          <w:rFonts w:ascii="宋体" w:eastAsia="宋体" w:hAnsi="宋体" w:hint="eastAsia"/>
          <w:b/>
          <w:kern w:val="2"/>
          <w:lang w:eastAsia="zh-CN"/>
        </w:rPr>
      </w:pPr>
      <w:r>
        <w:rPr>
          <w:rFonts w:ascii="宋体" w:eastAsia="宋体" w:hAnsi="宋体" w:cs="Times New Roman" w:hint="eastAsia"/>
          <w:b/>
          <w:kern w:val="2"/>
          <w:lang w:eastAsia="zh-CN"/>
        </w:rPr>
        <w:t>1.本项目为网上电子投标项目，投标文件不需法人或授权委托人另行签字，无需加盖单位公章，招标文件另有规定的除外。</w:t>
      </w:r>
    </w:p>
    <w:p>
      <w:pPr>
        <w:widowControl w:val="0"/>
        <w:snapToGrid w:val="0"/>
        <w:spacing w:after="60" w:afterLines="25"/>
        <w:ind w:firstLine="480" w:firstLineChars="200"/>
        <w:jc w:val="both"/>
        <w:rPr>
          <w:rFonts w:ascii="宋体" w:eastAsia="黑体" w:hAnsi="宋体" w:hint="eastAsia"/>
          <w:bCs/>
          <w:kern w:val="44"/>
          <w:sz w:val="32"/>
          <w:szCs w:val="32"/>
          <w:lang w:eastAsia="zh-CN"/>
        </w:rPr>
      </w:pPr>
      <w:bookmarkStart w:id="26" w:name="_Hlk72263559"/>
      <w:r>
        <w:rPr>
          <w:rFonts w:ascii="宋体" w:eastAsia="宋体" w:hAnsi="宋体" w:cs="Times New Roman" w:hint="eastAsia"/>
          <w:b/>
          <w:kern w:val="2"/>
          <w:lang w:eastAsia="zh-CN"/>
        </w:rPr>
        <w:t>2.关于填写“开标一览表”的说明：“开标一览表”中除“投标总价”外，其他信息不作评审依据。</w:t>
      </w:r>
      <w:bookmarkEnd w:id="17"/>
      <w:bookmarkEnd w:id="26"/>
      <w:r>
        <w:rPr>
          <w:rFonts w:ascii="宋体" w:eastAsia="黑体" w:hAnsi="宋体"/>
          <w:bCs/>
          <w:kern w:val="44"/>
          <w:sz w:val="32"/>
          <w:szCs w:val="32"/>
          <w:lang w:eastAsia="zh-CN"/>
        </w:rPr>
        <w:br w:type="page"/>
      </w:r>
    </w:p>
    <w:p>
      <w:pPr>
        <w:widowControl/>
        <w:jc w:val="left"/>
        <w:outlineLvl w:val="2"/>
        <w:rPr>
          <w:rFonts w:ascii="宋体" w:eastAsia="宋体" w:hAnsi="宋体" w:cs="宋体" w:hint="eastAsia"/>
          <w:b/>
          <w:color w:val="FF0000"/>
          <w:sz w:val="32"/>
          <w:szCs w:val="32"/>
          <w:lang w:eastAsia="zh-CN"/>
        </w:rPr>
      </w:pPr>
      <w:r>
        <w:rPr>
          <w:rFonts w:ascii="宋体" w:eastAsia="宋体" w:hAnsi="宋体" w:cs="宋体" w:hint="eastAsia"/>
          <w:b/>
          <w:color w:val="FF0000"/>
          <w:sz w:val="32"/>
          <w:szCs w:val="32"/>
          <w:lang w:eastAsia="zh-CN"/>
        </w:rPr>
        <w:t>（一）投标文件正文</w:t>
      </w:r>
    </w:p>
    <w:p>
      <w:pPr>
        <w:keepNext/>
        <w:keepLines/>
        <w:widowControl w:val="0"/>
        <w:spacing w:before="260" w:after="260" w:line="240" w:lineRule="auto"/>
        <w:jc w:val="center"/>
        <w:outlineLvl w:val="2"/>
        <w:rPr>
          <w:rFonts w:ascii="黑体" w:eastAsia="黑体" w:hAnsi="宋体" w:hint="eastAsia"/>
          <w:bCs/>
          <w:kern w:val="2"/>
          <w:szCs w:val="32"/>
          <w:lang w:eastAsia="zh-CN"/>
        </w:rPr>
      </w:pPr>
      <w:r>
        <w:rPr>
          <w:rFonts w:ascii="黑体" w:eastAsia="黑体" w:hAnsi="宋体" w:cs="Times New Roman" w:hint="eastAsia"/>
          <w:bCs/>
          <w:kern w:val="2"/>
          <w:szCs w:val="32"/>
          <w:lang w:eastAsia="zh-CN"/>
        </w:rPr>
        <w:t>一、投标函</w:t>
      </w:r>
    </w:p>
    <w:p>
      <w:pPr>
        <w:widowControl w:val="0"/>
        <w:spacing w:line="360" w:lineRule="auto"/>
        <w:jc w:val="both"/>
        <w:rPr>
          <w:rFonts w:ascii="宋体" w:eastAsia="宋体" w:hAnsi="宋体" w:hint="eastAsia"/>
          <w:kern w:val="2"/>
          <w:sz w:val="21"/>
          <w:szCs w:val="21"/>
          <w:lang w:eastAsia="zh-CN"/>
        </w:rPr>
      </w:pPr>
      <w:bookmarkStart w:id="27" w:name="_Hlk72257506"/>
      <w:r>
        <w:rPr>
          <w:rFonts w:ascii="宋体" w:eastAsia="宋体" w:hAnsi="宋体" w:cs="Times New Roman" w:hint="eastAsia"/>
          <w:kern w:val="2"/>
          <w:sz w:val="21"/>
          <w:szCs w:val="21"/>
          <w:lang w:eastAsia="zh-CN"/>
        </w:rPr>
        <w:t>致：</w:t>
      </w:r>
      <w:r>
        <w:rPr>
          <w:rFonts w:ascii="宋体" w:eastAsia="宋体" w:hAnsi="宋体" w:cs="Times New Roman" w:hint="eastAsia"/>
          <w:kern w:val="2"/>
          <w:sz w:val="21"/>
          <w:szCs w:val="21"/>
          <w:u w:val="single"/>
          <w:lang w:eastAsia="zh-CN"/>
        </w:rPr>
        <w:t xml:space="preserve">  </w:t>
      </w:r>
      <w:r>
        <w:rPr>
          <w:rFonts w:ascii="宋体" w:eastAsia="宋体" w:hAnsi="宋体" w:cs="Times New Roman" w:hint="eastAsia"/>
          <w:color w:val="FF0000"/>
          <w:kern w:val="2"/>
          <w:sz w:val="21"/>
          <w:szCs w:val="21"/>
          <w:u w:val="single"/>
          <w:lang w:eastAsia="zh-CN"/>
        </w:rPr>
        <w:t>深圳公共资源交易中心</w:t>
      </w:r>
      <w:r>
        <w:rPr>
          <w:rFonts w:ascii="宋体" w:eastAsia="宋体" w:hAnsi="宋体" w:cs="Times New Roman" w:hint="eastAsia"/>
          <w:kern w:val="2"/>
          <w:sz w:val="21"/>
          <w:szCs w:val="21"/>
          <w:u w:val="single"/>
          <w:lang w:eastAsia="zh-CN"/>
        </w:rPr>
        <w:t xml:space="preserve">  </w:t>
      </w:r>
    </w:p>
    <w:p>
      <w:pPr>
        <w:widowControl w:val="0"/>
        <w:ind w:firstLine="420" w:firstLineChars="200"/>
        <w:jc w:val="both"/>
        <w:rPr>
          <w:rFonts w:ascii="宋体" w:eastAsia="宋体" w:hAnsi="宋体" w:hint="eastAsia"/>
          <w:kern w:val="2"/>
          <w:sz w:val="21"/>
          <w:szCs w:val="21"/>
          <w:lang w:eastAsia="zh-CN"/>
        </w:rPr>
      </w:pPr>
      <w:bookmarkStart w:id="28" w:name="_Hlk73818812"/>
      <w:r>
        <w:rPr>
          <w:rFonts w:ascii="Calibri" w:eastAsia="宋体" w:hAnsi="Calibri" w:cs="Times New Roman" w:hint="eastAsia"/>
          <w:kern w:val="2"/>
          <w:sz w:val="21"/>
          <w:szCs w:val="21"/>
          <w:lang w:eastAsia="zh-CN"/>
        </w:rPr>
        <w:t>1、根据已收到贵单位的项目编号为</w:t>
      </w:r>
      <w:r>
        <w:rPr>
          <w:rFonts w:ascii="Calibri" w:eastAsia="宋体" w:hAnsi="Calibri" w:cs="Times New Roman" w:hint="eastAsia"/>
          <w:kern w:val="2"/>
          <w:sz w:val="21"/>
          <w:szCs w:val="21"/>
          <w:u w:val="thick"/>
          <w:lang w:eastAsia="zh-CN"/>
        </w:rPr>
        <w:t xml:space="preserve">                 </w:t>
      </w:r>
      <w:r>
        <w:rPr>
          <w:rFonts w:ascii="Calibri" w:eastAsia="宋体" w:hAnsi="Calibri" w:cs="Times New Roman" w:hint="eastAsia"/>
          <w:kern w:val="2"/>
          <w:sz w:val="21"/>
          <w:szCs w:val="21"/>
          <w:lang w:eastAsia="zh-CN"/>
        </w:rPr>
        <w:t>的</w:t>
      </w:r>
      <w:r>
        <w:rPr>
          <w:rFonts w:ascii="Calibri" w:eastAsia="宋体" w:hAnsi="Calibri" w:cs="Times New Roman" w:hint="eastAsia"/>
          <w:kern w:val="2"/>
          <w:sz w:val="21"/>
          <w:szCs w:val="21"/>
          <w:u w:val="thick"/>
          <w:lang w:eastAsia="zh-CN"/>
        </w:rPr>
        <w:t xml:space="preserve">   （项目名称）   </w:t>
      </w:r>
      <w:r>
        <w:rPr>
          <w:rFonts w:ascii="Calibri" w:eastAsia="宋体" w:hAnsi="Calibri" w:cs="Times New Roman"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29" w:name="_Hlk72263588"/>
      <w:r>
        <w:rPr>
          <w:rFonts w:ascii="Calibri" w:eastAsia="宋体" w:hAnsi="Calibri" w:cs="Times New Roman" w:hint="eastAsia"/>
          <w:kern w:val="2"/>
          <w:sz w:val="21"/>
          <w:szCs w:val="21"/>
          <w:lang w:eastAsia="zh-CN"/>
        </w:rPr>
        <w:t>愿意按照招标文件要求承包上述项目并修补其任何缺陷。</w:t>
      </w:r>
      <w:bookmarkEnd w:id="29"/>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kern w:val="2"/>
          <w:sz w:val="21"/>
          <w:szCs w:val="21"/>
          <w:lang w:eastAsia="zh-CN"/>
        </w:rPr>
        <w:t>2</w:t>
      </w:r>
      <w:r>
        <w:rPr>
          <w:rFonts w:ascii="宋体" w:eastAsia="宋体" w:hAnsi="宋体" w:cs="Times New Roman" w:hint="eastAsia"/>
          <w:kern w:val="2"/>
          <w:sz w:val="21"/>
          <w:szCs w:val="21"/>
          <w:lang w:eastAsia="zh-CN"/>
        </w:rPr>
        <w:t>、</w:t>
      </w:r>
      <w:bookmarkStart w:id="30" w:name="_Hlk73819847"/>
      <w:r>
        <w:rPr>
          <w:rFonts w:ascii="宋体" w:eastAsia="宋体" w:hAnsi="宋体" w:cs="Times New Roman" w:hint="eastAsia"/>
          <w:kern w:val="2"/>
          <w:sz w:val="21"/>
          <w:szCs w:val="21"/>
          <w:lang w:eastAsia="zh-CN"/>
        </w:rPr>
        <w:t>投标价格见</w:t>
      </w:r>
      <w:r>
        <w:rPr>
          <w:rFonts w:ascii="Calibri" w:eastAsia="宋体" w:hAnsi="Calibri" w:cs="Times New Roman" w:hint="eastAsia"/>
          <w:kern w:val="2"/>
          <w:sz w:val="21"/>
          <w:szCs w:val="21"/>
          <w:lang w:eastAsia="zh-CN"/>
        </w:rPr>
        <w:t>投标书编制软件中《开标一览表》中填写的投标总价。</w:t>
      </w:r>
      <w:bookmarkEnd w:id="30"/>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3、如果我单位中标，我单位将按照招标文件的要求足额提交履约担保。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5、除非另外达成协议并生效，贵单位的中标通知书和本投标文件将构成合同的重要内容。</w:t>
      </w:r>
    </w:p>
    <w:p>
      <w:pPr>
        <w:widowControl w:val="0"/>
        <w:ind w:left="480" w:left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6、我单位理解贵单位将不受必须接受所收到的最低报价或其它任何投标文件的约束。</w:t>
      </w:r>
      <w:bookmarkEnd w:id="28"/>
    </w:p>
    <w:p>
      <w:pPr>
        <w:widowControl w:val="0"/>
        <w:ind w:left="480" w:leftChars="200"/>
        <w:jc w:val="both"/>
        <w:rPr>
          <w:rFonts w:ascii="宋体" w:eastAsia="宋体" w:hAnsi="宋体" w:hint="eastAsia"/>
          <w:b/>
          <w:kern w:val="2"/>
          <w:sz w:val="21"/>
          <w:szCs w:val="21"/>
          <w:lang w:eastAsia="zh-CN"/>
        </w:rPr>
      </w:pPr>
      <w:r>
        <w:rPr>
          <w:rFonts w:ascii="宋体" w:eastAsia="宋体" w:hAnsi="宋体" w:cs="Times New Roman" w:hint="eastAsia"/>
          <w:b/>
          <w:kern w:val="2"/>
          <w:sz w:val="21"/>
          <w:szCs w:val="21"/>
          <w:lang w:eastAsia="zh-CN"/>
        </w:rPr>
        <w:t>7</w:t>
      </w:r>
      <w:r>
        <w:rPr>
          <w:rFonts w:ascii="宋体" w:eastAsia="宋体" w:hAnsi="宋体" w:cs="Times New Roman"/>
          <w:b/>
          <w:kern w:val="2"/>
          <w:sz w:val="21"/>
          <w:szCs w:val="21"/>
          <w:lang w:eastAsia="zh-CN"/>
        </w:rPr>
        <w:t>、如我单位提交样品，且未在规定时间内取回样品的，视同放弃取回，同意深圳公共资源交易中心对我单位提交的样品进行清理。</w:t>
      </w:r>
    </w:p>
    <w:p>
      <w:pPr>
        <w:widowControl w:val="0"/>
        <w:ind w:left="480" w:firstLine="210" w:leftChars="200" w:firstLineChars="100"/>
        <w:jc w:val="both"/>
        <w:rPr>
          <w:rFonts w:ascii="Calibri" w:eastAsia="宋体" w:hAnsi="Calibri"/>
          <w:kern w:val="2"/>
          <w:sz w:val="21"/>
          <w:szCs w:val="21"/>
          <w:lang w:eastAsia="zh-CN"/>
        </w:rPr>
      </w:pPr>
    </w:p>
    <w:p>
      <w:pPr>
        <w:widowControl w:val="0"/>
        <w:ind w:left="480" w:firstLine="210" w:leftChars="200" w:firstLineChars="100"/>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投标人：</w:t>
      </w:r>
      <w:r>
        <w:rPr>
          <w:rFonts w:ascii="Calibri" w:eastAsia="宋体" w:hAnsi="Calibri" w:cs="Times New Roman" w:hint="eastAsia"/>
          <w:kern w:val="2"/>
          <w:sz w:val="21"/>
          <w:szCs w:val="21"/>
          <w:u w:val="thick"/>
          <w:lang w:eastAsia="zh-CN"/>
        </w:rPr>
        <w:t xml:space="preserve">                   </w:t>
      </w:r>
      <w:r>
        <w:rPr>
          <w:rFonts w:ascii="Calibri" w:eastAsia="宋体" w:hAnsi="Calibri" w:cs="Times New Roman" w:hint="eastAsia"/>
          <w:kern w:val="2"/>
          <w:sz w:val="21"/>
          <w:szCs w:val="21"/>
          <w:lang w:eastAsia="zh-CN"/>
        </w:rPr>
        <w:t xml:space="preserve">  ；  </w:t>
      </w:r>
    </w:p>
    <w:p>
      <w:pPr>
        <w:widowControl w:val="0"/>
        <w:ind w:left="480" w:firstLine="210" w:leftChars="200" w:firstLineChars="100"/>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单位地址：</w:t>
      </w:r>
      <w:r>
        <w:rPr>
          <w:rFonts w:ascii="Calibri" w:eastAsia="宋体" w:hAnsi="Calibri" w:cs="Times New Roman" w:hint="eastAsia"/>
          <w:kern w:val="2"/>
          <w:sz w:val="21"/>
          <w:szCs w:val="21"/>
          <w:u w:val="thick"/>
          <w:lang w:eastAsia="zh-CN"/>
        </w:rPr>
        <w:t xml:space="preserve">                                            </w:t>
      </w:r>
      <w:r>
        <w:rPr>
          <w:rFonts w:ascii="Calibri" w:eastAsia="宋体" w:hAnsi="Calibri" w:cs="Times New Roman" w:hint="eastAsia"/>
          <w:kern w:val="2"/>
          <w:sz w:val="21"/>
          <w:szCs w:val="21"/>
          <w:lang w:eastAsia="zh-CN"/>
        </w:rPr>
        <w:t>；</w:t>
      </w:r>
    </w:p>
    <w:p>
      <w:pPr>
        <w:widowControl w:val="0"/>
        <w:ind w:left="480" w:firstLine="210" w:leftChars="200" w:firstLineChars="100"/>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法定代表人（负责人）或其授权委托代理人：</w:t>
      </w:r>
      <w:r>
        <w:rPr>
          <w:rFonts w:ascii="Calibri" w:eastAsia="宋体" w:hAnsi="Calibri" w:cs="Times New Roman" w:hint="eastAsia"/>
          <w:kern w:val="2"/>
          <w:sz w:val="21"/>
          <w:szCs w:val="21"/>
          <w:u w:val="thick"/>
          <w:lang w:eastAsia="zh-CN"/>
        </w:rPr>
        <w:t xml:space="preserve">                       </w:t>
      </w:r>
      <w:r>
        <w:rPr>
          <w:rFonts w:ascii="Calibri" w:eastAsia="宋体" w:hAnsi="Calibri" w:cs="Times New Roman" w:hint="eastAsia"/>
          <w:kern w:val="2"/>
          <w:sz w:val="21"/>
          <w:szCs w:val="21"/>
          <w:lang w:eastAsia="zh-CN"/>
        </w:rPr>
        <w:t>；</w:t>
      </w:r>
    </w:p>
    <w:p>
      <w:pPr>
        <w:widowControl w:val="0"/>
        <w:ind w:left="480" w:firstLine="210" w:leftChars="200" w:firstLineChars="100"/>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电话：</w:t>
      </w:r>
      <w:r>
        <w:rPr>
          <w:rFonts w:ascii="Calibri" w:eastAsia="宋体" w:hAnsi="Calibri" w:cs="Times New Roman" w:hint="eastAsia"/>
          <w:kern w:val="2"/>
          <w:sz w:val="21"/>
          <w:szCs w:val="21"/>
          <w:u w:val="thick"/>
          <w:lang w:eastAsia="zh-CN"/>
        </w:rPr>
        <w:t xml:space="preserve">           </w:t>
      </w:r>
      <w:r>
        <w:rPr>
          <w:rFonts w:ascii="Calibri" w:eastAsia="宋体" w:hAnsi="Calibri" w:cs="Times New Roman" w:hint="eastAsia"/>
          <w:kern w:val="2"/>
          <w:sz w:val="21"/>
          <w:szCs w:val="21"/>
          <w:lang w:eastAsia="zh-CN"/>
        </w:rPr>
        <w:t xml:space="preserve">；     </w:t>
      </w:r>
    </w:p>
    <w:p>
      <w:pPr>
        <w:widowControl w:val="0"/>
        <w:ind w:left="480" w:firstLine="210" w:leftChars="200" w:firstLineChars="100"/>
        <w:jc w:val="both"/>
        <w:rPr>
          <w:rFonts w:ascii="Calibri" w:eastAsia="宋体" w:hAnsi="Calibri"/>
          <w:kern w:val="2"/>
          <w:szCs w:val="22"/>
          <w:lang w:eastAsia="zh-CN"/>
        </w:rPr>
      </w:pPr>
      <w:r>
        <w:rPr>
          <w:rFonts w:ascii="宋体" w:eastAsia="宋体" w:hAnsi="宋体" w:cs="Times New Roman" w:hint="eastAsia"/>
          <w:kern w:val="2"/>
          <w:sz w:val="21"/>
          <w:szCs w:val="21"/>
          <w:lang w:eastAsia="zh-CN"/>
        </w:rPr>
        <w:t>日期：</w:t>
      </w:r>
      <w:r>
        <w:rPr>
          <w:rFonts w:ascii="宋体" w:eastAsia="宋体" w:hAnsi="宋体" w:cs="Times New Roman" w:hint="eastAsia"/>
          <w:kern w:val="2"/>
          <w:sz w:val="21"/>
          <w:szCs w:val="21"/>
          <w:u w:val="thick"/>
          <w:lang w:eastAsia="zh-CN"/>
        </w:rPr>
        <w:t xml:space="preserve">       </w:t>
      </w:r>
      <w:r>
        <w:rPr>
          <w:rFonts w:ascii="宋体" w:eastAsia="宋体" w:hAnsi="宋体" w:cs="Times New Roman" w:hint="eastAsia"/>
          <w:kern w:val="2"/>
          <w:sz w:val="21"/>
          <w:szCs w:val="21"/>
          <w:lang w:eastAsia="zh-CN"/>
        </w:rPr>
        <w:t>年</w:t>
      </w:r>
      <w:r>
        <w:rPr>
          <w:rFonts w:ascii="宋体" w:eastAsia="宋体" w:hAnsi="宋体" w:cs="Times New Roman" w:hint="eastAsia"/>
          <w:kern w:val="2"/>
          <w:sz w:val="21"/>
          <w:szCs w:val="21"/>
          <w:u w:val="thick"/>
          <w:lang w:eastAsia="zh-CN"/>
        </w:rPr>
        <w:t xml:space="preserve">     </w:t>
      </w:r>
      <w:r>
        <w:rPr>
          <w:rFonts w:ascii="宋体" w:eastAsia="宋体" w:hAnsi="宋体" w:cs="Times New Roman" w:hint="eastAsia"/>
          <w:kern w:val="2"/>
          <w:sz w:val="21"/>
          <w:szCs w:val="21"/>
          <w:lang w:eastAsia="zh-CN"/>
        </w:rPr>
        <w:t>月</w:t>
      </w:r>
      <w:r>
        <w:rPr>
          <w:rFonts w:ascii="宋体" w:eastAsia="宋体" w:hAnsi="宋体" w:cs="Times New Roman" w:hint="eastAsia"/>
          <w:kern w:val="2"/>
          <w:sz w:val="21"/>
          <w:szCs w:val="21"/>
          <w:u w:val="thick"/>
          <w:lang w:eastAsia="zh-CN"/>
        </w:rPr>
        <w:t xml:space="preserve">    </w:t>
      </w:r>
      <w:r>
        <w:rPr>
          <w:rFonts w:ascii="宋体" w:eastAsia="宋体" w:hAnsi="宋体" w:cs="Times New Roman" w:hint="eastAsia"/>
          <w:kern w:val="2"/>
          <w:sz w:val="21"/>
          <w:szCs w:val="21"/>
          <w:lang w:eastAsia="zh-CN"/>
        </w:rPr>
        <w:t>日</w:t>
      </w:r>
      <w:r>
        <w:rPr>
          <w:rFonts w:ascii="Calibri" w:eastAsia="宋体" w:hAnsi="Calibri" w:cs="Times New Roman" w:hint="eastAsia"/>
          <w:kern w:val="2"/>
          <w:szCs w:val="22"/>
          <w:lang w:eastAsia="zh-CN"/>
        </w:rPr>
        <w:t xml:space="preserve">                                </w:t>
      </w:r>
    </w:p>
    <w:p>
      <w:pPr>
        <w:widowControl w:val="0"/>
        <w:jc w:val="both"/>
        <w:rPr>
          <w:rFonts w:ascii="黑体" w:eastAsia="黑体" w:hAnsi="宋体" w:hint="eastAsia"/>
          <w:kern w:val="2"/>
          <w:sz w:val="21"/>
          <w:szCs w:val="22"/>
          <w:lang w:eastAsia="zh-CN"/>
        </w:rPr>
      </w:pPr>
    </w:p>
    <w:p>
      <w:pPr>
        <w:widowControl w:val="0"/>
        <w:jc w:val="both"/>
        <w:rPr>
          <w:rFonts w:ascii="黑体" w:eastAsia="黑体" w:hAnsi="宋体" w:hint="eastAsia"/>
          <w:kern w:val="2"/>
          <w:sz w:val="21"/>
          <w:szCs w:val="22"/>
          <w:lang w:eastAsia="zh-CN"/>
        </w:rPr>
      </w:pPr>
    </w:p>
    <w:bookmarkEnd w:id="27"/>
    <w:p>
      <w:pPr>
        <w:keepNext/>
        <w:keepLines/>
        <w:widowControl w:val="0"/>
        <w:spacing w:before="260" w:after="260" w:line="240" w:lineRule="auto"/>
        <w:jc w:val="center"/>
        <w:outlineLvl w:val="2"/>
        <w:rPr>
          <w:rFonts w:ascii="黑体" w:eastAsia="黑体" w:hAnsi="宋体" w:hint="eastAsia"/>
          <w:bCs/>
          <w:kern w:val="2"/>
          <w:szCs w:val="32"/>
          <w:lang w:eastAsia="zh-CN"/>
        </w:rPr>
      </w:pPr>
      <w:r>
        <w:rPr>
          <w:rFonts w:ascii="黑体" w:eastAsia="黑体" w:hAnsi="宋体" w:cs="Times New Roman" w:hint="eastAsia"/>
          <w:bCs/>
          <w:kern w:val="2"/>
          <w:szCs w:val="32"/>
          <w:lang w:eastAsia="zh-CN"/>
        </w:rPr>
        <w:t>二、政府采购投标及履约承诺函</w:t>
      </w:r>
    </w:p>
    <w:p>
      <w:pPr>
        <w:widowControl w:val="0"/>
        <w:jc w:val="both"/>
        <w:rPr>
          <w:rFonts w:ascii="宋体" w:eastAsia="宋体" w:hAnsi="宋体" w:hint="eastAsia"/>
          <w:color w:val="FF0000"/>
          <w:kern w:val="2"/>
          <w:sz w:val="21"/>
          <w:szCs w:val="21"/>
          <w:lang w:eastAsia="zh-CN"/>
        </w:rPr>
      </w:pPr>
      <w:bookmarkStart w:id="31" w:name="_Hlk72257530"/>
      <w:r>
        <w:rPr>
          <w:rFonts w:ascii="宋体" w:eastAsia="宋体" w:hAnsi="宋体" w:cs="Times New Roman" w:hint="eastAsia"/>
          <w:color w:val="FF0000"/>
          <w:kern w:val="2"/>
          <w:sz w:val="21"/>
          <w:szCs w:val="21"/>
          <w:lang w:eastAsia="zh-CN"/>
        </w:rPr>
        <w:t>致：</w:t>
      </w:r>
      <w:r>
        <w:rPr>
          <w:rFonts w:ascii="宋体" w:eastAsia="宋体" w:hAnsi="宋体" w:cs="Times New Roman" w:hint="eastAsia"/>
          <w:color w:val="FF0000"/>
          <w:kern w:val="2"/>
          <w:sz w:val="21"/>
          <w:szCs w:val="21"/>
          <w:u w:val="single"/>
          <w:lang w:eastAsia="zh-CN"/>
        </w:rPr>
        <w:t>深圳公共资源交易中心</w:t>
      </w:r>
    </w:p>
    <w:p>
      <w:pPr>
        <w:widowControl w:val="0"/>
        <w:ind w:right="-815" w:firstLine="420" w:firstLineChars="200"/>
        <w:jc w:val="both"/>
        <w:rPr>
          <w:rFonts w:ascii="宋体" w:eastAsia="宋体" w:hAnsi="宋体"/>
          <w:kern w:val="2"/>
          <w:sz w:val="21"/>
          <w:szCs w:val="21"/>
          <w:lang w:eastAsia="zh-CN"/>
        </w:rPr>
      </w:pPr>
      <w:r>
        <w:rPr>
          <w:rFonts w:ascii="宋体" w:eastAsia="宋体" w:hAnsi="宋体" w:cs="Times New Roman" w:hint="eastAsia"/>
          <w:kern w:val="2"/>
          <w:sz w:val="21"/>
          <w:szCs w:val="21"/>
          <w:lang w:eastAsia="zh-CN"/>
        </w:rPr>
        <w:t>我单位承诺：</w:t>
      </w:r>
    </w:p>
    <w:p>
      <w:pPr>
        <w:widowControl w:val="0"/>
        <w:ind w:firstLine="420" w:firstLineChars="200"/>
        <w:jc w:val="both"/>
        <w:rPr>
          <w:rFonts w:ascii="宋体" w:eastAsia="宋体" w:hAnsi="宋体"/>
          <w:kern w:val="2"/>
          <w:sz w:val="21"/>
          <w:szCs w:val="21"/>
          <w:lang w:eastAsia="zh-CN"/>
        </w:rPr>
      </w:pPr>
      <w:r>
        <w:rPr>
          <w:rFonts w:ascii="宋体" w:eastAsia="宋体" w:hAnsi="宋体" w:cs="Times New Roman" w:hint="eastAsia"/>
          <w:kern w:val="2"/>
          <w:sz w:val="21"/>
          <w:szCs w:val="21"/>
          <w:lang w:eastAsia="zh-CN"/>
        </w:rPr>
        <w:t>1.我单位参与本项目</w:t>
      </w:r>
      <w:r>
        <w:rPr>
          <w:rFonts w:ascii="宋体" w:eastAsia="宋体" w:hAnsi="宋体" w:cs="Times New Roman" w:hint="eastAsia"/>
          <w:kern w:val="2"/>
          <w:sz w:val="21"/>
          <w:szCs w:val="22"/>
          <w:lang w:eastAsia="zh-CN"/>
        </w:rPr>
        <w:t>所投标（响应）的货物、工程或服务，不存在侵犯知识产权的情况。</w:t>
      </w:r>
    </w:p>
    <w:p>
      <w:pPr>
        <w:widowControl w:val="0"/>
        <w:ind w:firstLine="420" w:firstLineChars="200"/>
        <w:jc w:val="both"/>
        <w:rPr>
          <w:rFonts w:ascii="宋体" w:eastAsia="宋体" w:hAnsi="宋体"/>
          <w:kern w:val="2"/>
          <w:sz w:val="21"/>
          <w:szCs w:val="21"/>
          <w:lang w:eastAsia="zh-CN"/>
        </w:rPr>
      </w:pPr>
      <w:r>
        <w:rPr>
          <w:rFonts w:ascii="宋体" w:eastAsia="宋体" w:hAnsi="宋体" w:cs="Times New Roman" w:hint="eastAsia"/>
          <w:kern w:val="2"/>
          <w:sz w:val="21"/>
          <w:szCs w:val="21"/>
          <w:lang w:eastAsia="zh-CN"/>
        </w:rPr>
        <w:t>2.我单位参与本项目</w:t>
      </w:r>
      <w:r>
        <w:rPr>
          <w:rFonts w:ascii="Calibri" w:eastAsia="宋体" w:hAnsi="Calibri" w:cs="Times New Roman" w:hint="eastAsia"/>
          <w:kern w:val="2"/>
          <w:sz w:val="21"/>
          <w:szCs w:val="22"/>
          <w:lang w:eastAsia="zh-CN"/>
        </w:rPr>
        <w:t>政府采购活动时不存在被有关部门禁止参与政府采购活动且在有效期内的情况。</w:t>
      </w:r>
    </w:p>
    <w:p>
      <w:pPr>
        <w:widowControl w:val="0"/>
        <w:ind w:firstLine="420" w:firstLineChars="200"/>
        <w:jc w:val="both"/>
        <w:rPr>
          <w:rFonts w:ascii="宋体" w:eastAsia="宋体" w:hAnsi="宋体"/>
          <w:kern w:val="2"/>
          <w:sz w:val="21"/>
          <w:szCs w:val="21"/>
          <w:lang w:eastAsia="zh-CN"/>
        </w:rPr>
      </w:pPr>
      <w:r>
        <w:rPr>
          <w:rFonts w:ascii="宋体" w:eastAsia="宋体" w:hAnsi="宋体" w:cs="Times New Roman" w:hint="eastAsia"/>
          <w:kern w:val="2"/>
          <w:sz w:val="21"/>
          <w:szCs w:val="21"/>
          <w:lang w:eastAsia="zh-CN"/>
        </w:rPr>
        <w:t>3.我单位具备《中华人民共和国政府采购法》第二十二条第一款规定的六项条件。</w:t>
      </w:r>
    </w:p>
    <w:p>
      <w:pPr>
        <w:widowControl w:val="0"/>
        <w:ind w:firstLine="420" w:firstLineChars="200"/>
        <w:jc w:val="both"/>
        <w:rPr>
          <w:rFonts w:ascii="Calibri" w:eastAsia="宋体" w:hAnsi="Calibri" w:hint="eastAsia"/>
          <w:kern w:val="2"/>
          <w:sz w:val="21"/>
          <w:szCs w:val="22"/>
          <w:lang w:eastAsia="zh-CN"/>
        </w:rPr>
      </w:pPr>
      <w:r>
        <w:rPr>
          <w:rFonts w:ascii="宋体" w:eastAsia="宋体" w:hAnsi="宋体" w:cs="Times New Roman" w:hint="eastAsia"/>
          <w:kern w:val="2"/>
          <w:sz w:val="21"/>
          <w:szCs w:val="21"/>
          <w:lang w:eastAsia="zh-CN"/>
        </w:rPr>
        <w:t>4.我单位</w:t>
      </w:r>
      <w:r>
        <w:rPr>
          <w:rFonts w:ascii="Calibri" w:eastAsia="宋体" w:hAnsi="Calibri" w:cs="Times New Roman" w:hint="eastAsia"/>
          <w:kern w:val="2"/>
          <w:sz w:val="21"/>
          <w:szCs w:val="22"/>
          <w:lang w:eastAsia="zh-CN"/>
        </w:rPr>
        <w:t>未被列入失信被执行人、重大税收违法案件当事人名单、政府采购严重违法失信行为记录名单。</w:t>
      </w:r>
    </w:p>
    <w:p>
      <w:pPr>
        <w:widowControl w:val="0"/>
        <w:ind w:firstLine="420" w:firstLineChars="200"/>
        <w:jc w:val="both"/>
        <w:rPr>
          <w:rFonts w:ascii="Calibri" w:eastAsia="宋体" w:hAnsi="Calibri" w:hint="eastAsia"/>
          <w:kern w:val="2"/>
          <w:sz w:val="21"/>
          <w:szCs w:val="22"/>
          <w:lang w:eastAsia="zh-CN"/>
        </w:rPr>
      </w:pPr>
      <w:r>
        <w:rPr>
          <w:rFonts w:eastAsia="宋体" w:hAnsi="Calibri" w:cs="Times New Roman" w:hint="eastAsia"/>
          <w:color w:val="FF0000"/>
          <w:kern w:val="2"/>
          <w:sz w:val="21"/>
          <w:szCs w:val="22"/>
          <w:lang w:eastAsia="zh-CN"/>
        </w:rPr>
        <w:t>5.我单位不存在《深圳市财政局政府采购供应商信用信息管理办法》（深财规〔2023〕3号）列明的严重违法失信行为。</w:t>
      </w:r>
    </w:p>
    <w:p>
      <w:pPr>
        <w:widowControl w:val="0"/>
        <w:ind w:firstLine="420" w:firstLineChars="200"/>
        <w:jc w:val="both"/>
        <w:rPr>
          <w:rFonts w:ascii="宋体" w:eastAsia="宋体" w:hAnsi="宋体"/>
          <w:kern w:val="2"/>
          <w:sz w:val="21"/>
          <w:szCs w:val="21"/>
          <w:lang w:eastAsia="zh-CN"/>
        </w:rPr>
      </w:pPr>
      <w:r>
        <w:rPr>
          <w:rFonts w:ascii="宋体" w:eastAsia="宋体" w:hAnsi="宋体" w:cs="Times New Roman" w:hint="eastAsia"/>
          <w:kern w:val="2"/>
          <w:sz w:val="21"/>
          <w:szCs w:val="21"/>
          <w:lang w:eastAsia="zh-CN"/>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widowControl w:val="0"/>
        <w:ind w:firstLine="420" w:firstLineChars="200"/>
        <w:jc w:val="both"/>
        <w:rPr>
          <w:rFonts w:ascii="宋体" w:eastAsia="宋体" w:hAnsi="宋体"/>
          <w:kern w:val="2"/>
          <w:sz w:val="21"/>
          <w:szCs w:val="21"/>
          <w:lang w:eastAsia="zh-CN"/>
        </w:rPr>
      </w:pPr>
      <w:r>
        <w:rPr>
          <w:rFonts w:ascii="宋体" w:eastAsia="宋体" w:hAnsi="宋体" w:cs="Times New Roman"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widowControl w:val="0"/>
        <w:ind w:firstLine="420" w:firstLineChars="200"/>
        <w:jc w:val="both"/>
        <w:rPr>
          <w:rFonts w:ascii="宋体" w:eastAsia="宋体" w:hAnsi="宋体"/>
          <w:kern w:val="2"/>
          <w:sz w:val="21"/>
          <w:szCs w:val="21"/>
          <w:lang w:eastAsia="zh-CN"/>
        </w:rPr>
      </w:pPr>
      <w:r>
        <w:rPr>
          <w:rFonts w:ascii="宋体" w:eastAsia="宋体" w:hAnsi="宋体" w:cs="Times New Roman"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420" w:firstLineChars="200"/>
        <w:jc w:val="both"/>
        <w:rPr>
          <w:rFonts w:ascii="宋体" w:eastAsia="宋体" w:hAnsi="宋体"/>
          <w:kern w:val="2"/>
          <w:sz w:val="21"/>
          <w:szCs w:val="21"/>
          <w:lang w:eastAsia="zh-CN"/>
        </w:rPr>
      </w:pPr>
      <w:r>
        <w:rPr>
          <w:rFonts w:ascii="宋体" w:eastAsia="宋体" w:hAnsi="宋体" w:cs="Times New Roman"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420" w:firstLineChars="200"/>
        <w:jc w:val="both"/>
        <w:rPr>
          <w:rFonts w:ascii="宋体" w:eastAsia="宋体" w:hAnsi="宋体"/>
          <w:kern w:val="2"/>
          <w:sz w:val="21"/>
          <w:szCs w:val="21"/>
          <w:lang w:eastAsia="zh-CN"/>
        </w:rPr>
      </w:pPr>
      <w:r>
        <w:rPr>
          <w:rFonts w:ascii="宋体" w:eastAsia="宋体" w:hAnsi="宋体" w:cs="Times New Roman" w:hint="eastAsia"/>
          <w:kern w:val="2"/>
          <w:sz w:val="21"/>
          <w:szCs w:val="21"/>
          <w:lang w:eastAsia="zh-CN"/>
        </w:rPr>
        <w:t>9.我单位承诺中标后项目不转包，未经采购人同意不进行分包。</w:t>
      </w:r>
    </w:p>
    <w:p>
      <w:pPr>
        <w:widowControl w:val="0"/>
        <w:ind w:firstLine="420" w:firstLineChars="200"/>
        <w:jc w:val="both"/>
        <w:rPr>
          <w:rFonts w:ascii="宋体" w:eastAsia="宋体" w:hAnsi="宋体"/>
          <w:kern w:val="2"/>
          <w:sz w:val="21"/>
          <w:szCs w:val="22"/>
          <w:lang w:eastAsia="zh-CN"/>
        </w:rPr>
      </w:pPr>
      <w:r>
        <w:rPr>
          <w:rFonts w:ascii="宋体" w:eastAsia="宋体" w:hAnsi="宋体" w:cs="Times New Roman" w:hint="eastAsia"/>
          <w:kern w:val="2"/>
          <w:sz w:val="21"/>
          <w:szCs w:val="21"/>
          <w:lang w:eastAsia="zh-CN"/>
        </w:rPr>
        <w:t>10</w:t>
      </w:r>
      <w:r>
        <w:rPr>
          <w:rFonts w:ascii="宋体" w:eastAsia="宋体" w:hAnsi="宋体" w:cs="Times New Roman"/>
          <w:kern w:val="2"/>
          <w:sz w:val="21"/>
          <w:szCs w:val="21"/>
          <w:lang w:eastAsia="zh-CN"/>
        </w:rPr>
        <w:t>.</w:t>
      </w:r>
      <w:r>
        <w:rPr>
          <w:rFonts w:ascii="宋体" w:eastAsia="宋体" w:hAnsi="宋体" w:cs="Times New Roman" w:hint="eastAsia"/>
          <w:kern w:val="2"/>
          <w:sz w:val="21"/>
          <w:szCs w:val="22"/>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420" w:firstLineChars="200"/>
        <w:jc w:val="both"/>
        <w:rPr>
          <w:rFonts w:ascii="宋体" w:eastAsia="宋体" w:hAnsi="宋体" w:cs="宋体"/>
          <w:b/>
          <w:sz w:val="21"/>
          <w:szCs w:val="21"/>
          <w:lang w:eastAsia="zh-CN"/>
        </w:rPr>
      </w:pPr>
      <w:r>
        <w:rPr>
          <w:rFonts w:ascii="宋体" w:eastAsia="宋体" w:hAnsi="宋体" w:cs="Times New Roman" w:hint="eastAsia"/>
          <w:kern w:val="2"/>
          <w:sz w:val="21"/>
          <w:szCs w:val="22"/>
          <w:lang w:eastAsia="zh-CN"/>
        </w:rPr>
        <w:t>11</w:t>
      </w:r>
      <w:r>
        <w:rPr>
          <w:rFonts w:ascii="宋体" w:eastAsia="宋体" w:hAnsi="宋体" w:cs="Times New Roman"/>
          <w:kern w:val="2"/>
          <w:sz w:val="21"/>
          <w:szCs w:val="22"/>
          <w:lang w:eastAsia="zh-CN"/>
        </w:rPr>
        <w:t>.</w:t>
      </w:r>
      <w:r>
        <w:rPr>
          <w:rFonts w:ascii="宋体" w:eastAsia="宋体" w:hAnsi="宋体" w:cs="Times New Roman" w:hint="eastAsia"/>
          <w:kern w:val="2"/>
          <w:sz w:val="21"/>
          <w:szCs w:val="22"/>
          <w:lang w:eastAsia="zh-CN"/>
        </w:rPr>
        <w:t>我单位保证，若所投货物涉及</w:t>
      </w:r>
      <w:r>
        <w:rPr>
          <w:rFonts w:ascii="宋体" w:eastAsia="宋体" w:hAnsi="宋体" w:cs="Times New Roman"/>
          <w:kern w:val="2"/>
          <w:sz w:val="21"/>
          <w:szCs w:val="22"/>
          <w:lang w:eastAsia="zh-CN"/>
        </w:rPr>
        <w:t>《</w:t>
      </w:r>
      <w:r>
        <w:rPr>
          <w:rFonts w:ascii="宋体" w:eastAsia="宋体" w:hAnsi="宋体" w:cs="Times New Roman" w:hint="eastAsia"/>
          <w:kern w:val="2"/>
          <w:sz w:val="21"/>
          <w:szCs w:val="22"/>
          <w:lang w:eastAsia="zh-CN"/>
        </w:rPr>
        <w:t>财政部生态环境部关于印发节能产品政府采购品目清单的通知》（财库〔20</w:t>
      </w:r>
      <w:r>
        <w:rPr>
          <w:rFonts w:ascii="宋体" w:eastAsia="宋体" w:hAnsi="宋体" w:cs="Times New Roman"/>
          <w:kern w:val="2"/>
          <w:sz w:val="21"/>
          <w:szCs w:val="22"/>
          <w:lang w:eastAsia="zh-CN"/>
        </w:rPr>
        <w:t>19</w:t>
      </w:r>
      <w:r>
        <w:rPr>
          <w:rFonts w:ascii="宋体" w:eastAsia="宋体" w:hAnsi="宋体" w:cs="Times New Roman" w:hint="eastAsia"/>
          <w:kern w:val="2"/>
          <w:sz w:val="21"/>
          <w:szCs w:val="22"/>
          <w:lang w:eastAsia="zh-CN"/>
        </w:rPr>
        <w:t>〕</w:t>
      </w:r>
      <w:r>
        <w:rPr>
          <w:rFonts w:ascii="宋体" w:eastAsia="宋体" w:hAnsi="宋体" w:cs="Times New Roman"/>
          <w:kern w:val="2"/>
          <w:sz w:val="21"/>
          <w:szCs w:val="22"/>
          <w:lang w:eastAsia="zh-CN"/>
        </w:rPr>
        <w:t>19</w:t>
      </w:r>
      <w:r>
        <w:rPr>
          <w:rFonts w:ascii="宋体" w:eastAsia="宋体" w:hAnsi="宋体" w:cs="Times New Roman" w:hint="eastAsia"/>
          <w:kern w:val="2"/>
          <w:sz w:val="21"/>
          <w:szCs w:val="22"/>
          <w:lang w:eastAsia="zh-CN"/>
        </w:rPr>
        <w:t>号）列明的政府采购强制产品，则所投该产品符合节能产品的认证要求。若所投产品包括数据中心相关设备的，应满足</w:t>
      </w:r>
      <w:r>
        <w:rPr>
          <w:rFonts w:ascii="Calibri" w:eastAsia="宋体" w:hAnsi="Calibri" w:cs="Times New Roman" w:hint="eastAsia"/>
          <w:kern w:val="2"/>
          <w:sz w:val="21"/>
          <w:szCs w:val="22"/>
          <w:lang w:eastAsia="zh-CN"/>
        </w:rPr>
        <w:t>《财政部 生态环境部 工业和信息化部关于印发&lt;绿色数据中心政府采购需求标准（试行）&gt;的通知》（财库〔2023〕7号）</w:t>
      </w:r>
      <w:r>
        <w:rPr>
          <w:rFonts w:eastAsia="宋体" w:hAnsi="Calibri" w:cs="Times New Roman" w:hint="eastAsia"/>
          <w:kern w:val="2"/>
          <w:sz w:val="21"/>
          <w:szCs w:val="22"/>
          <w:lang w:eastAsia="zh-CN"/>
        </w:rPr>
        <w:t>要求。若所投产品涉及国家强制性标准的，所投产品应符合国家强制性标准相关要求。</w:t>
      </w:r>
    </w:p>
    <w:p>
      <w:pPr>
        <w:widowControl w:val="0"/>
        <w:ind w:firstLine="420" w:firstLineChars="200"/>
        <w:jc w:val="both"/>
        <w:rPr>
          <w:rFonts w:ascii="宋体" w:eastAsia="宋体" w:hAnsi="宋体" w:hint="eastAsia"/>
          <w:bCs/>
          <w:kern w:val="2"/>
          <w:sz w:val="21"/>
          <w:szCs w:val="22"/>
          <w:lang w:eastAsia="zh-CN"/>
        </w:rPr>
      </w:pPr>
      <w:r>
        <w:rPr>
          <w:rFonts w:ascii="宋体" w:eastAsia="宋体" w:hAnsi="宋体" w:cs="宋体" w:hint="eastAsia"/>
          <w:bCs/>
          <w:sz w:val="21"/>
          <w:szCs w:val="21"/>
          <w:lang w:eastAsia="zh-CN"/>
        </w:rPr>
        <w:t>12.</w:t>
      </w:r>
      <w:r>
        <w:rPr>
          <w:rFonts w:ascii="宋体" w:eastAsia="宋体" w:hAnsi="宋体" w:cs="Times New Roman" w:hint="eastAsia"/>
          <w:bCs/>
          <w:kern w:val="2"/>
          <w:sz w:val="21"/>
          <w:szCs w:val="22"/>
          <w:lang w:eastAsia="zh-CN"/>
        </w:rPr>
        <w:t>我单位已知悉并同意中标（成交）结果信息公示（公开）的内容。</w:t>
      </w:r>
    </w:p>
    <w:p>
      <w:pPr>
        <w:widowControl w:val="0"/>
        <w:ind w:firstLine="420" w:firstLineChars="200"/>
        <w:jc w:val="both"/>
        <w:rPr>
          <w:rFonts w:ascii="宋体" w:eastAsia="宋体" w:hAnsi="宋体" w:hint="eastAsia"/>
          <w:bCs/>
          <w:kern w:val="2"/>
          <w:sz w:val="21"/>
          <w:szCs w:val="22"/>
          <w:lang w:eastAsia="zh-CN"/>
        </w:rPr>
      </w:pPr>
      <w:r>
        <w:rPr>
          <w:rFonts w:ascii="宋体" w:eastAsia="宋体" w:hAnsi="宋体" w:cs="Times New Roman" w:hint="eastAsia"/>
          <w:bCs/>
          <w:kern w:val="2"/>
          <w:sz w:val="21"/>
          <w:szCs w:val="22"/>
          <w:lang w:eastAsia="zh-CN"/>
        </w:rPr>
        <w:t>13.</w:t>
      </w:r>
      <w:bookmarkStart w:id="32" w:name="OLE_LINK12"/>
      <w:bookmarkStart w:id="33" w:name="OLE_LINK3"/>
      <w:r>
        <w:rPr>
          <w:rFonts w:ascii="宋体" w:eastAsia="宋体" w:hAnsi="宋体" w:cs="Times New Roman" w:hint="eastAsia"/>
          <w:bCs/>
          <w:kern w:val="2"/>
          <w:sz w:val="21"/>
          <w:szCs w:val="22"/>
          <w:lang w:eastAsia="zh-CN"/>
        </w:rPr>
        <w:t>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bookmarkEnd w:id="32"/>
      <w:r>
        <w:rPr>
          <w:rFonts w:ascii="宋体" w:eastAsia="宋体" w:hAnsi="宋体" w:cs="Times New Roman" w:hint="eastAsia"/>
          <w:bCs/>
          <w:kern w:val="2"/>
          <w:sz w:val="21"/>
          <w:szCs w:val="22"/>
          <w:lang w:eastAsia="zh-CN"/>
        </w:rPr>
        <w:t>。</w:t>
      </w:r>
      <w:bookmarkEnd w:id="33"/>
    </w:p>
    <w:p>
      <w:pPr>
        <w:widowControl w:val="0"/>
        <w:ind w:firstLine="420" w:firstLineChars="200"/>
        <w:jc w:val="both"/>
        <w:rPr>
          <w:rFonts w:ascii="宋体" w:eastAsia="宋体" w:hAnsi="宋体" w:hint="eastAsia"/>
          <w:b/>
          <w:kern w:val="2"/>
          <w:sz w:val="21"/>
          <w:szCs w:val="22"/>
          <w:lang w:eastAsia="zh-CN"/>
        </w:rPr>
      </w:pPr>
      <w:r>
        <w:rPr>
          <w:rFonts w:ascii="宋体" w:eastAsia="宋体" w:hAnsi="宋体" w:cs="Times New Roman" w:hint="eastAsia"/>
          <w:b/>
          <w:kern w:val="2"/>
          <w:sz w:val="21"/>
          <w:szCs w:val="22"/>
          <w:lang w:eastAsia="zh-CN"/>
        </w:rPr>
        <w:t>14.我单位清楚，如存在违反投标承诺行为情节严重的，将根据《深圳市财政局关于印发&lt;深圳市财政局政府采购供应商信用信息管理办法&gt;的通知》，依法被列入失信信息。</w:t>
      </w:r>
    </w:p>
    <w:p>
      <w:pPr>
        <w:widowControl w:val="0"/>
        <w:ind w:firstLine="420" w:firstLineChars="200"/>
        <w:jc w:val="both"/>
        <w:rPr>
          <w:rFonts w:ascii="宋体" w:eastAsia="宋体" w:hAnsi="宋体" w:hint="eastAsia"/>
          <w:b/>
          <w:kern w:val="2"/>
          <w:sz w:val="21"/>
          <w:szCs w:val="22"/>
          <w:lang w:eastAsia="zh-CN"/>
        </w:rPr>
      </w:pP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以上承诺，如有违反，愿依照国家相关法律法规处理，并承担由此给采购人带来的损失。</w:t>
      </w:r>
    </w:p>
    <w:p>
      <w:pPr>
        <w:widowControl w:val="0"/>
        <w:spacing w:before="60" w:beforeLines="25" w:after="60" w:afterLines="25"/>
        <w:ind w:firstLine="5460" w:firstLineChars="26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 xml:space="preserve">                                    </w:t>
      </w:r>
    </w:p>
    <w:bookmarkEnd w:id="31"/>
    <w:p>
      <w:pPr>
        <w:widowControl w:val="0"/>
        <w:spacing w:before="60" w:beforeLines="25" w:after="60" w:afterLines="25"/>
        <w:jc w:val="right"/>
        <w:rPr>
          <w:rFonts w:ascii="Calibri" w:eastAsia="宋体" w:hAnsi="Calibri"/>
          <w:color w:val="FF0000"/>
          <w:kern w:val="2"/>
          <w:sz w:val="21"/>
          <w:szCs w:val="22"/>
          <w:lang w:eastAsia="zh-CN"/>
        </w:rPr>
      </w:pPr>
      <w:r>
        <w:rPr>
          <w:rFonts w:ascii="Calibri" w:eastAsia="宋体" w:hAnsi="Calibri" w:cs="Times New Roman" w:hint="eastAsia"/>
          <w:color w:val="FF0000"/>
          <w:kern w:val="2"/>
          <w:sz w:val="21"/>
          <w:szCs w:val="21"/>
          <w:lang w:eastAsia="zh-CN"/>
        </w:rPr>
        <w:t>投标人：</w:t>
      </w:r>
      <w:r>
        <w:rPr>
          <w:rFonts w:ascii="Calibri" w:eastAsia="宋体" w:hAnsi="Calibri" w:cs="Times New Roman" w:hint="eastAsia"/>
          <w:color w:val="FF0000"/>
          <w:kern w:val="2"/>
          <w:sz w:val="21"/>
          <w:szCs w:val="21"/>
          <w:u w:val="thick"/>
          <w:lang w:eastAsia="zh-CN"/>
        </w:rPr>
        <w:t xml:space="preserve">                           </w:t>
      </w:r>
      <w:r>
        <w:rPr>
          <w:rFonts w:ascii="Calibri" w:eastAsia="宋体" w:hAnsi="Calibri" w:cs="Times New Roman" w:hint="eastAsia"/>
          <w:color w:val="FF0000"/>
          <w:kern w:val="2"/>
          <w:sz w:val="21"/>
          <w:szCs w:val="21"/>
          <w:lang w:eastAsia="zh-CN"/>
        </w:rPr>
        <w:t>.</w:t>
      </w:r>
    </w:p>
    <w:p>
      <w:pPr>
        <w:widowControl w:val="0"/>
        <w:jc w:val="right"/>
        <w:rPr>
          <w:rFonts w:ascii="宋体" w:eastAsia="宋体" w:hAnsi="宋体" w:hint="eastAsia"/>
          <w:color w:val="FF0000"/>
          <w:kern w:val="2"/>
          <w:sz w:val="21"/>
          <w:szCs w:val="21"/>
          <w:lang w:eastAsia="zh-CN"/>
        </w:rPr>
      </w:pPr>
      <w:r>
        <w:rPr>
          <w:rFonts w:ascii="宋体" w:eastAsia="宋体" w:hAnsi="宋体" w:cs="Times New Roman" w:hint="eastAsia"/>
          <w:color w:val="FF0000"/>
          <w:kern w:val="2"/>
          <w:sz w:val="21"/>
          <w:szCs w:val="21"/>
          <w:lang w:eastAsia="zh-CN"/>
        </w:rPr>
        <w:t>日期：</w:t>
      </w:r>
      <w:r>
        <w:rPr>
          <w:rFonts w:ascii="Calibri" w:eastAsia="宋体" w:hAnsi="Calibri" w:cs="Times New Roman" w:hint="eastAsia"/>
          <w:color w:val="FF0000"/>
          <w:kern w:val="2"/>
          <w:sz w:val="21"/>
          <w:szCs w:val="21"/>
          <w:u w:val="thick"/>
          <w:lang w:eastAsia="zh-CN"/>
        </w:rPr>
        <w:t xml:space="preserve">        </w:t>
      </w:r>
      <w:r>
        <w:rPr>
          <w:rFonts w:ascii="宋体" w:eastAsia="宋体" w:hAnsi="宋体" w:cs="Times New Roman" w:hint="eastAsia"/>
          <w:color w:val="FF0000"/>
          <w:kern w:val="2"/>
          <w:sz w:val="21"/>
          <w:szCs w:val="21"/>
          <w:lang w:eastAsia="zh-CN"/>
        </w:rPr>
        <w:t>年</w:t>
      </w:r>
      <w:r>
        <w:rPr>
          <w:rFonts w:ascii="Calibri" w:eastAsia="宋体" w:hAnsi="Calibri" w:cs="Times New Roman" w:hint="eastAsia"/>
          <w:color w:val="FF0000"/>
          <w:kern w:val="2"/>
          <w:sz w:val="21"/>
          <w:szCs w:val="21"/>
          <w:u w:val="thick"/>
          <w:lang w:eastAsia="zh-CN"/>
        </w:rPr>
        <w:t xml:space="preserve">       </w:t>
      </w:r>
      <w:r>
        <w:rPr>
          <w:rFonts w:ascii="宋体" w:eastAsia="宋体" w:hAnsi="宋体" w:cs="Times New Roman" w:hint="eastAsia"/>
          <w:color w:val="FF0000"/>
          <w:kern w:val="2"/>
          <w:sz w:val="21"/>
          <w:szCs w:val="21"/>
          <w:lang w:eastAsia="zh-CN"/>
        </w:rPr>
        <w:t>月</w:t>
      </w:r>
      <w:r>
        <w:rPr>
          <w:rFonts w:ascii="Calibri" w:eastAsia="宋体" w:hAnsi="Calibri" w:cs="Times New Roman" w:hint="eastAsia"/>
          <w:color w:val="FF0000"/>
          <w:kern w:val="2"/>
          <w:sz w:val="21"/>
          <w:szCs w:val="21"/>
          <w:u w:val="thick"/>
          <w:lang w:eastAsia="zh-CN"/>
        </w:rPr>
        <w:t xml:space="preserve">       </w:t>
      </w:r>
      <w:r>
        <w:rPr>
          <w:rFonts w:ascii="宋体" w:eastAsia="宋体" w:hAnsi="宋体" w:cs="Times New Roman" w:hint="eastAsia"/>
          <w:color w:val="FF0000"/>
          <w:kern w:val="2"/>
          <w:sz w:val="21"/>
          <w:szCs w:val="21"/>
          <w:lang w:eastAsia="zh-CN"/>
        </w:rPr>
        <w:t>日</w:t>
      </w:r>
    </w:p>
    <w:p>
      <w:pPr>
        <w:widowControl w:val="0"/>
        <w:ind w:firstLine="645"/>
        <w:jc w:val="both"/>
        <w:rPr>
          <w:rFonts w:ascii="宋体" w:eastAsia="宋体" w:hAnsi="宋体" w:hint="eastAsia"/>
          <w:kern w:val="2"/>
          <w:sz w:val="21"/>
          <w:szCs w:val="21"/>
          <w:lang w:eastAsia="zh-CN"/>
        </w:rPr>
      </w:pPr>
    </w:p>
    <w:p>
      <w:pPr>
        <w:widowControl w:val="0"/>
        <w:jc w:val="both"/>
        <w:rPr>
          <w:rFonts w:ascii="宋体" w:eastAsia="宋体" w:hAnsi="Calibri"/>
          <w:b/>
          <w:kern w:val="2"/>
          <w:sz w:val="21"/>
          <w:szCs w:val="21"/>
          <w:lang w:eastAsia="zh-CN"/>
        </w:rPr>
      </w:pPr>
    </w:p>
    <w:p>
      <w:pPr>
        <w:widowControl w:val="0"/>
        <w:ind w:firstLine="480" w:firstLineChars="200"/>
        <w:jc w:val="center"/>
        <w:rPr>
          <w:rFonts w:ascii="Calibri" w:eastAsia="宋体" w:hAnsi="宋体" w:hint="eastAsia"/>
          <w:b/>
          <w:bCs/>
          <w:kern w:val="2"/>
          <w:szCs w:val="22"/>
          <w:lang w:eastAsia="zh-CN"/>
        </w:rPr>
      </w:pPr>
    </w:p>
    <w:p>
      <w:pPr>
        <w:keepNext/>
        <w:keepLines/>
        <w:widowControl w:val="0"/>
        <w:spacing w:before="260" w:after="260" w:line="240" w:lineRule="auto"/>
        <w:jc w:val="center"/>
        <w:outlineLvl w:val="2"/>
        <w:rPr>
          <w:rFonts w:ascii="黑体" w:eastAsia="黑体" w:hAnsi="宋体" w:hint="eastAsia"/>
          <w:bCs/>
          <w:kern w:val="2"/>
          <w:lang w:eastAsia="zh-CN"/>
        </w:rPr>
      </w:pPr>
      <w:r>
        <w:rPr>
          <w:rFonts w:ascii="黑体" w:eastAsia="黑体" w:hAnsi="宋体" w:cs="Times New Roman" w:hint="eastAsia"/>
          <w:bCs/>
          <w:kern w:val="2"/>
          <w:lang w:eastAsia="zh-CN"/>
        </w:rPr>
        <w:t>三、投标人情况及资格证明文件</w:t>
      </w:r>
    </w:p>
    <w:p>
      <w:pPr>
        <w:widowControl w:val="0"/>
        <w:jc w:val="both"/>
        <w:rPr>
          <w:rFonts w:ascii="Calibri" w:eastAsia="宋体" w:hAnsi="Calibri"/>
          <w:b/>
          <w:bCs/>
          <w:kern w:val="2"/>
          <w:szCs w:val="22"/>
          <w:lang w:eastAsia="zh-CN"/>
        </w:rPr>
      </w:pPr>
    </w:p>
    <w:p>
      <w:pPr>
        <w:widowControl w:val="0"/>
        <w:ind w:firstLine="2640" w:firstLineChars="1100"/>
        <w:jc w:val="both"/>
        <w:outlineLvl w:val="3"/>
        <w:rPr>
          <w:rFonts w:ascii="黑体" w:eastAsia="黑体" w:hAnsi="宋体" w:hint="eastAsia"/>
          <w:bCs/>
          <w:szCs w:val="32"/>
          <w:lang w:eastAsia="zh-CN"/>
        </w:rPr>
      </w:pPr>
      <w:bookmarkStart w:id="34" w:name="_Hlk72257590"/>
      <w:r>
        <w:rPr>
          <w:rFonts w:ascii="黑体" w:eastAsia="黑体" w:hAnsi="宋体" w:cs="Times New Roman" w:hint="eastAsia"/>
          <w:bCs/>
          <w:szCs w:val="32"/>
          <w:lang w:eastAsia="zh-CN"/>
        </w:rPr>
        <w:t>（一）投标人资格证明文件</w:t>
      </w:r>
    </w:p>
    <w:p>
      <w:pPr>
        <w:widowControl w:val="0"/>
        <w:spacing w:before="120" w:beforeLines="50"/>
        <w:ind w:firstLine="420" w:firstLineChars="200"/>
        <w:jc w:val="both"/>
        <w:rPr>
          <w:rFonts w:ascii="Calibri" w:eastAsia="宋体" w:hAnsi="Calibri"/>
          <w:b/>
          <w:bCs/>
          <w:color w:val="FF0000"/>
          <w:kern w:val="2"/>
          <w:sz w:val="21"/>
          <w:szCs w:val="22"/>
          <w:lang w:eastAsia="zh-CN"/>
        </w:rPr>
      </w:pPr>
      <w:r>
        <w:rPr>
          <w:rFonts w:ascii="Calibri" w:eastAsia="宋体" w:hAnsi="Calibri" w:cs="Times New Roman" w:hint="eastAsia"/>
          <w:b/>
          <w:bCs/>
          <w:color w:val="FF0000"/>
          <w:kern w:val="2"/>
          <w:sz w:val="21"/>
          <w:szCs w:val="22"/>
          <w:lang w:eastAsia="zh-CN"/>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供应商基本情况表》为必填内容，须按照相应格式及节点在“信息不公开部分”提供。）</w:t>
      </w:r>
    </w:p>
    <w:p>
      <w:pPr>
        <w:widowControl w:val="0"/>
        <w:jc w:val="both"/>
        <w:rPr>
          <w:rFonts w:ascii="Calibri" w:eastAsia="宋体" w:hAnsi="Calibri"/>
          <w:b/>
          <w:bCs/>
          <w:kern w:val="2"/>
          <w:szCs w:val="22"/>
          <w:lang w:eastAsia="zh-CN"/>
        </w:rPr>
      </w:pPr>
    </w:p>
    <w:p>
      <w:pPr>
        <w:widowControl w:val="0"/>
        <w:ind w:firstLine="480" w:firstLineChars="200"/>
        <w:jc w:val="both"/>
        <w:outlineLvl w:val="3"/>
        <w:rPr>
          <w:rFonts w:ascii="黑体" w:eastAsia="黑体" w:hAnsi="宋体" w:hint="eastAsia"/>
          <w:bCs/>
          <w:szCs w:val="32"/>
          <w:lang w:eastAsia="zh-CN"/>
        </w:rPr>
      </w:pPr>
      <w:bookmarkStart w:id="35" w:name="_Hlk72257908"/>
      <w:r>
        <w:rPr>
          <w:rFonts w:ascii="黑体" w:eastAsia="黑体" w:hAnsi="宋体" w:cs="Times New Roman" w:hint="eastAsia"/>
          <w:bCs/>
          <w:szCs w:val="32"/>
          <w:lang w:eastAsia="zh-CN"/>
        </w:rPr>
        <w:t>（二）中小企业声明函、残疾人福利性单位声明函及监狱企业声明函</w:t>
      </w:r>
    </w:p>
    <w:bookmarkEnd w:id="34"/>
    <w:p>
      <w:pPr>
        <w:widowControl w:val="0"/>
        <w:jc w:val="left"/>
        <w:outlineLvl w:val="3"/>
        <w:rPr>
          <w:rFonts w:ascii="黑体" w:eastAsia="黑体" w:hAnsi="宋体" w:hint="eastAsia"/>
          <w:bCs/>
          <w:szCs w:val="32"/>
          <w:lang w:eastAsia="zh-CN"/>
        </w:rPr>
      </w:pP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imes New Roman" w:hint="eastAsia"/>
          <w:bCs/>
          <w:color w:val="FF0000"/>
          <w:sz w:val="21"/>
          <w:szCs w:val="21"/>
          <w:lang w:eastAsia="zh-CN"/>
        </w:rPr>
        <w:t>填写指引：</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宋体" w:cs="Times New Roman" w:hint="eastAsia"/>
          <w:bCs/>
          <w:color w:val="FF0000"/>
          <w:sz w:val="21"/>
          <w:szCs w:val="21"/>
          <w:lang w:eastAsia="zh-CN"/>
        </w:rPr>
        <w:t>1、该部分内容由投标人根据自身实际情况填写，不符合要求的投标人可以不填写或直接删除相应的声明函。</w:t>
      </w:r>
      <w:r>
        <w:rPr>
          <w:rFonts w:ascii="黑体" w:eastAsia="黑体" w:hAnsi="黑体" w:cs="Times New Roman" w:hint="eastAsia"/>
          <w:color w:val="FF0000"/>
          <w:kern w:val="2"/>
          <w:sz w:val="21"/>
          <w:szCs w:val="21"/>
          <w:lang w:eastAsia="zh-CN"/>
        </w:rPr>
        <w:t>投标人提供的声明函不属实的，属于提供虚假资料谋取中标，依照《中华人民共和国政府采购法》等国家有关规定追究相应责任。</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imes New Roman" w:hint="eastAsia"/>
          <w:color w:val="FF0000"/>
          <w:kern w:val="2"/>
          <w:sz w:val="21"/>
          <w:szCs w:val="21"/>
          <w:lang w:eastAsia="zh-CN"/>
        </w:rPr>
        <w:t>2、该部分内容填写需要参考的相关文件：</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imes New Roman" w:hint="eastAsia"/>
          <w:color w:val="FF0000"/>
          <w:kern w:val="2"/>
          <w:sz w:val="21"/>
          <w:szCs w:val="21"/>
          <w:lang w:eastAsia="zh-CN"/>
        </w:rPr>
        <w:t>(</w:t>
      </w:r>
      <w:r>
        <w:rPr>
          <w:rFonts w:ascii="黑体" w:eastAsia="黑体" w:hAnsi="黑体" w:cs="Times New Roman"/>
          <w:color w:val="FF0000"/>
          <w:kern w:val="2"/>
          <w:sz w:val="21"/>
          <w:szCs w:val="21"/>
          <w:lang w:eastAsia="zh-CN"/>
        </w:rPr>
        <w:t>1</w:t>
      </w:r>
      <w:r>
        <w:rPr>
          <w:rFonts w:ascii="黑体" w:eastAsia="黑体" w:hAnsi="黑体" w:cs="Times New Roman" w:hint="eastAsia"/>
          <w:color w:val="FF0000"/>
          <w:kern w:val="2"/>
          <w:sz w:val="21"/>
          <w:szCs w:val="21"/>
          <w:lang w:eastAsia="zh-CN"/>
        </w:rPr>
        <w:t>)财政部《政府采购促进中小企业发展管理办法》（财库〔2020〕46号）</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imes New Roman" w:hint="eastAsia"/>
          <w:color w:val="FF0000"/>
          <w:kern w:val="2"/>
          <w:sz w:val="21"/>
          <w:szCs w:val="21"/>
          <w:lang w:eastAsia="zh-CN"/>
        </w:rPr>
        <w:t>(</w:t>
      </w:r>
      <w:r>
        <w:rPr>
          <w:rFonts w:ascii="黑体" w:eastAsia="黑体" w:hAnsi="黑体" w:cs="Times New Roman"/>
          <w:color w:val="FF0000"/>
          <w:kern w:val="2"/>
          <w:sz w:val="21"/>
          <w:szCs w:val="21"/>
          <w:lang w:eastAsia="zh-CN"/>
        </w:rPr>
        <w:t>2</w:t>
      </w:r>
      <w:r>
        <w:rPr>
          <w:rFonts w:ascii="黑体" w:eastAsia="黑体" w:hAnsi="黑体" w:cs="Times New Roman" w:hint="eastAsia"/>
          <w:color w:val="FF0000"/>
          <w:kern w:val="2"/>
          <w:sz w:val="21"/>
          <w:szCs w:val="21"/>
          <w:lang w:eastAsia="zh-CN"/>
        </w:rPr>
        <w:t>)</w:t>
      </w:r>
      <w:bookmarkStart w:id="36" w:name="_Hlk71925120"/>
      <w:r>
        <w:rPr>
          <w:rFonts w:ascii="黑体" w:eastAsia="黑体" w:hAnsi="黑体" w:cs="Times New Roman" w:hint="eastAsia"/>
          <w:color w:val="FF0000"/>
          <w:kern w:val="2"/>
          <w:sz w:val="21"/>
          <w:szCs w:val="21"/>
          <w:lang w:eastAsia="zh-CN"/>
        </w:rPr>
        <w:t>《工业和信息化部、国家统计局、国家发展和改革委员会、财政部关于印发中小企业划型标准规定的通知》（工信部联企业〔2011〕300号</w:t>
      </w:r>
      <w:bookmarkEnd w:id="36"/>
      <w:r>
        <w:rPr>
          <w:rFonts w:ascii="黑体" w:eastAsia="黑体" w:hAnsi="黑体" w:cs="Times New Roman" w:hint="eastAsia"/>
          <w:color w:val="FF0000"/>
          <w:kern w:val="2"/>
          <w:sz w:val="21"/>
          <w:szCs w:val="21"/>
          <w:lang w:eastAsia="zh-CN"/>
        </w:rPr>
        <w:t>）</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imes New Roman" w:hint="eastAsia"/>
          <w:color w:val="FF0000"/>
          <w:kern w:val="2"/>
          <w:sz w:val="21"/>
          <w:szCs w:val="21"/>
          <w:lang w:eastAsia="zh-CN"/>
        </w:rPr>
        <w:t>(3)《统计上大中小微型企业划分办法(2017)》（国统字〔2017〕213号）</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imes New Roman" w:hint="eastAsia"/>
          <w:color w:val="FF0000"/>
          <w:kern w:val="2"/>
          <w:sz w:val="21"/>
          <w:szCs w:val="21"/>
          <w:lang w:eastAsia="zh-CN"/>
        </w:rPr>
        <w:t>(4)《关于促进残疾人就业政府采购政策的通知》（财库〔2017〕141号）</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imes New Roman" w:hint="eastAsia"/>
          <w:color w:val="FF0000"/>
          <w:kern w:val="2"/>
          <w:sz w:val="21"/>
          <w:szCs w:val="21"/>
          <w:lang w:eastAsia="zh-CN"/>
        </w:rPr>
        <w:t>(5)《关于政府采购支持监狱企业发展有关问题的通知》（财库〔2014〕68号）</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imes New Roman" w:hint="eastAsia"/>
          <w:bCs/>
          <w:color w:val="FF0000"/>
          <w:sz w:val="21"/>
          <w:szCs w:val="21"/>
          <w:lang w:eastAsia="zh-CN"/>
        </w:rPr>
        <w:t>3、请依照提供的格式和内容填写声明函，不要随意变更格式；声明函不需要盖章或签字；</w:t>
      </w:r>
      <w:r>
        <w:rPr>
          <w:rFonts w:ascii="黑体" w:eastAsia="黑体" w:hAnsi="黑体" w:cs="Times New Roman" w:hint="eastAsia"/>
          <w:color w:val="FF0000"/>
          <w:kern w:val="2"/>
          <w:sz w:val="21"/>
          <w:szCs w:val="21"/>
          <w:lang w:eastAsia="zh-CN"/>
        </w:rPr>
        <w:t>满足多项优惠政策的投标人，不重复享受多项价格扣除政策。</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imes New Roman" w:hint="eastAsia"/>
          <w:bCs/>
          <w:color w:val="FF0000"/>
          <w:sz w:val="21"/>
          <w:szCs w:val="21"/>
          <w:lang w:eastAsia="zh-CN"/>
        </w:rPr>
        <w:t>4、声明函具体填写要求：</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imes New Roman" w:hint="eastAsia"/>
          <w:bCs/>
          <w:color w:val="FF0000"/>
          <w:sz w:val="21"/>
          <w:szCs w:val="21"/>
          <w:lang w:eastAsia="zh-CN"/>
        </w:rPr>
        <w:t>（1）声明是中小企业须填写《中小企业声明函》的以下内容：</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imes New Roman" w:hint="eastAsia"/>
          <w:bCs/>
          <w:color w:val="FF0000"/>
          <w:sz w:val="21"/>
          <w:szCs w:val="21"/>
          <w:lang w:eastAsia="zh-CN"/>
        </w:rPr>
        <w:t>第一处，在“单位名称”下划线处如实填写采购人名称（深圳公共资源交易中心不是本项目的采购人，而是组织实施机构）；</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imes New Roman" w:hint="eastAsia"/>
          <w:bCs/>
          <w:color w:val="FF0000"/>
          <w:sz w:val="21"/>
          <w:szCs w:val="21"/>
          <w:lang w:eastAsia="zh-CN"/>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imes New Roman" w:hint="eastAsia"/>
          <w:bCs/>
          <w:color w:val="FF0000"/>
          <w:sz w:val="21"/>
          <w:szCs w:val="21"/>
          <w:lang w:eastAsia="zh-CN"/>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imes New Roman" w:hint="eastAsia"/>
          <w:bCs/>
          <w:color w:val="FF0000"/>
          <w:sz w:val="21"/>
          <w:szCs w:val="21"/>
          <w:lang w:eastAsia="zh-CN"/>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imes New Roman" w:hint="eastAsia"/>
          <w:bCs/>
          <w:color w:val="FF0000"/>
          <w:sz w:val="21"/>
          <w:szCs w:val="21"/>
          <w:lang w:eastAsia="zh-CN"/>
        </w:rPr>
        <w:t>第五处，在“企业名称”下划线处如实填写</w:t>
      </w:r>
      <w:r>
        <w:rPr>
          <w:rFonts w:ascii="黑体" w:eastAsia="黑体" w:hAnsi="宋体" w:cs="Times New Roman" w:hint="eastAsia"/>
          <w:b/>
          <w:color w:val="FF0000"/>
          <w:sz w:val="21"/>
          <w:szCs w:val="21"/>
          <w:lang w:eastAsia="zh-CN"/>
        </w:rPr>
        <w:t>服务承接商名称。</w:t>
      </w:r>
      <w:r>
        <w:rPr>
          <w:rFonts w:ascii="黑体" w:eastAsia="黑体" w:hAnsi="宋体" w:cs="Times New Roman" w:hint="eastAsia"/>
          <w:bCs/>
          <w:color w:val="FF0000"/>
          <w:sz w:val="21"/>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widowControl w:val="0"/>
        <w:numPr>
          <w:ilvl w:val="0"/>
          <w:numId w:val="0"/>
        </w:numPr>
        <w:ind w:left="0"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第六、</w:t>
      </w:r>
      <w:r>
        <w:rPr>
          <w:rFonts w:ascii="黑体" w:eastAsia="黑体" w:hAnsi="宋体" w:cs="Times New Roman" w:hint="eastAsia"/>
          <w:bCs/>
          <w:color w:val="FF0000"/>
          <w:sz w:val="21"/>
          <w:szCs w:val="21"/>
          <w:lang w:eastAsia="zh-CN"/>
        </w:rPr>
        <w:t>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pPr>
        <w:widowControl w:val="0"/>
        <w:numPr>
          <w:ilvl w:val="0"/>
          <w:numId w:val="0"/>
        </w:numPr>
        <w:ind w:left="0" w:firstLine="420" w:firstLineChars="200"/>
        <w:jc w:val="both"/>
        <w:outlineLvl w:val="3"/>
        <w:rPr>
          <w:rFonts w:ascii="黑体" w:eastAsia="黑体" w:hAnsi="宋体" w:hint="eastAsia"/>
          <w:bCs/>
          <w:color w:val="FF0000"/>
          <w:sz w:val="21"/>
          <w:szCs w:val="21"/>
          <w:lang w:eastAsia="zh-CN"/>
        </w:rPr>
      </w:pPr>
      <w:r>
        <w:rPr>
          <w:rFonts w:ascii="黑体" w:eastAsia="黑体" w:hAnsi="宋体" w:cs="Times New Roman" w:hint="eastAsia"/>
          <w:bCs/>
          <w:color w:val="FF0000"/>
          <w:sz w:val="21"/>
          <w:szCs w:val="21"/>
          <w:lang w:eastAsia="zh-CN"/>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imes New Roman" w:hint="eastAsia"/>
          <w:bCs/>
          <w:color w:val="FF0000"/>
          <w:sz w:val="21"/>
          <w:szCs w:val="21"/>
          <w:lang w:eastAsia="zh-CN"/>
        </w:rPr>
        <w:t>（3）事业单位、社会组织等非企业主体不享受中小企业扶持政策。</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imes New Roman" w:hint="eastAsia"/>
          <w:bCs/>
          <w:color w:val="FF0000"/>
          <w:sz w:val="21"/>
          <w:szCs w:val="21"/>
          <w:lang w:eastAsia="zh-CN"/>
        </w:rPr>
        <w:t>（4）声明是残疾人福利性单位须填写《残疾人福利性单位声明函》的相关内容，具体参照以上《中小企业声明函》填写要求执行。</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imes New Roman" w:hint="eastAsia"/>
          <w:bCs/>
          <w:color w:val="FF0000"/>
          <w:sz w:val="21"/>
          <w:szCs w:val="21"/>
          <w:lang w:eastAsia="zh-CN"/>
        </w:rPr>
        <w:t>（5）声明是监狱企业须填写《监狱企业声明函》的三项内容（填写位置的字体已加粗），具体参照以上《中小企业声明函》填写要求执行。</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imes New Roman" w:hint="eastAsia"/>
          <w:bCs/>
          <w:color w:val="FF0000"/>
          <w:sz w:val="21"/>
          <w:szCs w:val="21"/>
          <w:lang w:eastAsia="zh-CN"/>
        </w:rPr>
        <w:t>5、本项目属于服务类项目，相关服务承接商应当为中小企业或残疾人福利性单位或监狱企业，如包含硬件设备、产品等货物采购的，不再对其中涉及的货物制造商作出要求。</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imes New Roman" w:hint="eastAsia"/>
          <w:bCs/>
          <w:color w:val="FF0000"/>
          <w:sz w:val="21"/>
          <w:szCs w:val="21"/>
          <w:lang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Calibri" w:eastAsia="宋体" w:hAnsi="Calibri"/>
          <w:kern w:val="2"/>
          <w:sz w:val="21"/>
          <w:szCs w:val="22"/>
          <w:lang w:eastAsia="zh-CN"/>
        </w:rPr>
      </w:pPr>
      <w:r>
        <w:rPr>
          <w:rFonts w:ascii="黑体" w:eastAsia="黑体" w:hAnsi="宋体" w:cs="Times New Roman" w:hint="eastAsia"/>
          <w:bCs/>
          <w:color w:val="FF0000"/>
          <w:sz w:val="21"/>
          <w:szCs w:val="21"/>
          <w:lang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widowControl w:val="0"/>
        <w:ind w:firstLine="420" w:firstLineChars="200"/>
        <w:jc w:val="both"/>
        <w:rPr>
          <w:rFonts w:ascii="Calibri" w:eastAsia="宋体" w:hAnsi="Calibri"/>
          <w:kern w:val="2"/>
          <w:sz w:val="21"/>
          <w:szCs w:val="22"/>
          <w:lang w:eastAsia="zh-CN"/>
        </w:rPr>
      </w:pPr>
    </w:p>
    <w:p>
      <w:pPr>
        <w:widowControl w:val="0"/>
        <w:numPr>
          <w:ilvl w:val="0"/>
          <w:numId w:val="4"/>
        </w:numPr>
        <w:jc w:val="center"/>
        <w:outlineLvl w:val="3"/>
        <w:rPr>
          <w:rFonts w:ascii="Calibri" w:eastAsia="宋体" w:hAnsi="Calibri"/>
          <w:b/>
          <w:kern w:val="2"/>
          <w:szCs w:val="22"/>
          <w:lang w:eastAsia="zh-CN"/>
        </w:rPr>
      </w:pPr>
      <w:r>
        <w:rPr>
          <w:rFonts w:ascii="Calibri" w:eastAsia="宋体" w:hAnsi="Calibri" w:cs="Times New Roman"/>
          <w:b/>
          <w:kern w:val="2"/>
          <w:szCs w:val="22"/>
          <w:lang w:eastAsia="zh-CN"/>
        </w:rPr>
        <w:t>中小企业声明函（货物）</w:t>
      </w:r>
    </w:p>
    <w:p>
      <w:pPr>
        <w:widowControl w:val="0"/>
        <w:spacing w:line="360" w:lineRule="auto"/>
        <w:jc w:val="both"/>
        <w:rPr>
          <w:rFonts w:ascii="Calibri" w:eastAsia="宋体" w:hAnsi="Calibri"/>
          <w:b/>
          <w:bCs/>
          <w:kern w:val="2"/>
          <w:szCs w:val="22"/>
          <w:lang w:eastAsia="zh-CN"/>
        </w:rPr>
      </w:pP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本公司（联合体）郑重声明，根据《政府采购促进中小企业发展管理办法》（财库﹝2020﹞46号）的规定，本公司（联合体）参加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采购活动，提供的货物全部由符合政策要求的中小企业制造。相关企业（含联合体中的中小企业、签订分包意向协议的中小企业）的具体情况如下：</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行业；制造商为</w:t>
      </w:r>
      <w:r>
        <w:rPr>
          <w:rFonts w:ascii="宋体" w:eastAsia="宋体" w:hAnsi="宋体" w:cs="宋体" w:hint="eastAsia"/>
          <w:b/>
          <w:bCs/>
          <w:i/>
          <w:iCs/>
          <w:kern w:val="2"/>
          <w:sz w:val="21"/>
          <w:szCs w:val="21"/>
          <w:u w:val="single"/>
          <w:lang w:eastAsia="zh-CN"/>
        </w:rPr>
        <w:t xml:space="preserve">    （企业名称，要求制造商本身所属行业应当与招标文件要求的行业相一致）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行业；制造商为</w:t>
      </w:r>
      <w:r>
        <w:rPr>
          <w:rFonts w:ascii="宋体" w:eastAsia="宋体" w:hAnsi="宋体" w:cs="宋体" w:hint="eastAsia"/>
          <w:b/>
          <w:bCs/>
          <w:i/>
          <w:iCs/>
          <w:kern w:val="2"/>
          <w:sz w:val="21"/>
          <w:szCs w:val="21"/>
          <w:u w:val="single"/>
          <w:lang w:eastAsia="zh-CN"/>
        </w:rPr>
        <w:t xml:space="preserve">    （企业名称，要求制造商本身所属行业应当与招标文件要求的行业相一致）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p>
    <w:p>
      <w:pPr>
        <w:widowControl w:val="0"/>
        <w:spacing w:line="360" w:lineRule="auto"/>
        <w:ind w:firstLine="420" w:firstLineChars="200"/>
        <w:jc w:val="both"/>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widowControl w:val="0"/>
        <w:spacing w:line="360" w:lineRule="auto"/>
        <w:ind w:firstLine="420" w:firstLineChars="200"/>
        <w:jc w:val="both"/>
        <w:rPr>
          <w:rFonts w:ascii="宋体" w:eastAsia="宋体" w:hAnsi="宋体" w:cs="宋体" w:hint="eastAsia"/>
          <w:kern w:val="2"/>
          <w:sz w:val="21"/>
          <w:szCs w:val="21"/>
          <w:lang w:eastAsia="zh-CN"/>
        </w:rPr>
      </w:pPr>
      <w:bookmarkStart w:id="37" w:name="_Hlk73562203"/>
      <w:r>
        <w:rPr>
          <w:rFonts w:ascii="宋体" w:eastAsia="宋体" w:hAnsi="宋体" w:cs="宋体" w:hint="eastAsia"/>
          <w:kern w:val="2"/>
          <w:sz w:val="21"/>
          <w:szCs w:val="21"/>
          <w:lang w:eastAsia="zh-CN"/>
        </w:rPr>
        <w:t>本投标人对上述声明内容的真实性负责。如有虚假，将依法承担相应责任。</w:t>
      </w:r>
    </w:p>
    <w:p>
      <w:pPr>
        <w:widowControl w:val="0"/>
        <w:spacing w:line="360" w:lineRule="auto"/>
        <w:ind w:firstLine="420" w:firstLineChars="200"/>
        <w:jc w:val="both"/>
        <w:rPr>
          <w:rFonts w:eastAsia="宋体"/>
          <w:kern w:val="2"/>
          <w:lang w:eastAsia="zh-CN"/>
        </w:rPr>
      </w:pPr>
      <w:r>
        <w:rPr>
          <w:rFonts w:ascii="宋体" w:eastAsia="宋体" w:hAnsi="宋体" w:cs="宋体" w:hint="eastAsia"/>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7"/>
    </w:p>
    <w:p>
      <w:pPr>
        <w:widowControl w:val="0"/>
        <w:ind w:firstLine="420" w:firstLineChars="200"/>
        <w:jc w:val="both"/>
        <w:outlineLvl w:val="3"/>
        <w:rPr>
          <w:rFonts w:ascii="宋体" w:eastAsia="宋体" w:hAnsi="宋体" w:hint="eastAsia"/>
          <w:bCs/>
          <w:color w:val="FF0000"/>
          <w:sz w:val="21"/>
          <w:szCs w:val="21"/>
          <w:lang w:eastAsia="zh-CN"/>
        </w:rPr>
      </w:pPr>
    </w:p>
    <w:p>
      <w:pPr>
        <w:widowControl w:val="0"/>
        <w:jc w:val="both"/>
        <w:rPr>
          <w:rFonts w:ascii="Calibri" w:eastAsia="宋体" w:hAnsi="Calibri"/>
          <w:kern w:val="2"/>
          <w:sz w:val="21"/>
          <w:szCs w:val="22"/>
          <w:lang w:eastAsia="zh-CN"/>
        </w:rPr>
      </w:pPr>
    </w:p>
    <w:p>
      <w:pPr>
        <w:widowControl w:val="0"/>
        <w:ind w:firstLine="420" w:firstLineChars="200"/>
        <w:jc w:val="both"/>
        <w:rPr>
          <w:rFonts w:ascii="Calibri" w:eastAsia="宋体" w:hAnsi="Calibri"/>
          <w:kern w:val="2"/>
          <w:sz w:val="21"/>
          <w:szCs w:val="22"/>
          <w:lang w:eastAsia="zh-CN"/>
        </w:rPr>
      </w:pPr>
    </w:p>
    <w:p>
      <w:pPr>
        <w:widowControl w:val="0"/>
        <w:jc w:val="center"/>
        <w:outlineLvl w:val="3"/>
        <w:rPr>
          <w:rFonts w:ascii="Calibri" w:eastAsia="宋体" w:hAnsi="Calibri"/>
          <w:b/>
          <w:kern w:val="2"/>
          <w:szCs w:val="22"/>
          <w:lang w:eastAsia="zh-CN"/>
        </w:rPr>
      </w:pPr>
      <w:r>
        <w:rPr>
          <w:rFonts w:ascii="Calibri" w:eastAsia="宋体" w:hAnsi="Calibri" w:cs="Times New Roman" w:hint="eastAsia"/>
          <w:b/>
          <w:kern w:val="2"/>
          <w:szCs w:val="22"/>
          <w:lang w:eastAsia="zh-CN"/>
        </w:rPr>
        <w:t>2、残疾人福利性单位声明函（货物类）</w:t>
      </w:r>
    </w:p>
    <w:p>
      <w:pPr>
        <w:widowControl w:val="0"/>
        <w:jc w:val="both"/>
        <w:rPr>
          <w:rFonts w:ascii="Calibri" w:eastAsia="宋体" w:hAnsi="Calibri"/>
          <w:b/>
          <w:bCs/>
          <w:kern w:val="2"/>
          <w:sz w:val="21"/>
          <w:szCs w:val="22"/>
          <w:lang w:eastAsia="zh-CN"/>
        </w:rPr>
      </w:pPr>
    </w:p>
    <w:p>
      <w:pPr>
        <w:widowControl w:val="0"/>
        <w:spacing w:line="360" w:lineRule="auto"/>
        <w:ind w:firstLine="420" w:firstLineChars="200"/>
        <w:jc w:val="both"/>
        <w:rPr>
          <w:rFonts w:ascii="宋体" w:eastAsia="宋体" w:hAnsi="宋体" w:cs="宋体" w:hint="eastAsia"/>
          <w:kern w:val="2"/>
          <w:sz w:val="21"/>
          <w:szCs w:val="21"/>
          <w:lang w:eastAsia="zh-CN"/>
        </w:rPr>
      </w:pPr>
      <w:bookmarkStart w:id="38" w:name="_Hlk73562331"/>
      <w:bookmarkStart w:id="39" w:name="_Hlk73562245"/>
      <w:r>
        <w:rPr>
          <w:rFonts w:ascii="宋体" w:eastAsia="宋体" w:hAnsi="宋体" w:cs="宋体" w:hint="eastAsia"/>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38"/>
    </w:p>
    <w:bookmarkEnd w:id="39"/>
    <w:p>
      <w:pPr>
        <w:widowControl w:val="0"/>
        <w:ind w:firstLine="420" w:firstLineChars="200"/>
        <w:jc w:val="both"/>
        <w:rPr>
          <w:rFonts w:ascii="宋体" w:eastAsia="宋体" w:hAnsi="宋体" w:hint="eastAsia"/>
          <w:kern w:val="2"/>
          <w:sz w:val="21"/>
          <w:szCs w:val="21"/>
          <w:lang w:eastAsia="zh-CN"/>
        </w:rPr>
      </w:pPr>
    </w:p>
    <w:p>
      <w:pPr>
        <w:widowControl w:val="0"/>
        <w:ind w:firstLine="420" w:firstLineChars="200"/>
        <w:jc w:val="both"/>
        <w:rPr>
          <w:rFonts w:ascii="宋体" w:eastAsia="宋体" w:hAnsi="宋体" w:hint="eastAsia"/>
          <w:kern w:val="2"/>
          <w:sz w:val="21"/>
          <w:szCs w:val="21"/>
          <w:lang w:eastAsia="zh-CN"/>
        </w:rPr>
      </w:pPr>
    </w:p>
    <w:p>
      <w:pPr>
        <w:widowControl w:val="0"/>
        <w:jc w:val="center"/>
        <w:outlineLvl w:val="3"/>
        <w:rPr>
          <w:rFonts w:ascii="Calibri" w:eastAsia="宋体" w:hAnsi="Calibri"/>
          <w:b/>
          <w:kern w:val="2"/>
          <w:szCs w:val="22"/>
          <w:lang w:eastAsia="zh-CN"/>
        </w:rPr>
      </w:pPr>
      <w:r>
        <w:rPr>
          <w:rFonts w:ascii="Calibri" w:eastAsia="宋体" w:hAnsi="Calibri" w:cs="Times New Roman" w:hint="eastAsia"/>
          <w:b/>
          <w:kern w:val="2"/>
          <w:szCs w:val="22"/>
          <w:lang w:eastAsia="zh-CN"/>
        </w:rPr>
        <w:t>3、监狱企业声明函【货物类，提供监狱企业货物的供应商如需享受优惠政策，还须另行提供省级以上监狱管理局、戒毒管理局（含新疆生产建设兵团）出具的监狱企业证明文件】</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本投标人郑重声明，根据《财政部司法部关于政府采购支持监狱企业发展有关问题的通知》（财库〔</w:t>
      </w:r>
      <w:r>
        <w:rPr>
          <w:rFonts w:ascii="宋体" w:eastAsia="宋体" w:hAnsi="宋体" w:cs="Times New Roman"/>
          <w:kern w:val="2"/>
          <w:sz w:val="21"/>
          <w:szCs w:val="21"/>
          <w:lang w:eastAsia="zh-CN"/>
        </w:rPr>
        <w:t>2014</w:t>
      </w:r>
      <w:r>
        <w:rPr>
          <w:rFonts w:ascii="宋体" w:eastAsia="宋体" w:hAnsi="宋体" w:cs="Times New Roman" w:hint="eastAsia"/>
          <w:kern w:val="2"/>
          <w:sz w:val="21"/>
          <w:szCs w:val="21"/>
          <w:lang w:eastAsia="zh-CN"/>
        </w:rPr>
        <w:t>〕</w:t>
      </w:r>
      <w:r>
        <w:rPr>
          <w:rFonts w:ascii="宋体" w:eastAsia="宋体" w:hAnsi="宋体" w:cs="Times New Roman"/>
          <w:kern w:val="2"/>
          <w:sz w:val="21"/>
          <w:szCs w:val="21"/>
          <w:lang w:eastAsia="zh-CN"/>
        </w:rPr>
        <w:t>68</w:t>
      </w:r>
      <w:r>
        <w:rPr>
          <w:rFonts w:ascii="宋体" w:eastAsia="宋体" w:hAnsi="宋体" w:cs="Times New Roman" w:hint="eastAsia"/>
          <w:kern w:val="2"/>
          <w:sz w:val="21"/>
          <w:szCs w:val="21"/>
          <w:lang w:eastAsia="zh-CN"/>
        </w:rPr>
        <w:t>号）的规定，本投标人</w:t>
      </w:r>
      <w:r>
        <w:rPr>
          <w:rFonts w:ascii="宋体" w:eastAsia="宋体" w:hAnsi="宋体" w:cs="Times New Roman"/>
          <w:kern w:val="2"/>
          <w:sz w:val="21"/>
          <w:szCs w:val="21"/>
          <w:lang w:eastAsia="zh-CN"/>
        </w:rPr>
        <w:t>参加</w:t>
      </w:r>
      <w:r>
        <w:rPr>
          <w:rFonts w:ascii="宋体" w:eastAsia="宋体" w:hAnsi="宋体" w:cs="Times New Roman"/>
          <w:b/>
          <w:bCs/>
          <w:i/>
          <w:iCs/>
          <w:kern w:val="2"/>
          <w:sz w:val="21"/>
          <w:szCs w:val="21"/>
          <w:u w:val="single"/>
          <w:lang w:eastAsia="zh-CN"/>
        </w:rPr>
        <w:t>（</w:t>
      </w:r>
      <w:r>
        <w:rPr>
          <w:rFonts w:ascii="宋体" w:eastAsia="宋体" w:hAnsi="宋体" w:cs="Times New Roman" w:hint="eastAsia"/>
          <w:b/>
          <w:bCs/>
          <w:i/>
          <w:iCs/>
          <w:kern w:val="2"/>
          <w:sz w:val="21"/>
          <w:szCs w:val="21"/>
          <w:u w:val="single"/>
          <w:lang w:eastAsia="zh-CN"/>
        </w:rPr>
        <w:t>采购人</w:t>
      </w:r>
      <w:r>
        <w:rPr>
          <w:rFonts w:ascii="宋体" w:eastAsia="宋体" w:hAnsi="宋体" w:cs="Times New Roman"/>
          <w:b/>
          <w:bCs/>
          <w:i/>
          <w:iCs/>
          <w:kern w:val="2"/>
          <w:sz w:val="21"/>
          <w:szCs w:val="21"/>
          <w:u w:val="single"/>
          <w:lang w:eastAsia="zh-CN"/>
        </w:rPr>
        <w:t>名称）</w:t>
      </w:r>
      <w:r>
        <w:rPr>
          <w:rFonts w:ascii="宋体" w:eastAsia="宋体" w:hAnsi="宋体" w:cs="Times New Roman"/>
          <w:kern w:val="2"/>
          <w:sz w:val="21"/>
          <w:szCs w:val="21"/>
          <w:lang w:eastAsia="zh-CN"/>
        </w:rPr>
        <w:t>的</w:t>
      </w:r>
      <w:r>
        <w:rPr>
          <w:rFonts w:ascii="宋体" w:eastAsia="宋体" w:hAnsi="宋体" w:cs="Times New Roman"/>
          <w:b/>
          <w:bCs/>
          <w:i/>
          <w:iCs/>
          <w:kern w:val="2"/>
          <w:sz w:val="21"/>
          <w:szCs w:val="21"/>
          <w:u w:val="single"/>
          <w:lang w:eastAsia="zh-CN"/>
        </w:rPr>
        <w:t>（项目名称）</w:t>
      </w:r>
      <w:r>
        <w:rPr>
          <w:rFonts w:ascii="宋体" w:eastAsia="宋体" w:hAnsi="宋体" w:cs="Times New Roman"/>
          <w:kern w:val="2"/>
          <w:sz w:val="21"/>
          <w:szCs w:val="21"/>
          <w:lang w:eastAsia="zh-CN"/>
        </w:rPr>
        <w:t>采购活动，提供的货物全部由符合政策要求的</w:t>
      </w:r>
      <w:r>
        <w:rPr>
          <w:rFonts w:ascii="宋体" w:eastAsia="宋体" w:hAnsi="宋体" w:cs="Times New Roman" w:hint="eastAsia"/>
          <w:kern w:val="2"/>
          <w:sz w:val="21"/>
          <w:szCs w:val="21"/>
          <w:lang w:eastAsia="zh-CN"/>
        </w:rPr>
        <w:t>监狱企业</w:t>
      </w:r>
      <w:r>
        <w:rPr>
          <w:rFonts w:ascii="宋体" w:eastAsia="宋体" w:hAnsi="宋体" w:cs="Times New Roman"/>
          <w:kern w:val="2"/>
          <w:sz w:val="21"/>
          <w:szCs w:val="21"/>
          <w:lang w:eastAsia="zh-CN"/>
        </w:rPr>
        <w:t>制造。相关</w:t>
      </w:r>
      <w:r>
        <w:rPr>
          <w:rFonts w:ascii="宋体" w:eastAsia="宋体" w:hAnsi="宋体" w:cs="Times New Roman" w:hint="eastAsia"/>
          <w:kern w:val="2"/>
          <w:sz w:val="21"/>
          <w:szCs w:val="21"/>
          <w:lang w:eastAsia="zh-CN"/>
        </w:rPr>
        <w:t>监狱企业</w:t>
      </w:r>
      <w:r>
        <w:rPr>
          <w:rFonts w:ascii="宋体" w:eastAsia="宋体" w:hAnsi="宋体" w:cs="Times New Roman"/>
          <w:kern w:val="2"/>
          <w:sz w:val="21"/>
          <w:szCs w:val="21"/>
          <w:lang w:eastAsia="zh-CN"/>
        </w:rPr>
        <w:t>的具体情况如下：</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imes New Roman"/>
          <w:kern w:val="2"/>
          <w:sz w:val="21"/>
          <w:szCs w:val="21"/>
          <w:lang w:eastAsia="zh-CN"/>
        </w:rPr>
        <w:t>1.</w:t>
      </w:r>
      <w:r>
        <w:rPr>
          <w:rFonts w:ascii="宋体" w:eastAsia="宋体" w:hAnsi="宋体" w:cs="Times New Roman"/>
          <w:b/>
          <w:bCs/>
          <w:i/>
          <w:iCs/>
          <w:kern w:val="2"/>
          <w:sz w:val="21"/>
          <w:szCs w:val="21"/>
          <w:u w:val="single"/>
          <w:lang w:eastAsia="zh-CN"/>
        </w:rPr>
        <w:t xml:space="preserve"> </w:t>
      </w:r>
      <w:r>
        <w:rPr>
          <w:rFonts w:ascii="宋体" w:eastAsia="宋体" w:hAnsi="宋体" w:cs="Times New Roman" w:hint="eastAsia"/>
          <w:b/>
          <w:bCs/>
          <w:i/>
          <w:iCs/>
          <w:kern w:val="2"/>
          <w:sz w:val="21"/>
          <w:szCs w:val="21"/>
          <w:u w:val="single"/>
          <w:lang w:eastAsia="zh-CN"/>
        </w:rPr>
        <w:t xml:space="preserve">   </w:t>
      </w:r>
      <w:r>
        <w:rPr>
          <w:rFonts w:ascii="宋体" w:eastAsia="宋体" w:hAnsi="宋体" w:cs="Times New Roman"/>
          <w:b/>
          <w:bCs/>
          <w:i/>
          <w:iCs/>
          <w:kern w:val="2"/>
          <w:sz w:val="21"/>
          <w:szCs w:val="21"/>
          <w:u w:val="single"/>
          <w:lang w:eastAsia="zh-CN"/>
        </w:rPr>
        <w:t>（标的名称）</w:t>
      </w:r>
      <w:r>
        <w:rPr>
          <w:rFonts w:ascii="宋体" w:eastAsia="宋体" w:hAnsi="宋体" w:cs="Times New Roman" w:hint="eastAsia"/>
          <w:b/>
          <w:bCs/>
          <w:i/>
          <w:iCs/>
          <w:kern w:val="2"/>
          <w:sz w:val="21"/>
          <w:szCs w:val="21"/>
          <w:u w:val="single"/>
          <w:lang w:eastAsia="zh-CN"/>
        </w:rPr>
        <w:t xml:space="preserve">    </w:t>
      </w:r>
      <w:r>
        <w:rPr>
          <w:rFonts w:ascii="宋体" w:eastAsia="宋体" w:hAnsi="宋体" w:cs="Times New Roman" w:hint="eastAsia"/>
          <w:kern w:val="2"/>
          <w:sz w:val="21"/>
          <w:szCs w:val="21"/>
          <w:lang w:eastAsia="zh-CN"/>
        </w:rPr>
        <w:t>，</w:t>
      </w:r>
      <w:r>
        <w:rPr>
          <w:rFonts w:ascii="宋体" w:eastAsia="宋体" w:hAnsi="宋体" w:cs="Times New Roman"/>
          <w:kern w:val="2"/>
          <w:sz w:val="21"/>
          <w:szCs w:val="21"/>
          <w:lang w:eastAsia="zh-CN"/>
        </w:rPr>
        <w:t>制造商为</w:t>
      </w:r>
      <w:r>
        <w:rPr>
          <w:rFonts w:ascii="宋体" w:eastAsia="宋体" w:hAnsi="宋体" w:cs="Times New Roman" w:hint="eastAsia"/>
          <w:kern w:val="2"/>
          <w:sz w:val="21"/>
          <w:szCs w:val="21"/>
          <w:u w:val="single"/>
          <w:lang w:eastAsia="zh-CN"/>
        </w:rPr>
        <w:t xml:space="preserve">    </w:t>
      </w:r>
      <w:r>
        <w:rPr>
          <w:rFonts w:ascii="宋体" w:eastAsia="宋体" w:hAnsi="宋体" w:cs="Times New Roman"/>
          <w:b/>
          <w:bCs/>
          <w:i/>
          <w:iCs/>
          <w:kern w:val="2"/>
          <w:sz w:val="21"/>
          <w:szCs w:val="21"/>
          <w:u w:val="single"/>
          <w:lang w:eastAsia="zh-CN"/>
        </w:rPr>
        <w:t>（</w:t>
      </w:r>
      <w:r>
        <w:rPr>
          <w:rFonts w:ascii="宋体" w:eastAsia="宋体" w:hAnsi="宋体" w:cs="Times New Roman" w:hint="eastAsia"/>
          <w:b/>
          <w:bCs/>
          <w:i/>
          <w:iCs/>
          <w:kern w:val="2"/>
          <w:sz w:val="21"/>
          <w:szCs w:val="21"/>
          <w:u w:val="single"/>
          <w:lang w:eastAsia="zh-CN"/>
        </w:rPr>
        <w:t>企业</w:t>
      </w:r>
      <w:r>
        <w:rPr>
          <w:rFonts w:ascii="宋体" w:eastAsia="宋体" w:hAnsi="宋体" w:cs="Times New Roman"/>
          <w:b/>
          <w:bCs/>
          <w:i/>
          <w:iCs/>
          <w:kern w:val="2"/>
          <w:sz w:val="21"/>
          <w:szCs w:val="21"/>
          <w:u w:val="single"/>
          <w:lang w:eastAsia="zh-CN"/>
        </w:rPr>
        <w:t>名称）</w:t>
      </w:r>
      <w:r>
        <w:rPr>
          <w:rFonts w:ascii="宋体" w:eastAsia="宋体" w:hAnsi="宋体" w:cs="Times New Roman" w:hint="eastAsia"/>
          <w:b/>
          <w:bCs/>
          <w:i/>
          <w:iCs/>
          <w:kern w:val="2"/>
          <w:sz w:val="21"/>
          <w:szCs w:val="21"/>
          <w:u w:val="single"/>
          <w:lang w:eastAsia="zh-CN"/>
        </w:rPr>
        <w:t xml:space="preserve">    </w:t>
      </w:r>
      <w:r>
        <w:rPr>
          <w:rFonts w:ascii="宋体" w:eastAsia="宋体" w:hAnsi="宋体" w:cs="Times New Roman"/>
          <w:kern w:val="2"/>
          <w:sz w:val="21"/>
          <w:szCs w:val="21"/>
          <w:lang w:eastAsia="zh-CN"/>
        </w:rPr>
        <w:t>，属于</w:t>
      </w:r>
      <w:r>
        <w:rPr>
          <w:rFonts w:ascii="宋体" w:eastAsia="宋体" w:hAnsi="宋体" w:cs="Times New Roman" w:hint="eastAsia"/>
          <w:kern w:val="2"/>
          <w:sz w:val="21"/>
          <w:szCs w:val="21"/>
          <w:u w:val="single"/>
          <w:lang w:eastAsia="zh-CN"/>
        </w:rPr>
        <w:t xml:space="preserve">  </w:t>
      </w:r>
      <w:r>
        <w:rPr>
          <w:rFonts w:ascii="宋体" w:eastAsia="宋体" w:hAnsi="宋体" w:cs="Times New Roman" w:hint="eastAsia"/>
          <w:b/>
          <w:bCs/>
          <w:kern w:val="2"/>
          <w:sz w:val="21"/>
          <w:szCs w:val="21"/>
          <w:u w:val="single"/>
          <w:lang w:eastAsia="zh-CN"/>
        </w:rPr>
        <w:t xml:space="preserve">监狱企业  </w:t>
      </w:r>
      <w:r>
        <w:rPr>
          <w:rFonts w:ascii="宋体" w:eastAsia="宋体" w:hAnsi="宋体" w:cs="Times New Roman"/>
          <w:kern w:val="2"/>
          <w:sz w:val="21"/>
          <w:szCs w:val="21"/>
          <w:lang w:eastAsia="zh-CN"/>
        </w:rPr>
        <w:t>；</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imes New Roman"/>
          <w:kern w:val="2"/>
          <w:sz w:val="21"/>
          <w:szCs w:val="21"/>
          <w:lang w:eastAsia="zh-CN"/>
        </w:rPr>
        <w:t>2.</w:t>
      </w:r>
      <w:r>
        <w:rPr>
          <w:rFonts w:ascii="宋体" w:eastAsia="宋体" w:hAnsi="宋体" w:cs="Times New Roman"/>
          <w:b/>
          <w:bCs/>
          <w:i/>
          <w:iCs/>
          <w:kern w:val="2"/>
          <w:sz w:val="21"/>
          <w:szCs w:val="21"/>
          <w:u w:val="single"/>
          <w:lang w:eastAsia="zh-CN"/>
        </w:rPr>
        <w:t xml:space="preserve"> </w:t>
      </w:r>
      <w:r>
        <w:rPr>
          <w:rFonts w:ascii="宋体" w:eastAsia="宋体" w:hAnsi="宋体" w:cs="Times New Roman" w:hint="eastAsia"/>
          <w:b/>
          <w:bCs/>
          <w:i/>
          <w:iCs/>
          <w:kern w:val="2"/>
          <w:sz w:val="21"/>
          <w:szCs w:val="21"/>
          <w:u w:val="single"/>
          <w:lang w:eastAsia="zh-CN"/>
        </w:rPr>
        <w:t xml:space="preserve">   </w:t>
      </w:r>
      <w:r>
        <w:rPr>
          <w:rFonts w:ascii="宋体" w:eastAsia="宋体" w:hAnsi="宋体" w:cs="Times New Roman"/>
          <w:b/>
          <w:bCs/>
          <w:i/>
          <w:iCs/>
          <w:kern w:val="2"/>
          <w:sz w:val="21"/>
          <w:szCs w:val="21"/>
          <w:u w:val="single"/>
          <w:lang w:eastAsia="zh-CN"/>
        </w:rPr>
        <w:t>（标的名称）</w:t>
      </w:r>
      <w:r>
        <w:rPr>
          <w:rFonts w:ascii="宋体" w:eastAsia="宋体" w:hAnsi="宋体" w:cs="Times New Roman" w:hint="eastAsia"/>
          <w:b/>
          <w:bCs/>
          <w:i/>
          <w:iCs/>
          <w:kern w:val="2"/>
          <w:sz w:val="21"/>
          <w:szCs w:val="21"/>
          <w:u w:val="single"/>
          <w:lang w:eastAsia="zh-CN"/>
        </w:rPr>
        <w:t xml:space="preserve">    </w:t>
      </w:r>
      <w:r>
        <w:rPr>
          <w:rFonts w:ascii="宋体" w:eastAsia="宋体" w:hAnsi="宋体" w:cs="Times New Roman" w:hint="eastAsia"/>
          <w:kern w:val="2"/>
          <w:sz w:val="21"/>
          <w:szCs w:val="21"/>
          <w:lang w:eastAsia="zh-CN"/>
        </w:rPr>
        <w:t>，</w:t>
      </w:r>
      <w:r>
        <w:rPr>
          <w:rFonts w:ascii="宋体" w:eastAsia="宋体" w:hAnsi="宋体" w:cs="Times New Roman"/>
          <w:kern w:val="2"/>
          <w:sz w:val="21"/>
          <w:szCs w:val="21"/>
          <w:lang w:eastAsia="zh-CN"/>
        </w:rPr>
        <w:t>制造商为</w:t>
      </w:r>
      <w:r>
        <w:rPr>
          <w:rFonts w:ascii="宋体" w:eastAsia="宋体" w:hAnsi="宋体" w:cs="Times New Roman" w:hint="eastAsia"/>
          <w:kern w:val="2"/>
          <w:sz w:val="21"/>
          <w:szCs w:val="21"/>
          <w:u w:val="single"/>
          <w:lang w:eastAsia="zh-CN"/>
        </w:rPr>
        <w:t xml:space="preserve">    </w:t>
      </w:r>
      <w:r>
        <w:rPr>
          <w:rFonts w:ascii="宋体" w:eastAsia="宋体" w:hAnsi="宋体" w:cs="Times New Roman"/>
          <w:b/>
          <w:bCs/>
          <w:i/>
          <w:iCs/>
          <w:kern w:val="2"/>
          <w:sz w:val="21"/>
          <w:szCs w:val="21"/>
          <w:u w:val="single"/>
          <w:lang w:eastAsia="zh-CN"/>
        </w:rPr>
        <w:t>（</w:t>
      </w:r>
      <w:r>
        <w:rPr>
          <w:rFonts w:ascii="宋体" w:eastAsia="宋体" w:hAnsi="宋体" w:cs="Times New Roman" w:hint="eastAsia"/>
          <w:b/>
          <w:bCs/>
          <w:i/>
          <w:iCs/>
          <w:kern w:val="2"/>
          <w:sz w:val="21"/>
          <w:szCs w:val="21"/>
          <w:u w:val="single"/>
          <w:lang w:eastAsia="zh-CN"/>
        </w:rPr>
        <w:t>企业</w:t>
      </w:r>
      <w:r>
        <w:rPr>
          <w:rFonts w:ascii="宋体" w:eastAsia="宋体" w:hAnsi="宋体" w:cs="Times New Roman"/>
          <w:b/>
          <w:bCs/>
          <w:i/>
          <w:iCs/>
          <w:kern w:val="2"/>
          <w:sz w:val="21"/>
          <w:szCs w:val="21"/>
          <w:u w:val="single"/>
          <w:lang w:eastAsia="zh-CN"/>
        </w:rPr>
        <w:t>名称）</w:t>
      </w:r>
      <w:r>
        <w:rPr>
          <w:rFonts w:ascii="宋体" w:eastAsia="宋体" w:hAnsi="宋体" w:cs="Times New Roman" w:hint="eastAsia"/>
          <w:b/>
          <w:bCs/>
          <w:i/>
          <w:iCs/>
          <w:kern w:val="2"/>
          <w:sz w:val="21"/>
          <w:szCs w:val="21"/>
          <w:u w:val="single"/>
          <w:lang w:eastAsia="zh-CN"/>
        </w:rPr>
        <w:t xml:space="preserve">    </w:t>
      </w:r>
      <w:r>
        <w:rPr>
          <w:rFonts w:ascii="宋体" w:eastAsia="宋体" w:hAnsi="宋体" w:cs="Times New Roman"/>
          <w:kern w:val="2"/>
          <w:sz w:val="21"/>
          <w:szCs w:val="21"/>
          <w:lang w:eastAsia="zh-CN"/>
        </w:rPr>
        <w:t>，属于</w:t>
      </w:r>
      <w:r>
        <w:rPr>
          <w:rFonts w:ascii="宋体" w:eastAsia="宋体" w:hAnsi="宋体" w:cs="Times New Roman" w:hint="eastAsia"/>
          <w:kern w:val="2"/>
          <w:sz w:val="21"/>
          <w:szCs w:val="21"/>
          <w:u w:val="single"/>
          <w:lang w:eastAsia="zh-CN"/>
        </w:rPr>
        <w:t xml:space="preserve">  </w:t>
      </w:r>
      <w:r>
        <w:rPr>
          <w:rFonts w:ascii="宋体" w:eastAsia="宋体" w:hAnsi="宋体" w:cs="Times New Roman" w:hint="eastAsia"/>
          <w:b/>
          <w:bCs/>
          <w:kern w:val="2"/>
          <w:sz w:val="21"/>
          <w:szCs w:val="21"/>
          <w:u w:val="single"/>
          <w:lang w:eastAsia="zh-CN"/>
        </w:rPr>
        <w:t xml:space="preserve">监狱企业  </w:t>
      </w:r>
      <w:r>
        <w:rPr>
          <w:rFonts w:ascii="宋体" w:eastAsia="宋体" w:hAnsi="宋体" w:cs="Times New Roman" w:hint="eastAsia"/>
          <w:kern w:val="2"/>
          <w:sz w:val="21"/>
          <w:szCs w:val="21"/>
          <w:lang w:eastAsia="zh-CN"/>
        </w:rPr>
        <w:t>。</w:t>
      </w:r>
    </w:p>
    <w:p>
      <w:pPr>
        <w:widowControl w:val="0"/>
        <w:spacing w:line="360" w:lineRule="auto"/>
        <w:ind w:firstLine="420" w:firstLineChars="200"/>
        <w:jc w:val="both"/>
        <w:outlineLvl w:val="3"/>
        <w:rPr>
          <w:rFonts w:ascii="宋体" w:eastAsia="宋体" w:hAnsi="宋体" w:hint="eastAsia"/>
          <w:kern w:val="2"/>
          <w:sz w:val="21"/>
          <w:szCs w:val="21"/>
          <w:lang w:eastAsia="zh-CN"/>
        </w:rPr>
      </w:pPr>
      <w:r>
        <w:rPr>
          <w:rFonts w:ascii="宋体" w:eastAsia="宋体" w:hAnsi="宋体" w:cs="Times New Roman"/>
          <w:kern w:val="2"/>
          <w:sz w:val="21"/>
          <w:szCs w:val="21"/>
          <w:lang w:eastAsia="zh-CN"/>
        </w:rPr>
        <w:t xml:space="preserve">…… </w:t>
      </w:r>
    </w:p>
    <w:p>
      <w:pPr>
        <w:widowControl w:val="0"/>
        <w:spacing w:line="360" w:lineRule="auto"/>
        <w:ind w:firstLine="420" w:firstLineChars="200"/>
        <w:jc w:val="both"/>
        <w:rPr>
          <w:rFonts w:ascii="宋体" w:eastAsia="宋体" w:hAnsi="宋体" w:hint="eastAsia"/>
          <w:kern w:val="2"/>
          <w:sz w:val="21"/>
          <w:szCs w:val="21"/>
          <w:lang w:eastAsia="zh-CN"/>
        </w:rPr>
      </w:pPr>
      <w:r>
        <w:rPr>
          <w:rFonts w:ascii="宋体" w:eastAsia="宋体" w:hAnsi="宋体" w:cs="Times New Roman"/>
          <w:kern w:val="2"/>
          <w:sz w:val="21"/>
          <w:szCs w:val="21"/>
          <w:lang w:eastAsia="zh-CN"/>
        </w:rPr>
        <w:t>本</w:t>
      </w:r>
      <w:r>
        <w:rPr>
          <w:rFonts w:ascii="宋体" w:eastAsia="宋体" w:hAnsi="宋体" w:cs="Times New Roman" w:hint="eastAsia"/>
          <w:kern w:val="2"/>
          <w:sz w:val="21"/>
          <w:szCs w:val="21"/>
          <w:lang w:eastAsia="zh-CN"/>
        </w:rPr>
        <w:t>投标人</w:t>
      </w:r>
      <w:r>
        <w:rPr>
          <w:rFonts w:ascii="宋体" w:eastAsia="宋体" w:hAnsi="宋体" w:cs="Times New Roman"/>
          <w:kern w:val="2"/>
          <w:sz w:val="21"/>
          <w:szCs w:val="21"/>
          <w:lang w:eastAsia="zh-CN"/>
        </w:rPr>
        <w:t>对上述声明内容的真实性负责。如有虚假，将依法承担相应责任。</w:t>
      </w:r>
    </w:p>
    <w:p>
      <w:pPr>
        <w:widowControl w:val="0"/>
        <w:spacing w:line="360" w:lineRule="auto"/>
        <w:ind w:firstLine="420" w:firstLineChars="200"/>
        <w:jc w:val="both"/>
        <w:rPr>
          <w:rFonts w:ascii="Calibri" w:eastAsia="宋体" w:hAnsi="Calibri"/>
          <w:b/>
          <w:bCs/>
          <w:color w:val="FF0000"/>
          <w:kern w:val="2"/>
          <w:sz w:val="21"/>
          <w:szCs w:val="21"/>
          <w:lang w:eastAsia="zh-CN"/>
        </w:rPr>
      </w:pPr>
      <w:r>
        <w:rPr>
          <w:rFonts w:ascii="宋体" w:eastAsia="宋体" w:hAnsi="宋体" w:cs="Times New Roman" w:hint="eastAsia"/>
          <w:kern w:val="2"/>
          <w:sz w:val="21"/>
          <w:szCs w:val="21"/>
          <w:lang w:eastAsia="zh-CN"/>
        </w:rPr>
        <w:t>附：省级以上监狱管理局、戒毒管理局（含新疆生产建设兵团）出具的监狱企业证明文件。</w:t>
      </w:r>
      <w:bookmarkEnd w:id="35"/>
    </w:p>
    <w:p>
      <w:pPr>
        <w:keepNext/>
        <w:keepLines/>
        <w:pageBreakBefore/>
        <w:widowControl w:val="0"/>
        <w:adjustRightInd w:val="0"/>
        <w:snapToGrid w:val="0"/>
        <w:spacing w:line="360" w:lineRule="auto"/>
        <w:jc w:val="center"/>
        <w:textAlignment w:val="baseline"/>
        <w:outlineLvl w:val="3"/>
        <w:rPr>
          <w:rFonts w:ascii="宋体" w:eastAsia="宋体" w:hAnsi="宋体" w:hint="eastAsia"/>
          <w:b/>
          <w:bCs/>
          <w:szCs w:val="20"/>
          <w:lang w:eastAsia="zh-CN"/>
        </w:rPr>
      </w:pPr>
      <w:r>
        <w:rPr>
          <w:rFonts w:ascii="黑体" w:eastAsia="黑体" w:hAnsi="Calibri" w:cs="Times New Roman" w:hint="eastAsia"/>
          <w:kern w:val="2"/>
          <w:lang w:eastAsia="zh-CN"/>
        </w:rPr>
        <w:t>四、</w:t>
      </w:r>
      <w:r>
        <w:rPr>
          <w:rFonts w:ascii="宋体" w:eastAsia="宋体" w:hAnsi="宋体" w:hint="eastAsia"/>
          <w:b/>
          <w:bCs/>
          <w:szCs w:val="20"/>
          <w:lang w:eastAsia="zh-CN"/>
        </w:rPr>
        <w:t>分项报价清单</w:t>
      </w:r>
    </w:p>
    <w:p>
      <w:pPr>
        <w:widowControl w:val="0"/>
        <w:spacing w:after="60" w:afterLines="25" w:line="300" w:lineRule="auto"/>
        <w:jc w:val="both"/>
        <w:rPr>
          <w:rFonts w:ascii="Arial" w:eastAsia="宋体" w:hAnsi="Arial" w:cs="Arial"/>
          <w:kern w:val="2"/>
          <w:sz w:val="21"/>
          <w:lang w:eastAsia="zh-CN"/>
        </w:rPr>
      </w:pPr>
      <w:r>
        <w:rPr>
          <w:rFonts w:ascii="Arial" w:eastAsia="宋体" w:hAnsi="Arial" w:cs="Arial" w:hint="eastAsia"/>
          <w:color w:val="000000"/>
          <w:kern w:val="2"/>
          <w:sz w:val="21"/>
          <w:lang w:eastAsia="zh-CN"/>
        </w:rPr>
        <w:t>投标单位（投标人）名称：</w:t>
      </w:r>
      <w:r>
        <w:rPr>
          <w:rFonts w:ascii="Arial" w:eastAsia="宋体" w:hAnsi="Arial" w:cs="Arial"/>
          <w:color w:val="000000"/>
          <w:kern w:val="2"/>
          <w:sz w:val="21"/>
          <w:u w:val="single"/>
          <w:lang w:eastAsia="zh-CN"/>
        </w:rPr>
        <w:t xml:space="preserve">                          </w:t>
      </w:r>
    </w:p>
    <w:p>
      <w:pPr>
        <w:widowControl w:val="0"/>
        <w:tabs>
          <w:tab w:val="left" w:pos="720"/>
        </w:tabs>
        <w:spacing w:after="60" w:afterLines="25" w:line="300" w:lineRule="auto"/>
        <w:jc w:val="both"/>
        <w:rPr>
          <w:rFonts w:ascii="Arial" w:eastAsia="宋体" w:hAnsi="Arial"/>
          <w:b/>
          <w:kern w:val="2"/>
          <w:lang w:eastAsia="zh-CN"/>
        </w:rPr>
      </w:pPr>
      <w:r>
        <w:rPr>
          <w:rFonts w:ascii="Arial" w:eastAsia="宋体" w:hAnsi="Arial" w:hint="eastAsia"/>
          <w:b/>
          <w:kern w:val="2"/>
          <w:lang w:eastAsia="zh-CN"/>
        </w:rPr>
        <w:t>（一）项目报价表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74"/>
        <w:gridCol w:w="1600"/>
        <w:gridCol w:w="725"/>
        <w:gridCol w:w="848"/>
        <w:gridCol w:w="937"/>
        <w:gridCol w:w="705"/>
        <w:gridCol w:w="499"/>
        <w:gridCol w:w="499"/>
        <w:gridCol w:w="701"/>
        <w:gridCol w:w="933"/>
        <w:gridCol w:w="93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85"/>
          <w:jc w:val="center"/>
        </w:trPr>
        <w:tc>
          <w:tcPr>
            <w:tcW w:w="267" w:type="pct"/>
            <w:noWrap w:val="0"/>
            <w:vAlign w:val="top"/>
          </w:tcPr>
          <w:p>
            <w:pPr>
              <w:widowControl w:val="0"/>
              <w:spacing w:line="300" w:lineRule="auto"/>
              <w:jc w:val="center"/>
              <w:rPr>
                <w:rFonts w:ascii="Arial" w:eastAsia="宋体" w:hAnsi="Arial"/>
                <w:kern w:val="2"/>
                <w:sz w:val="21"/>
                <w:lang w:eastAsia="zh-CN"/>
              </w:rPr>
            </w:pPr>
            <w:r>
              <w:rPr>
                <w:rFonts w:ascii="Arial" w:eastAsia="宋体" w:hAnsi="Arial" w:hint="eastAsia"/>
                <w:kern w:val="2"/>
                <w:sz w:val="21"/>
                <w:lang w:eastAsia="zh-CN"/>
              </w:rPr>
              <w:t>序号</w:t>
            </w:r>
          </w:p>
        </w:tc>
        <w:tc>
          <w:tcPr>
            <w:tcW w:w="903" w:type="pct"/>
            <w:noWrap w:val="0"/>
            <w:vAlign w:val="center"/>
          </w:tcPr>
          <w:p>
            <w:pPr>
              <w:widowControl w:val="0"/>
              <w:spacing w:line="300" w:lineRule="auto"/>
              <w:jc w:val="center"/>
              <w:rPr>
                <w:rFonts w:ascii="Arial" w:eastAsia="宋体" w:hAnsi="Arial"/>
                <w:kern w:val="2"/>
                <w:sz w:val="21"/>
                <w:lang w:eastAsia="zh-CN"/>
              </w:rPr>
            </w:pPr>
            <w:r>
              <w:rPr>
                <w:rFonts w:ascii="Arial" w:eastAsia="宋体" w:hAnsi="Arial" w:hint="eastAsia"/>
                <w:kern w:val="2"/>
                <w:sz w:val="21"/>
                <w:lang w:eastAsia="zh-CN"/>
              </w:rPr>
              <w:t>货物名称</w:t>
            </w:r>
          </w:p>
        </w:tc>
        <w:tc>
          <w:tcPr>
            <w:tcW w:w="409" w:type="pct"/>
            <w:noWrap w:val="0"/>
            <w:vAlign w:val="center"/>
          </w:tcPr>
          <w:p>
            <w:pPr>
              <w:widowControl w:val="0"/>
              <w:spacing w:line="300" w:lineRule="auto"/>
              <w:jc w:val="center"/>
              <w:rPr>
                <w:rFonts w:ascii="Arial" w:eastAsia="宋体" w:hAnsi="Arial"/>
                <w:kern w:val="2"/>
                <w:sz w:val="21"/>
                <w:lang w:eastAsia="zh-CN"/>
              </w:rPr>
            </w:pPr>
            <w:r>
              <w:rPr>
                <w:rFonts w:ascii="Arial" w:eastAsia="宋体" w:hAnsi="Arial" w:hint="eastAsia"/>
                <w:kern w:val="2"/>
                <w:sz w:val="21"/>
                <w:lang w:eastAsia="zh-CN"/>
              </w:rPr>
              <w:t>品牌</w:t>
            </w:r>
          </w:p>
        </w:tc>
        <w:tc>
          <w:tcPr>
            <w:tcW w:w="478" w:type="pct"/>
            <w:noWrap w:val="0"/>
            <w:vAlign w:val="center"/>
          </w:tcPr>
          <w:p>
            <w:pPr>
              <w:widowControl w:val="0"/>
              <w:spacing w:line="300" w:lineRule="auto"/>
              <w:jc w:val="center"/>
              <w:rPr>
                <w:rFonts w:ascii="Arial" w:eastAsia="宋体" w:hAnsi="Arial"/>
                <w:kern w:val="2"/>
                <w:sz w:val="21"/>
                <w:lang w:eastAsia="zh-CN"/>
              </w:rPr>
            </w:pPr>
            <w:r>
              <w:rPr>
                <w:rFonts w:ascii="Arial" w:eastAsia="宋体" w:hAnsi="Arial" w:hint="eastAsia"/>
                <w:kern w:val="2"/>
                <w:sz w:val="21"/>
                <w:lang w:eastAsia="zh-CN"/>
              </w:rPr>
              <w:t>规格/型号</w:t>
            </w:r>
          </w:p>
        </w:tc>
        <w:tc>
          <w:tcPr>
            <w:tcW w:w="529" w:type="pct"/>
            <w:noWrap w:val="0"/>
            <w:vAlign w:val="center"/>
          </w:tcPr>
          <w:p>
            <w:pPr>
              <w:widowControl w:val="0"/>
              <w:spacing w:line="300" w:lineRule="auto"/>
              <w:jc w:val="center"/>
              <w:rPr>
                <w:rFonts w:ascii="Arial" w:eastAsia="宋体" w:hAnsi="Arial"/>
                <w:b/>
                <w:kern w:val="2"/>
                <w:sz w:val="21"/>
                <w:lang w:eastAsia="zh-CN"/>
              </w:rPr>
            </w:pPr>
            <w:r>
              <w:rPr>
                <w:rFonts w:ascii="Arial" w:eastAsia="宋体" w:hAnsi="Arial" w:hint="eastAsia"/>
                <w:bCs/>
                <w:kern w:val="2"/>
                <w:sz w:val="21"/>
                <w:lang w:eastAsia="zh-CN"/>
              </w:rPr>
              <w:t>制造商名称</w:t>
            </w:r>
          </w:p>
        </w:tc>
        <w:tc>
          <w:tcPr>
            <w:tcW w:w="395" w:type="pct"/>
            <w:noWrap w:val="0"/>
            <w:vAlign w:val="center"/>
          </w:tcPr>
          <w:p>
            <w:pPr>
              <w:widowControl w:val="0"/>
              <w:spacing w:line="300" w:lineRule="auto"/>
              <w:jc w:val="center"/>
              <w:rPr>
                <w:rFonts w:ascii="Arial" w:eastAsia="宋体" w:hAnsi="Arial"/>
                <w:kern w:val="2"/>
                <w:sz w:val="21"/>
                <w:lang w:eastAsia="zh-CN"/>
              </w:rPr>
            </w:pPr>
            <w:r>
              <w:rPr>
                <w:rFonts w:ascii="Arial" w:eastAsia="宋体" w:hAnsi="Arial" w:hint="eastAsia"/>
                <w:kern w:val="2"/>
                <w:sz w:val="21"/>
                <w:lang w:eastAsia="zh-CN"/>
              </w:rPr>
              <w:t>原产地</w:t>
            </w:r>
          </w:p>
        </w:tc>
        <w:tc>
          <w:tcPr>
            <w:tcW w:w="282" w:type="pct"/>
            <w:noWrap w:val="0"/>
            <w:vAlign w:val="center"/>
          </w:tcPr>
          <w:p>
            <w:pPr>
              <w:widowControl w:val="0"/>
              <w:spacing w:line="300" w:lineRule="auto"/>
              <w:jc w:val="center"/>
              <w:rPr>
                <w:rFonts w:ascii="Arial" w:eastAsia="宋体" w:hAnsi="Arial"/>
                <w:kern w:val="2"/>
                <w:sz w:val="21"/>
                <w:lang w:eastAsia="zh-CN"/>
              </w:rPr>
            </w:pPr>
            <w:r>
              <w:rPr>
                <w:rFonts w:ascii="Arial" w:eastAsia="宋体" w:hAnsi="Arial" w:hint="eastAsia"/>
                <w:kern w:val="2"/>
                <w:sz w:val="21"/>
                <w:lang w:eastAsia="zh-CN"/>
              </w:rPr>
              <w:t>数量</w:t>
            </w:r>
          </w:p>
        </w:tc>
        <w:tc>
          <w:tcPr>
            <w:tcW w:w="282" w:type="pct"/>
            <w:noWrap w:val="0"/>
            <w:vAlign w:val="top"/>
          </w:tcPr>
          <w:p>
            <w:pPr>
              <w:widowControl w:val="0"/>
              <w:spacing w:line="300" w:lineRule="auto"/>
              <w:jc w:val="center"/>
              <w:rPr>
                <w:rFonts w:ascii="Arial" w:eastAsia="宋体" w:hAnsi="Arial"/>
                <w:kern w:val="2"/>
                <w:sz w:val="21"/>
                <w:lang w:eastAsia="zh-CN"/>
              </w:rPr>
            </w:pPr>
            <w:r>
              <w:rPr>
                <w:rFonts w:ascii="Arial" w:eastAsia="宋体" w:hAnsi="Arial" w:hint="eastAsia"/>
                <w:kern w:val="2"/>
                <w:sz w:val="21"/>
                <w:lang w:eastAsia="zh-CN"/>
              </w:rPr>
              <w:t>单位</w:t>
            </w:r>
          </w:p>
        </w:tc>
        <w:tc>
          <w:tcPr>
            <w:tcW w:w="396" w:type="pct"/>
            <w:noWrap w:val="0"/>
            <w:vAlign w:val="center"/>
          </w:tcPr>
          <w:p>
            <w:pPr>
              <w:widowControl w:val="0"/>
              <w:spacing w:line="300" w:lineRule="auto"/>
              <w:jc w:val="center"/>
              <w:rPr>
                <w:rFonts w:ascii="Arial" w:eastAsia="宋体" w:hAnsi="Arial"/>
                <w:kern w:val="2"/>
                <w:sz w:val="21"/>
                <w:lang w:eastAsia="zh-CN"/>
              </w:rPr>
            </w:pPr>
            <w:r>
              <w:rPr>
                <w:rFonts w:ascii="Arial" w:eastAsia="宋体" w:hAnsi="Arial" w:hint="eastAsia"/>
                <w:kern w:val="2"/>
                <w:sz w:val="21"/>
                <w:lang w:eastAsia="zh-CN"/>
              </w:rPr>
              <w:t>单价(元)</w:t>
            </w:r>
          </w:p>
        </w:tc>
        <w:tc>
          <w:tcPr>
            <w:tcW w:w="527" w:type="pct"/>
            <w:noWrap w:val="0"/>
            <w:vAlign w:val="center"/>
          </w:tcPr>
          <w:p>
            <w:pPr>
              <w:widowControl w:val="0"/>
              <w:spacing w:line="300" w:lineRule="auto"/>
              <w:jc w:val="center"/>
              <w:rPr>
                <w:rFonts w:ascii="Arial" w:eastAsia="宋体" w:hAnsi="Arial"/>
                <w:kern w:val="2"/>
                <w:sz w:val="21"/>
                <w:lang w:eastAsia="zh-CN"/>
              </w:rPr>
            </w:pPr>
            <w:r>
              <w:rPr>
                <w:rFonts w:ascii="Arial" w:eastAsia="宋体" w:hAnsi="Arial" w:hint="eastAsia"/>
                <w:kern w:val="2"/>
                <w:sz w:val="21"/>
                <w:lang w:eastAsia="zh-CN"/>
              </w:rPr>
              <w:t>合价(元)</w:t>
            </w:r>
          </w:p>
        </w:tc>
        <w:tc>
          <w:tcPr>
            <w:tcW w:w="527" w:type="pct"/>
            <w:noWrap w:val="0"/>
            <w:vAlign w:val="center"/>
          </w:tcPr>
          <w:p>
            <w:pPr>
              <w:widowControl w:val="0"/>
              <w:spacing w:line="300" w:lineRule="auto"/>
              <w:jc w:val="center"/>
              <w:rPr>
                <w:rFonts w:ascii="Arial" w:eastAsia="宋体" w:hAnsi="Arial"/>
                <w:kern w:val="2"/>
                <w:sz w:val="21"/>
                <w:lang w:eastAsia="zh-CN"/>
              </w:rPr>
            </w:pPr>
            <w:r>
              <w:rPr>
                <w:rFonts w:eastAsia="宋体" w:hint="eastAsia"/>
                <w:kern w:val="2"/>
                <w:sz w:val="21"/>
                <w:szCs w:val="21"/>
                <w:lang w:eastAsia="zh-CN"/>
              </w:rPr>
              <w:t>预算金额（元）</w:t>
            </w:r>
          </w:p>
        </w:tc>
      </w:tr>
      <w:tr>
        <w:tblPrEx>
          <w:tblW w:w="5000" w:type="pct"/>
          <w:jc w:val="center"/>
          <w:tblLayout w:type="fixed"/>
          <w:tblCellMar>
            <w:top w:w="0" w:type="dxa"/>
            <w:left w:w="108" w:type="dxa"/>
            <w:bottom w:w="0" w:type="dxa"/>
            <w:right w:w="108" w:type="dxa"/>
          </w:tblCellMar>
        </w:tblPrEx>
        <w:trPr>
          <w:trHeight w:val="90"/>
          <w:jc w:val="center"/>
        </w:trPr>
        <w:tc>
          <w:tcPr>
            <w:tcW w:w="267" w:type="pct"/>
            <w:noWrap w:val="0"/>
            <w:vAlign w:val="center"/>
          </w:tcPr>
          <w:p>
            <w:pPr>
              <w:widowControl w:val="0"/>
              <w:spacing w:after="60" w:afterLines="25" w:line="300" w:lineRule="auto"/>
              <w:jc w:val="center"/>
              <w:rPr>
                <w:rFonts w:ascii="Arial" w:eastAsia="宋体" w:hAnsi="Arial"/>
                <w:kern w:val="2"/>
                <w:sz w:val="21"/>
                <w:lang w:eastAsia="zh-CN"/>
              </w:rPr>
            </w:pPr>
            <w:r>
              <w:rPr>
                <w:rFonts w:ascii="Arial" w:eastAsia="宋体" w:hAnsi="Arial" w:hint="eastAsia"/>
                <w:kern w:val="2"/>
                <w:sz w:val="21"/>
                <w:lang w:eastAsia="zh-CN"/>
              </w:rPr>
              <w:t>1</w:t>
            </w:r>
          </w:p>
        </w:tc>
        <w:tc>
          <w:tcPr>
            <w:tcW w:w="903" w:type="pct"/>
            <w:noWrap w:val="0"/>
            <w:vAlign w:val="center"/>
          </w:tcPr>
          <w:p>
            <w:pPr>
              <w:widowControl w:val="0"/>
              <w:spacing w:after="60" w:afterLines="25" w:line="300" w:lineRule="auto"/>
              <w:jc w:val="both"/>
              <w:rPr>
                <w:rFonts w:ascii="Arial" w:eastAsia="宋体" w:hAnsi="Arial"/>
                <w:b/>
                <w:kern w:val="2"/>
                <w:sz w:val="21"/>
                <w:lang w:eastAsia="zh-CN"/>
              </w:rPr>
            </w:pPr>
          </w:p>
        </w:tc>
        <w:tc>
          <w:tcPr>
            <w:tcW w:w="409" w:type="pct"/>
            <w:noWrap w:val="0"/>
            <w:vAlign w:val="top"/>
          </w:tcPr>
          <w:p>
            <w:pPr>
              <w:widowControl w:val="0"/>
              <w:spacing w:after="60" w:afterLines="25" w:line="300" w:lineRule="auto"/>
              <w:jc w:val="both"/>
              <w:rPr>
                <w:rFonts w:ascii="Arial" w:eastAsia="宋体" w:hAnsi="Arial"/>
                <w:kern w:val="2"/>
                <w:sz w:val="21"/>
                <w:lang w:eastAsia="zh-CN"/>
              </w:rPr>
            </w:pPr>
          </w:p>
        </w:tc>
        <w:tc>
          <w:tcPr>
            <w:tcW w:w="478" w:type="pct"/>
            <w:noWrap w:val="0"/>
            <w:vAlign w:val="top"/>
          </w:tcPr>
          <w:p>
            <w:pPr>
              <w:widowControl w:val="0"/>
              <w:spacing w:after="60" w:afterLines="25" w:line="300" w:lineRule="auto"/>
              <w:jc w:val="both"/>
              <w:rPr>
                <w:rFonts w:ascii="Arial" w:eastAsia="宋体" w:hAnsi="Arial"/>
                <w:kern w:val="2"/>
                <w:sz w:val="21"/>
                <w:lang w:eastAsia="zh-CN"/>
              </w:rPr>
            </w:pPr>
          </w:p>
        </w:tc>
        <w:tc>
          <w:tcPr>
            <w:tcW w:w="529" w:type="pct"/>
            <w:noWrap w:val="0"/>
            <w:vAlign w:val="top"/>
          </w:tcPr>
          <w:p>
            <w:pPr>
              <w:widowControl w:val="0"/>
              <w:spacing w:after="60" w:afterLines="25" w:line="300" w:lineRule="auto"/>
              <w:jc w:val="both"/>
              <w:rPr>
                <w:rFonts w:ascii="Arial" w:eastAsia="宋体" w:hAnsi="Arial"/>
                <w:kern w:val="2"/>
                <w:sz w:val="21"/>
                <w:lang w:eastAsia="zh-CN"/>
              </w:rPr>
            </w:pPr>
          </w:p>
        </w:tc>
        <w:tc>
          <w:tcPr>
            <w:tcW w:w="395" w:type="pct"/>
            <w:noWrap w:val="0"/>
            <w:vAlign w:val="top"/>
          </w:tcPr>
          <w:p>
            <w:pPr>
              <w:widowControl w:val="0"/>
              <w:spacing w:after="60" w:afterLines="25" w:line="300" w:lineRule="auto"/>
              <w:jc w:val="both"/>
              <w:rPr>
                <w:rFonts w:ascii="Arial" w:eastAsia="宋体" w:hAnsi="Arial"/>
                <w:kern w:val="2"/>
                <w:sz w:val="21"/>
                <w:lang w:eastAsia="zh-CN"/>
              </w:rPr>
            </w:pPr>
          </w:p>
        </w:tc>
        <w:tc>
          <w:tcPr>
            <w:tcW w:w="282" w:type="pct"/>
            <w:noWrap w:val="0"/>
            <w:vAlign w:val="top"/>
          </w:tcPr>
          <w:p>
            <w:pPr>
              <w:widowControl w:val="0"/>
              <w:spacing w:after="60" w:afterLines="25" w:line="300" w:lineRule="auto"/>
              <w:jc w:val="both"/>
              <w:rPr>
                <w:rFonts w:ascii="Arial" w:eastAsia="宋体" w:hAnsi="Arial"/>
                <w:kern w:val="2"/>
                <w:sz w:val="21"/>
                <w:lang w:eastAsia="zh-CN"/>
              </w:rPr>
            </w:pPr>
          </w:p>
        </w:tc>
        <w:tc>
          <w:tcPr>
            <w:tcW w:w="282" w:type="pct"/>
            <w:noWrap w:val="0"/>
            <w:vAlign w:val="top"/>
          </w:tcPr>
          <w:p>
            <w:pPr>
              <w:widowControl w:val="0"/>
              <w:spacing w:after="60" w:afterLines="25" w:line="300" w:lineRule="auto"/>
              <w:jc w:val="both"/>
              <w:rPr>
                <w:rFonts w:ascii="Arial" w:eastAsia="宋体" w:hAnsi="Arial"/>
                <w:kern w:val="2"/>
                <w:sz w:val="21"/>
                <w:lang w:eastAsia="zh-CN"/>
              </w:rPr>
            </w:pPr>
          </w:p>
        </w:tc>
        <w:tc>
          <w:tcPr>
            <w:tcW w:w="396" w:type="pct"/>
            <w:noWrap w:val="0"/>
            <w:vAlign w:val="top"/>
          </w:tcPr>
          <w:p>
            <w:pPr>
              <w:widowControl w:val="0"/>
              <w:spacing w:after="60" w:afterLines="25" w:line="300" w:lineRule="auto"/>
              <w:jc w:val="both"/>
              <w:rPr>
                <w:rFonts w:ascii="Arial" w:eastAsia="宋体" w:hAnsi="Arial"/>
                <w:kern w:val="2"/>
                <w:sz w:val="21"/>
                <w:lang w:eastAsia="zh-CN"/>
              </w:rPr>
            </w:pPr>
          </w:p>
        </w:tc>
        <w:tc>
          <w:tcPr>
            <w:tcW w:w="527" w:type="pct"/>
            <w:noWrap w:val="0"/>
            <w:vAlign w:val="top"/>
          </w:tcPr>
          <w:p>
            <w:pPr>
              <w:widowControl w:val="0"/>
              <w:spacing w:after="60" w:afterLines="25" w:line="300" w:lineRule="auto"/>
              <w:jc w:val="both"/>
              <w:rPr>
                <w:rFonts w:ascii="Arial" w:eastAsia="宋体" w:hAnsi="Arial"/>
                <w:kern w:val="2"/>
                <w:sz w:val="21"/>
                <w:lang w:eastAsia="zh-CN"/>
              </w:rPr>
            </w:pPr>
          </w:p>
        </w:tc>
        <w:tc>
          <w:tcPr>
            <w:tcW w:w="527" w:type="pct"/>
            <w:vMerge w:val="restart"/>
            <w:noWrap w:val="0"/>
            <w:vAlign w:val="top"/>
          </w:tcPr>
          <w:p>
            <w:pPr>
              <w:widowControl w:val="0"/>
              <w:spacing w:after="60" w:afterLines="25" w:line="300" w:lineRule="auto"/>
              <w:jc w:val="both"/>
              <w:rPr>
                <w:rFonts w:ascii="Arial" w:eastAsia="宋体" w:hAnsi="Arial"/>
                <w:kern w:val="2"/>
                <w:sz w:val="21"/>
                <w:lang w:eastAsia="zh-CN"/>
              </w:rPr>
            </w:pPr>
          </w:p>
        </w:tc>
      </w:tr>
      <w:tr>
        <w:tblPrEx>
          <w:tblW w:w="5000" w:type="pct"/>
          <w:jc w:val="center"/>
          <w:tblLayout w:type="fixed"/>
          <w:tblCellMar>
            <w:top w:w="0" w:type="dxa"/>
            <w:left w:w="108" w:type="dxa"/>
            <w:bottom w:w="0" w:type="dxa"/>
            <w:right w:w="108" w:type="dxa"/>
          </w:tblCellMar>
        </w:tblPrEx>
        <w:trPr>
          <w:trHeight w:val="450"/>
          <w:jc w:val="center"/>
        </w:trPr>
        <w:tc>
          <w:tcPr>
            <w:tcW w:w="267" w:type="pct"/>
            <w:noWrap w:val="0"/>
            <w:vAlign w:val="top"/>
          </w:tcPr>
          <w:p>
            <w:pPr>
              <w:widowControl w:val="0"/>
              <w:spacing w:after="60" w:afterLines="25" w:line="300" w:lineRule="auto"/>
              <w:jc w:val="center"/>
              <w:rPr>
                <w:rFonts w:ascii="Arial" w:eastAsia="宋体" w:hAnsi="Arial"/>
                <w:kern w:val="2"/>
                <w:sz w:val="21"/>
                <w:lang w:eastAsia="zh-CN"/>
              </w:rPr>
            </w:pPr>
            <w:r>
              <w:rPr>
                <w:rFonts w:ascii="Arial" w:eastAsia="宋体" w:hAnsi="Arial" w:hint="eastAsia"/>
                <w:kern w:val="2"/>
                <w:sz w:val="21"/>
                <w:lang w:eastAsia="zh-CN"/>
              </w:rPr>
              <w:t>2</w:t>
            </w:r>
          </w:p>
        </w:tc>
        <w:tc>
          <w:tcPr>
            <w:tcW w:w="903" w:type="pct"/>
            <w:noWrap w:val="0"/>
            <w:vAlign w:val="top"/>
          </w:tcPr>
          <w:p>
            <w:pPr>
              <w:widowControl w:val="0"/>
              <w:spacing w:after="60" w:afterLines="25" w:line="300" w:lineRule="auto"/>
              <w:jc w:val="both"/>
              <w:rPr>
                <w:rFonts w:ascii="Arial" w:eastAsia="宋体" w:hAnsi="Arial"/>
                <w:b/>
                <w:kern w:val="2"/>
                <w:sz w:val="21"/>
                <w:lang w:eastAsia="zh-CN"/>
              </w:rPr>
            </w:pPr>
          </w:p>
        </w:tc>
        <w:tc>
          <w:tcPr>
            <w:tcW w:w="409" w:type="pct"/>
            <w:noWrap w:val="0"/>
            <w:vAlign w:val="top"/>
          </w:tcPr>
          <w:p>
            <w:pPr>
              <w:widowControl w:val="0"/>
              <w:spacing w:after="60" w:afterLines="25" w:line="300" w:lineRule="auto"/>
              <w:jc w:val="both"/>
              <w:rPr>
                <w:rFonts w:ascii="Arial" w:eastAsia="宋体" w:hAnsi="Arial"/>
                <w:kern w:val="2"/>
                <w:sz w:val="21"/>
                <w:lang w:eastAsia="zh-CN"/>
              </w:rPr>
            </w:pPr>
          </w:p>
        </w:tc>
        <w:tc>
          <w:tcPr>
            <w:tcW w:w="478" w:type="pct"/>
            <w:noWrap w:val="0"/>
            <w:vAlign w:val="top"/>
          </w:tcPr>
          <w:p>
            <w:pPr>
              <w:widowControl w:val="0"/>
              <w:spacing w:after="60" w:afterLines="25" w:line="300" w:lineRule="auto"/>
              <w:jc w:val="both"/>
              <w:rPr>
                <w:rFonts w:ascii="Arial" w:eastAsia="宋体" w:hAnsi="Arial"/>
                <w:kern w:val="2"/>
                <w:sz w:val="21"/>
                <w:lang w:eastAsia="zh-CN"/>
              </w:rPr>
            </w:pPr>
          </w:p>
        </w:tc>
        <w:tc>
          <w:tcPr>
            <w:tcW w:w="529" w:type="pct"/>
            <w:noWrap w:val="0"/>
            <w:vAlign w:val="top"/>
          </w:tcPr>
          <w:p>
            <w:pPr>
              <w:widowControl w:val="0"/>
              <w:spacing w:after="60" w:afterLines="25" w:line="300" w:lineRule="auto"/>
              <w:jc w:val="both"/>
              <w:rPr>
                <w:rFonts w:ascii="Arial" w:eastAsia="宋体" w:hAnsi="Arial"/>
                <w:kern w:val="2"/>
                <w:sz w:val="21"/>
                <w:lang w:eastAsia="zh-CN"/>
              </w:rPr>
            </w:pPr>
          </w:p>
        </w:tc>
        <w:tc>
          <w:tcPr>
            <w:tcW w:w="395" w:type="pct"/>
            <w:noWrap w:val="0"/>
            <w:vAlign w:val="top"/>
          </w:tcPr>
          <w:p>
            <w:pPr>
              <w:widowControl w:val="0"/>
              <w:spacing w:after="60" w:afterLines="25" w:line="300" w:lineRule="auto"/>
              <w:jc w:val="both"/>
              <w:rPr>
                <w:rFonts w:ascii="Arial" w:eastAsia="宋体" w:hAnsi="Arial"/>
                <w:kern w:val="2"/>
                <w:sz w:val="21"/>
                <w:lang w:eastAsia="zh-CN"/>
              </w:rPr>
            </w:pPr>
          </w:p>
        </w:tc>
        <w:tc>
          <w:tcPr>
            <w:tcW w:w="282" w:type="pct"/>
            <w:noWrap w:val="0"/>
            <w:vAlign w:val="top"/>
          </w:tcPr>
          <w:p>
            <w:pPr>
              <w:widowControl w:val="0"/>
              <w:spacing w:after="60" w:afterLines="25" w:line="300" w:lineRule="auto"/>
              <w:jc w:val="both"/>
              <w:rPr>
                <w:rFonts w:ascii="Arial" w:eastAsia="宋体" w:hAnsi="Arial"/>
                <w:kern w:val="2"/>
                <w:sz w:val="21"/>
                <w:lang w:eastAsia="zh-CN"/>
              </w:rPr>
            </w:pPr>
          </w:p>
        </w:tc>
        <w:tc>
          <w:tcPr>
            <w:tcW w:w="282" w:type="pct"/>
            <w:noWrap w:val="0"/>
            <w:vAlign w:val="top"/>
          </w:tcPr>
          <w:p>
            <w:pPr>
              <w:widowControl w:val="0"/>
              <w:spacing w:after="60" w:afterLines="25" w:line="300" w:lineRule="auto"/>
              <w:jc w:val="both"/>
              <w:rPr>
                <w:rFonts w:ascii="Arial" w:eastAsia="宋体" w:hAnsi="Arial"/>
                <w:kern w:val="2"/>
                <w:sz w:val="21"/>
                <w:lang w:eastAsia="zh-CN"/>
              </w:rPr>
            </w:pPr>
          </w:p>
        </w:tc>
        <w:tc>
          <w:tcPr>
            <w:tcW w:w="396" w:type="pct"/>
            <w:noWrap w:val="0"/>
            <w:vAlign w:val="top"/>
          </w:tcPr>
          <w:p>
            <w:pPr>
              <w:widowControl w:val="0"/>
              <w:spacing w:after="60" w:afterLines="25" w:line="300" w:lineRule="auto"/>
              <w:jc w:val="both"/>
              <w:rPr>
                <w:rFonts w:ascii="Arial" w:eastAsia="宋体" w:hAnsi="Arial"/>
                <w:kern w:val="2"/>
                <w:sz w:val="21"/>
                <w:lang w:eastAsia="zh-CN"/>
              </w:rPr>
            </w:pPr>
          </w:p>
        </w:tc>
        <w:tc>
          <w:tcPr>
            <w:tcW w:w="527" w:type="pct"/>
            <w:noWrap w:val="0"/>
            <w:vAlign w:val="top"/>
          </w:tcPr>
          <w:p>
            <w:pPr>
              <w:widowControl w:val="0"/>
              <w:spacing w:after="60" w:afterLines="25" w:line="300" w:lineRule="auto"/>
              <w:jc w:val="both"/>
              <w:rPr>
                <w:rFonts w:ascii="Arial" w:eastAsia="宋体" w:hAnsi="Arial"/>
                <w:kern w:val="2"/>
                <w:sz w:val="21"/>
                <w:lang w:eastAsia="zh-CN"/>
              </w:rPr>
            </w:pPr>
          </w:p>
        </w:tc>
        <w:tc>
          <w:tcPr>
            <w:tcW w:w="527" w:type="pct"/>
            <w:vMerge/>
            <w:noWrap w:val="0"/>
            <w:vAlign w:val="top"/>
          </w:tcPr>
          <w:p>
            <w:pPr>
              <w:widowControl w:val="0"/>
              <w:spacing w:after="60" w:afterLines="25" w:line="300" w:lineRule="auto"/>
              <w:jc w:val="both"/>
              <w:rPr>
                <w:rFonts w:ascii="Arial" w:eastAsia="宋体" w:hAnsi="Arial"/>
                <w:kern w:val="2"/>
                <w:sz w:val="21"/>
                <w:lang w:eastAsia="zh-CN"/>
              </w:rPr>
            </w:pPr>
          </w:p>
        </w:tc>
      </w:tr>
      <w:tr>
        <w:tblPrEx>
          <w:tblW w:w="5000" w:type="pct"/>
          <w:jc w:val="center"/>
          <w:tblLayout w:type="fixed"/>
          <w:tblCellMar>
            <w:top w:w="0" w:type="dxa"/>
            <w:left w:w="108" w:type="dxa"/>
            <w:bottom w:w="0" w:type="dxa"/>
            <w:right w:w="108" w:type="dxa"/>
          </w:tblCellMar>
        </w:tblPrEx>
        <w:trPr>
          <w:trHeight w:val="400"/>
          <w:jc w:val="center"/>
        </w:trPr>
        <w:tc>
          <w:tcPr>
            <w:tcW w:w="267" w:type="pct"/>
            <w:noWrap w:val="0"/>
            <w:vAlign w:val="top"/>
          </w:tcPr>
          <w:p>
            <w:pPr>
              <w:widowControl w:val="0"/>
              <w:spacing w:after="60" w:afterLines="25" w:line="300" w:lineRule="auto"/>
              <w:jc w:val="center"/>
              <w:rPr>
                <w:rFonts w:ascii="Arial" w:eastAsia="宋体" w:hAnsi="Arial"/>
                <w:kern w:val="2"/>
                <w:sz w:val="21"/>
                <w:lang w:eastAsia="zh-CN"/>
              </w:rPr>
            </w:pPr>
            <w:r>
              <w:rPr>
                <w:rFonts w:ascii="Arial" w:eastAsia="宋体" w:hAnsi="Arial" w:hint="eastAsia"/>
                <w:kern w:val="2"/>
                <w:sz w:val="21"/>
                <w:lang w:eastAsia="zh-CN"/>
              </w:rPr>
              <w:t>3</w:t>
            </w:r>
          </w:p>
        </w:tc>
        <w:tc>
          <w:tcPr>
            <w:tcW w:w="903" w:type="pct"/>
            <w:noWrap w:val="0"/>
            <w:vAlign w:val="top"/>
          </w:tcPr>
          <w:p>
            <w:pPr>
              <w:widowControl w:val="0"/>
              <w:spacing w:after="60" w:afterLines="25" w:line="300" w:lineRule="auto"/>
              <w:jc w:val="both"/>
              <w:rPr>
                <w:rFonts w:ascii="Arial" w:eastAsia="宋体" w:hAnsi="Arial"/>
                <w:b/>
                <w:kern w:val="2"/>
                <w:sz w:val="21"/>
                <w:lang w:eastAsia="zh-CN"/>
              </w:rPr>
            </w:pPr>
          </w:p>
        </w:tc>
        <w:tc>
          <w:tcPr>
            <w:tcW w:w="409" w:type="pct"/>
            <w:noWrap w:val="0"/>
            <w:vAlign w:val="top"/>
          </w:tcPr>
          <w:p>
            <w:pPr>
              <w:widowControl w:val="0"/>
              <w:spacing w:after="60" w:afterLines="25" w:line="300" w:lineRule="auto"/>
              <w:jc w:val="both"/>
              <w:rPr>
                <w:rFonts w:ascii="Arial" w:eastAsia="宋体" w:hAnsi="Arial"/>
                <w:kern w:val="2"/>
                <w:sz w:val="21"/>
                <w:lang w:eastAsia="zh-CN"/>
              </w:rPr>
            </w:pPr>
          </w:p>
        </w:tc>
        <w:tc>
          <w:tcPr>
            <w:tcW w:w="478" w:type="pct"/>
            <w:noWrap w:val="0"/>
            <w:vAlign w:val="top"/>
          </w:tcPr>
          <w:p>
            <w:pPr>
              <w:widowControl w:val="0"/>
              <w:spacing w:after="60" w:afterLines="25" w:line="300" w:lineRule="auto"/>
              <w:jc w:val="both"/>
              <w:rPr>
                <w:rFonts w:ascii="Arial" w:eastAsia="宋体" w:hAnsi="Arial"/>
                <w:kern w:val="2"/>
                <w:sz w:val="21"/>
                <w:lang w:eastAsia="zh-CN"/>
              </w:rPr>
            </w:pPr>
          </w:p>
        </w:tc>
        <w:tc>
          <w:tcPr>
            <w:tcW w:w="529" w:type="pct"/>
            <w:noWrap w:val="0"/>
            <w:vAlign w:val="top"/>
          </w:tcPr>
          <w:p>
            <w:pPr>
              <w:widowControl w:val="0"/>
              <w:spacing w:after="60" w:afterLines="25" w:line="300" w:lineRule="auto"/>
              <w:jc w:val="both"/>
              <w:rPr>
                <w:rFonts w:ascii="Arial" w:eastAsia="宋体" w:hAnsi="Arial"/>
                <w:kern w:val="2"/>
                <w:sz w:val="21"/>
                <w:lang w:eastAsia="zh-CN"/>
              </w:rPr>
            </w:pPr>
          </w:p>
        </w:tc>
        <w:tc>
          <w:tcPr>
            <w:tcW w:w="395" w:type="pct"/>
            <w:noWrap w:val="0"/>
            <w:vAlign w:val="top"/>
          </w:tcPr>
          <w:p>
            <w:pPr>
              <w:widowControl w:val="0"/>
              <w:spacing w:after="60" w:afterLines="25" w:line="300" w:lineRule="auto"/>
              <w:jc w:val="both"/>
              <w:rPr>
                <w:rFonts w:ascii="Arial" w:eastAsia="宋体" w:hAnsi="Arial"/>
                <w:kern w:val="2"/>
                <w:sz w:val="21"/>
                <w:lang w:eastAsia="zh-CN"/>
              </w:rPr>
            </w:pPr>
          </w:p>
        </w:tc>
        <w:tc>
          <w:tcPr>
            <w:tcW w:w="282" w:type="pct"/>
            <w:noWrap w:val="0"/>
            <w:vAlign w:val="top"/>
          </w:tcPr>
          <w:p>
            <w:pPr>
              <w:widowControl w:val="0"/>
              <w:spacing w:after="60" w:afterLines="25" w:line="300" w:lineRule="auto"/>
              <w:jc w:val="both"/>
              <w:rPr>
                <w:rFonts w:ascii="Arial" w:eastAsia="宋体" w:hAnsi="Arial"/>
                <w:kern w:val="2"/>
                <w:sz w:val="21"/>
                <w:lang w:eastAsia="zh-CN"/>
              </w:rPr>
            </w:pPr>
          </w:p>
        </w:tc>
        <w:tc>
          <w:tcPr>
            <w:tcW w:w="282" w:type="pct"/>
            <w:noWrap w:val="0"/>
            <w:vAlign w:val="top"/>
          </w:tcPr>
          <w:p>
            <w:pPr>
              <w:widowControl w:val="0"/>
              <w:spacing w:after="60" w:afterLines="25" w:line="300" w:lineRule="auto"/>
              <w:jc w:val="both"/>
              <w:rPr>
                <w:rFonts w:ascii="Arial" w:eastAsia="宋体" w:hAnsi="Arial"/>
                <w:kern w:val="2"/>
                <w:sz w:val="21"/>
                <w:lang w:eastAsia="zh-CN"/>
              </w:rPr>
            </w:pPr>
          </w:p>
        </w:tc>
        <w:tc>
          <w:tcPr>
            <w:tcW w:w="396" w:type="pct"/>
            <w:noWrap w:val="0"/>
            <w:vAlign w:val="top"/>
          </w:tcPr>
          <w:p>
            <w:pPr>
              <w:widowControl w:val="0"/>
              <w:spacing w:after="60" w:afterLines="25" w:line="300" w:lineRule="auto"/>
              <w:jc w:val="both"/>
              <w:rPr>
                <w:rFonts w:ascii="Arial" w:eastAsia="宋体" w:hAnsi="Arial"/>
                <w:kern w:val="2"/>
                <w:sz w:val="21"/>
                <w:lang w:eastAsia="zh-CN"/>
              </w:rPr>
            </w:pPr>
          </w:p>
        </w:tc>
        <w:tc>
          <w:tcPr>
            <w:tcW w:w="527" w:type="pct"/>
            <w:noWrap w:val="0"/>
            <w:vAlign w:val="top"/>
          </w:tcPr>
          <w:p>
            <w:pPr>
              <w:widowControl w:val="0"/>
              <w:spacing w:after="60" w:afterLines="25" w:line="300" w:lineRule="auto"/>
              <w:jc w:val="both"/>
              <w:rPr>
                <w:rFonts w:ascii="Arial" w:eastAsia="宋体" w:hAnsi="Arial"/>
                <w:kern w:val="2"/>
                <w:sz w:val="21"/>
                <w:lang w:eastAsia="zh-CN"/>
              </w:rPr>
            </w:pPr>
          </w:p>
        </w:tc>
        <w:tc>
          <w:tcPr>
            <w:tcW w:w="527" w:type="pct"/>
            <w:vMerge/>
            <w:noWrap w:val="0"/>
            <w:vAlign w:val="top"/>
          </w:tcPr>
          <w:p>
            <w:pPr>
              <w:widowControl w:val="0"/>
              <w:spacing w:after="60" w:afterLines="25" w:line="300" w:lineRule="auto"/>
              <w:jc w:val="both"/>
              <w:rPr>
                <w:rFonts w:ascii="Arial" w:eastAsia="宋体" w:hAnsi="Arial"/>
                <w:kern w:val="2"/>
                <w:sz w:val="21"/>
                <w:lang w:eastAsia="zh-CN"/>
              </w:rPr>
            </w:pPr>
          </w:p>
        </w:tc>
      </w:tr>
      <w:tr>
        <w:tblPrEx>
          <w:tblW w:w="5000" w:type="pct"/>
          <w:jc w:val="center"/>
          <w:tblLayout w:type="fixed"/>
          <w:tblCellMar>
            <w:top w:w="0" w:type="dxa"/>
            <w:left w:w="108" w:type="dxa"/>
            <w:bottom w:w="0" w:type="dxa"/>
            <w:right w:w="108" w:type="dxa"/>
          </w:tblCellMar>
        </w:tblPrEx>
        <w:trPr>
          <w:trHeight w:val="320"/>
          <w:jc w:val="center"/>
        </w:trPr>
        <w:tc>
          <w:tcPr>
            <w:tcW w:w="267" w:type="pct"/>
            <w:noWrap w:val="0"/>
            <w:vAlign w:val="top"/>
          </w:tcPr>
          <w:p>
            <w:pPr>
              <w:widowControl w:val="0"/>
              <w:spacing w:after="60" w:afterLines="25" w:line="300" w:lineRule="auto"/>
              <w:jc w:val="center"/>
              <w:rPr>
                <w:rFonts w:ascii="Arial" w:eastAsia="宋体" w:hAnsi="Arial"/>
                <w:kern w:val="2"/>
                <w:sz w:val="21"/>
                <w:lang w:eastAsia="zh-CN"/>
              </w:rPr>
            </w:pPr>
            <w:r>
              <w:rPr>
                <w:rFonts w:ascii="Arial" w:eastAsia="宋体" w:hAnsi="Arial" w:hint="eastAsia"/>
                <w:kern w:val="2"/>
                <w:sz w:val="21"/>
                <w:lang w:eastAsia="zh-CN"/>
              </w:rPr>
              <w:t>……</w:t>
            </w:r>
          </w:p>
        </w:tc>
        <w:tc>
          <w:tcPr>
            <w:tcW w:w="903" w:type="pct"/>
            <w:noWrap w:val="0"/>
            <w:vAlign w:val="top"/>
          </w:tcPr>
          <w:p>
            <w:pPr>
              <w:widowControl w:val="0"/>
              <w:spacing w:after="60" w:afterLines="25" w:line="300" w:lineRule="auto"/>
              <w:jc w:val="both"/>
              <w:rPr>
                <w:rFonts w:ascii="Arial" w:eastAsia="宋体" w:hAnsi="Arial"/>
                <w:b/>
                <w:kern w:val="2"/>
                <w:sz w:val="21"/>
                <w:lang w:eastAsia="zh-CN"/>
              </w:rPr>
            </w:pPr>
          </w:p>
        </w:tc>
        <w:tc>
          <w:tcPr>
            <w:tcW w:w="409" w:type="pct"/>
            <w:noWrap w:val="0"/>
            <w:vAlign w:val="top"/>
          </w:tcPr>
          <w:p>
            <w:pPr>
              <w:widowControl w:val="0"/>
              <w:spacing w:after="60" w:afterLines="25" w:line="300" w:lineRule="auto"/>
              <w:jc w:val="both"/>
              <w:rPr>
                <w:rFonts w:ascii="Arial" w:eastAsia="宋体" w:hAnsi="Arial"/>
                <w:kern w:val="2"/>
                <w:sz w:val="21"/>
                <w:lang w:eastAsia="zh-CN"/>
              </w:rPr>
            </w:pPr>
          </w:p>
        </w:tc>
        <w:tc>
          <w:tcPr>
            <w:tcW w:w="478" w:type="pct"/>
            <w:noWrap w:val="0"/>
            <w:vAlign w:val="top"/>
          </w:tcPr>
          <w:p>
            <w:pPr>
              <w:widowControl w:val="0"/>
              <w:spacing w:after="60" w:afterLines="25" w:line="300" w:lineRule="auto"/>
              <w:jc w:val="both"/>
              <w:rPr>
                <w:rFonts w:ascii="Arial" w:eastAsia="宋体" w:hAnsi="Arial"/>
                <w:kern w:val="2"/>
                <w:sz w:val="21"/>
                <w:lang w:eastAsia="zh-CN"/>
              </w:rPr>
            </w:pPr>
          </w:p>
        </w:tc>
        <w:tc>
          <w:tcPr>
            <w:tcW w:w="529" w:type="pct"/>
            <w:noWrap w:val="0"/>
            <w:vAlign w:val="top"/>
          </w:tcPr>
          <w:p>
            <w:pPr>
              <w:widowControl w:val="0"/>
              <w:spacing w:after="60" w:afterLines="25" w:line="300" w:lineRule="auto"/>
              <w:jc w:val="both"/>
              <w:rPr>
                <w:rFonts w:ascii="Arial" w:eastAsia="宋体" w:hAnsi="Arial"/>
                <w:kern w:val="2"/>
                <w:sz w:val="21"/>
                <w:lang w:eastAsia="zh-CN"/>
              </w:rPr>
            </w:pPr>
          </w:p>
        </w:tc>
        <w:tc>
          <w:tcPr>
            <w:tcW w:w="395" w:type="pct"/>
            <w:noWrap w:val="0"/>
            <w:vAlign w:val="top"/>
          </w:tcPr>
          <w:p>
            <w:pPr>
              <w:widowControl w:val="0"/>
              <w:spacing w:after="60" w:afterLines="25" w:line="300" w:lineRule="auto"/>
              <w:jc w:val="both"/>
              <w:rPr>
                <w:rFonts w:ascii="Arial" w:eastAsia="宋体" w:hAnsi="Arial"/>
                <w:kern w:val="2"/>
                <w:sz w:val="21"/>
                <w:lang w:eastAsia="zh-CN"/>
              </w:rPr>
            </w:pPr>
          </w:p>
        </w:tc>
        <w:tc>
          <w:tcPr>
            <w:tcW w:w="282" w:type="pct"/>
            <w:noWrap w:val="0"/>
            <w:vAlign w:val="top"/>
          </w:tcPr>
          <w:p>
            <w:pPr>
              <w:widowControl w:val="0"/>
              <w:spacing w:after="60" w:afterLines="25" w:line="300" w:lineRule="auto"/>
              <w:jc w:val="both"/>
              <w:rPr>
                <w:rFonts w:ascii="Arial" w:eastAsia="宋体" w:hAnsi="Arial"/>
                <w:kern w:val="2"/>
                <w:sz w:val="21"/>
                <w:lang w:eastAsia="zh-CN"/>
              </w:rPr>
            </w:pPr>
          </w:p>
        </w:tc>
        <w:tc>
          <w:tcPr>
            <w:tcW w:w="282" w:type="pct"/>
            <w:noWrap w:val="0"/>
            <w:vAlign w:val="top"/>
          </w:tcPr>
          <w:p>
            <w:pPr>
              <w:widowControl w:val="0"/>
              <w:spacing w:after="60" w:afterLines="25" w:line="300" w:lineRule="auto"/>
              <w:jc w:val="both"/>
              <w:rPr>
                <w:rFonts w:ascii="Arial" w:eastAsia="宋体" w:hAnsi="Arial"/>
                <w:kern w:val="2"/>
                <w:sz w:val="21"/>
                <w:lang w:eastAsia="zh-CN"/>
              </w:rPr>
            </w:pPr>
          </w:p>
        </w:tc>
        <w:tc>
          <w:tcPr>
            <w:tcW w:w="396" w:type="pct"/>
            <w:noWrap w:val="0"/>
            <w:vAlign w:val="top"/>
          </w:tcPr>
          <w:p>
            <w:pPr>
              <w:widowControl w:val="0"/>
              <w:spacing w:after="60" w:afterLines="25" w:line="300" w:lineRule="auto"/>
              <w:jc w:val="both"/>
              <w:rPr>
                <w:rFonts w:ascii="Arial" w:eastAsia="宋体" w:hAnsi="Arial"/>
                <w:kern w:val="2"/>
                <w:sz w:val="21"/>
                <w:lang w:eastAsia="zh-CN"/>
              </w:rPr>
            </w:pPr>
          </w:p>
        </w:tc>
        <w:tc>
          <w:tcPr>
            <w:tcW w:w="527" w:type="pct"/>
            <w:noWrap w:val="0"/>
            <w:vAlign w:val="top"/>
          </w:tcPr>
          <w:p>
            <w:pPr>
              <w:widowControl w:val="0"/>
              <w:spacing w:after="60" w:afterLines="25" w:line="300" w:lineRule="auto"/>
              <w:jc w:val="both"/>
              <w:rPr>
                <w:rFonts w:ascii="Arial" w:eastAsia="宋体" w:hAnsi="Arial"/>
                <w:kern w:val="2"/>
                <w:sz w:val="21"/>
                <w:lang w:eastAsia="zh-CN"/>
              </w:rPr>
            </w:pPr>
          </w:p>
        </w:tc>
        <w:tc>
          <w:tcPr>
            <w:tcW w:w="527" w:type="pct"/>
            <w:vMerge/>
            <w:noWrap w:val="0"/>
            <w:vAlign w:val="top"/>
          </w:tcPr>
          <w:p>
            <w:pPr>
              <w:widowControl w:val="0"/>
              <w:spacing w:after="60" w:afterLines="25" w:line="300" w:lineRule="auto"/>
              <w:jc w:val="both"/>
              <w:rPr>
                <w:rFonts w:ascii="Arial" w:eastAsia="宋体" w:hAnsi="Arial"/>
                <w:kern w:val="2"/>
                <w:sz w:val="21"/>
                <w:lang w:eastAsia="zh-CN"/>
              </w:rPr>
            </w:pPr>
          </w:p>
        </w:tc>
      </w:tr>
      <w:tr>
        <w:tblPrEx>
          <w:tblW w:w="5000" w:type="pct"/>
          <w:jc w:val="center"/>
          <w:tblLayout w:type="fixed"/>
          <w:tblCellMar>
            <w:top w:w="0" w:type="dxa"/>
            <w:left w:w="108" w:type="dxa"/>
            <w:bottom w:w="0" w:type="dxa"/>
            <w:right w:w="108" w:type="dxa"/>
          </w:tblCellMar>
        </w:tblPrEx>
        <w:trPr>
          <w:trHeight w:val="450"/>
          <w:jc w:val="center"/>
        </w:trPr>
        <w:tc>
          <w:tcPr>
            <w:tcW w:w="2984" w:type="pct"/>
            <w:gridSpan w:val="6"/>
            <w:noWrap w:val="0"/>
            <w:vAlign w:val="top"/>
          </w:tcPr>
          <w:p>
            <w:pPr>
              <w:widowControl w:val="0"/>
              <w:spacing w:after="60" w:afterLines="25" w:line="300" w:lineRule="auto"/>
              <w:jc w:val="center"/>
              <w:rPr>
                <w:rFonts w:ascii="Arial" w:eastAsia="宋体" w:hAnsi="Arial"/>
                <w:kern w:val="2"/>
                <w:sz w:val="21"/>
                <w:lang w:eastAsia="zh-CN"/>
              </w:rPr>
            </w:pPr>
            <w:r>
              <w:rPr>
                <w:rFonts w:ascii="Arial" w:eastAsia="宋体" w:hAnsi="Arial" w:hint="eastAsia"/>
                <w:b/>
                <w:kern w:val="2"/>
                <w:sz w:val="21"/>
                <w:lang w:eastAsia="zh-CN"/>
              </w:rPr>
              <w:t>投标总价</w:t>
            </w:r>
            <w:r>
              <w:rPr>
                <w:rFonts w:ascii="Arial" w:eastAsia="宋体" w:hAnsi="Arial" w:hint="eastAsia"/>
                <w:kern w:val="2"/>
                <w:sz w:val="21"/>
                <w:lang w:eastAsia="zh-CN"/>
              </w:rPr>
              <w:t>（以上各项之和；币种：人民币；单位：元）</w:t>
            </w:r>
          </w:p>
        </w:tc>
        <w:tc>
          <w:tcPr>
            <w:tcW w:w="2015" w:type="pct"/>
            <w:gridSpan w:val="5"/>
            <w:noWrap w:val="0"/>
            <w:vAlign w:val="top"/>
          </w:tcPr>
          <w:p>
            <w:pPr>
              <w:widowControl w:val="0"/>
              <w:spacing w:after="60" w:afterLines="25" w:line="300" w:lineRule="auto"/>
              <w:jc w:val="both"/>
              <w:rPr>
                <w:rFonts w:ascii="Arial" w:eastAsia="宋体" w:hAnsi="Arial"/>
                <w:kern w:val="2"/>
                <w:sz w:val="21"/>
                <w:lang w:eastAsia="zh-CN"/>
              </w:rPr>
            </w:pPr>
          </w:p>
        </w:tc>
      </w:tr>
    </w:tbl>
    <w:p>
      <w:pPr>
        <w:widowControl w:val="0"/>
        <w:snapToGrid w:val="0"/>
        <w:jc w:val="both"/>
        <w:rPr>
          <w:rFonts w:ascii="宋体" w:eastAsia="宋体" w:hAnsi="宋体" w:hint="eastAsia"/>
          <w:b/>
          <w:kern w:val="2"/>
          <w:sz w:val="21"/>
          <w:lang w:eastAsia="zh-CN"/>
        </w:rPr>
      </w:pPr>
      <w:r>
        <w:rPr>
          <w:rFonts w:ascii="宋体" w:eastAsia="宋体" w:hAnsi="宋体" w:hint="eastAsia"/>
          <w:b/>
          <w:kern w:val="2"/>
          <w:sz w:val="21"/>
          <w:lang w:eastAsia="zh-CN"/>
        </w:rPr>
        <w:t>填写说明：</w:t>
      </w:r>
    </w:p>
    <w:p>
      <w:pPr>
        <w:widowControl w:val="0"/>
        <w:snapToGrid w:val="0"/>
        <w:jc w:val="both"/>
        <w:rPr>
          <w:rFonts w:ascii="宋体" w:eastAsia="宋体" w:hAnsi="宋体" w:hint="eastAsia"/>
          <w:b/>
          <w:kern w:val="2"/>
          <w:sz w:val="21"/>
          <w:lang w:eastAsia="zh-CN"/>
        </w:rPr>
      </w:pPr>
      <w:r>
        <w:rPr>
          <w:rFonts w:ascii="宋体" w:eastAsia="宋体" w:hAnsi="宋体" w:hint="eastAsia"/>
          <w:b/>
          <w:kern w:val="2"/>
          <w:sz w:val="21"/>
          <w:lang w:eastAsia="zh-CN"/>
        </w:rPr>
        <w:t>1.本表可按同样格式扩展。</w:t>
      </w:r>
    </w:p>
    <w:p>
      <w:pPr>
        <w:widowControl w:val="0"/>
        <w:snapToGrid w:val="0"/>
        <w:jc w:val="both"/>
        <w:rPr>
          <w:rFonts w:ascii="宋体" w:eastAsia="宋体" w:hAnsi="宋体" w:hint="eastAsia"/>
          <w:b/>
          <w:kern w:val="2"/>
          <w:sz w:val="21"/>
          <w:lang w:eastAsia="zh-CN"/>
        </w:rPr>
      </w:pPr>
      <w:r>
        <w:rPr>
          <w:rFonts w:ascii="宋体" w:eastAsia="宋体" w:hAnsi="宋体" w:hint="eastAsia"/>
          <w:b/>
          <w:kern w:val="2"/>
          <w:sz w:val="21"/>
          <w:lang w:eastAsia="zh-CN"/>
        </w:rPr>
        <w:t>2. “品牌”可以与商标一致，也可以填写便于区分其他公司商品的制造商简称或者制造商认可的品牌名称。</w:t>
      </w:r>
    </w:p>
    <w:p>
      <w:pPr>
        <w:widowControl w:val="0"/>
        <w:snapToGrid w:val="0"/>
        <w:jc w:val="both"/>
        <w:rPr>
          <w:rFonts w:ascii="宋体" w:eastAsia="宋体" w:hAnsi="宋体" w:hint="eastAsia"/>
          <w:b/>
          <w:kern w:val="2"/>
          <w:sz w:val="21"/>
          <w:lang w:eastAsia="zh-CN"/>
        </w:rPr>
      </w:pPr>
      <w:r>
        <w:rPr>
          <w:rFonts w:ascii="宋体" w:eastAsia="宋体" w:hAnsi="宋体" w:hint="eastAsia"/>
          <w:b/>
          <w:kern w:val="2"/>
          <w:sz w:val="21"/>
          <w:lang w:eastAsia="zh-CN"/>
        </w:rPr>
        <w:t>3.如所投货物属于定制类的非量产货物或无具体型号的货物，可以在“规格/型号”一栏仅填写规格信息而不填写型号信息（型号信息用“定制”描述即可）；</w:t>
      </w:r>
      <w:bookmarkStart w:id="40" w:name="_Hlk73646428"/>
      <w:r>
        <w:rPr>
          <w:rFonts w:ascii="宋体" w:eastAsia="宋体" w:hAnsi="宋体" w:hint="eastAsia"/>
          <w:b/>
          <w:kern w:val="2"/>
          <w:sz w:val="21"/>
          <w:lang w:eastAsia="zh-CN"/>
        </w:rPr>
        <w:t>此类填写错误或缺漏（所投货物为定制类的非量产货物但供应商却错误填报了型号）可能带来的不利后果由供应商承担。</w:t>
      </w:r>
      <w:bookmarkEnd w:id="40"/>
    </w:p>
    <w:p>
      <w:pPr>
        <w:widowControl w:val="0"/>
        <w:snapToGrid w:val="0"/>
        <w:jc w:val="both"/>
        <w:rPr>
          <w:rFonts w:ascii="宋体" w:eastAsia="宋体" w:hAnsi="宋体" w:hint="eastAsia"/>
          <w:b/>
          <w:kern w:val="2"/>
          <w:sz w:val="21"/>
          <w:lang w:eastAsia="zh-CN"/>
        </w:rPr>
      </w:pPr>
      <w:r>
        <w:rPr>
          <w:rFonts w:ascii="宋体" w:eastAsia="宋体" w:hAnsi="宋体" w:hint="eastAsia"/>
          <w:b/>
          <w:kern w:val="2"/>
          <w:sz w:val="21"/>
          <w:lang w:eastAsia="zh-CN"/>
        </w:rPr>
        <w:t>4.</w:t>
      </w:r>
      <w:bookmarkStart w:id="41" w:name="_Hlk72074795"/>
      <w:r>
        <w:rPr>
          <w:rFonts w:ascii="宋体" w:eastAsia="宋体" w:hAnsi="宋体" w:hint="eastAsia"/>
          <w:b/>
          <w:kern w:val="2"/>
          <w:sz w:val="21"/>
          <w:lang w:eastAsia="zh-CN"/>
        </w:rPr>
        <w:t>“原产地”是指该货物的实际生产加工地，而非品牌所在地</w:t>
      </w:r>
      <w:bookmarkEnd w:id="41"/>
      <w:r>
        <w:rPr>
          <w:rFonts w:ascii="宋体" w:eastAsia="宋体" w:hAnsi="宋体" w:hint="eastAsia"/>
          <w:b/>
          <w:kern w:val="2"/>
          <w:sz w:val="21"/>
          <w:lang w:eastAsia="zh-CN"/>
        </w:rPr>
        <w:t>。</w:t>
      </w:r>
    </w:p>
    <w:p>
      <w:pPr>
        <w:widowControl w:val="0"/>
        <w:snapToGrid w:val="0"/>
        <w:jc w:val="both"/>
        <w:rPr>
          <w:rFonts w:ascii="宋体" w:eastAsia="宋体" w:hAnsi="宋体" w:hint="eastAsia"/>
          <w:b/>
          <w:kern w:val="2"/>
          <w:sz w:val="21"/>
          <w:lang w:eastAsia="zh-CN"/>
        </w:rPr>
      </w:pPr>
      <w:r>
        <w:rPr>
          <w:rFonts w:ascii="宋体" w:eastAsia="宋体" w:hAnsi="宋体" w:hint="eastAsia"/>
          <w:b/>
          <w:kern w:val="2"/>
          <w:sz w:val="21"/>
          <w:lang w:eastAsia="zh-CN"/>
        </w:rPr>
        <w:t>5.所投货物均应填写制造商名称。“制造商”是指产品制造厂商，产品代工制造的，应填写接受委托生产制造的制造商。</w:t>
      </w:r>
    </w:p>
    <w:p>
      <w:pPr>
        <w:widowControl w:val="0"/>
        <w:snapToGrid w:val="0"/>
        <w:jc w:val="both"/>
        <w:rPr>
          <w:rFonts w:ascii="宋体" w:eastAsia="宋体" w:hAnsi="宋体" w:hint="eastAsia"/>
          <w:b/>
          <w:kern w:val="2"/>
          <w:sz w:val="21"/>
          <w:lang w:eastAsia="zh-CN"/>
        </w:rPr>
      </w:pPr>
      <w:r>
        <w:rPr>
          <w:rFonts w:ascii="宋体" w:eastAsia="宋体" w:hAnsi="宋体" w:hint="eastAsia"/>
          <w:b/>
          <w:kern w:val="2"/>
          <w:sz w:val="21"/>
          <w:lang w:eastAsia="zh-CN"/>
        </w:rPr>
        <w:t>6.以上分项报价表的投标总价应当与开标一览表的投标总价一致。</w:t>
      </w:r>
    </w:p>
    <w:p>
      <w:pPr>
        <w:widowControl w:val="0"/>
        <w:snapToGrid w:val="0"/>
        <w:jc w:val="both"/>
        <w:rPr>
          <w:rFonts w:ascii="宋体" w:eastAsia="宋体" w:hAnsi="宋体" w:hint="eastAsia"/>
          <w:b/>
          <w:kern w:val="2"/>
          <w:sz w:val="21"/>
          <w:lang w:eastAsia="zh-CN"/>
        </w:rPr>
      </w:pPr>
      <w:r>
        <w:rPr>
          <w:rFonts w:ascii="宋体" w:eastAsia="宋体" w:hAnsi="宋体" w:hint="eastAsia"/>
          <w:b/>
          <w:kern w:val="2"/>
          <w:sz w:val="21"/>
          <w:lang w:eastAsia="zh-CN"/>
        </w:rPr>
        <w:t>7.单价、合价和投标总价为包干价，即三者均应包含货物的价款、包装、运输、装卸、安装、调试、技术指导、培训、咨询、服务、保险、税费、检测、验收合格交付使用之前以及技术和售后服务等其他各项有关费用。</w:t>
      </w:r>
    </w:p>
    <w:p>
      <w:pPr>
        <w:widowControl w:val="0"/>
        <w:snapToGrid w:val="0"/>
        <w:jc w:val="both"/>
        <w:rPr>
          <w:rFonts w:ascii="宋体" w:eastAsia="宋体" w:hAnsi="宋体" w:hint="eastAsia"/>
          <w:b/>
          <w:kern w:val="2"/>
          <w:sz w:val="21"/>
          <w:lang w:eastAsia="zh-CN"/>
        </w:rPr>
      </w:pPr>
      <w:r>
        <w:rPr>
          <w:rFonts w:ascii="宋体" w:eastAsia="宋体" w:hAnsi="宋体" w:hint="eastAsia"/>
          <w:b/>
          <w:kern w:val="2"/>
          <w:sz w:val="21"/>
          <w:lang w:eastAsia="zh-CN"/>
        </w:rPr>
        <w:t>8.所有价格应按“招标文件”中规定的货币单位填写；投标总价应为以上各分项价格之和；投标总价和项目报价表中单个采购预算条目报价均不得超过对应的财政预算限额，否则将导致投标无效。</w:t>
      </w:r>
    </w:p>
    <w:p>
      <w:pPr>
        <w:widowControl w:val="0"/>
        <w:snapToGrid w:val="0"/>
        <w:jc w:val="both"/>
        <w:rPr>
          <w:rFonts w:ascii="宋体" w:eastAsia="宋体" w:hAnsi="宋体" w:hint="eastAsia"/>
          <w:b/>
          <w:kern w:val="2"/>
          <w:sz w:val="21"/>
          <w:lang w:eastAsia="zh-CN"/>
        </w:rPr>
      </w:pPr>
    </w:p>
    <w:p>
      <w:pPr>
        <w:widowControl w:val="0"/>
        <w:snapToGrid w:val="0"/>
        <w:jc w:val="both"/>
        <w:rPr>
          <w:rFonts w:ascii="宋体" w:eastAsia="宋体" w:hAnsi="宋体" w:hint="eastAsia"/>
          <w:b/>
          <w:color w:val="FF0000"/>
          <w:kern w:val="2"/>
          <w:sz w:val="21"/>
          <w:lang w:eastAsia="zh-CN"/>
        </w:rPr>
      </w:pPr>
      <w:r>
        <w:rPr>
          <w:rFonts w:ascii="宋体" w:eastAsia="宋体" w:hAnsi="宋体" w:hint="eastAsia"/>
          <w:bCs/>
          <w:color w:val="FF0000"/>
          <w:kern w:val="2"/>
          <w:sz w:val="21"/>
          <w:lang w:eastAsia="zh-CN"/>
        </w:rPr>
        <w:t>★</w:t>
      </w:r>
      <w:r>
        <w:rPr>
          <w:rFonts w:ascii="宋体" w:eastAsia="宋体" w:hAnsi="宋体" w:hint="eastAsia"/>
          <w:b/>
          <w:color w:val="FF0000"/>
          <w:kern w:val="2"/>
          <w:sz w:val="21"/>
          <w:lang w:eastAsia="zh-CN"/>
        </w:rPr>
        <w:t>填写</w:t>
      </w:r>
      <w:r>
        <w:rPr>
          <w:rFonts w:ascii="宋体" w:eastAsia="宋体" w:hAnsi="宋体"/>
          <w:b/>
          <w:color w:val="FF0000"/>
          <w:kern w:val="2"/>
          <w:sz w:val="21"/>
          <w:lang w:eastAsia="zh-CN"/>
        </w:rPr>
        <w:t>要求：</w:t>
      </w:r>
    </w:p>
    <w:p>
      <w:pPr>
        <w:widowControl w:val="0"/>
        <w:snapToGrid w:val="0"/>
        <w:jc w:val="both"/>
        <w:rPr>
          <w:rFonts w:ascii="宋体" w:eastAsia="宋体" w:hAnsi="宋体" w:hint="eastAsia"/>
          <w:b/>
          <w:color w:val="FF0000"/>
          <w:kern w:val="2"/>
          <w:sz w:val="21"/>
          <w:lang w:eastAsia="zh-CN"/>
        </w:rPr>
      </w:pPr>
      <w:r>
        <w:rPr>
          <w:rFonts w:ascii="宋体" w:eastAsia="宋体" w:hAnsi="宋体"/>
          <w:b/>
          <w:color w:val="FF0000"/>
          <w:kern w:val="2"/>
          <w:sz w:val="21"/>
          <w:lang w:eastAsia="zh-CN"/>
        </w:rPr>
        <w:t>1.</w:t>
      </w:r>
      <w:r>
        <w:rPr>
          <w:rFonts w:ascii="宋体" w:eastAsia="宋体" w:hAnsi="宋体" w:hint="eastAsia"/>
          <w:b/>
          <w:color w:val="FF0000"/>
          <w:kern w:val="2"/>
          <w:sz w:val="21"/>
          <w:lang w:eastAsia="zh-CN"/>
        </w:rPr>
        <w:t>《分项报价清单》</w:t>
      </w:r>
      <w:r>
        <w:rPr>
          <w:rFonts w:ascii="宋体" w:eastAsia="宋体" w:hAnsi="宋体"/>
          <w:b/>
          <w:color w:val="FF0000"/>
          <w:kern w:val="2"/>
          <w:sz w:val="21"/>
          <w:lang w:eastAsia="zh-CN"/>
        </w:rPr>
        <w:t>所有价格应</w:t>
      </w:r>
      <w:r>
        <w:rPr>
          <w:rFonts w:ascii="宋体" w:eastAsia="宋体" w:hAnsi="宋体" w:hint="eastAsia"/>
          <w:b/>
          <w:color w:val="FF0000"/>
          <w:kern w:val="2"/>
          <w:sz w:val="21"/>
          <w:lang w:eastAsia="zh-CN"/>
        </w:rPr>
        <w:t>以人民币为结算单位填写</w:t>
      </w:r>
      <w:r>
        <w:rPr>
          <w:rFonts w:ascii="宋体" w:eastAsia="宋体" w:hAnsi="宋体"/>
          <w:b/>
          <w:color w:val="FF0000"/>
          <w:kern w:val="2"/>
          <w:sz w:val="21"/>
          <w:lang w:eastAsia="zh-CN"/>
        </w:rPr>
        <w:t>；</w:t>
      </w:r>
    </w:p>
    <w:p>
      <w:pPr>
        <w:widowControl w:val="0"/>
        <w:snapToGrid w:val="0"/>
        <w:jc w:val="both"/>
        <w:rPr>
          <w:rFonts w:ascii="宋体" w:eastAsia="宋体" w:hAnsi="宋体" w:hint="eastAsia"/>
          <w:b/>
          <w:color w:val="FF0000"/>
          <w:kern w:val="2"/>
          <w:sz w:val="21"/>
          <w:lang w:eastAsia="zh-CN"/>
        </w:rPr>
      </w:pPr>
      <w:r>
        <w:rPr>
          <w:rFonts w:ascii="宋体" w:eastAsia="宋体" w:hAnsi="宋体"/>
          <w:b/>
          <w:color w:val="FF0000"/>
          <w:kern w:val="2"/>
          <w:sz w:val="21"/>
          <w:lang w:eastAsia="zh-CN"/>
        </w:rPr>
        <w:t>2.</w:t>
      </w:r>
      <w:r>
        <w:rPr>
          <w:rFonts w:ascii="宋体" w:eastAsia="宋体" w:hAnsi="宋体" w:hint="eastAsia"/>
          <w:b/>
          <w:color w:val="FF0000"/>
          <w:kern w:val="2"/>
          <w:sz w:val="21"/>
          <w:lang w:eastAsia="zh-CN"/>
        </w:rPr>
        <w:t>《（一）项目报价表》</w:t>
      </w:r>
      <w:r>
        <w:rPr>
          <w:rFonts w:ascii="宋体" w:eastAsia="宋体" w:hAnsi="宋体"/>
          <w:b/>
          <w:color w:val="FF0000"/>
          <w:kern w:val="2"/>
          <w:sz w:val="21"/>
          <w:lang w:eastAsia="zh-CN"/>
        </w:rPr>
        <w:t>可根据</w:t>
      </w:r>
      <w:r>
        <w:rPr>
          <w:rFonts w:ascii="宋体" w:eastAsia="宋体" w:hAnsi="宋体" w:hint="eastAsia"/>
          <w:b/>
          <w:color w:val="FF0000"/>
          <w:kern w:val="2"/>
          <w:sz w:val="21"/>
          <w:lang w:eastAsia="zh-CN"/>
        </w:rPr>
        <w:t>实际需要</w:t>
      </w:r>
      <w:r>
        <w:rPr>
          <w:rFonts w:ascii="宋体" w:eastAsia="宋体" w:hAnsi="宋体"/>
          <w:b/>
          <w:color w:val="FF0000"/>
          <w:kern w:val="2"/>
          <w:sz w:val="21"/>
          <w:lang w:eastAsia="zh-CN"/>
        </w:rPr>
        <w:t>增加</w:t>
      </w:r>
      <w:r>
        <w:rPr>
          <w:rFonts w:ascii="宋体" w:eastAsia="宋体" w:hAnsi="宋体" w:hint="eastAsia"/>
          <w:b/>
          <w:color w:val="FF0000"/>
          <w:kern w:val="2"/>
          <w:sz w:val="21"/>
          <w:lang w:eastAsia="zh-CN"/>
        </w:rPr>
        <w:t>相关</w:t>
      </w:r>
      <w:r>
        <w:rPr>
          <w:rFonts w:ascii="宋体" w:eastAsia="宋体" w:hAnsi="宋体"/>
          <w:b/>
          <w:color w:val="FF0000"/>
          <w:kern w:val="2"/>
          <w:sz w:val="21"/>
          <w:lang w:eastAsia="zh-CN"/>
        </w:rPr>
        <w:t>内容，但原</w:t>
      </w:r>
      <w:r>
        <w:rPr>
          <w:rFonts w:ascii="宋体" w:eastAsia="宋体" w:hAnsi="宋体" w:hint="eastAsia"/>
          <w:b/>
          <w:color w:val="FF0000"/>
          <w:kern w:val="2"/>
          <w:sz w:val="21"/>
          <w:lang w:eastAsia="zh-CN"/>
        </w:rPr>
        <w:t>有</w:t>
      </w:r>
      <w:r>
        <w:rPr>
          <w:rFonts w:ascii="宋体" w:eastAsia="宋体" w:hAnsi="宋体"/>
          <w:b/>
          <w:color w:val="FF0000"/>
          <w:kern w:val="2"/>
          <w:sz w:val="21"/>
          <w:lang w:eastAsia="zh-CN"/>
        </w:rPr>
        <w:t>的格式</w:t>
      </w:r>
      <w:r>
        <w:rPr>
          <w:rFonts w:ascii="宋体" w:eastAsia="宋体" w:hAnsi="宋体" w:hint="eastAsia"/>
          <w:b/>
          <w:color w:val="FF0000"/>
          <w:kern w:val="2"/>
          <w:sz w:val="21"/>
          <w:lang w:eastAsia="zh-CN"/>
        </w:rPr>
        <w:t>内容</w:t>
      </w:r>
      <w:r>
        <w:rPr>
          <w:rFonts w:ascii="宋体" w:eastAsia="宋体" w:hAnsi="宋体"/>
          <w:b/>
          <w:color w:val="FF0000"/>
          <w:kern w:val="2"/>
          <w:sz w:val="21"/>
          <w:lang w:eastAsia="zh-CN"/>
        </w:rPr>
        <w:t>不得删减；</w:t>
      </w:r>
    </w:p>
    <w:p>
      <w:pPr>
        <w:widowControl w:val="0"/>
        <w:snapToGrid w:val="0"/>
        <w:jc w:val="both"/>
        <w:rPr>
          <w:rFonts w:ascii="宋体" w:eastAsia="宋体" w:hAnsi="宋体" w:hint="eastAsia"/>
          <w:b/>
          <w:color w:val="FF0000"/>
          <w:kern w:val="2"/>
          <w:sz w:val="21"/>
          <w:lang w:eastAsia="zh-CN"/>
        </w:rPr>
      </w:pPr>
      <w:r>
        <w:rPr>
          <w:rFonts w:ascii="宋体" w:eastAsia="宋体" w:hAnsi="宋体" w:hint="eastAsia"/>
          <w:b/>
          <w:color w:val="FF0000"/>
          <w:kern w:val="2"/>
          <w:sz w:val="21"/>
          <w:lang w:eastAsia="zh-CN"/>
        </w:rPr>
        <w:t>3.</w:t>
      </w:r>
      <w:r>
        <w:rPr>
          <w:rFonts w:ascii="宋体" w:eastAsia="宋体" w:hAnsi="宋体"/>
          <w:b/>
          <w:color w:val="FF0000"/>
          <w:kern w:val="2"/>
          <w:sz w:val="21"/>
          <w:lang w:eastAsia="zh-CN"/>
        </w:rPr>
        <w:t>如</w:t>
      </w:r>
      <w:r>
        <w:rPr>
          <w:rFonts w:ascii="宋体" w:eastAsia="宋体" w:hAnsi="宋体" w:hint="eastAsia"/>
          <w:b/>
          <w:color w:val="FF0000"/>
          <w:kern w:val="2"/>
          <w:sz w:val="21"/>
          <w:lang w:eastAsia="zh-CN"/>
        </w:rPr>
        <w:t>未提供《（一）项目报价表》或者</w:t>
      </w:r>
      <w:r>
        <w:rPr>
          <w:rFonts w:ascii="宋体" w:eastAsia="宋体" w:hAnsi="宋体"/>
          <w:b/>
          <w:color w:val="FF0000"/>
          <w:kern w:val="2"/>
          <w:sz w:val="21"/>
          <w:lang w:eastAsia="zh-CN"/>
        </w:rPr>
        <w:t>不按</w:t>
      </w:r>
      <w:r>
        <w:rPr>
          <w:rFonts w:ascii="宋体" w:eastAsia="宋体" w:hAnsi="宋体" w:hint="eastAsia"/>
          <w:b/>
          <w:color w:val="FF0000"/>
          <w:kern w:val="2"/>
          <w:sz w:val="21"/>
          <w:lang w:eastAsia="zh-CN"/>
        </w:rPr>
        <w:t>《第三章 用户需求书：二、货物需求明细》</w:t>
      </w:r>
      <w:r>
        <w:rPr>
          <w:rFonts w:ascii="宋体" w:eastAsia="宋体" w:hAnsi="宋体"/>
          <w:b/>
          <w:color w:val="FF0000"/>
          <w:kern w:val="2"/>
          <w:sz w:val="21"/>
          <w:lang w:eastAsia="zh-CN"/>
        </w:rPr>
        <w:t>要求填报、漏报或错报</w:t>
      </w:r>
      <w:r>
        <w:rPr>
          <w:rFonts w:ascii="宋体" w:eastAsia="宋体" w:hAnsi="宋体" w:hint="eastAsia"/>
          <w:b/>
          <w:color w:val="FF0000"/>
          <w:kern w:val="2"/>
          <w:sz w:val="21"/>
          <w:lang w:eastAsia="zh-CN"/>
        </w:rPr>
        <w:t>的将作</w:t>
      </w:r>
      <w:r>
        <w:rPr>
          <w:rFonts w:ascii="宋体" w:eastAsia="宋体" w:hAnsi="宋体"/>
          <w:b/>
          <w:color w:val="FF0000"/>
          <w:kern w:val="2"/>
          <w:sz w:val="21"/>
          <w:lang w:eastAsia="zh-CN"/>
        </w:rPr>
        <w:t>投标无效处理。</w:t>
      </w:r>
    </w:p>
    <w:p>
      <w:pPr>
        <w:widowControl w:val="0"/>
        <w:tabs>
          <w:tab w:val="left" w:pos="720"/>
        </w:tabs>
        <w:jc w:val="both"/>
        <w:rPr>
          <w:rFonts w:eastAsia="宋体"/>
          <w:b/>
          <w:kern w:val="2"/>
          <w:lang w:eastAsia="zh-CN"/>
        </w:rPr>
      </w:pPr>
    </w:p>
    <w:p>
      <w:pPr>
        <w:widowControl w:val="0"/>
        <w:tabs>
          <w:tab w:val="left" w:pos="720"/>
        </w:tabs>
        <w:jc w:val="both"/>
        <w:rPr>
          <w:rFonts w:eastAsia="宋体"/>
          <w:b/>
          <w:color w:val="FF0000"/>
          <w:kern w:val="2"/>
          <w:lang w:eastAsia="zh-CN"/>
        </w:rPr>
      </w:pPr>
      <w:r>
        <w:rPr>
          <w:rFonts w:eastAsia="宋体" w:hint="eastAsia"/>
          <w:b/>
          <w:color w:val="FF0000"/>
          <w:kern w:val="2"/>
          <w:lang w:eastAsia="zh-CN"/>
        </w:rPr>
        <w:t>（二）核心产品品牌</w:t>
      </w:r>
    </w:p>
    <w:p>
      <w:pPr>
        <w:widowControl w:val="0"/>
        <w:jc w:val="both"/>
        <w:rPr>
          <w:rFonts w:eastAsia="宋体"/>
          <w:color w:val="FF0000"/>
          <w:kern w:val="2"/>
          <w:lang w:eastAsia="zh-CN"/>
        </w:rPr>
      </w:pPr>
      <w:r>
        <w:rPr>
          <w:rFonts w:eastAsia="宋体" w:hint="eastAsia"/>
          <w:b/>
          <w:color w:val="FF0000"/>
          <w:kern w:val="2"/>
          <w:lang w:eastAsia="zh-CN"/>
        </w:rPr>
        <w:t>我单位所投核心产品的品牌为：</w:t>
      </w:r>
      <w:r>
        <w:rPr>
          <w:rFonts w:eastAsia="宋体" w:hint="eastAsia"/>
          <w:color w:val="FF0000"/>
          <w:kern w:val="2"/>
          <w:u w:val="single"/>
          <w:lang w:eastAsia="zh-CN"/>
        </w:rPr>
        <w:t xml:space="preserve">               </w:t>
      </w:r>
      <w:r>
        <w:rPr>
          <w:rFonts w:eastAsia="宋体" w:hint="eastAsia"/>
          <w:color w:val="FF0000"/>
          <w:kern w:val="2"/>
          <w:lang w:eastAsia="zh-CN"/>
        </w:rPr>
        <w:t>。</w:t>
      </w:r>
    </w:p>
    <w:p>
      <w:pPr>
        <w:widowControl w:val="0"/>
        <w:jc w:val="both"/>
        <w:rPr>
          <w:rFonts w:ascii="Arial" w:eastAsia="宋体" w:hAnsi="Arial"/>
          <w:b/>
          <w:kern w:val="2"/>
          <w:sz w:val="21"/>
          <w:lang w:eastAsia="zh-CN"/>
        </w:rPr>
      </w:pPr>
      <w:r>
        <w:rPr>
          <w:rFonts w:ascii="宋体" w:eastAsia="宋体" w:hAnsi="宋体" w:hint="eastAsia"/>
          <w:color w:val="FF0000"/>
          <w:kern w:val="2"/>
          <w:lang w:eastAsia="zh-CN"/>
        </w:rPr>
        <w:t>备注：单一产品采购项目，核心产品即为该单一产品。</w:t>
      </w:r>
    </w:p>
    <w:p>
      <w:pPr>
        <w:widowControl w:val="0"/>
        <w:spacing w:after="60" w:afterLines="25" w:line="300" w:lineRule="auto"/>
        <w:jc w:val="both"/>
        <w:rPr>
          <w:rFonts w:ascii="Arial" w:eastAsia="宋体" w:hAnsi="Arial"/>
          <w:b/>
          <w:kern w:val="2"/>
          <w:sz w:val="21"/>
          <w:lang w:eastAsia="zh-CN"/>
        </w:rPr>
      </w:pPr>
    </w:p>
    <w:p>
      <w:pPr>
        <w:widowControl w:val="0"/>
        <w:spacing w:after="60" w:afterLines="25" w:line="300" w:lineRule="auto"/>
        <w:jc w:val="both"/>
        <w:rPr>
          <w:rFonts w:ascii="Arial" w:eastAsia="宋体" w:hAnsi="Arial"/>
          <w:b/>
          <w:kern w:val="2"/>
          <w:lang w:eastAsia="zh-CN"/>
        </w:rPr>
      </w:pPr>
      <w:r>
        <w:rPr>
          <w:rFonts w:ascii="Arial" w:eastAsia="宋体" w:hAnsi="Arial" w:hint="eastAsia"/>
          <w:b/>
          <w:kern w:val="2"/>
          <w:lang w:eastAsia="zh-CN"/>
        </w:rPr>
        <w:t>（三）可选配件报价清单（非项目需求要求的必备配件，此部分不包括在总报价内）</w:t>
      </w:r>
    </w:p>
    <w:p>
      <w:pPr>
        <w:widowControl w:val="0"/>
        <w:ind w:firstLine="420" w:firstLineChars="200"/>
        <w:jc w:val="both"/>
        <w:rPr>
          <w:rFonts w:ascii="Calibri" w:eastAsia="宋体" w:hAnsi="宋体" w:hint="eastAsia"/>
          <w:b/>
          <w:bCs/>
          <w:kern w:val="2"/>
          <w:sz w:val="21"/>
          <w:szCs w:val="21"/>
          <w:lang w:eastAsia="zh-CN"/>
        </w:rPr>
      </w:pPr>
      <w:r>
        <w:rPr>
          <w:rFonts w:ascii="Calibri" w:eastAsia="宋体" w:hAnsi="宋体" w:cs="Times New Roman" w:hint="eastAsia"/>
          <w:b/>
          <w:bCs/>
          <w:kern w:val="2"/>
          <w:sz w:val="21"/>
          <w:szCs w:val="21"/>
          <w:lang w:eastAsia="zh-CN"/>
        </w:rPr>
        <w:t>注：格式可以参照《（一）项目报价表》表格，并提供相应的品牌/规格/型号、原产地、制造商信息（没有品牌、型号的，用“定制”描述即可）、单价等详细信息</w:t>
      </w:r>
    </w:p>
    <w:p>
      <w:pPr>
        <w:widowControl w:val="0"/>
        <w:ind w:firstLine="420" w:firstLineChars="200"/>
        <w:jc w:val="both"/>
        <w:rPr>
          <w:rFonts w:ascii="Calibri" w:eastAsia="宋体" w:hAnsi="宋体" w:hint="eastAsia"/>
          <w:b/>
          <w:bCs/>
          <w:kern w:val="2"/>
          <w:sz w:val="21"/>
          <w:szCs w:val="21"/>
          <w:lang w:eastAsia="zh-CN"/>
        </w:rPr>
      </w:pPr>
    </w:p>
    <w:p>
      <w:pPr>
        <w:widowControl w:val="0"/>
        <w:spacing w:after="60" w:afterLines="25" w:line="300" w:lineRule="auto"/>
        <w:jc w:val="both"/>
        <w:rPr>
          <w:rFonts w:ascii="Arial" w:eastAsia="宋体" w:hAnsi="Arial"/>
          <w:b/>
          <w:kern w:val="2"/>
          <w:lang w:eastAsia="zh-CN"/>
        </w:rPr>
      </w:pPr>
      <w:r>
        <w:rPr>
          <w:rFonts w:ascii="Arial" w:eastAsia="宋体" w:hAnsi="Arial" w:hint="eastAsia"/>
          <w:b/>
          <w:kern w:val="2"/>
          <w:lang w:eastAsia="zh-CN"/>
        </w:rPr>
        <w:t>（四）供应商认为需要涉及的其他内容报价清单</w:t>
      </w:r>
    </w:p>
    <w:p>
      <w:pPr>
        <w:widowControl w:val="0"/>
        <w:wordWrap w:val="0"/>
        <w:spacing w:after="60" w:afterLines="25" w:line="300" w:lineRule="auto"/>
        <w:ind w:right="420" w:firstLine="4410" w:firstLineChars="2100"/>
        <w:jc w:val="right"/>
        <w:rPr>
          <w:rFonts w:ascii="Arial" w:eastAsia="宋体" w:hAnsi="Arial"/>
          <w:kern w:val="2"/>
          <w:sz w:val="21"/>
          <w:szCs w:val="21"/>
          <w:lang w:eastAsia="zh-CN"/>
        </w:rPr>
      </w:pPr>
      <w:r>
        <w:rPr>
          <w:rFonts w:ascii="Arial" w:eastAsia="宋体" w:hAnsi="Arial" w:hint="eastAsia"/>
          <w:kern w:val="2"/>
          <w:sz w:val="21"/>
          <w:szCs w:val="21"/>
          <w:lang w:eastAsia="zh-CN"/>
        </w:rPr>
        <w:t xml:space="preserve">   </w:t>
      </w:r>
    </w:p>
    <w:p>
      <w:pPr>
        <w:widowControl/>
        <w:jc w:val="left"/>
        <w:rPr>
          <w:rFonts w:ascii="Arial" w:eastAsia="宋体" w:hAnsi="Arial"/>
          <w:b/>
          <w:kern w:val="2"/>
          <w:lang w:eastAsia="zh-CN"/>
        </w:rPr>
      </w:pPr>
    </w:p>
    <w:p>
      <w:pPr>
        <w:widowControl w:val="0"/>
        <w:jc w:val="both"/>
        <w:rPr>
          <w:rFonts w:ascii="宋体" w:eastAsia="宋体" w:hAnsi="宋体" w:hint="eastAsia"/>
          <w:kern w:val="2"/>
          <w:sz w:val="21"/>
          <w:szCs w:val="22"/>
          <w:lang w:eastAsia="zh-CN"/>
        </w:rPr>
      </w:pPr>
      <w:r>
        <w:rPr>
          <w:rFonts w:ascii="Calibri" w:eastAsia="宋体" w:hAnsi="Calibri" w:cs="Times New Roman"/>
          <w:kern w:val="2"/>
          <w:sz w:val="21"/>
          <w:szCs w:val="22"/>
          <w:lang w:eastAsia="zh-CN"/>
        </w:rPr>
        <w:t xml:space="preserve">       </w:t>
      </w:r>
      <w:bookmarkStart w:id="42" w:name="_Hlk72260501"/>
      <w:r>
        <w:rPr>
          <w:rFonts w:ascii="Calibri" w:eastAsia="宋体" w:hAnsi="Calibri" w:cs="Times New Roman"/>
          <w:kern w:val="2"/>
          <w:sz w:val="21"/>
          <w:szCs w:val="22"/>
          <w:lang w:eastAsia="zh-CN"/>
        </w:rPr>
        <w:t xml:space="preserve">  </w:t>
      </w:r>
      <w:r>
        <w:rPr>
          <w:rFonts w:ascii="宋体" w:eastAsia="宋体" w:hAnsi="宋体" w:cs="Times New Roman" w:hint="eastAsia"/>
          <w:kern w:val="2"/>
          <w:sz w:val="21"/>
          <w:szCs w:val="22"/>
          <w:lang w:eastAsia="zh-CN"/>
        </w:rPr>
        <w:t>………………</w:t>
      </w:r>
      <w:bookmarkEnd w:id="42"/>
      <w:r>
        <w:rPr>
          <w:rFonts w:ascii="宋体" w:eastAsia="宋体" w:hAnsi="宋体" w:cs="Times New Roman" w:hint="eastAsia"/>
          <w:kern w:val="2"/>
          <w:sz w:val="21"/>
          <w:szCs w:val="22"/>
          <w:lang w:eastAsia="zh-CN"/>
        </w:rPr>
        <w:t>（根据项目具体情况增加与综合实力评审相关的节点）………………</w:t>
      </w:r>
    </w:p>
    <w:p>
      <w:pPr>
        <w:widowControl w:val="0"/>
        <w:jc w:val="both"/>
        <w:rPr>
          <w:rFonts w:ascii="Calibri" w:eastAsia="宋体" w:hAnsi="Calibri"/>
          <w:b/>
          <w:bCs/>
          <w:color w:val="FF0000"/>
          <w:kern w:val="2"/>
          <w:szCs w:val="22"/>
          <w:lang w:eastAsia="zh-CN"/>
        </w:rPr>
      </w:pPr>
    </w:p>
    <w:p>
      <w:pPr>
        <w:widowControl w:val="0"/>
        <w:jc w:val="center"/>
        <w:rPr>
          <w:rFonts w:ascii="宋体" w:eastAsia="宋体" w:hAnsi="宋体" w:hint="eastAsia"/>
          <w:kern w:val="2"/>
          <w:sz w:val="21"/>
          <w:szCs w:val="22"/>
          <w:lang w:eastAsia="zh-CN"/>
        </w:rPr>
      </w:pPr>
      <w:r>
        <w:rPr>
          <w:rFonts w:ascii="Calibri" w:eastAsia="宋体" w:hAnsi="Calibri" w:cs="Times New Roman" w:hint="eastAsia"/>
          <w:b/>
          <w:bCs/>
          <w:color w:val="FF0000"/>
          <w:kern w:val="2"/>
          <w:szCs w:val="22"/>
          <w:lang w:eastAsia="zh-CN"/>
        </w:rPr>
        <w:t>★</w:t>
      </w:r>
      <w:r>
        <w:rPr>
          <w:rFonts w:ascii="黑体" w:eastAsia="黑体" w:hAnsi="Calibri" w:cs="Times New Roman" w:hint="eastAsia"/>
          <w:kern w:val="2"/>
          <w:lang w:eastAsia="zh-CN"/>
        </w:rPr>
        <w:t>五、供应商基本情况表</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8"/>
        <w:gridCol w:w="670"/>
        <w:gridCol w:w="1589"/>
        <w:gridCol w:w="939"/>
        <w:gridCol w:w="781"/>
        <w:gridCol w:w="1190"/>
        <w:gridCol w:w="1484"/>
        <w:gridCol w:w="147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789" w:type="pct"/>
            <w:gridSpan w:val="2"/>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投标（响应）供应商</w:t>
            </w:r>
          </w:p>
        </w:tc>
        <w:tc>
          <w:tcPr>
            <w:tcW w:w="1427" w:type="pct"/>
            <w:gridSpan w:val="2"/>
            <w:noWrap w:val="0"/>
            <w:vAlign w:val="center"/>
          </w:tcPr>
          <w:p>
            <w:pPr>
              <w:widowControl w:val="0"/>
              <w:jc w:val="center"/>
              <w:rPr>
                <w:rFonts w:ascii="宋体" w:eastAsia="宋体" w:hAnsi="宋体" w:cs="宋体" w:hint="eastAsia"/>
                <w:kern w:val="2"/>
                <w:sz w:val="21"/>
                <w:szCs w:val="21"/>
                <w:lang w:eastAsia="zh-CN"/>
              </w:rPr>
            </w:pPr>
          </w:p>
        </w:tc>
        <w:tc>
          <w:tcPr>
            <w:tcW w:w="1113" w:type="pct"/>
            <w:gridSpan w:val="2"/>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项目名称及编号</w:t>
            </w:r>
          </w:p>
        </w:tc>
        <w:tc>
          <w:tcPr>
            <w:tcW w:w="1669" w:type="pct"/>
            <w:gridSpan w:val="2"/>
            <w:noWrap w:val="0"/>
            <w:vAlign w:val="center"/>
          </w:tcPr>
          <w:p>
            <w:pPr>
              <w:widowControl w:val="0"/>
              <w:jc w:val="center"/>
              <w:rPr>
                <w:rFonts w:ascii="宋体" w:eastAsia="宋体" w:hAnsi="宋体" w:cs="宋体" w:hint="eastAsia"/>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5000" w:type="pct"/>
            <w:gridSpan w:val="8"/>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投标（响应）供应商相关人员情况</w:t>
            </w:r>
          </w:p>
        </w:tc>
      </w:tr>
      <w:tr>
        <w:tblPrEx>
          <w:tblW w:w="5000" w:type="pct"/>
          <w:jc w:val="center"/>
          <w:tblLayout w:type="fixed"/>
          <w:tblCellMar>
            <w:top w:w="0" w:type="dxa"/>
            <w:left w:w="108" w:type="dxa"/>
            <w:bottom w:w="0" w:type="dxa"/>
            <w:right w:w="108" w:type="dxa"/>
          </w:tblCellMar>
        </w:tblPrEx>
        <w:trPr>
          <w:jc w:val="center"/>
        </w:trPr>
        <w:tc>
          <w:tcPr>
            <w:tcW w:w="411" w:type="pct"/>
            <w:tcBorders>
              <w:bottom w:val="single" w:sz="4" w:space="0" w:color="auto"/>
            </w:tcBorders>
            <w:noWrap w:val="0"/>
            <w:vAlign w:val="center"/>
          </w:tcPr>
          <w:p>
            <w:pPr>
              <w:widowControl w:val="0"/>
              <w:snapToGrid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序号</w:t>
            </w:r>
          </w:p>
        </w:tc>
        <w:tc>
          <w:tcPr>
            <w:tcW w:w="1275" w:type="pct"/>
            <w:gridSpan w:val="2"/>
            <w:tcBorders>
              <w:bottom w:val="single" w:sz="4" w:space="0" w:color="auto"/>
            </w:tcBorders>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职务</w:t>
            </w:r>
          </w:p>
        </w:tc>
        <w:tc>
          <w:tcPr>
            <w:tcW w:w="529" w:type="pct"/>
            <w:tcBorders>
              <w:bottom w:val="single" w:sz="4" w:space="0" w:color="auto"/>
            </w:tcBorders>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姓名</w:t>
            </w:r>
          </w:p>
        </w:tc>
        <w:tc>
          <w:tcPr>
            <w:tcW w:w="1113" w:type="pct"/>
            <w:gridSpan w:val="2"/>
            <w:tcBorders>
              <w:bottom w:val="single" w:sz="4" w:space="0" w:color="auto"/>
            </w:tcBorders>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身份证号码</w:t>
            </w:r>
          </w:p>
        </w:tc>
        <w:tc>
          <w:tcPr>
            <w:tcW w:w="838" w:type="pct"/>
            <w:tcBorders>
              <w:bottom w:val="single" w:sz="4" w:space="0" w:color="auto"/>
            </w:tcBorders>
            <w:noWrap w:val="0"/>
            <w:vAlign w:val="center"/>
          </w:tcPr>
          <w:p>
            <w:pPr>
              <w:widowControl w:val="0"/>
              <w:snapToGrid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劳动合同</w:t>
            </w:r>
          </w:p>
          <w:p>
            <w:pPr>
              <w:widowControl w:val="0"/>
              <w:snapToGrid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关系单位</w:t>
            </w:r>
          </w:p>
        </w:tc>
        <w:tc>
          <w:tcPr>
            <w:tcW w:w="830" w:type="pct"/>
            <w:tcBorders>
              <w:bottom w:val="single" w:sz="4" w:space="0" w:color="auto"/>
            </w:tcBorders>
            <w:noWrap w:val="0"/>
            <w:vAlign w:val="center"/>
          </w:tcPr>
          <w:p>
            <w:pPr>
              <w:widowControl w:val="0"/>
              <w:snapToGrid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缴纳社会</w:t>
            </w:r>
          </w:p>
          <w:p>
            <w:pPr>
              <w:widowControl w:val="0"/>
              <w:snapToGrid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保险单位</w:t>
            </w:r>
          </w:p>
        </w:tc>
      </w:tr>
      <w:tr>
        <w:tblPrEx>
          <w:tblW w:w="5000" w:type="pct"/>
          <w:jc w:val="center"/>
          <w:tblLayout w:type="fixed"/>
          <w:tblCellMar>
            <w:top w:w="0" w:type="dxa"/>
            <w:left w:w="108" w:type="dxa"/>
            <w:bottom w:w="0" w:type="dxa"/>
            <w:right w:w="108" w:type="dxa"/>
          </w:tblCellMar>
        </w:tblPrEx>
        <w:trPr>
          <w:jc w:val="center"/>
        </w:trPr>
        <w:tc>
          <w:tcPr>
            <w:tcW w:w="411" w:type="pct"/>
            <w:tcBorders>
              <w:top w:val="single" w:sz="4" w:space="0" w:color="auto"/>
              <w:left w:val="single" w:sz="4" w:space="0" w:color="auto"/>
              <w:bottom w:val="single" w:sz="4" w:space="0" w:color="auto"/>
              <w:right w:val="single" w:sz="4" w:space="0" w:color="auto"/>
            </w:tcBorders>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p>
        </w:tc>
        <w:tc>
          <w:tcPr>
            <w:tcW w:w="1275" w:type="pct"/>
            <w:gridSpan w:val="2"/>
            <w:tcBorders>
              <w:top w:val="single" w:sz="4" w:space="0" w:color="auto"/>
              <w:left w:val="single" w:sz="4" w:space="0" w:color="auto"/>
              <w:bottom w:val="single" w:sz="4" w:space="0" w:color="auto"/>
              <w:right w:val="single" w:sz="4" w:space="0" w:color="auto"/>
            </w:tcBorders>
            <w:noWrap w:val="0"/>
            <w:vAlign w:val="center"/>
          </w:tcPr>
          <w:p>
            <w:pPr>
              <w:widowControl w:val="0"/>
              <w:spacing w:line="46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法定代表人/单位负责人/主要经营负责人</w:t>
            </w:r>
          </w:p>
        </w:tc>
        <w:tc>
          <w:tcPr>
            <w:tcW w:w="529" w:type="pct"/>
            <w:tcBorders>
              <w:top w:val="single" w:sz="4" w:space="0" w:color="auto"/>
              <w:left w:val="single" w:sz="4" w:space="0" w:color="auto"/>
              <w:bottom w:val="single" w:sz="4" w:space="0" w:color="auto"/>
              <w:right w:val="single" w:sz="4" w:space="0" w:color="auto"/>
            </w:tcBorders>
            <w:noWrap w:val="0"/>
            <w:vAlign w:val="center"/>
          </w:tcPr>
          <w:p>
            <w:pPr>
              <w:widowControl w:val="0"/>
              <w:jc w:val="center"/>
              <w:rPr>
                <w:rFonts w:ascii="宋体" w:eastAsia="宋体" w:hAnsi="宋体" w:cs="宋体" w:hint="eastAsia"/>
                <w:kern w:val="2"/>
                <w:sz w:val="21"/>
                <w:szCs w:val="21"/>
                <w:lang w:eastAsia="zh-CN"/>
              </w:rPr>
            </w:pPr>
          </w:p>
        </w:tc>
        <w:tc>
          <w:tcPr>
            <w:tcW w:w="1113" w:type="pct"/>
            <w:gridSpan w:val="2"/>
            <w:tcBorders>
              <w:top w:val="single" w:sz="4" w:space="0" w:color="auto"/>
              <w:left w:val="single" w:sz="4" w:space="0" w:color="auto"/>
              <w:bottom w:val="single" w:sz="4" w:space="0" w:color="auto"/>
              <w:right w:val="single" w:sz="4" w:space="0" w:color="auto"/>
            </w:tcBorders>
            <w:noWrap w:val="0"/>
            <w:vAlign w:val="center"/>
          </w:tcPr>
          <w:p>
            <w:pPr>
              <w:widowControl w:val="0"/>
              <w:jc w:val="center"/>
              <w:rPr>
                <w:rFonts w:ascii="宋体" w:eastAsia="宋体" w:hAnsi="宋体" w:cs="宋体" w:hint="eastAsia"/>
                <w:kern w:val="2"/>
                <w:sz w:val="21"/>
                <w:szCs w:val="21"/>
                <w:lang w:eastAsia="zh-CN"/>
              </w:rPr>
            </w:pPr>
          </w:p>
        </w:tc>
        <w:tc>
          <w:tcPr>
            <w:tcW w:w="838" w:type="pct"/>
            <w:tcBorders>
              <w:top w:val="single" w:sz="4" w:space="0" w:color="auto"/>
              <w:left w:val="single" w:sz="4" w:space="0" w:color="auto"/>
              <w:bottom w:val="single" w:sz="4" w:space="0" w:color="auto"/>
              <w:right w:val="single" w:sz="4" w:space="0" w:color="auto"/>
            </w:tcBorders>
            <w:noWrap w:val="0"/>
            <w:vAlign w:val="center"/>
          </w:tcPr>
          <w:p>
            <w:pPr>
              <w:widowControl w:val="0"/>
              <w:jc w:val="center"/>
              <w:rPr>
                <w:rFonts w:ascii="宋体" w:eastAsia="宋体" w:hAnsi="宋体" w:cs="宋体" w:hint="eastAsia"/>
                <w:kern w:val="2"/>
                <w:sz w:val="21"/>
                <w:szCs w:val="21"/>
                <w:lang w:eastAsia="zh-CN"/>
              </w:rPr>
            </w:pPr>
          </w:p>
        </w:tc>
        <w:tc>
          <w:tcPr>
            <w:tcW w:w="830" w:type="pct"/>
            <w:tcBorders>
              <w:top w:val="single" w:sz="4" w:space="0" w:color="auto"/>
              <w:left w:val="single" w:sz="4" w:space="0" w:color="auto"/>
              <w:bottom w:val="single" w:sz="4" w:space="0" w:color="auto"/>
              <w:right w:val="single" w:sz="4" w:space="0" w:color="auto"/>
            </w:tcBorders>
            <w:noWrap w:val="0"/>
            <w:vAlign w:val="center"/>
          </w:tcPr>
          <w:p>
            <w:pPr>
              <w:widowControl w:val="0"/>
              <w:jc w:val="center"/>
              <w:rPr>
                <w:rFonts w:ascii="宋体" w:eastAsia="宋体" w:hAnsi="宋体" w:cs="宋体" w:hint="eastAsia"/>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411" w:type="pct"/>
            <w:tcBorders>
              <w:top w:val="single" w:sz="4" w:space="0" w:color="auto"/>
              <w:left w:val="single" w:sz="4" w:space="0" w:color="auto"/>
              <w:bottom w:val="single" w:sz="4" w:space="0" w:color="auto"/>
              <w:right w:val="single" w:sz="4" w:space="0" w:color="auto"/>
            </w:tcBorders>
            <w:noWrap w:val="0"/>
            <w:vAlign w:val="center"/>
          </w:tcPr>
          <w:p>
            <w:pPr>
              <w:widowControl w:val="0"/>
              <w:spacing w:beforeLines="0" w:afterLine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p>
        </w:tc>
        <w:tc>
          <w:tcPr>
            <w:tcW w:w="1275" w:type="pct"/>
            <w:gridSpan w:val="2"/>
            <w:tcBorders>
              <w:top w:val="single" w:sz="4" w:space="0" w:color="auto"/>
              <w:left w:val="single" w:sz="4" w:space="0" w:color="auto"/>
              <w:bottom w:val="single" w:sz="4" w:space="0" w:color="auto"/>
              <w:right w:val="single" w:sz="4" w:space="0" w:color="auto"/>
            </w:tcBorders>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项目投标授权代表人</w:t>
            </w:r>
          </w:p>
        </w:tc>
        <w:tc>
          <w:tcPr>
            <w:tcW w:w="529" w:type="pct"/>
            <w:tcBorders>
              <w:top w:val="single" w:sz="4" w:space="0" w:color="auto"/>
              <w:left w:val="single" w:sz="4" w:space="0" w:color="auto"/>
              <w:bottom w:val="single" w:sz="4" w:space="0" w:color="auto"/>
              <w:right w:val="single" w:sz="4" w:space="0" w:color="auto"/>
            </w:tcBorders>
            <w:noWrap w:val="0"/>
            <w:vAlign w:val="center"/>
          </w:tcPr>
          <w:p>
            <w:pPr>
              <w:widowControl w:val="0"/>
              <w:jc w:val="center"/>
              <w:rPr>
                <w:rFonts w:ascii="宋体" w:eastAsia="宋体" w:hAnsi="宋体" w:cs="宋体" w:hint="eastAsia"/>
                <w:kern w:val="2"/>
                <w:sz w:val="21"/>
                <w:szCs w:val="21"/>
                <w:lang w:eastAsia="zh-CN"/>
              </w:rPr>
            </w:pPr>
          </w:p>
        </w:tc>
        <w:tc>
          <w:tcPr>
            <w:tcW w:w="1113" w:type="pct"/>
            <w:gridSpan w:val="2"/>
            <w:tcBorders>
              <w:top w:val="single" w:sz="4" w:space="0" w:color="auto"/>
              <w:left w:val="single" w:sz="4" w:space="0" w:color="auto"/>
              <w:bottom w:val="single" w:sz="4" w:space="0" w:color="auto"/>
              <w:right w:val="single" w:sz="4" w:space="0" w:color="auto"/>
            </w:tcBorders>
            <w:noWrap w:val="0"/>
            <w:vAlign w:val="center"/>
          </w:tcPr>
          <w:p>
            <w:pPr>
              <w:widowControl w:val="0"/>
              <w:jc w:val="center"/>
              <w:rPr>
                <w:rFonts w:ascii="宋体" w:eastAsia="宋体" w:hAnsi="宋体" w:cs="宋体" w:hint="eastAsia"/>
                <w:kern w:val="2"/>
                <w:sz w:val="21"/>
                <w:szCs w:val="21"/>
                <w:lang w:eastAsia="zh-CN"/>
              </w:rPr>
            </w:pPr>
          </w:p>
        </w:tc>
        <w:tc>
          <w:tcPr>
            <w:tcW w:w="838" w:type="pct"/>
            <w:tcBorders>
              <w:top w:val="single" w:sz="4" w:space="0" w:color="auto"/>
              <w:left w:val="single" w:sz="4" w:space="0" w:color="auto"/>
              <w:bottom w:val="single" w:sz="4" w:space="0" w:color="auto"/>
              <w:right w:val="single" w:sz="4" w:space="0" w:color="auto"/>
            </w:tcBorders>
            <w:noWrap w:val="0"/>
            <w:vAlign w:val="center"/>
          </w:tcPr>
          <w:p>
            <w:pPr>
              <w:widowControl w:val="0"/>
              <w:jc w:val="center"/>
              <w:rPr>
                <w:rFonts w:ascii="宋体" w:eastAsia="宋体" w:hAnsi="宋体" w:cs="宋体" w:hint="eastAsia"/>
                <w:kern w:val="2"/>
                <w:sz w:val="21"/>
                <w:szCs w:val="21"/>
                <w:lang w:eastAsia="zh-CN"/>
              </w:rPr>
            </w:pPr>
          </w:p>
        </w:tc>
        <w:tc>
          <w:tcPr>
            <w:tcW w:w="830" w:type="pct"/>
            <w:tcBorders>
              <w:top w:val="single" w:sz="4" w:space="0" w:color="auto"/>
              <w:left w:val="single" w:sz="4" w:space="0" w:color="auto"/>
              <w:bottom w:val="single" w:sz="4" w:space="0" w:color="auto"/>
              <w:right w:val="single" w:sz="4" w:space="0" w:color="auto"/>
            </w:tcBorders>
            <w:noWrap w:val="0"/>
            <w:vAlign w:val="center"/>
          </w:tcPr>
          <w:p>
            <w:pPr>
              <w:widowControl w:val="0"/>
              <w:jc w:val="center"/>
              <w:rPr>
                <w:rFonts w:ascii="宋体" w:eastAsia="宋体" w:hAnsi="宋体" w:cs="宋体" w:hint="eastAsia"/>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411" w:type="pct"/>
            <w:tcBorders>
              <w:top w:val="single" w:sz="4" w:space="0" w:color="auto"/>
            </w:tcBorders>
            <w:noWrap w:val="0"/>
            <w:vAlign w:val="center"/>
          </w:tcPr>
          <w:p>
            <w:pPr>
              <w:widowControl w:val="0"/>
              <w:spacing w:beforeLines="0" w:afterLine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3</w:t>
            </w:r>
          </w:p>
        </w:tc>
        <w:tc>
          <w:tcPr>
            <w:tcW w:w="1275" w:type="pct"/>
            <w:gridSpan w:val="2"/>
            <w:tcBorders>
              <w:top w:val="single" w:sz="4" w:space="0" w:color="auto"/>
            </w:tcBorders>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项目负责人</w:t>
            </w:r>
          </w:p>
        </w:tc>
        <w:tc>
          <w:tcPr>
            <w:tcW w:w="529" w:type="pct"/>
            <w:tcBorders>
              <w:top w:val="single" w:sz="4" w:space="0" w:color="auto"/>
            </w:tcBorders>
            <w:noWrap w:val="0"/>
            <w:vAlign w:val="center"/>
          </w:tcPr>
          <w:p>
            <w:pPr>
              <w:widowControl w:val="0"/>
              <w:jc w:val="center"/>
              <w:rPr>
                <w:rFonts w:ascii="宋体" w:eastAsia="宋体" w:hAnsi="宋体" w:cs="宋体" w:hint="eastAsia"/>
                <w:kern w:val="2"/>
                <w:sz w:val="21"/>
                <w:szCs w:val="21"/>
                <w:lang w:eastAsia="zh-CN"/>
              </w:rPr>
            </w:pPr>
          </w:p>
        </w:tc>
        <w:tc>
          <w:tcPr>
            <w:tcW w:w="1113" w:type="pct"/>
            <w:gridSpan w:val="2"/>
            <w:tcBorders>
              <w:top w:val="single" w:sz="4" w:space="0" w:color="auto"/>
            </w:tcBorders>
            <w:noWrap w:val="0"/>
            <w:vAlign w:val="center"/>
          </w:tcPr>
          <w:p>
            <w:pPr>
              <w:widowControl w:val="0"/>
              <w:jc w:val="center"/>
              <w:rPr>
                <w:rFonts w:ascii="宋体" w:eastAsia="宋体" w:hAnsi="宋体" w:cs="宋体" w:hint="eastAsia"/>
                <w:kern w:val="2"/>
                <w:sz w:val="21"/>
                <w:szCs w:val="21"/>
                <w:lang w:eastAsia="zh-CN"/>
              </w:rPr>
            </w:pPr>
          </w:p>
        </w:tc>
        <w:tc>
          <w:tcPr>
            <w:tcW w:w="838" w:type="pct"/>
            <w:tcBorders>
              <w:top w:val="single" w:sz="4" w:space="0" w:color="auto"/>
            </w:tcBorders>
            <w:noWrap w:val="0"/>
            <w:vAlign w:val="center"/>
          </w:tcPr>
          <w:p>
            <w:pPr>
              <w:widowControl w:val="0"/>
              <w:jc w:val="center"/>
              <w:rPr>
                <w:rFonts w:ascii="宋体" w:eastAsia="宋体" w:hAnsi="宋体" w:cs="宋体" w:hint="eastAsia"/>
                <w:kern w:val="2"/>
                <w:sz w:val="21"/>
                <w:szCs w:val="21"/>
                <w:lang w:eastAsia="zh-CN"/>
              </w:rPr>
            </w:pPr>
          </w:p>
        </w:tc>
        <w:tc>
          <w:tcPr>
            <w:tcW w:w="830" w:type="pct"/>
            <w:tcBorders>
              <w:top w:val="single" w:sz="4" w:space="0" w:color="auto"/>
            </w:tcBorders>
            <w:noWrap w:val="0"/>
            <w:vAlign w:val="center"/>
          </w:tcPr>
          <w:p>
            <w:pPr>
              <w:widowControl w:val="0"/>
              <w:jc w:val="center"/>
              <w:rPr>
                <w:rFonts w:ascii="宋体" w:eastAsia="宋体" w:hAnsi="宋体" w:cs="宋体" w:hint="eastAsia"/>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411" w:type="pct"/>
            <w:noWrap w:val="0"/>
            <w:vAlign w:val="center"/>
          </w:tcPr>
          <w:p>
            <w:pPr>
              <w:widowControl w:val="0"/>
              <w:spacing w:beforeLines="0" w:afterLine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4</w:t>
            </w:r>
          </w:p>
        </w:tc>
        <w:tc>
          <w:tcPr>
            <w:tcW w:w="1275" w:type="pct"/>
            <w:gridSpan w:val="2"/>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主要技术人员</w:t>
            </w:r>
          </w:p>
        </w:tc>
        <w:tc>
          <w:tcPr>
            <w:tcW w:w="529" w:type="pct"/>
            <w:noWrap w:val="0"/>
            <w:vAlign w:val="center"/>
          </w:tcPr>
          <w:p>
            <w:pPr>
              <w:widowControl w:val="0"/>
              <w:jc w:val="center"/>
              <w:rPr>
                <w:rFonts w:ascii="宋体" w:eastAsia="宋体" w:hAnsi="宋体" w:cs="宋体" w:hint="eastAsia"/>
                <w:kern w:val="2"/>
                <w:sz w:val="21"/>
                <w:szCs w:val="21"/>
                <w:lang w:eastAsia="zh-CN"/>
              </w:rPr>
            </w:pPr>
          </w:p>
        </w:tc>
        <w:tc>
          <w:tcPr>
            <w:tcW w:w="1113" w:type="pct"/>
            <w:gridSpan w:val="2"/>
            <w:noWrap w:val="0"/>
            <w:vAlign w:val="center"/>
          </w:tcPr>
          <w:p>
            <w:pPr>
              <w:widowControl w:val="0"/>
              <w:jc w:val="center"/>
              <w:rPr>
                <w:rFonts w:ascii="宋体" w:eastAsia="宋体" w:hAnsi="宋体" w:cs="宋体" w:hint="eastAsia"/>
                <w:kern w:val="2"/>
                <w:sz w:val="21"/>
                <w:szCs w:val="21"/>
                <w:lang w:eastAsia="zh-CN"/>
              </w:rPr>
            </w:pPr>
          </w:p>
        </w:tc>
        <w:tc>
          <w:tcPr>
            <w:tcW w:w="838" w:type="pct"/>
            <w:noWrap w:val="0"/>
            <w:vAlign w:val="center"/>
          </w:tcPr>
          <w:p>
            <w:pPr>
              <w:widowControl w:val="0"/>
              <w:jc w:val="center"/>
              <w:rPr>
                <w:rFonts w:ascii="宋体" w:eastAsia="宋体" w:hAnsi="宋体" w:cs="宋体" w:hint="eastAsia"/>
                <w:kern w:val="2"/>
                <w:sz w:val="21"/>
                <w:szCs w:val="21"/>
                <w:lang w:eastAsia="zh-CN"/>
              </w:rPr>
            </w:pPr>
          </w:p>
        </w:tc>
        <w:tc>
          <w:tcPr>
            <w:tcW w:w="830" w:type="pct"/>
            <w:noWrap w:val="0"/>
            <w:vAlign w:val="center"/>
          </w:tcPr>
          <w:p>
            <w:pPr>
              <w:widowControl w:val="0"/>
              <w:jc w:val="center"/>
              <w:rPr>
                <w:rFonts w:ascii="宋体" w:eastAsia="宋体" w:hAnsi="宋体" w:cs="宋体" w:hint="eastAsia"/>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411" w:type="pct"/>
            <w:noWrap w:val="0"/>
            <w:vAlign w:val="center"/>
          </w:tcPr>
          <w:p>
            <w:pPr>
              <w:widowControl w:val="0"/>
              <w:spacing w:beforeLines="0" w:afterLine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5</w:t>
            </w:r>
          </w:p>
        </w:tc>
        <w:tc>
          <w:tcPr>
            <w:tcW w:w="1275" w:type="pct"/>
            <w:gridSpan w:val="2"/>
            <w:noWrap w:val="0"/>
            <w:vAlign w:val="center"/>
          </w:tcPr>
          <w:p>
            <w:pPr>
              <w:widowControl w:val="0"/>
              <w:snapToGrid w:val="0"/>
              <w:ind w:lef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投标文件编制人员</w:t>
            </w:r>
          </w:p>
        </w:tc>
        <w:tc>
          <w:tcPr>
            <w:tcW w:w="529" w:type="pct"/>
            <w:noWrap w:val="0"/>
            <w:vAlign w:val="center"/>
          </w:tcPr>
          <w:p>
            <w:pPr>
              <w:widowControl w:val="0"/>
              <w:jc w:val="center"/>
              <w:rPr>
                <w:rFonts w:ascii="宋体" w:eastAsia="宋体" w:hAnsi="宋体" w:cs="宋体" w:hint="eastAsia"/>
                <w:kern w:val="2"/>
                <w:sz w:val="21"/>
                <w:szCs w:val="21"/>
                <w:lang w:eastAsia="zh-CN"/>
              </w:rPr>
            </w:pPr>
          </w:p>
        </w:tc>
        <w:tc>
          <w:tcPr>
            <w:tcW w:w="1113" w:type="pct"/>
            <w:gridSpan w:val="2"/>
            <w:noWrap w:val="0"/>
            <w:vAlign w:val="center"/>
          </w:tcPr>
          <w:p>
            <w:pPr>
              <w:widowControl w:val="0"/>
              <w:jc w:val="center"/>
              <w:rPr>
                <w:rFonts w:ascii="宋体" w:eastAsia="宋体" w:hAnsi="宋体" w:cs="宋体" w:hint="eastAsia"/>
                <w:kern w:val="2"/>
                <w:sz w:val="21"/>
                <w:szCs w:val="21"/>
                <w:lang w:eastAsia="zh-CN"/>
              </w:rPr>
            </w:pPr>
          </w:p>
        </w:tc>
        <w:tc>
          <w:tcPr>
            <w:tcW w:w="838" w:type="pct"/>
            <w:noWrap w:val="0"/>
            <w:vAlign w:val="center"/>
          </w:tcPr>
          <w:p>
            <w:pPr>
              <w:widowControl w:val="0"/>
              <w:jc w:val="center"/>
              <w:rPr>
                <w:rFonts w:ascii="宋体" w:eastAsia="宋体" w:hAnsi="宋体" w:cs="宋体" w:hint="eastAsia"/>
                <w:kern w:val="2"/>
                <w:sz w:val="21"/>
                <w:szCs w:val="21"/>
                <w:lang w:eastAsia="zh-CN"/>
              </w:rPr>
            </w:pPr>
          </w:p>
        </w:tc>
        <w:tc>
          <w:tcPr>
            <w:tcW w:w="830" w:type="pct"/>
            <w:noWrap w:val="0"/>
            <w:vAlign w:val="center"/>
          </w:tcPr>
          <w:p>
            <w:pPr>
              <w:widowControl w:val="0"/>
              <w:jc w:val="center"/>
              <w:rPr>
                <w:rFonts w:ascii="宋体" w:eastAsia="宋体" w:hAnsi="宋体" w:cs="宋体" w:hint="eastAsia"/>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5000" w:type="pct"/>
            <w:gridSpan w:val="8"/>
            <w:noWrap w:val="0"/>
            <w:vAlign w:val="center"/>
          </w:tcPr>
          <w:p>
            <w:pPr>
              <w:widowControl w:val="0"/>
              <w:jc w:val="left"/>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说明：同一职务有多人担任（如主要技术人员），应分行填写。</w:t>
            </w:r>
          </w:p>
        </w:tc>
      </w:tr>
      <w:tr>
        <w:tblPrEx>
          <w:tblW w:w="5000" w:type="pct"/>
          <w:jc w:val="center"/>
          <w:tblLayout w:type="fixed"/>
          <w:tblCellMar>
            <w:top w:w="0" w:type="dxa"/>
            <w:left w:w="108" w:type="dxa"/>
            <w:bottom w:w="0" w:type="dxa"/>
            <w:right w:w="108" w:type="dxa"/>
          </w:tblCellMar>
        </w:tblPrEx>
        <w:trPr>
          <w:trHeight w:val="539"/>
          <w:jc w:val="center"/>
        </w:trPr>
        <w:tc>
          <w:tcPr>
            <w:tcW w:w="5000" w:type="pct"/>
            <w:gridSpan w:val="8"/>
            <w:noWrap w:val="0"/>
            <w:vAlign w:val="center"/>
          </w:tcPr>
          <w:p>
            <w:pPr>
              <w:widowControl w:val="0"/>
              <w:jc w:val="center"/>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投标（响应）供应商关联关系情况</w:t>
            </w:r>
          </w:p>
        </w:tc>
      </w:tr>
      <w:tr>
        <w:tblPrEx>
          <w:tblW w:w="5000" w:type="pct"/>
          <w:jc w:val="center"/>
          <w:tblLayout w:type="fixed"/>
          <w:tblCellMar>
            <w:top w:w="0" w:type="dxa"/>
            <w:left w:w="108" w:type="dxa"/>
            <w:bottom w:w="0" w:type="dxa"/>
            <w:right w:w="108" w:type="dxa"/>
          </w:tblCellMar>
        </w:tblPrEx>
        <w:trPr>
          <w:jc w:val="center"/>
        </w:trPr>
        <w:tc>
          <w:tcPr>
            <w:tcW w:w="411" w:type="pct"/>
            <w:tcBorders>
              <w:bottom w:val="single" w:sz="4" w:space="0" w:color="auto"/>
            </w:tcBorders>
            <w:noWrap w:val="0"/>
            <w:vAlign w:val="center"/>
          </w:tcPr>
          <w:p>
            <w:pPr>
              <w:widowControl w:val="0"/>
              <w:jc w:val="center"/>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序号</w:t>
            </w:r>
          </w:p>
        </w:tc>
        <w:tc>
          <w:tcPr>
            <w:tcW w:w="1275" w:type="pct"/>
            <w:gridSpan w:val="2"/>
            <w:tcBorders>
              <w:bottom w:val="single" w:sz="4" w:space="0" w:color="auto"/>
            </w:tcBorders>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关联关系类型</w:t>
            </w:r>
          </w:p>
        </w:tc>
        <w:tc>
          <w:tcPr>
            <w:tcW w:w="971" w:type="pct"/>
            <w:gridSpan w:val="2"/>
            <w:tcBorders>
              <w:bottom w:val="single" w:sz="4" w:space="0" w:color="auto"/>
            </w:tcBorders>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关联主体名称</w:t>
            </w:r>
          </w:p>
        </w:tc>
        <w:tc>
          <w:tcPr>
            <w:tcW w:w="2340" w:type="pct"/>
            <w:gridSpan w:val="3"/>
            <w:tcBorders>
              <w:bottom w:val="single" w:sz="4" w:space="0" w:color="auto"/>
            </w:tcBorders>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备注</w:t>
            </w:r>
          </w:p>
        </w:tc>
      </w:tr>
      <w:tr>
        <w:tblPrEx>
          <w:tblW w:w="5000" w:type="pct"/>
          <w:jc w:val="center"/>
          <w:tblLayout w:type="fixed"/>
          <w:tblCellMar>
            <w:top w:w="0" w:type="dxa"/>
            <w:left w:w="108" w:type="dxa"/>
            <w:bottom w:w="0" w:type="dxa"/>
            <w:right w:w="108" w:type="dxa"/>
          </w:tblCellMar>
        </w:tblPrEx>
        <w:trPr>
          <w:jc w:val="center"/>
        </w:trPr>
        <w:tc>
          <w:tcPr>
            <w:tcW w:w="411" w:type="pct"/>
            <w:tcBorders>
              <w:top w:val="single" w:sz="4" w:space="0" w:color="auto"/>
              <w:left w:val="single" w:sz="4" w:space="0" w:color="auto"/>
              <w:bottom w:val="single" w:sz="4" w:space="0" w:color="auto"/>
              <w:right w:val="single" w:sz="4" w:space="0" w:color="auto"/>
            </w:tcBorders>
            <w:noWrap w:val="0"/>
            <w:vAlign w:val="center"/>
          </w:tcPr>
          <w:p>
            <w:pPr>
              <w:widowControl w:val="0"/>
              <w:jc w:val="center"/>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w:t>
            </w:r>
          </w:p>
        </w:tc>
        <w:tc>
          <w:tcPr>
            <w:tcW w:w="1275" w:type="pct"/>
            <w:gridSpan w:val="2"/>
            <w:tcBorders>
              <w:top w:val="single" w:sz="4" w:space="0" w:color="auto"/>
              <w:left w:val="single" w:sz="4" w:space="0" w:color="auto"/>
              <w:bottom w:val="single" w:sz="4" w:space="0" w:color="auto"/>
              <w:right w:val="single" w:sz="4" w:space="0" w:color="auto"/>
            </w:tcBorders>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控股股东</w:t>
            </w:r>
          </w:p>
        </w:tc>
        <w:tc>
          <w:tcPr>
            <w:tcW w:w="971" w:type="pct"/>
            <w:gridSpan w:val="2"/>
            <w:tcBorders>
              <w:top w:val="single" w:sz="4" w:space="0" w:color="auto"/>
              <w:left w:val="single" w:sz="4" w:space="0" w:color="auto"/>
              <w:bottom w:val="single" w:sz="4" w:space="0" w:color="auto"/>
              <w:right w:val="single" w:sz="4" w:space="0" w:color="auto"/>
            </w:tcBorders>
            <w:noWrap w:val="0"/>
            <w:vAlign w:val="center"/>
          </w:tcPr>
          <w:p>
            <w:pPr>
              <w:widowControl w:val="0"/>
              <w:jc w:val="center"/>
              <w:rPr>
                <w:rFonts w:ascii="宋体" w:eastAsia="宋体" w:hAnsi="宋体" w:cs="宋体" w:hint="eastAsia"/>
                <w:kern w:val="2"/>
                <w:sz w:val="21"/>
                <w:szCs w:val="21"/>
                <w:lang w:eastAsia="zh-CN"/>
              </w:rPr>
            </w:pPr>
          </w:p>
        </w:tc>
        <w:tc>
          <w:tcPr>
            <w:tcW w:w="2340" w:type="pct"/>
            <w:gridSpan w:val="3"/>
            <w:tcBorders>
              <w:top w:val="single" w:sz="4" w:space="0" w:color="auto"/>
              <w:left w:val="single" w:sz="4" w:space="0" w:color="auto"/>
              <w:bottom w:val="single" w:sz="4" w:space="0" w:color="auto"/>
              <w:right w:val="single" w:sz="4" w:space="0" w:color="auto"/>
            </w:tcBorders>
            <w:noWrap w:val="0"/>
            <w:vAlign w:val="center"/>
          </w:tcPr>
          <w:p>
            <w:pPr>
              <w:widowControl w:val="0"/>
              <w:snapToGrid w:val="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W w:w="5000" w:type="pct"/>
          <w:jc w:val="center"/>
          <w:tblLayout w:type="fixed"/>
          <w:tblCellMar>
            <w:top w:w="0" w:type="dxa"/>
            <w:left w:w="108" w:type="dxa"/>
            <w:bottom w:w="0" w:type="dxa"/>
            <w:right w:w="108" w:type="dxa"/>
          </w:tblCellMar>
        </w:tblPrEx>
        <w:trPr>
          <w:trHeight w:val="789"/>
          <w:jc w:val="center"/>
        </w:trPr>
        <w:tc>
          <w:tcPr>
            <w:tcW w:w="411" w:type="pct"/>
            <w:tcBorders>
              <w:top w:val="single" w:sz="4" w:space="0" w:color="auto"/>
              <w:left w:val="single" w:sz="4" w:space="0" w:color="auto"/>
              <w:bottom w:val="single" w:sz="4" w:space="0" w:color="auto"/>
              <w:right w:val="single" w:sz="4" w:space="0" w:color="auto"/>
            </w:tcBorders>
            <w:noWrap w:val="0"/>
            <w:vAlign w:val="center"/>
          </w:tcPr>
          <w:p>
            <w:pPr>
              <w:widowControl w:val="0"/>
              <w:jc w:val="center"/>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w:t>
            </w:r>
          </w:p>
        </w:tc>
        <w:tc>
          <w:tcPr>
            <w:tcW w:w="1275" w:type="pct"/>
            <w:gridSpan w:val="2"/>
            <w:tcBorders>
              <w:top w:val="single" w:sz="4" w:space="0" w:color="auto"/>
              <w:left w:val="single" w:sz="4" w:space="0" w:color="auto"/>
              <w:bottom w:val="single" w:sz="4" w:space="0" w:color="auto"/>
              <w:right w:val="single" w:sz="4" w:space="0" w:color="auto"/>
            </w:tcBorders>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管理关系</w:t>
            </w:r>
          </w:p>
        </w:tc>
        <w:tc>
          <w:tcPr>
            <w:tcW w:w="971" w:type="pct"/>
            <w:gridSpan w:val="2"/>
            <w:tcBorders>
              <w:top w:val="single" w:sz="4" w:space="0" w:color="auto"/>
              <w:left w:val="single" w:sz="4" w:space="0" w:color="auto"/>
              <w:bottom w:val="single" w:sz="4" w:space="0" w:color="auto"/>
              <w:right w:val="single" w:sz="4" w:space="0" w:color="auto"/>
            </w:tcBorders>
            <w:noWrap w:val="0"/>
            <w:vAlign w:val="center"/>
          </w:tcPr>
          <w:p>
            <w:pPr>
              <w:widowControl w:val="0"/>
              <w:jc w:val="center"/>
              <w:rPr>
                <w:rFonts w:ascii="宋体" w:eastAsia="宋体" w:hAnsi="宋体" w:cs="宋体" w:hint="eastAsia"/>
                <w:kern w:val="2"/>
                <w:sz w:val="21"/>
                <w:szCs w:val="21"/>
                <w:lang w:eastAsia="zh-CN"/>
              </w:rPr>
            </w:pPr>
          </w:p>
        </w:tc>
        <w:tc>
          <w:tcPr>
            <w:tcW w:w="2340" w:type="pct"/>
            <w:gridSpan w:val="3"/>
            <w:tcBorders>
              <w:top w:val="single" w:sz="4" w:space="0" w:color="auto"/>
              <w:left w:val="single" w:sz="4" w:space="0" w:color="auto"/>
              <w:bottom w:val="single" w:sz="4" w:space="0" w:color="auto"/>
              <w:right w:val="single" w:sz="4" w:space="0" w:color="auto"/>
            </w:tcBorders>
            <w:noWrap w:val="0"/>
            <w:vAlign w:val="center"/>
          </w:tcPr>
          <w:p>
            <w:pPr>
              <w:widowControl w:val="0"/>
              <w:snapToGrid w:val="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指对投标（响应）供应商不具有出资持股关系，但对其存在管理关系的主体。</w:t>
            </w:r>
          </w:p>
        </w:tc>
      </w:tr>
      <w:tr>
        <w:tblPrEx>
          <w:tblW w:w="5000" w:type="pct"/>
          <w:jc w:val="center"/>
          <w:tblLayout w:type="fixed"/>
          <w:tblCellMar>
            <w:top w:w="0" w:type="dxa"/>
            <w:left w:w="108" w:type="dxa"/>
            <w:bottom w:w="0" w:type="dxa"/>
            <w:right w:w="108" w:type="dxa"/>
          </w:tblCellMar>
        </w:tblPrEx>
        <w:trPr>
          <w:trHeight w:val="455"/>
          <w:jc w:val="center"/>
        </w:trPr>
        <w:tc>
          <w:tcPr>
            <w:tcW w:w="5000" w:type="pct"/>
            <w:gridSpan w:val="8"/>
            <w:tcBorders>
              <w:top w:val="single" w:sz="4" w:space="0" w:color="auto"/>
              <w:left w:val="single" w:sz="4" w:space="0" w:color="auto"/>
              <w:bottom w:val="single" w:sz="4" w:space="0" w:color="auto"/>
              <w:right w:val="single" w:sz="4" w:space="0" w:color="auto"/>
            </w:tcBorders>
            <w:noWrap w:val="0"/>
            <w:vAlign w:val="center"/>
          </w:tcPr>
          <w:p>
            <w:pPr>
              <w:widowControl w:val="0"/>
              <w:snapToGrid w:val="0"/>
              <w:jc w:val="left"/>
              <w:rPr>
                <w:rFonts w:ascii="宋体" w:eastAsia="宋体" w:hAnsi="宋体" w:cs="宋体"/>
                <w:b/>
                <w:bCs/>
                <w:color w:val="FF0000"/>
                <w:kern w:val="2"/>
                <w:sz w:val="21"/>
                <w:szCs w:val="21"/>
                <w:lang w:eastAsia="zh-CN"/>
              </w:rPr>
            </w:pPr>
            <w:r>
              <w:rPr>
                <w:rFonts w:ascii="宋体" w:eastAsia="宋体" w:hAnsi="宋体" w:cs="宋体"/>
                <w:b/>
                <w:bCs/>
                <w:color w:val="FF0000"/>
                <w:kern w:val="2"/>
                <w:sz w:val="21"/>
                <w:szCs w:val="21"/>
                <w:lang w:eastAsia="zh-CN"/>
              </w:rPr>
              <w:t>说明：1.同一关联关系类型有多个主体的，应分行填写。</w:t>
            </w:r>
          </w:p>
          <w:p>
            <w:pPr>
              <w:widowControl w:val="0"/>
              <w:snapToGrid w:val="0"/>
              <w:jc w:val="left"/>
              <w:rPr>
                <w:rFonts w:ascii="宋体" w:eastAsia="宋体" w:hAnsi="宋体" w:cs="宋体" w:hint="eastAsia"/>
                <w:kern w:val="2"/>
                <w:sz w:val="21"/>
                <w:szCs w:val="21"/>
                <w:lang w:eastAsia="zh-CN"/>
              </w:rPr>
            </w:pPr>
            <w:r>
              <w:rPr>
                <w:rFonts w:ascii="宋体" w:eastAsia="宋体" w:hAnsi="宋体" w:cs="宋体"/>
                <w:b/>
                <w:bCs/>
                <w:color w:val="FF0000"/>
                <w:kern w:val="2"/>
                <w:sz w:val="21"/>
                <w:szCs w:val="21"/>
                <w:lang w:eastAsia="zh-CN"/>
              </w:rPr>
              <w:t>2.《供应商基本情况表》为必填内容，若存在异常且不符合要求的供应商资格性审查将不予通过，作投标无效处理。</w:t>
            </w:r>
          </w:p>
        </w:tc>
      </w:tr>
    </w:tbl>
    <w:p>
      <w:pPr>
        <w:widowControl w:val="0"/>
        <w:autoSpaceDE w:val="0"/>
        <w:autoSpaceDN w:val="0"/>
        <w:adjustRightInd w:val="0"/>
        <w:snapToGrid w:val="0"/>
        <w:jc w:val="left"/>
        <w:rPr>
          <w:rFonts w:ascii="Arial" w:eastAsia="宋体" w:hAnsi="Arial"/>
          <w:b/>
          <w:kern w:val="2"/>
          <w:lang w:eastAsia="zh-CN"/>
        </w:rPr>
      </w:pPr>
    </w:p>
    <w:p>
      <w:pPr>
        <w:widowControl/>
        <w:jc w:val="center"/>
        <w:rPr>
          <w:rFonts w:ascii="Arial" w:eastAsia="宋体" w:hAnsi="Arial"/>
          <w:b/>
          <w:kern w:val="2"/>
          <w:lang w:eastAsia="zh-CN"/>
        </w:rPr>
      </w:pPr>
    </w:p>
    <w:p>
      <w:pPr>
        <w:widowControl/>
        <w:jc w:val="center"/>
        <w:rPr>
          <w:rFonts w:ascii="Arial" w:eastAsia="宋体" w:hAnsi="Arial"/>
          <w:b/>
          <w:kern w:val="2"/>
          <w:lang w:eastAsia="zh-CN"/>
        </w:rPr>
      </w:pPr>
      <w:r>
        <w:rPr>
          <w:rFonts w:ascii="Arial" w:eastAsia="宋体" w:hAnsi="Arial" w:hint="eastAsia"/>
          <w:b/>
          <w:kern w:val="2"/>
          <w:lang w:eastAsia="zh-CN"/>
        </w:rPr>
        <w:t>（本章未提供的招标要求的其他文件格式由供应商自拟）</w:t>
      </w:r>
    </w:p>
    <w:p>
      <w:pPr>
        <w:widowControl/>
        <w:jc w:val="center"/>
        <w:rPr>
          <w:rFonts w:ascii="Arial" w:eastAsia="宋体" w:hAnsi="Arial"/>
          <w:kern w:val="2"/>
          <w:sz w:val="21"/>
          <w:lang w:eastAsia="zh-CN"/>
        </w:rPr>
      </w:pPr>
      <w:r>
        <w:rPr>
          <w:rFonts w:ascii="Arial" w:eastAsia="宋体" w:hAnsi="Arial"/>
          <w:kern w:val="2"/>
          <w:sz w:val="21"/>
          <w:lang w:eastAsia="zh-CN"/>
        </w:rPr>
        <w:br w:type="page"/>
      </w:r>
    </w:p>
    <w:p>
      <w:pPr>
        <w:widowControl w:val="0"/>
        <w:spacing w:after="60" w:afterLines="25" w:line="300" w:lineRule="auto"/>
        <w:jc w:val="both"/>
        <w:outlineLvl w:val="2"/>
        <w:rPr>
          <w:rFonts w:ascii="Arial" w:eastAsia="宋体" w:hAnsi="Arial"/>
          <w:b/>
          <w:color w:val="FF0000"/>
          <w:kern w:val="2"/>
          <w:sz w:val="32"/>
          <w:szCs w:val="32"/>
          <w:lang w:eastAsia="zh-CN"/>
        </w:rPr>
      </w:pPr>
      <w:r>
        <w:rPr>
          <w:rFonts w:ascii="Arial" w:eastAsia="宋体" w:hAnsi="Arial" w:hint="eastAsia"/>
          <w:b/>
          <w:color w:val="FF0000"/>
          <w:kern w:val="2"/>
          <w:sz w:val="32"/>
          <w:szCs w:val="32"/>
          <w:lang w:eastAsia="zh-CN"/>
        </w:rPr>
        <w:t>（二）投标文件附件</w:t>
      </w:r>
    </w:p>
    <w:p>
      <w:pPr>
        <w:keepNext/>
        <w:keepLines/>
        <w:widowControl w:val="0"/>
        <w:spacing w:before="260" w:after="260" w:line="240" w:lineRule="auto"/>
        <w:jc w:val="center"/>
        <w:outlineLvl w:val="2"/>
        <w:rPr>
          <w:rFonts w:ascii="黑体" w:eastAsia="黑体" w:hAnsi="宋体" w:hint="eastAsia"/>
          <w:bCs/>
          <w:kern w:val="2"/>
          <w:szCs w:val="32"/>
          <w:lang w:eastAsia="zh-CN"/>
        </w:rPr>
      </w:pPr>
      <w:r>
        <w:rPr>
          <w:rFonts w:ascii="黑体" w:eastAsia="黑体" w:hAnsi="宋体" w:cs="Times New Roman" w:hint="eastAsia"/>
          <w:bCs/>
          <w:kern w:val="2"/>
          <w:szCs w:val="32"/>
          <w:lang w:eastAsia="zh-CN"/>
        </w:rPr>
        <w:t>一、</w:t>
      </w:r>
      <w:bookmarkStart w:id="43" w:name="_Hlk72092499"/>
      <w:r>
        <w:rPr>
          <w:rFonts w:ascii="黑体" w:eastAsia="黑体" w:hAnsi="宋体" w:cs="Times New Roman" w:hint="eastAsia"/>
          <w:bCs/>
          <w:kern w:val="2"/>
          <w:szCs w:val="32"/>
          <w:lang w:eastAsia="zh-CN"/>
        </w:rPr>
        <w:t>法定代表人（负责人）证明书</w:t>
      </w:r>
      <w:bookmarkEnd w:id="43"/>
    </w:p>
    <w:p>
      <w:pPr>
        <w:widowControl w:val="0"/>
        <w:jc w:val="both"/>
        <w:rPr>
          <w:rFonts w:ascii="Calibri" w:eastAsia="宋体" w:hAnsi="Calibri"/>
          <w:kern w:val="2"/>
          <w:szCs w:val="22"/>
          <w:lang w:eastAsia="zh-CN"/>
        </w:rPr>
      </w:pP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imes New Roman" w:hint="eastAsia"/>
          <w:kern w:val="2"/>
          <w:sz w:val="21"/>
          <w:szCs w:val="21"/>
          <w:u w:val="single"/>
          <w:lang w:eastAsia="zh-CN"/>
        </w:rPr>
        <w:t xml:space="preserve">                 </w:t>
      </w:r>
      <w:r>
        <w:rPr>
          <w:rFonts w:ascii="Calibri" w:eastAsia="宋体" w:hAnsi="Calibri" w:cs="Times New Roman" w:hint="eastAsia"/>
          <w:kern w:val="2"/>
          <w:sz w:val="21"/>
          <w:szCs w:val="21"/>
          <w:lang w:eastAsia="zh-CN"/>
        </w:rPr>
        <w:t>（姓名），现任我单位</w:t>
      </w:r>
      <w:r>
        <w:rPr>
          <w:rFonts w:ascii="Calibri" w:eastAsia="宋体" w:hAnsi="Calibri" w:cs="Times New Roman" w:hint="eastAsia"/>
          <w:kern w:val="2"/>
          <w:sz w:val="21"/>
          <w:szCs w:val="21"/>
          <w:u w:val="single"/>
          <w:lang w:eastAsia="zh-CN"/>
        </w:rPr>
        <w:t xml:space="preserve">             </w:t>
      </w:r>
      <w:r>
        <w:rPr>
          <w:rFonts w:ascii="Calibri" w:eastAsia="宋体" w:hAnsi="Calibri" w:cs="Times New Roman" w:hint="eastAsia"/>
          <w:kern w:val="2"/>
          <w:sz w:val="21"/>
          <w:szCs w:val="21"/>
          <w:lang w:eastAsia="zh-CN"/>
        </w:rPr>
        <w:t>职务，为法定代表人（负责人），身份证件号为：</w:t>
      </w:r>
      <w:r>
        <w:rPr>
          <w:rFonts w:ascii="Calibri" w:eastAsia="宋体" w:hAnsi="Calibri" w:cs="Times New Roman" w:hint="eastAsia"/>
          <w:kern w:val="2"/>
          <w:sz w:val="21"/>
          <w:szCs w:val="21"/>
          <w:u w:val="single"/>
          <w:lang w:eastAsia="zh-CN"/>
        </w:rPr>
        <w:t xml:space="preserve">                                     </w:t>
      </w:r>
      <w:r>
        <w:rPr>
          <w:rFonts w:ascii="Calibri" w:eastAsia="宋体" w:hAnsi="Calibri" w:cs="Times New Roman" w:hint="eastAsia"/>
          <w:kern w:val="2"/>
          <w:sz w:val="21"/>
          <w:szCs w:val="21"/>
          <w:lang w:eastAsia="zh-CN"/>
        </w:rPr>
        <w:t>，联系电话：</w:t>
      </w:r>
      <w:r>
        <w:rPr>
          <w:rFonts w:ascii="Calibri" w:eastAsia="宋体" w:hAnsi="Calibri" w:cs="Times New Roman" w:hint="eastAsia"/>
          <w:kern w:val="2"/>
          <w:sz w:val="21"/>
          <w:szCs w:val="21"/>
          <w:u w:val="single"/>
          <w:lang w:eastAsia="zh-CN"/>
        </w:rPr>
        <w:t xml:space="preserve">                </w:t>
      </w:r>
      <w:r>
        <w:rPr>
          <w:rFonts w:ascii="Calibri" w:eastAsia="宋体" w:hAnsi="Calibri" w:cs="Times New Roman"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特此证明。</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说明：1、法定代表人为投标人（企业事业单位、国家机关、社会团体）的主要行政负责人。</w:t>
      </w:r>
    </w:p>
    <w:p>
      <w:pPr>
        <w:widowControl w:val="0"/>
        <w:numPr>
          <w:ilvl w:val="0"/>
          <w:numId w:val="5"/>
        </w:numPr>
        <w:spacing w:line="360" w:lineRule="auto"/>
        <w:ind w:firstLine="420" w:firstLineChars="200"/>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Hans"/>
        </w:rPr>
        <w:t>本证明书要供法定代表人（负责人）</w:t>
      </w:r>
      <w:r>
        <w:rPr>
          <w:rFonts w:ascii="Calibri" w:eastAsia="宋体" w:hAnsi="Calibri" w:cs="Times New Roman"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5"/>
        </w:numPr>
        <w:spacing w:line="360" w:lineRule="auto"/>
        <w:ind w:firstLine="420" w:firstLineChars="200"/>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Hans"/>
        </w:rPr>
        <w:t>本项目投标授权代表为法定代表人（负责人）的，无需提供</w:t>
      </w:r>
      <w:r>
        <w:rPr>
          <w:rFonts w:ascii="Calibri" w:eastAsia="宋体" w:hAnsi="Calibri" w:cs="Times New Roman" w:hint="eastAsia"/>
          <w:kern w:val="2"/>
          <w:sz w:val="21"/>
          <w:szCs w:val="21"/>
          <w:lang w:eastAsia="zh-CN"/>
        </w:rPr>
        <w:t>《投标文件签署授权委托书》</w:t>
      </w:r>
      <w:r>
        <w:rPr>
          <w:rFonts w:ascii="Calibri" w:eastAsia="宋体" w:hAnsi="Calibri" w:cs="Times New Roman" w:hint="eastAsia"/>
          <w:kern w:val="2"/>
          <w:sz w:val="21"/>
          <w:szCs w:val="21"/>
          <w:lang w:eastAsia="zh-Hans"/>
        </w:rPr>
        <w:t>。</w:t>
      </w:r>
    </w:p>
    <w:p>
      <w:pPr>
        <w:widowControl w:val="0"/>
        <w:numPr>
          <w:ilvl w:val="0"/>
          <w:numId w:val="5"/>
        </w:numPr>
        <w:spacing w:line="360" w:lineRule="auto"/>
        <w:ind w:firstLine="420" w:firstLineChars="200"/>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noWrap w:val="0"/>
            <w:vAlign w:val="top"/>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证件扫描件正面</w:t>
            </w:r>
          </w:p>
          <w:p>
            <w:pPr>
              <w:widowControl w:val="0"/>
              <w:spacing w:line="360" w:lineRule="auto"/>
              <w:jc w:val="center"/>
              <w:rPr>
                <w:rFonts w:ascii="Calibri" w:eastAsia="宋体" w:hAnsi="Calibri"/>
                <w:b/>
                <w:bCs/>
                <w:kern w:val="2"/>
                <w:szCs w:val="22"/>
                <w:lang w:eastAsia="zh-CN"/>
              </w:rPr>
            </w:pPr>
          </w:p>
          <w:p>
            <w:pPr>
              <w:widowControl w:val="0"/>
              <w:spacing w:line="360" w:lineRule="auto"/>
              <w:jc w:val="center"/>
              <w:rPr>
                <w:rFonts w:ascii="Calibri" w:eastAsia="宋体" w:hAnsi="Calibri"/>
                <w:kern w:val="2"/>
                <w:szCs w:val="22"/>
                <w:lang w:eastAsia="zh-CN"/>
              </w:rPr>
            </w:pPr>
          </w:p>
        </w:tc>
        <w:tc>
          <w:tcPr>
            <w:tcW w:w="4265" w:type="dxa"/>
            <w:noWrap w:val="0"/>
            <w:vAlign w:val="top"/>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证件扫描件反面</w:t>
            </w:r>
          </w:p>
          <w:p>
            <w:pPr>
              <w:widowControl w:val="0"/>
              <w:spacing w:line="360" w:lineRule="auto"/>
              <w:jc w:val="center"/>
              <w:rPr>
                <w:rFonts w:ascii="Calibri" w:eastAsia="宋体" w:hAnsi="Calibri"/>
                <w:b/>
                <w:bCs/>
                <w:kern w:val="2"/>
                <w:szCs w:val="22"/>
                <w:lang w:eastAsia="zh-CN"/>
              </w:rPr>
            </w:pPr>
          </w:p>
          <w:p>
            <w:pPr>
              <w:widowControl w:val="0"/>
              <w:spacing w:line="360" w:lineRule="auto"/>
              <w:jc w:val="center"/>
              <w:rPr>
                <w:rFonts w:ascii="Calibri" w:eastAsia="宋体" w:hAnsi="Calibri"/>
                <w:kern w:val="2"/>
                <w:szCs w:val="22"/>
                <w:lang w:eastAsia="zh-CN"/>
              </w:rPr>
            </w:pPr>
          </w:p>
        </w:tc>
      </w:tr>
    </w:tbl>
    <w:p>
      <w:pPr>
        <w:widowControl w:val="0"/>
        <w:jc w:val="both"/>
        <w:rPr>
          <w:rFonts w:ascii="Calibri" w:eastAsia="宋体" w:hAnsi="Calibri" w:hint="eastAsia"/>
          <w:b/>
          <w:bCs/>
          <w:color w:val="FF0000"/>
          <w:kern w:val="2"/>
          <w:sz w:val="21"/>
          <w:szCs w:val="21"/>
          <w:lang w:eastAsia="zh-CN"/>
        </w:rPr>
      </w:pPr>
      <w:r>
        <w:rPr>
          <w:rFonts w:ascii="Calibri" w:eastAsia="宋体" w:hAnsi="Calibri" w:cs="Times New Roman" w:hint="eastAsia"/>
          <w:b/>
          <w:bCs/>
          <w:color w:val="FF0000"/>
          <w:kern w:val="2"/>
          <w:sz w:val="21"/>
          <w:szCs w:val="21"/>
          <w:lang w:eastAsia="zh-CN"/>
        </w:rPr>
        <w:t>温馨提示：为避免出现《深圳经济特区政府采购条例实施细则》第七十五条第二项所列情形，请投标供应商核实你单位法定代表人、本项目投标授权代表人、项目负责人（如有）、主要技术人员（如有）等是否在贵公司缴纳社会保险。</w:t>
      </w:r>
    </w:p>
    <w:p>
      <w:pPr>
        <w:widowControl w:val="0"/>
        <w:jc w:val="both"/>
        <w:rPr>
          <w:rFonts w:ascii="Calibri" w:eastAsia="宋体" w:hAnsi="Calibri" w:hint="eastAsia"/>
          <w:b/>
          <w:bCs/>
          <w:color w:val="FF0000"/>
          <w:kern w:val="2"/>
          <w:sz w:val="21"/>
          <w:szCs w:val="21"/>
          <w:lang w:eastAsia="zh-CN"/>
        </w:rPr>
      </w:pPr>
    </w:p>
    <w:p>
      <w:pPr>
        <w:keepNext/>
        <w:keepLines/>
        <w:widowControl w:val="0"/>
        <w:spacing w:before="120" w:after="120" w:line="240" w:lineRule="auto"/>
        <w:jc w:val="center"/>
        <w:outlineLvl w:val="2"/>
        <w:rPr>
          <w:rFonts w:ascii="黑体" w:eastAsia="黑体" w:hAnsi="宋体" w:hint="eastAsia"/>
          <w:bCs/>
          <w:kern w:val="2"/>
          <w:szCs w:val="32"/>
          <w:lang w:eastAsia="zh-CN"/>
        </w:rPr>
      </w:pPr>
      <w:r>
        <w:rPr>
          <w:rFonts w:ascii="黑体" w:eastAsia="黑体" w:hAnsi="宋体" w:cs="Times New Roman" w:hint="eastAsia"/>
          <w:bCs/>
          <w:kern w:val="2"/>
          <w:szCs w:val="32"/>
          <w:lang w:eastAsia="zh-CN"/>
        </w:rPr>
        <w:t>二、投标文件签署授权委托书</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本授权委托书声明：我</w:t>
      </w:r>
      <w:r>
        <w:rPr>
          <w:rFonts w:ascii="Calibri" w:eastAsia="宋体" w:hAnsi="Calibri" w:cs="Times New Roman" w:hint="eastAsia"/>
          <w:kern w:val="2"/>
          <w:sz w:val="21"/>
          <w:szCs w:val="21"/>
          <w:u w:val="single"/>
          <w:lang w:eastAsia="zh-CN"/>
        </w:rPr>
        <w:t xml:space="preserve">           </w:t>
      </w:r>
      <w:r>
        <w:rPr>
          <w:rFonts w:ascii="Calibri" w:eastAsia="宋体" w:hAnsi="Calibri" w:cs="Times New Roman" w:hint="eastAsia"/>
          <w:kern w:val="2"/>
          <w:sz w:val="21"/>
          <w:szCs w:val="21"/>
          <w:lang w:eastAsia="zh-CN"/>
        </w:rPr>
        <w:t>（姓名）系</w:t>
      </w:r>
      <w:r>
        <w:rPr>
          <w:rFonts w:ascii="Calibri" w:eastAsia="宋体" w:hAnsi="Calibri" w:cs="Times New Roman" w:hint="eastAsia"/>
          <w:kern w:val="2"/>
          <w:sz w:val="21"/>
          <w:szCs w:val="21"/>
          <w:u w:val="single"/>
          <w:lang w:eastAsia="zh-CN"/>
        </w:rPr>
        <w:t xml:space="preserve">             </w:t>
      </w:r>
      <w:r>
        <w:rPr>
          <w:rFonts w:ascii="Calibri" w:eastAsia="宋体" w:hAnsi="Calibri" w:cs="Times New Roman" w:hint="eastAsia"/>
          <w:kern w:val="2"/>
          <w:sz w:val="21"/>
          <w:szCs w:val="21"/>
          <w:lang w:eastAsia="zh-CN"/>
        </w:rPr>
        <w:t>（投标人名称）的法定代表人（负责人），现授权委托</w:t>
      </w:r>
      <w:r>
        <w:rPr>
          <w:rFonts w:ascii="Calibri" w:eastAsia="宋体" w:hAnsi="Calibri" w:cs="Times New Roman" w:hint="eastAsia"/>
          <w:kern w:val="2"/>
          <w:sz w:val="21"/>
          <w:szCs w:val="21"/>
          <w:u w:val="single"/>
          <w:lang w:eastAsia="zh-CN"/>
        </w:rPr>
        <w:t xml:space="preserve">            </w:t>
      </w:r>
      <w:r>
        <w:rPr>
          <w:rFonts w:ascii="Calibri" w:eastAsia="宋体" w:hAnsi="Calibri" w:cs="Times New Roman"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代理人无转委托权，特此委托。</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代理人：</w:t>
      </w:r>
      <w:r>
        <w:rPr>
          <w:rFonts w:ascii="Calibri" w:eastAsia="宋体" w:hAnsi="Calibri" w:cs="Times New Roman" w:hint="eastAsia"/>
          <w:kern w:val="2"/>
          <w:sz w:val="21"/>
          <w:szCs w:val="21"/>
          <w:u w:val="single"/>
          <w:lang w:eastAsia="zh-CN"/>
        </w:rPr>
        <w:t xml:space="preserve">              </w:t>
      </w:r>
      <w:r>
        <w:rPr>
          <w:rFonts w:ascii="Calibri" w:eastAsia="宋体" w:hAnsi="Calibri" w:cs="Times New Roman"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身份证件号：</w:t>
      </w:r>
      <w:r>
        <w:rPr>
          <w:rFonts w:ascii="Calibri" w:eastAsia="宋体" w:hAnsi="Calibri" w:cs="Times New Roman" w:hint="eastAsia"/>
          <w:kern w:val="2"/>
          <w:sz w:val="21"/>
          <w:szCs w:val="21"/>
          <w:u w:val="single"/>
          <w:lang w:eastAsia="zh-CN"/>
        </w:rPr>
        <w:t xml:space="preserve">                        </w:t>
      </w:r>
      <w:r>
        <w:rPr>
          <w:rFonts w:ascii="Calibri" w:eastAsia="宋体" w:hAnsi="Calibri" w:cs="Times New Roman" w:hint="eastAsia"/>
          <w:kern w:val="2"/>
          <w:sz w:val="21"/>
          <w:szCs w:val="21"/>
          <w:lang w:eastAsia="zh-CN"/>
        </w:rPr>
        <w:t>，职务：</w:t>
      </w:r>
      <w:r>
        <w:rPr>
          <w:rFonts w:ascii="Calibri" w:eastAsia="宋体" w:hAnsi="Calibri" w:cs="Times New Roman" w:hint="eastAsia"/>
          <w:kern w:val="2"/>
          <w:sz w:val="21"/>
          <w:szCs w:val="21"/>
          <w:u w:val="single"/>
          <w:lang w:eastAsia="zh-CN"/>
        </w:rPr>
        <w:t xml:space="preserve">                </w:t>
      </w:r>
      <w:r>
        <w:rPr>
          <w:rFonts w:ascii="Calibri" w:eastAsia="宋体" w:hAnsi="Calibri" w:cs="Times New Roman"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联系电话：</w:t>
      </w:r>
      <w:r>
        <w:rPr>
          <w:rFonts w:ascii="Calibri" w:eastAsia="宋体" w:hAnsi="Calibri" w:cs="Times New Roman" w:hint="eastAsia"/>
          <w:kern w:val="2"/>
          <w:sz w:val="21"/>
          <w:szCs w:val="21"/>
          <w:u w:val="single"/>
          <w:lang w:eastAsia="zh-CN"/>
        </w:rPr>
        <w:t xml:space="preserve">            </w:t>
      </w:r>
      <w:r>
        <w:rPr>
          <w:rFonts w:ascii="Calibri" w:eastAsia="宋体" w:hAnsi="Calibri" w:cs="Times New Roman" w:hint="eastAsia"/>
          <w:kern w:val="2"/>
          <w:sz w:val="21"/>
          <w:szCs w:val="21"/>
          <w:lang w:eastAsia="zh-CN"/>
        </w:rPr>
        <w:t>，手机：</w:t>
      </w:r>
      <w:r>
        <w:rPr>
          <w:rFonts w:ascii="Calibri" w:eastAsia="宋体" w:hAnsi="Calibri" w:cs="Times New Roman" w:hint="eastAsia"/>
          <w:kern w:val="2"/>
          <w:sz w:val="21"/>
          <w:szCs w:val="21"/>
          <w:u w:val="single"/>
          <w:lang w:eastAsia="zh-CN"/>
        </w:rPr>
        <w:t xml:space="preserve">                   </w:t>
      </w:r>
      <w:r>
        <w:rPr>
          <w:rFonts w:ascii="Calibri" w:eastAsia="宋体" w:hAnsi="Calibri" w:cs="Times New Roman" w:hint="eastAsia"/>
          <w:kern w:val="2"/>
          <w:sz w:val="21"/>
          <w:szCs w:val="21"/>
          <w:lang w:eastAsia="zh-CN"/>
        </w:rPr>
        <w:t>，电子邮箱：</w:t>
      </w:r>
      <w:r>
        <w:rPr>
          <w:rFonts w:ascii="Calibri" w:eastAsia="宋体" w:hAnsi="Calibri" w:cs="Times New Roman" w:hint="eastAsia"/>
          <w:kern w:val="2"/>
          <w:sz w:val="21"/>
          <w:szCs w:val="21"/>
          <w:u w:val="single"/>
          <w:lang w:eastAsia="zh-CN"/>
        </w:rPr>
        <w:t xml:space="preserve">                        </w:t>
      </w:r>
      <w:r>
        <w:rPr>
          <w:rFonts w:ascii="Calibri" w:eastAsia="宋体" w:hAnsi="Calibri" w:cs="Times New Roman"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授权委托日期：</w:t>
      </w:r>
      <w:r>
        <w:rPr>
          <w:rFonts w:ascii="Calibri" w:eastAsia="宋体" w:hAnsi="Calibri" w:cs="Times New Roman" w:hint="eastAsia"/>
          <w:kern w:val="2"/>
          <w:sz w:val="21"/>
          <w:szCs w:val="21"/>
          <w:u w:val="single"/>
          <w:lang w:eastAsia="zh-CN"/>
        </w:rPr>
        <w:t xml:space="preserve">         </w:t>
      </w:r>
      <w:r>
        <w:rPr>
          <w:rFonts w:ascii="Calibri" w:eastAsia="宋体" w:hAnsi="Calibri" w:cs="Times New Roman" w:hint="eastAsia"/>
          <w:kern w:val="2"/>
          <w:sz w:val="21"/>
          <w:szCs w:val="21"/>
          <w:lang w:eastAsia="zh-CN"/>
        </w:rPr>
        <w:t>年</w:t>
      </w:r>
      <w:r>
        <w:rPr>
          <w:rFonts w:ascii="Calibri" w:eastAsia="宋体" w:hAnsi="Calibri" w:cs="Times New Roman" w:hint="eastAsia"/>
          <w:kern w:val="2"/>
          <w:sz w:val="21"/>
          <w:szCs w:val="21"/>
          <w:u w:val="single"/>
          <w:lang w:eastAsia="zh-CN"/>
        </w:rPr>
        <w:t xml:space="preserve">     </w:t>
      </w:r>
      <w:r>
        <w:rPr>
          <w:rFonts w:ascii="Calibri" w:eastAsia="宋体" w:hAnsi="Calibri" w:cs="Times New Roman" w:hint="eastAsia"/>
          <w:kern w:val="2"/>
          <w:sz w:val="21"/>
          <w:szCs w:val="21"/>
          <w:lang w:eastAsia="zh-CN"/>
        </w:rPr>
        <w:t xml:space="preserve">月 </w:t>
      </w:r>
      <w:r>
        <w:rPr>
          <w:rFonts w:ascii="Calibri" w:eastAsia="宋体" w:hAnsi="Calibri" w:cs="Times New Roman" w:hint="eastAsia"/>
          <w:kern w:val="2"/>
          <w:sz w:val="21"/>
          <w:szCs w:val="21"/>
          <w:u w:val="single"/>
          <w:lang w:eastAsia="zh-CN"/>
        </w:rPr>
        <w:t xml:space="preserve">      </w:t>
      </w:r>
      <w:r>
        <w:rPr>
          <w:rFonts w:ascii="Calibri" w:eastAsia="宋体" w:hAnsi="Calibri" w:cs="Times New Roman" w:hint="eastAsia"/>
          <w:kern w:val="2"/>
          <w:sz w:val="21"/>
          <w:szCs w:val="21"/>
          <w:lang w:eastAsia="zh-CN"/>
        </w:rPr>
        <w:t>日。</w:t>
      </w:r>
    </w:p>
    <w:p>
      <w:pPr>
        <w:widowControl w:val="0"/>
        <w:spacing w:line="360" w:lineRule="auto"/>
        <w:ind w:firstLine="420" w:firstLineChars="200"/>
        <w:jc w:val="both"/>
        <w:rPr>
          <w:rFonts w:ascii="Calibri" w:eastAsia="宋体" w:hAnsi="Calibri"/>
          <w:b/>
          <w:color w:val="FF0000"/>
          <w:kern w:val="2"/>
          <w:sz w:val="21"/>
          <w:szCs w:val="21"/>
          <w:lang w:eastAsia="zh-CN"/>
        </w:rPr>
      </w:pPr>
      <w:r>
        <w:rPr>
          <w:rFonts w:ascii="Calibri" w:eastAsia="宋体" w:hAnsi="Calibri" w:cs="Times New Roman"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noWrap w:val="0"/>
            <w:vAlign w:val="top"/>
          </w:tcPr>
          <w:p>
            <w:pPr>
              <w:widowControl w:val="0"/>
              <w:jc w:val="center"/>
              <w:rPr>
                <w:rFonts w:ascii="Calibri" w:eastAsia="宋体" w:hAnsi="Calibri"/>
                <w:kern w:val="2"/>
                <w:sz w:val="21"/>
                <w:szCs w:val="22"/>
                <w:lang w:eastAsia="zh-CN"/>
              </w:rPr>
            </w:pPr>
            <w:r>
              <w:rPr>
                <w:rFonts w:eastAsia="宋体" w:hAnsi="Calibri" w:cs="Times New Roman" w:hint="eastAsia"/>
                <w:kern w:val="2"/>
                <w:sz w:val="21"/>
                <w:szCs w:val="22"/>
                <w:lang w:eastAsia="zh-CN"/>
              </w:rPr>
              <w:t>证件扫描件正面</w:t>
            </w:r>
          </w:p>
          <w:p>
            <w:pPr>
              <w:widowControl w:val="0"/>
              <w:spacing w:line="360" w:lineRule="auto"/>
              <w:jc w:val="center"/>
              <w:rPr>
                <w:rFonts w:ascii="Calibri" w:eastAsia="宋体" w:hAnsi="Calibri"/>
                <w:b/>
                <w:bCs/>
                <w:kern w:val="2"/>
                <w:szCs w:val="22"/>
                <w:lang w:eastAsia="zh-CN"/>
              </w:rPr>
            </w:pPr>
          </w:p>
          <w:p>
            <w:pPr>
              <w:widowControl w:val="0"/>
              <w:spacing w:line="360" w:lineRule="auto"/>
              <w:jc w:val="center"/>
              <w:rPr>
                <w:rFonts w:ascii="Calibri" w:eastAsia="宋体" w:hAnsi="Calibri"/>
                <w:kern w:val="2"/>
                <w:szCs w:val="22"/>
                <w:lang w:eastAsia="zh-CN"/>
              </w:rPr>
            </w:pPr>
          </w:p>
        </w:tc>
        <w:tc>
          <w:tcPr>
            <w:tcW w:w="4265" w:type="dxa"/>
            <w:noWrap w:val="0"/>
            <w:vAlign w:val="top"/>
          </w:tcPr>
          <w:p>
            <w:pPr>
              <w:widowControl w:val="0"/>
              <w:jc w:val="center"/>
              <w:rPr>
                <w:rFonts w:ascii="Calibri" w:eastAsia="宋体" w:hAnsi="Calibri"/>
                <w:kern w:val="2"/>
                <w:sz w:val="21"/>
                <w:szCs w:val="22"/>
                <w:lang w:eastAsia="zh-CN"/>
              </w:rPr>
            </w:pPr>
            <w:r>
              <w:rPr>
                <w:rFonts w:eastAsia="宋体" w:hAnsi="Calibri" w:cs="Times New Roman" w:hint="eastAsia"/>
                <w:kern w:val="2"/>
                <w:sz w:val="21"/>
                <w:szCs w:val="22"/>
                <w:lang w:eastAsia="zh-CN"/>
              </w:rPr>
              <w:t>证件扫描件反面</w:t>
            </w:r>
          </w:p>
          <w:p>
            <w:pPr>
              <w:widowControl w:val="0"/>
              <w:spacing w:line="360" w:lineRule="auto"/>
              <w:jc w:val="center"/>
              <w:rPr>
                <w:rFonts w:ascii="Calibri" w:eastAsia="宋体" w:hAnsi="Calibri"/>
                <w:b/>
                <w:bCs/>
                <w:kern w:val="2"/>
                <w:szCs w:val="22"/>
                <w:lang w:eastAsia="zh-CN"/>
              </w:rPr>
            </w:pPr>
          </w:p>
          <w:p>
            <w:pPr>
              <w:widowControl w:val="0"/>
              <w:spacing w:line="360" w:lineRule="auto"/>
              <w:jc w:val="center"/>
              <w:rPr>
                <w:rFonts w:ascii="Calibri" w:eastAsia="宋体" w:hAnsi="Calibri"/>
                <w:kern w:val="2"/>
                <w:szCs w:val="22"/>
                <w:lang w:eastAsia="zh-CN"/>
              </w:rPr>
            </w:pPr>
          </w:p>
        </w:tc>
      </w:tr>
    </w:tbl>
    <w:p>
      <w:pPr>
        <w:widowControl w:val="0"/>
        <w:tabs>
          <w:tab w:val="left" w:pos="651"/>
        </w:tabs>
        <w:snapToGrid w:val="0"/>
        <w:jc w:val="both"/>
        <w:rPr>
          <w:rFonts w:ascii="黑体" w:eastAsia="黑体" w:hAnsi="Calibri"/>
          <w:lang w:eastAsia="zh-CN"/>
        </w:rPr>
      </w:pPr>
      <w:r>
        <w:rPr>
          <w:rFonts w:ascii="Calibri" w:eastAsia="宋体" w:hAnsi="Calibri" w:cs="Times New Roman" w:hint="eastAsia"/>
          <w:b/>
          <w:bCs/>
          <w:color w:val="FF0000"/>
          <w:kern w:val="2"/>
          <w:sz w:val="21"/>
          <w:szCs w:val="21"/>
          <w:lang w:eastAsia="zh-CN"/>
        </w:rPr>
        <w:t>温馨提示：为避免出现《深圳经济特区政府采购条例实施细则》第七十五条第二项所列情形，请投标供应商核实你单位法定代表人、本项目投标授权代表人、项目负责人（如有）、主要技术人员（如有）等是否在贵公司缴纳社会保险。</w:t>
      </w:r>
    </w:p>
    <w:p>
      <w:pPr>
        <w:widowControl w:val="0"/>
        <w:tabs>
          <w:tab w:val="left" w:pos="651"/>
        </w:tabs>
        <w:snapToGrid w:val="0"/>
        <w:jc w:val="center"/>
        <w:rPr>
          <w:rFonts w:ascii="黑体" w:eastAsia="黑体" w:hAnsi="Calibri"/>
          <w:lang w:eastAsia="zh-CN"/>
        </w:rPr>
      </w:pPr>
    </w:p>
    <w:p>
      <w:pPr>
        <w:widowControl w:val="0"/>
        <w:tabs>
          <w:tab w:val="left" w:pos="651"/>
        </w:tabs>
        <w:snapToGrid w:val="0"/>
        <w:jc w:val="center"/>
        <w:rPr>
          <w:rFonts w:ascii="黑体" w:eastAsia="黑体" w:hAnsi="Calibri"/>
          <w:lang w:eastAsia="zh-CN"/>
        </w:rPr>
      </w:pPr>
    </w:p>
    <w:p>
      <w:pPr>
        <w:widowControl w:val="0"/>
        <w:tabs>
          <w:tab w:val="left" w:pos="651"/>
        </w:tabs>
        <w:snapToGrid w:val="0"/>
        <w:jc w:val="center"/>
        <w:rPr>
          <w:rFonts w:ascii="黑体" w:eastAsia="黑体" w:hAnsi="Calibri"/>
          <w:lang w:eastAsia="zh-CN"/>
        </w:rPr>
      </w:pPr>
    </w:p>
    <w:p>
      <w:pPr>
        <w:widowControl w:val="0"/>
        <w:tabs>
          <w:tab w:val="left" w:pos="651"/>
        </w:tabs>
        <w:snapToGrid w:val="0"/>
        <w:jc w:val="center"/>
        <w:rPr>
          <w:rFonts w:ascii="宋体" w:eastAsia="宋体" w:hAnsi="宋体" w:hint="eastAsia"/>
          <w:b/>
          <w:bCs/>
          <w:szCs w:val="20"/>
          <w:lang w:eastAsia="zh-CN"/>
        </w:rPr>
      </w:pPr>
      <w:r>
        <w:rPr>
          <w:rFonts w:ascii="黑体" w:eastAsia="黑体" w:hAnsi="Calibri" w:cs="Times New Roman" w:hint="eastAsia"/>
          <w:lang w:eastAsia="zh-CN"/>
        </w:rPr>
        <w:t>三、</w:t>
      </w:r>
      <w:bookmarkStart w:id="44" w:name="_Hlk72092634"/>
      <w:r>
        <w:rPr>
          <w:rFonts w:ascii="黑体" w:eastAsia="黑体" w:hAnsi="Calibri" w:cs="Times New Roman" w:hint="eastAsia"/>
          <w:lang w:eastAsia="zh-CN"/>
        </w:rPr>
        <w:t>实质性条款响应情况表</w:t>
      </w:r>
      <w:bookmarkEnd w:id="44"/>
    </w:p>
    <w:p>
      <w:pPr>
        <w:widowControl w:val="0"/>
        <w:snapToGrid w:val="0"/>
        <w:jc w:val="both"/>
        <w:rPr>
          <w:rFonts w:ascii="Arial" w:eastAsia="宋体" w:hAnsi="Arial" w:cs="Arial"/>
          <w:kern w:val="2"/>
          <w:lang w:eastAsia="zh-CN"/>
        </w:rPr>
      </w:pPr>
      <w:r>
        <w:rPr>
          <w:rFonts w:ascii="Arial" w:eastAsia="宋体" w:hAnsi="Arial" w:cs="Arial" w:hint="eastAsia"/>
          <w:color w:val="000000"/>
          <w:kern w:val="2"/>
          <w:lang w:eastAsia="zh-CN"/>
        </w:rPr>
        <w:t>投标单位（投标人）名称：</w:t>
      </w:r>
      <w:r>
        <w:rPr>
          <w:rFonts w:ascii="Arial" w:eastAsia="宋体" w:hAnsi="Arial" w:cs="Arial"/>
          <w:color w:val="000000"/>
          <w:kern w:val="2"/>
          <w:u w:val="single"/>
          <w:lang w:eastAsia="zh-CN"/>
        </w:rPr>
        <w:t xml:space="preserve">                         </w:t>
      </w:r>
    </w:p>
    <w:p>
      <w:pPr>
        <w:widowControl w:val="0"/>
        <w:snapToGrid w:val="0"/>
        <w:jc w:val="both"/>
        <w:rPr>
          <w:rFonts w:ascii="宋体" w:eastAsia="宋体" w:hAnsi="宋体" w:hint="eastAsia"/>
          <w:b/>
          <w:kern w:val="2"/>
          <w:lang w:eastAsia="zh-CN"/>
        </w:rPr>
      </w:pP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578"/>
        <w:gridCol w:w="3657"/>
        <w:gridCol w:w="2047"/>
        <w:gridCol w:w="1632"/>
        <w:gridCol w:w="942"/>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529"/>
          <w:jc w:val="center"/>
        </w:trPr>
        <w:tc>
          <w:tcPr>
            <w:tcW w:w="602" w:type="dxa"/>
            <w:noWrap w:val="0"/>
            <w:vAlign w:val="center"/>
          </w:tcPr>
          <w:p>
            <w:pPr>
              <w:widowControl w:val="0"/>
              <w:jc w:val="center"/>
              <w:rPr>
                <w:rFonts w:ascii="宋体" w:eastAsia="宋体" w:hAnsi="宋体" w:cs="Arial" w:hint="eastAsia"/>
                <w:b/>
                <w:kern w:val="2"/>
                <w:sz w:val="21"/>
                <w:szCs w:val="21"/>
                <w:lang w:eastAsia="zh-CN"/>
              </w:rPr>
            </w:pPr>
            <w:r>
              <w:rPr>
                <w:rFonts w:ascii="宋体" w:eastAsia="宋体" w:hAnsi="宋体" w:cs="Arial" w:hint="eastAsia"/>
                <w:b/>
                <w:kern w:val="2"/>
                <w:sz w:val="21"/>
                <w:szCs w:val="21"/>
                <w:lang w:eastAsia="zh-CN"/>
              </w:rPr>
              <w:t>序号</w:t>
            </w:r>
          </w:p>
        </w:tc>
        <w:tc>
          <w:tcPr>
            <w:tcW w:w="3901" w:type="dxa"/>
            <w:noWrap w:val="0"/>
            <w:vAlign w:val="center"/>
          </w:tcPr>
          <w:p>
            <w:pPr>
              <w:widowControl w:val="0"/>
              <w:jc w:val="center"/>
              <w:rPr>
                <w:rFonts w:ascii="宋体" w:eastAsia="宋体" w:hAnsi="宋体" w:cs="Arial" w:hint="eastAsia"/>
                <w:b/>
                <w:kern w:val="2"/>
                <w:sz w:val="21"/>
                <w:szCs w:val="21"/>
                <w:lang w:eastAsia="zh-CN"/>
              </w:rPr>
            </w:pPr>
            <w:r>
              <w:rPr>
                <w:rFonts w:ascii="宋体" w:eastAsia="宋体" w:hAnsi="宋体" w:cs="Arial" w:hint="eastAsia"/>
                <w:b/>
                <w:kern w:val="2"/>
                <w:sz w:val="21"/>
                <w:szCs w:val="21"/>
                <w:lang w:eastAsia="zh-CN"/>
              </w:rPr>
              <w:t>实质性条款具体内容</w:t>
            </w:r>
          </w:p>
        </w:tc>
        <w:tc>
          <w:tcPr>
            <w:tcW w:w="2176" w:type="dxa"/>
            <w:noWrap w:val="0"/>
            <w:vAlign w:val="center"/>
          </w:tcPr>
          <w:p>
            <w:pPr>
              <w:widowControl w:val="0"/>
              <w:jc w:val="center"/>
              <w:rPr>
                <w:rFonts w:ascii="宋体" w:eastAsia="宋体" w:hAnsi="宋体" w:cs="Arial" w:hint="eastAsia"/>
                <w:b/>
                <w:kern w:val="2"/>
                <w:sz w:val="21"/>
                <w:szCs w:val="21"/>
                <w:lang w:eastAsia="zh-CN"/>
              </w:rPr>
            </w:pPr>
            <w:r>
              <w:rPr>
                <w:rFonts w:ascii="宋体" w:eastAsia="宋体" w:hAnsi="宋体" w:cs="Arial" w:hint="eastAsia"/>
                <w:b/>
                <w:kern w:val="2"/>
                <w:sz w:val="21"/>
                <w:szCs w:val="21"/>
                <w:lang w:eastAsia="zh-CN"/>
              </w:rPr>
              <w:t>投标文件响应</w:t>
            </w:r>
          </w:p>
        </w:tc>
        <w:tc>
          <w:tcPr>
            <w:tcW w:w="1732" w:type="dxa"/>
            <w:noWrap w:val="0"/>
            <w:vAlign w:val="top"/>
          </w:tcPr>
          <w:p>
            <w:pPr>
              <w:widowControl w:val="0"/>
              <w:spacing w:before="120" w:beforeLines="50"/>
              <w:jc w:val="center"/>
              <w:rPr>
                <w:rFonts w:ascii="宋体" w:eastAsia="宋体" w:hAnsi="宋体" w:cs="Arial" w:hint="eastAsia"/>
                <w:b/>
                <w:kern w:val="2"/>
                <w:sz w:val="21"/>
                <w:szCs w:val="21"/>
                <w:lang w:eastAsia="zh-CN"/>
              </w:rPr>
            </w:pPr>
            <w:r>
              <w:rPr>
                <w:rFonts w:ascii="宋体" w:eastAsia="宋体" w:hAnsi="宋体" w:cs="Arial" w:hint="eastAsia"/>
                <w:b/>
                <w:kern w:val="2"/>
                <w:sz w:val="21"/>
                <w:szCs w:val="21"/>
                <w:lang w:eastAsia="zh-CN"/>
              </w:rPr>
              <w:t>偏离情况</w:t>
            </w:r>
          </w:p>
        </w:tc>
        <w:tc>
          <w:tcPr>
            <w:tcW w:w="992" w:type="dxa"/>
            <w:noWrap w:val="0"/>
            <w:vAlign w:val="center"/>
          </w:tcPr>
          <w:p>
            <w:pPr>
              <w:widowControl w:val="0"/>
              <w:jc w:val="center"/>
              <w:rPr>
                <w:rFonts w:ascii="宋体" w:eastAsia="宋体" w:hAnsi="宋体" w:cs="Arial" w:hint="eastAsia"/>
                <w:b/>
                <w:kern w:val="2"/>
                <w:sz w:val="21"/>
                <w:szCs w:val="21"/>
                <w:lang w:eastAsia="zh-CN"/>
              </w:rPr>
            </w:pPr>
            <w:r>
              <w:rPr>
                <w:rFonts w:ascii="宋体" w:eastAsia="宋体" w:hAnsi="宋体" w:cs="Arial" w:hint="eastAsia"/>
                <w:b/>
                <w:kern w:val="2"/>
                <w:sz w:val="21"/>
                <w:szCs w:val="21"/>
                <w:lang w:eastAsia="zh-CN"/>
              </w:rPr>
              <w:t>说明</w:t>
            </w:r>
          </w:p>
        </w:tc>
      </w:tr>
      <w:tr>
        <w:tblPrEx>
          <w:tblW w:w="5000" w:type="pct"/>
          <w:jc w:val="center"/>
          <w:tblLayout w:type="fixed"/>
          <w:tblCellMar>
            <w:top w:w="0" w:type="dxa"/>
            <w:left w:w="108" w:type="dxa"/>
            <w:bottom w:w="0" w:type="dxa"/>
            <w:right w:w="108" w:type="dxa"/>
          </w:tblCellMar>
        </w:tblPrEx>
        <w:trPr>
          <w:trHeight w:val="1060"/>
          <w:jc w:val="center"/>
        </w:trPr>
        <w:tc>
          <w:tcPr>
            <w:tcW w:w="602" w:type="dxa"/>
            <w:noWrap w:val="0"/>
            <w:vAlign w:val="center"/>
          </w:tcPr>
          <w:p>
            <w:pPr>
              <w:widowControl w:val="0"/>
              <w:spacing w:line="300" w:lineRule="auto"/>
              <w:jc w:val="center"/>
              <w:rPr>
                <w:rFonts w:ascii="宋体" w:eastAsia="宋体" w:hAnsi="宋体" w:hint="eastAsia"/>
                <w:b/>
                <w:color w:val="FF0000"/>
                <w:sz w:val="21"/>
                <w:szCs w:val="21"/>
                <w:lang w:eastAsia="zh-CN"/>
              </w:rPr>
            </w:pPr>
            <w:r>
              <w:rPr>
                <w:rFonts w:ascii="宋体" w:eastAsia="宋体" w:hAnsi="宋体" w:hint="eastAsia"/>
                <w:b/>
                <w:color w:val="FF0000"/>
                <w:sz w:val="21"/>
                <w:szCs w:val="21"/>
                <w:lang w:eastAsia="zh-CN"/>
              </w:rPr>
              <w:t>1</w:t>
            </w:r>
          </w:p>
        </w:tc>
        <w:tc>
          <w:tcPr>
            <w:tcW w:w="3901" w:type="dxa"/>
            <w:noWrap w:val="0"/>
            <w:vAlign w:val="center"/>
          </w:tcPr>
          <w:p>
            <w:pPr>
              <w:widowControl w:val="0"/>
              <w:spacing w:line="300" w:lineRule="auto"/>
              <w:jc w:val="center"/>
              <w:rPr>
                <w:rFonts w:ascii="宋体" w:eastAsia="宋体" w:hAnsi="宋体" w:hint="eastAsia"/>
                <w:b/>
                <w:color w:val="FF0000"/>
                <w:sz w:val="21"/>
                <w:szCs w:val="21"/>
                <w:lang w:eastAsia="zh-CN"/>
              </w:rPr>
            </w:pPr>
            <w:r>
              <w:rPr>
                <w:rFonts w:ascii="宋体" w:eastAsia="宋体" w:hAnsi="宋体" w:hint="eastAsia"/>
                <w:b/>
                <w:color w:val="FF0000"/>
                <w:sz w:val="21"/>
                <w:szCs w:val="21"/>
                <w:lang w:eastAsia="zh-CN"/>
              </w:rPr>
              <w:t>本项目招标文件中所有带★号条款内容</w:t>
            </w:r>
          </w:p>
        </w:tc>
        <w:tc>
          <w:tcPr>
            <w:tcW w:w="2176" w:type="dxa"/>
            <w:noWrap w:val="0"/>
            <w:vAlign w:val="center"/>
          </w:tcPr>
          <w:p>
            <w:pPr>
              <w:widowControl w:val="0"/>
              <w:spacing w:line="300" w:lineRule="auto"/>
              <w:jc w:val="center"/>
              <w:rPr>
                <w:rFonts w:ascii="宋体" w:eastAsia="宋体" w:hAnsi="宋体" w:hint="eastAsia"/>
                <w:b/>
                <w:sz w:val="21"/>
                <w:szCs w:val="21"/>
                <w:lang w:eastAsia="zh-CN"/>
              </w:rPr>
            </w:pPr>
            <w:r>
              <w:rPr>
                <w:rFonts w:ascii="宋体" w:eastAsia="宋体" w:hAnsi="宋体" w:hint="eastAsia"/>
                <w:b/>
                <w:sz w:val="21"/>
                <w:szCs w:val="21"/>
                <w:lang w:eastAsia="zh-CN"/>
              </w:rPr>
              <w:t>完全响应</w:t>
            </w:r>
          </w:p>
        </w:tc>
        <w:tc>
          <w:tcPr>
            <w:tcW w:w="1732" w:type="dxa"/>
            <w:noWrap w:val="0"/>
            <w:vAlign w:val="center"/>
          </w:tcPr>
          <w:p>
            <w:pPr>
              <w:widowControl w:val="0"/>
              <w:spacing w:line="300" w:lineRule="auto"/>
              <w:jc w:val="center"/>
              <w:rPr>
                <w:rFonts w:ascii="宋体" w:eastAsia="宋体" w:hAnsi="宋体" w:hint="eastAsia"/>
                <w:b/>
                <w:sz w:val="21"/>
                <w:szCs w:val="21"/>
                <w:lang w:eastAsia="zh-CN"/>
              </w:rPr>
            </w:pPr>
            <w:r>
              <w:rPr>
                <w:rFonts w:ascii="宋体" w:eastAsia="宋体" w:hAnsi="宋体" w:hint="eastAsia"/>
                <w:b/>
                <w:sz w:val="21"/>
                <w:szCs w:val="21"/>
                <w:lang w:eastAsia="zh-CN"/>
              </w:rPr>
              <w:t>无偏离</w:t>
            </w:r>
          </w:p>
        </w:tc>
        <w:tc>
          <w:tcPr>
            <w:tcW w:w="992" w:type="dxa"/>
            <w:noWrap w:val="0"/>
            <w:vAlign w:val="center"/>
          </w:tcPr>
          <w:p>
            <w:pPr>
              <w:widowControl w:val="0"/>
              <w:spacing w:line="300" w:lineRule="auto"/>
              <w:jc w:val="center"/>
              <w:rPr>
                <w:rFonts w:ascii="宋体" w:eastAsia="宋体" w:hAnsi="宋体" w:hint="eastAsia"/>
                <w:b/>
                <w:color w:val="FF0000"/>
                <w:sz w:val="21"/>
                <w:szCs w:val="21"/>
                <w:lang w:eastAsia="zh-CN"/>
              </w:rPr>
            </w:pPr>
          </w:p>
        </w:tc>
      </w:tr>
    </w:tbl>
    <w:p>
      <w:pPr>
        <w:widowControl w:val="0"/>
        <w:snapToGrid w:val="0"/>
        <w:jc w:val="both"/>
        <w:rPr>
          <w:rFonts w:ascii="宋体" w:eastAsia="宋体" w:hAnsi="宋体" w:hint="eastAsia"/>
          <w:b/>
          <w:kern w:val="2"/>
          <w:lang w:eastAsia="zh-CN"/>
        </w:rPr>
      </w:pPr>
      <w:r>
        <w:rPr>
          <w:rFonts w:ascii="宋体" w:eastAsia="宋体" w:hAnsi="宋体" w:hint="eastAsia"/>
          <w:b/>
          <w:kern w:val="2"/>
          <w:lang w:eastAsia="zh-CN"/>
        </w:rPr>
        <w:t>填写说明：</w:t>
      </w:r>
    </w:p>
    <w:p>
      <w:pPr>
        <w:widowControl w:val="0"/>
        <w:spacing w:line="276" w:lineRule="auto"/>
        <w:ind w:firstLine="480" w:firstLineChars="200"/>
        <w:jc w:val="both"/>
        <w:rPr>
          <w:rFonts w:ascii="宋体" w:eastAsia="宋体" w:hAnsi="宋体" w:cs="宋体" w:hint="eastAsia"/>
          <w:bCs/>
          <w:kern w:val="2"/>
          <w:lang w:eastAsia="zh-CN"/>
        </w:rPr>
      </w:pPr>
      <w:r>
        <w:rPr>
          <w:rFonts w:ascii="宋体" w:eastAsia="宋体" w:hAnsi="宋体" w:cs="宋体" w:hint="eastAsia"/>
          <w:bCs/>
          <w:kern w:val="2"/>
          <w:lang w:eastAsia="zh-CN"/>
        </w:rPr>
        <w:t>1、上表所列各项均为不可负偏离条款。</w:t>
      </w:r>
    </w:p>
    <w:p>
      <w:pPr>
        <w:widowControl w:val="0"/>
        <w:spacing w:line="276" w:lineRule="auto"/>
        <w:ind w:firstLine="480" w:firstLineChars="200"/>
        <w:jc w:val="both"/>
        <w:rPr>
          <w:rFonts w:ascii="宋体" w:eastAsia="宋体" w:hAnsi="宋体" w:cs="宋体" w:hint="eastAsia"/>
          <w:bCs/>
          <w:kern w:val="2"/>
          <w:lang w:eastAsia="zh-CN"/>
        </w:rPr>
      </w:pPr>
      <w:r>
        <w:rPr>
          <w:rFonts w:ascii="宋体" w:eastAsia="宋体" w:hAnsi="宋体" w:cs="宋体" w:hint="eastAsia"/>
          <w:bCs/>
          <w:kern w:val="2"/>
          <w:lang w:eastAsia="zh-CN"/>
        </w:rPr>
        <w:t>2、“投标文件响应”一栏应当详细填写投标人自身响应情况，而不能不合理照搬照抄招标文件实质性条款具体内容。</w:t>
      </w:r>
      <w:r>
        <w:rPr>
          <w:rFonts w:ascii="宋体" w:eastAsia="宋体" w:hAnsi="宋体" w:cs="宋体" w:hint="eastAsia"/>
          <w:b/>
          <w:bCs/>
          <w:kern w:val="2"/>
          <w:lang w:eastAsia="zh-CN"/>
        </w:rPr>
        <w:t>如完全满足实质性条款具体内容可填写“完全响应”，除招标文件另有注明外，不强制要求逐条列出响应。</w:t>
      </w:r>
    </w:p>
    <w:p>
      <w:pPr>
        <w:widowControl w:val="0"/>
        <w:spacing w:line="276" w:lineRule="auto"/>
        <w:ind w:firstLine="480" w:firstLineChars="200"/>
        <w:jc w:val="both"/>
        <w:rPr>
          <w:rFonts w:ascii="宋体" w:eastAsia="宋体" w:hAnsi="宋体" w:cs="宋体" w:hint="eastAsia"/>
          <w:bCs/>
          <w:kern w:val="2"/>
          <w:lang w:eastAsia="zh-CN"/>
        </w:rPr>
      </w:pPr>
      <w:r>
        <w:rPr>
          <w:rFonts w:ascii="宋体" w:eastAsia="宋体" w:hAnsi="宋体" w:cs="宋体" w:hint="eastAsia"/>
          <w:bCs/>
          <w:kern w:val="2"/>
          <w:lang w:eastAsia="zh-CN"/>
        </w:rPr>
        <w:t>3、“偏离情况”一栏应填写</w:t>
      </w:r>
      <w:r>
        <w:rPr>
          <w:rFonts w:ascii="宋体" w:eastAsia="宋体" w:hAnsi="宋体" w:cs="宋体" w:hint="eastAsia"/>
          <w:kern w:val="2"/>
          <w:lang w:eastAsia="zh-CN"/>
        </w:rPr>
        <w:t>“</w:t>
      </w:r>
      <w:r>
        <w:rPr>
          <w:rFonts w:ascii="宋体" w:eastAsia="宋体" w:hAnsi="宋体" w:cs="宋体" w:hint="eastAsia"/>
          <w:b/>
          <w:bCs/>
          <w:kern w:val="2"/>
          <w:lang w:eastAsia="zh-CN"/>
        </w:rPr>
        <w:t>正偏离</w:t>
      </w:r>
      <w:r>
        <w:rPr>
          <w:rFonts w:ascii="宋体" w:eastAsia="宋体" w:hAnsi="宋体" w:cs="宋体" w:hint="eastAsia"/>
          <w:kern w:val="2"/>
          <w:lang w:eastAsia="zh-CN"/>
        </w:rPr>
        <w:t>”或“</w:t>
      </w:r>
      <w:r>
        <w:rPr>
          <w:rFonts w:ascii="宋体" w:eastAsia="宋体" w:hAnsi="宋体" w:cs="宋体" w:hint="eastAsia"/>
          <w:b/>
          <w:bCs/>
          <w:kern w:val="2"/>
          <w:lang w:eastAsia="zh-CN"/>
        </w:rPr>
        <w:t>负偏离</w:t>
      </w:r>
      <w:r>
        <w:rPr>
          <w:rFonts w:ascii="宋体" w:eastAsia="宋体" w:hAnsi="宋体" w:cs="宋体" w:hint="eastAsia"/>
          <w:kern w:val="2"/>
          <w:lang w:eastAsia="zh-CN"/>
        </w:rPr>
        <w:t>”或“</w:t>
      </w:r>
      <w:r>
        <w:rPr>
          <w:rFonts w:ascii="宋体" w:eastAsia="宋体" w:hAnsi="宋体" w:cs="宋体" w:hint="eastAsia"/>
          <w:b/>
          <w:bCs/>
          <w:kern w:val="2"/>
          <w:lang w:eastAsia="zh-CN"/>
        </w:rPr>
        <w:t>无偏离</w:t>
      </w:r>
      <w:r>
        <w:rPr>
          <w:rFonts w:ascii="宋体" w:eastAsia="宋体" w:hAnsi="宋体" w:cs="宋体" w:hint="eastAsia"/>
          <w:kern w:val="2"/>
          <w:lang w:eastAsia="zh-CN"/>
        </w:rPr>
        <w:t>”</w:t>
      </w:r>
      <w:r>
        <w:rPr>
          <w:rFonts w:ascii="宋体" w:eastAsia="宋体" w:hAnsi="宋体" w:cs="宋体" w:hint="eastAsia"/>
          <w:bCs/>
          <w:kern w:val="2"/>
          <w:lang w:eastAsia="zh-CN"/>
        </w:rPr>
        <w:t>，“正偏离”表示“投标响应优于实质性条款具体内容要求”，“负偏离”表示“投标响应不满足实质性条款具体内容要求”，“无偏离”表示“投标响应与实质性条款具体内容要求一致”。</w:t>
      </w:r>
    </w:p>
    <w:p>
      <w:pPr>
        <w:widowControl w:val="0"/>
        <w:spacing w:line="276" w:lineRule="auto"/>
        <w:ind w:firstLine="480" w:firstLineChars="200"/>
        <w:jc w:val="both"/>
        <w:rPr>
          <w:rFonts w:ascii="宋体" w:eastAsia="宋体" w:hAnsi="宋体" w:cs="宋体" w:hint="eastAsia"/>
          <w:bCs/>
          <w:kern w:val="2"/>
          <w:lang w:eastAsia="zh-CN"/>
        </w:rPr>
      </w:pPr>
      <w:r>
        <w:rPr>
          <w:rFonts w:ascii="宋体" w:eastAsia="宋体" w:hAnsi="宋体" w:cs="宋体" w:hint="eastAsia"/>
          <w:bCs/>
          <w:kern w:val="2"/>
          <w:lang w:eastAsia="zh-CN"/>
        </w:rPr>
        <w:t>4、评审委员会有权对投标响应情况作出判断。</w:t>
      </w:r>
    </w:p>
    <w:p>
      <w:pPr>
        <w:widowControl w:val="0"/>
        <w:spacing w:line="276" w:lineRule="auto"/>
        <w:ind w:firstLine="480" w:firstLineChars="200"/>
        <w:jc w:val="both"/>
        <w:rPr>
          <w:rFonts w:ascii="宋体" w:eastAsia="宋体" w:hAnsi="宋体" w:cs="宋体" w:hint="eastAsia"/>
          <w:bCs/>
          <w:kern w:val="2"/>
          <w:lang w:eastAsia="zh-CN"/>
        </w:rPr>
      </w:pPr>
      <w:r>
        <w:rPr>
          <w:rFonts w:ascii="宋体" w:eastAsia="宋体" w:hAnsi="宋体" w:cs="宋体" w:hint="eastAsia"/>
          <w:bCs/>
          <w:kern w:val="2"/>
          <w:lang w:eastAsia="zh-CN"/>
        </w:rPr>
        <w:t>5、实质性响应条款“投标响应情况”与投标文件其它内容冲突的，以实质性响应条款“投标响应情况”为准。</w:t>
      </w:r>
    </w:p>
    <w:p>
      <w:pPr>
        <w:widowControl w:val="0"/>
        <w:spacing w:line="276" w:lineRule="auto"/>
        <w:ind w:firstLine="480" w:firstLineChars="200"/>
        <w:jc w:val="both"/>
        <w:rPr>
          <w:rFonts w:ascii="宋体" w:eastAsia="宋体" w:hAnsi="宋体" w:cs="宋体" w:hint="eastAsia"/>
          <w:bCs/>
          <w:kern w:val="2"/>
          <w:lang w:eastAsia="zh-CN"/>
        </w:rPr>
      </w:pPr>
      <w:r>
        <w:rPr>
          <w:rFonts w:ascii="宋体" w:eastAsia="宋体" w:hAnsi="宋体" w:cs="宋体" w:hint="eastAsia"/>
          <w:bCs/>
          <w:kern w:val="2"/>
          <w:lang w:eastAsia="zh-CN"/>
        </w:rPr>
        <w:t>6、以上实质性条款中要求提供证明材料，需如实提供证明材料扫描件，在“说明”一栏中列明证明材料的位置，以便评审；未要求提供证明材料的，投标人可以不提供。</w:t>
      </w:r>
    </w:p>
    <w:p>
      <w:pPr>
        <w:widowControl w:val="0"/>
        <w:jc w:val="both"/>
        <w:rPr>
          <w:rFonts w:ascii="宋体" w:eastAsia="宋体" w:hAnsi="宋体" w:hint="eastAsia"/>
          <w:b/>
          <w:bCs/>
          <w:szCs w:val="20"/>
          <w:lang w:eastAsia="zh-CN"/>
        </w:rPr>
      </w:pPr>
      <w:r>
        <w:rPr>
          <w:rFonts w:ascii="宋体" w:eastAsia="宋体" w:hAnsi="宋体" w:hint="eastAsia"/>
          <w:b/>
          <w:bCs/>
          <w:szCs w:val="20"/>
          <w:lang w:eastAsia="zh-CN"/>
        </w:rPr>
        <w:br w:type="page"/>
      </w:r>
    </w:p>
    <w:p>
      <w:pPr>
        <w:keepNext/>
        <w:keepLines/>
        <w:widowControl w:val="0"/>
        <w:spacing w:before="260" w:after="260" w:line="240" w:lineRule="auto"/>
        <w:jc w:val="center"/>
        <w:outlineLvl w:val="2"/>
        <w:rPr>
          <w:rFonts w:ascii="宋体" w:eastAsia="宋体" w:hAnsi="宋体" w:hint="eastAsia"/>
          <w:b/>
          <w:bCs/>
          <w:kern w:val="2"/>
          <w:szCs w:val="32"/>
          <w:lang w:eastAsia="zh-CN"/>
        </w:rPr>
      </w:pPr>
      <w:r>
        <w:rPr>
          <w:rFonts w:ascii="黑体" w:eastAsia="黑体" w:hAnsi="宋体" w:cs="Times New Roman" w:hint="eastAsia"/>
          <w:kern w:val="2"/>
          <w:szCs w:val="20"/>
          <w:lang w:eastAsia="zh-CN"/>
        </w:rPr>
        <w:t>四、商务要求偏离表</w:t>
      </w:r>
    </w:p>
    <w:tbl>
      <w:tblPr>
        <w:tblStyle w:val="TableNormal"/>
        <w:tblW w:w="5000" w:type="pct"/>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98"/>
        <w:gridCol w:w="1372"/>
        <w:gridCol w:w="4775"/>
        <w:gridCol w:w="950"/>
        <w:gridCol w:w="630"/>
        <w:gridCol w:w="531"/>
      </w:tblGrid>
      <w:tr>
        <w:tblPrEx>
          <w:tblW w:w="5000" w:type="pct"/>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trPr>
        <w:tc>
          <w:tcPr>
            <w:tcW w:w="610"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imes New Roman" w:hint="eastAsia"/>
                <w:kern w:val="2"/>
                <w:szCs w:val="22"/>
                <w:lang w:eastAsia="zh-CN"/>
              </w:rPr>
              <w:t>序号</w:t>
            </w:r>
          </w:p>
        </w:tc>
        <w:tc>
          <w:tcPr>
            <w:tcW w:w="1408"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imes New Roman" w:hint="eastAsia"/>
                <w:b/>
                <w:kern w:val="2"/>
                <w:sz w:val="21"/>
                <w:szCs w:val="22"/>
                <w:lang w:eastAsia="zh-CN"/>
              </w:rPr>
              <w:t>商务需求项</w:t>
            </w:r>
          </w:p>
        </w:tc>
        <w:tc>
          <w:tcPr>
            <w:tcW w:w="4918"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imes New Roman" w:hint="eastAsia"/>
                <w:kern w:val="2"/>
                <w:szCs w:val="22"/>
                <w:lang w:eastAsia="zh-CN"/>
              </w:rPr>
              <w:t>招标商务要求</w:t>
            </w:r>
          </w:p>
        </w:tc>
        <w:tc>
          <w:tcPr>
            <w:tcW w:w="973"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imes New Roman" w:hint="eastAsia"/>
                <w:kern w:val="2"/>
                <w:szCs w:val="22"/>
                <w:lang w:eastAsia="zh-CN"/>
              </w:rPr>
              <w:t>投标商务响应</w:t>
            </w:r>
          </w:p>
        </w:tc>
        <w:tc>
          <w:tcPr>
            <w:tcW w:w="642"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imes New Roman" w:hint="eastAsia"/>
                <w:kern w:val="2"/>
                <w:sz w:val="21"/>
                <w:szCs w:val="22"/>
                <w:lang w:eastAsia="zh-CN"/>
              </w:rPr>
              <w:t>偏离情况</w:t>
            </w:r>
          </w:p>
        </w:tc>
        <w:tc>
          <w:tcPr>
            <w:tcW w:w="540"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imes New Roman" w:hint="eastAsia"/>
                <w:kern w:val="2"/>
                <w:szCs w:val="22"/>
                <w:lang w:eastAsia="zh-CN"/>
              </w:rPr>
              <w:t>说明</w:t>
            </w:r>
          </w:p>
        </w:tc>
      </w:tr>
      <w:tr>
        <w:tblPrEx>
          <w:tblW w:w="5000" w:type="pct"/>
          <w:tblInd w:w="-46" w:type="dxa"/>
          <w:tblLayout w:type="fixed"/>
          <w:tblCellMar>
            <w:top w:w="0" w:type="dxa"/>
            <w:left w:w="108" w:type="dxa"/>
            <w:bottom w:w="0" w:type="dxa"/>
            <w:right w:w="108" w:type="dxa"/>
          </w:tblCellMar>
        </w:tblPrEx>
        <w:trPr>
          <w:trHeight w:val="280"/>
        </w:trPr>
        <w:tc>
          <w:tcPr>
            <w:tcW w:w="9091" w:type="dxa"/>
            <w:gridSpan w:val="6"/>
            <w:noWrap w:val="0"/>
            <w:vAlign w:val="top"/>
          </w:tcPr>
          <w:p>
            <w:pPr>
              <w:widowControl w:val="0"/>
              <w:jc w:val="both"/>
              <w:rPr>
                <w:rFonts w:ascii="Calibri" w:eastAsia="宋体" w:hAnsi="Calibri"/>
                <w:b/>
                <w:kern w:val="2"/>
                <w:sz w:val="21"/>
                <w:szCs w:val="22"/>
                <w:lang w:eastAsia="zh-CN"/>
              </w:rPr>
            </w:pPr>
            <w:r>
              <w:rPr>
                <w:rFonts w:ascii="Calibri" w:eastAsia="宋体" w:hAnsi="Calibri" w:cs="Times New Roman" w:hint="eastAsia"/>
                <w:b/>
                <w:kern w:val="2"/>
                <w:sz w:val="21"/>
                <w:szCs w:val="22"/>
                <w:lang w:eastAsia="zh-CN"/>
              </w:rPr>
              <w:t>（一）免费保修期内售后服务要求</w:t>
            </w:r>
          </w:p>
        </w:tc>
      </w:tr>
      <w:tr>
        <w:tblPrEx>
          <w:tblW w:w="5000" w:type="pct"/>
          <w:tblInd w:w="-46" w:type="dxa"/>
          <w:tblLayout w:type="fixed"/>
          <w:tblCellMar>
            <w:top w:w="0" w:type="dxa"/>
            <w:left w:w="108" w:type="dxa"/>
            <w:bottom w:w="0" w:type="dxa"/>
            <w:right w:w="108" w:type="dxa"/>
          </w:tblCellMar>
        </w:tblPrEx>
        <w:trPr>
          <w:trHeight w:val="320"/>
        </w:trPr>
        <w:tc>
          <w:tcPr>
            <w:tcW w:w="610" w:type="dxa"/>
            <w:noWrap w:val="0"/>
            <w:vAlign w:val="center"/>
          </w:tcPr>
          <w:p>
            <w:pPr>
              <w:widowControl w:val="0"/>
              <w:jc w:val="center"/>
              <w:rPr>
                <w:rFonts w:ascii="Calibri" w:eastAsia="宋体" w:hAnsi="Calibri"/>
                <w:bCs/>
                <w:kern w:val="2"/>
                <w:sz w:val="21"/>
                <w:szCs w:val="22"/>
                <w:lang w:eastAsia="zh-CN"/>
              </w:rPr>
            </w:pPr>
            <w:r>
              <w:rPr>
                <w:rFonts w:ascii="Calibri" w:eastAsia="宋体" w:hAnsi="Calibri" w:cs="Times New Roman" w:hint="eastAsia"/>
                <w:bCs/>
                <w:kern w:val="2"/>
                <w:sz w:val="21"/>
                <w:szCs w:val="22"/>
                <w:lang w:eastAsia="zh-CN"/>
              </w:rPr>
              <w:t>1</w:t>
            </w:r>
          </w:p>
        </w:tc>
        <w:tc>
          <w:tcPr>
            <w:tcW w:w="1408" w:type="dxa"/>
            <w:noWrap w:val="0"/>
            <w:vAlign w:val="top"/>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w:t>
            </w:r>
            <w:r>
              <w:rPr>
                <w:rFonts w:ascii="Calibri" w:eastAsia="宋体" w:hAnsi="Calibri" w:cs="Times New Roman"/>
                <w:kern w:val="2"/>
                <w:sz w:val="21"/>
                <w:szCs w:val="22"/>
                <w:lang w:eastAsia="zh-CN"/>
              </w:rPr>
              <w:t>***</w:t>
            </w:r>
          </w:p>
        </w:tc>
        <w:tc>
          <w:tcPr>
            <w:tcW w:w="4918" w:type="dxa"/>
            <w:noWrap w:val="0"/>
            <w:vAlign w:val="top"/>
          </w:tcPr>
          <w:p>
            <w:pPr>
              <w:widowControl w:val="0"/>
              <w:jc w:val="center"/>
              <w:rPr>
                <w:rFonts w:ascii="Calibri" w:eastAsia="宋体" w:hAnsi="Calibri"/>
                <w:b/>
                <w:kern w:val="2"/>
                <w:sz w:val="21"/>
                <w:szCs w:val="22"/>
                <w:lang w:eastAsia="zh-CN"/>
              </w:rPr>
            </w:pPr>
            <w:r>
              <w:rPr>
                <w:rFonts w:ascii="Calibri" w:eastAsia="宋体" w:hAnsi="Calibri" w:cs="Times New Roman" w:hint="eastAsia"/>
                <w:bCs/>
                <w:kern w:val="2"/>
                <w:sz w:val="21"/>
                <w:szCs w:val="21"/>
                <w:lang w:eastAsia="zh-CN"/>
              </w:rPr>
              <w:t>（填写相关内容）</w:t>
            </w:r>
          </w:p>
        </w:tc>
        <w:tc>
          <w:tcPr>
            <w:tcW w:w="973" w:type="dxa"/>
            <w:noWrap w:val="0"/>
            <w:vAlign w:val="top"/>
          </w:tcPr>
          <w:p>
            <w:pPr>
              <w:widowControl w:val="0"/>
              <w:jc w:val="both"/>
              <w:rPr>
                <w:rFonts w:ascii="Calibri" w:eastAsia="宋体" w:hAnsi="Calibri"/>
                <w:bCs/>
                <w:kern w:val="2"/>
                <w:sz w:val="21"/>
                <w:szCs w:val="21"/>
                <w:lang w:eastAsia="zh-CN"/>
              </w:rPr>
            </w:pPr>
          </w:p>
        </w:tc>
        <w:tc>
          <w:tcPr>
            <w:tcW w:w="642" w:type="dxa"/>
            <w:noWrap w:val="0"/>
            <w:vAlign w:val="top"/>
          </w:tcPr>
          <w:p>
            <w:pPr>
              <w:widowControl w:val="0"/>
              <w:jc w:val="both"/>
              <w:rPr>
                <w:rFonts w:ascii="Calibri" w:eastAsia="宋体" w:hAnsi="Calibri"/>
                <w:bCs/>
                <w:kern w:val="2"/>
                <w:sz w:val="21"/>
                <w:szCs w:val="21"/>
                <w:lang w:eastAsia="zh-CN"/>
              </w:rPr>
            </w:pPr>
          </w:p>
        </w:tc>
        <w:tc>
          <w:tcPr>
            <w:tcW w:w="540" w:type="dxa"/>
            <w:noWrap w:val="0"/>
            <w:vAlign w:val="top"/>
          </w:tcPr>
          <w:p>
            <w:pPr>
              <w:widowControl w:val="0"/>
              <w:jc w:val="both"/>
              <w:rPr>
                <w:rFonts w:ascii="Calibri" w:eastAsia="宋体" w:hAnsi="Calibri"/>
                <w:bCs/>
                <w:kern w:val="2"/>
                <w:sz w:val="21"/>
                <w:szCs w:val="21"/>
                <w:lang w:eastAsia="zh-CN"/>
              </w:rPr>
            </w:pPr>
          </w:p>
        </w:tc>
      </w:tr>
      <w:tr>
        <w:tblPrEx>
          <w:tblW w:w="5000" w:type="pct"/>
          <w:tblInd w:w="-46" w:type="dxa"/>
          <w:tblLayout w:type="fixed"/>
          <w:tblCellMar>
            <w:top w:w="0" w:type="dxa"/>
            <w:left w:w="108" w:type="dxa"/>
            <w:bottom w:w="0" w:type="dxa"/>
            <w:right w:w="108" w:type="dxa"/>
          </w:tblCellMar>
        </w:tblPrEx>
        <w:trPr>
          <w:trHeight w:val="320"/>
        </w:trPr>
        <w:tc>
          <w:tcPr>
            <w:tcW w:w="610" w:type="dxa"/>
            <w:noWrap w:val="0"/>
            <w:vAlign w:val="center"/>
          </w:tcPr>
          <w:p>
            <w:pPr>
              <w:widowControl w:val="0"/>
              <w:jc w:val="center"/>
              <w:rPr>
                <w:rFonts w:ascii="Calibri" w:eastAsia="宋体" w:hAnsi="Calibri"/>
                <w:bCs/>
                <w:kern w:val="2"/>
                <w:sz w:val="21"/>
                <w:szCs w:val="22"/>
                <w:lang w:eastAsia="zh-CN"/>
              </w:rPr>
            </w:pPr>
            <w:r>
              <w:rPr>
                <w:rFonts w:ascii="Calibri" w:eastAsia="宋体" w:hAnsi="Calibri" w:cs="Times New Roman"/>
                <w:bCs/>
                <w:kern w:val="2"/>
                <w:sz w:val="21"/>
                <w:szCs w:val="22"/>
                <w:lang w:eastAsia="zh-CN"/>
              </w:rPr>
              <w:t>2</w:t>
            </w:r>
          </w:p>
        </w:tc>
        <w:tc>
          <w:tcPr>
            <w:tcW w:w="1408" w:type="dxa"/>
            <w:noWrap w:val="0"/>
            <w:vAlign w:val="top"/>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w:t>
            </w:r>
          </w:p>
        </w:tc>
        <w:tc>
          <w:tcPr>
            <w:tcW w:w="4918" w:type="dxa"/>
            <w:noWrap w:val="0"/>
            <w:vAlign w:val="top"/>
          </w:tcPr>
          <w:p>
            <w:pPr>
              <w:widowControl w:val="0"/>
              <w:jc w:val="center"/>
              <w:rPr>
                <w:rFonts w:ascii="Calibri" w:eastAsia="宋体" w:hAnsi="Calibri"/>
                <w:bCs/>
                <w:kern w:val="2"/>
                <w:sz w:val="21"/>
                <w:szCs w:val="21"/>
                <w:lang w:eastAsia="zh-CN"/>
              </w:rPr>
            </w:pPr>
            <w:r>
              <w:rPr>
                <w:rFonts w:ascii="Calibri" w:eastAsia="宋体" w:hAnsi="Calibri" w:cs="Times New Roman" w:hint="eastAsia"/>
                <w:kern w:val="2"/>
                <w:sz w:val="21"/>
                <w:szCs w:val="22"/>
                <w:lang w:eastAsia="zh-CN"/>
              </w:rPr>
              <w:t>（填写相关内容）</w:t>
            </w:r>
          </w:p>
        </w:tc>
        <w:tc>
          <w:tcPr>
            <w:tcW w:w="973" w:type="dxa"/>
            <w:noWrap w:val="0"/>
            <w:vAlign w:val="top"/>
          </w:tcPr>
          <w:p>
            <w:pPr>
              <w:widowControl w:val="0"/>
              <w:jc w:val="both"/>
              <w:rPr>
                <w:rFonts w:ascii="Calibri" w:eastAsia="宋体" w:hAnsi="Calibri"/>
                <w:bCs/>
                <w:kern w:val="2"/>
                <w:sz w:val="21"/>
                <w:szCs w:val="21"/>
                <w:lang w:eastAsia="zh-CN"/>
              </w:rPr>
            </w:pPr>
          </w:p>
        </w:tc>
        <w:tc>
          <w:tcPr>
            <w:tcW w:w="642" w:type="dxa"/>
            <w:noWrap w:val="0"/>
            <w:vAlign w:val="top"/>
          </w:tcPr>
          <w:p>
            <w:pPr>
              <w:widowControl w:val="0"/>
              <w:jc w:val="both"/>
              <w:rPr>
                <w:rFonts w:ascii="Calibri" w:eastAsia="宋体" w:hAnsi="Calibri"/>
                <w:bCs/>
                <w:kern w:val="2"/>
                <w:sz w:val="21"/>
                <w:szCs w:val="21"/>
                <w:lang w:eastAsia="zh-CN"/>
              </w:rPr>
            </w:pPr>
          </w:p>
        </w:tc>
        <w:tc>
          <w:tcPr>
            <w:tcW w:w="540" w:type="dxa"/>
            <w:noWrap w:val="0"/>
            <w:vAlign w:val="top"/>
          </w:tcPr>
          <w:p>
            <w:pPr>
              <w:widowControl w:val="0"/>
              <w:jc w:val="both"/>
              <w:rPr>
                <w:rFonts w:ascii="Calibri" w:eastAsia="宋体" w:hAnsi="Calibri"/>
                <w:bCs/>
                <w:kern w:val="2"/>
                <w:sz w:val="21"/>
                <w:szCs w:val="21"/>
                <w:lang w:eastAsia="zh-CN"/>
              </w:rPr>
            </w:pPr>
          </w:p>
        </w:tc>
      </w:tr>
      <w:tr>
        <w:tblPrEx>
          <w:tblW w:w="5000" w:type="pct"/>
          <w:tblInd w:w="-46" w:type="dxa"/>
          <w:tblLayout w:type="fixed"/>
          <w:tblCellMar>
            <w:top w:w="0" w:type="dxa"/>
            <w:left w:w="108" w:type="dxa"/>
            <w:bottom w:w="0" w:type="dxa"/>
            <w:right w:w="108" w:type="dxa"/>
          </w:tblCellMar>
        </w:tblPrEx>
        <w:trPr>
          <w:trHeight w:val="320"/>
        </w:trPr>
        <w:tc>
          <w:tcPr>
            <w:tcW w:w="9091" w:type="dxa"/>
            <w:gridSpan w:val="6"/>
            <w:noWrap w:val="0"/>
            <w:vAlign w:val="center"/>
          </w:tcPr>
          <w:p>
            <w:pPr>
              <w:widowControl w:val="0"/>
              <w:jc w:val="both"/>
              <w:rPr>
                <w:rFonts w:ascii="Calibri" w:eastAsia="宋体" w:hAnsi="Calibri"/>
                <w:bCs/>
                <w:kern w:val="2"/>
                <w:sz w:val="21"/>
                <w:szCs w:val="21"/>
                <w:lang w:eastAsia="zh-CN"/>
              </w:rPr>
            </w:pPr>
            <w:r>
              <w:rPr>
                <w:rFonts w:ascii="Calibri" w:eastAsia="宋体" w:hAnsi="Calibri" w:cs="Times New Roman" w:hint="eastAsia"/>
                <w:b/>
                <w:kern w:val="2"/>
                <w:sz w:val="21"/>
                <w:szCs w:val="22"/>
                <w:lang w:eastAsia="zh-CN"/>
              </w:rPr>
              <w:t>（二）免费保修期外售后服务要求</w:t>
            </w:r>
          </w:p>
        </w:tc>
      </w:tr>
      <w:tr>
        <w:tblPrEx>
          <w:tblW w:w="5000" w:type="pct"/>
          <w:tblInd w:w="-46" w:type="dxa"/>
          <w:tblLayout w:type="fixed"/>
          <w:tblCellMar>
            <w:top w:w="0" w:type="dxa"/>
            <w:left w:w="108" w:type="dxa"/>
            <w:bottom w:w="0" w:type="dxa"/>
            <w:right w:w="108" w:type="dxa"/>
          </w:tblCellMar>
        </w:tblPrEx>
        <w:trPr>
          <w:trHeight w:val="320"/>
        </w:trPr>
        <w:tc>
          <w:tcPr>
            <w:tcW w:w="610" w:type="dxa"/>
            <w:noWrap w:val="0"/>
            <w:vAlign w:val="top"/>
          </w:tcPr>
          <w:p>
            <w:pPr>
              <w:widowControl w:val="0"/>
              <w:jc w:val="center"/>
              <w:rPr>
                <w:rFonts w:ascii="Calibri" w:eastAsia="宋体" w:hAnsi="Calibri"/>
                <w:bCs/>
                <w:kern w:val="2"/>
                <w:sz w:val="21"/>
                <w:szCs w:val="22"/>
                <w:lang w:eastAsia="zh-CN"/>
              </w:rPr>
            </w:pPr>
            <w:r>
              <w:rPr>
                <w:rFonts w:ascii="Calibri" w:eastAsia="宋体" w:hAnsi="Calibri" w:cs="Times New Roman" w:hint="eastAsia"/>
                <w:kern w:val="2"/>
                <w:sz w:val="21"/>
                <w:szCs w:val="22"/>
                <w:lang w:eastAsia="zh-CN"/>
              </w:rPr>
              <w:t>1</w:t>
            </w:r>
          </w:p>
        </w:tc>
        <w:tc>
          <w:tcPr>
            <w:tcW w:w="1408" w:type="dxa"/>
            <w:noWrap w:val="0"/>
            <w:vAlign w:val="top"/>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w:t>
            </w:r>
          </w:p>
        </w:tc>
        <w:tc>
          <w:tcPr>
            <w:tcW w:w="4918" w:type="dxa"/>
            <w:noWrap w:val="0"/>
            <w:vAlign w:val="top"/>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（填写相关内容）</w:t>
            </w:r>
          </w:p>
        </w:tc>
        <w:tc>
          <w:tcPr>
            <w:tcW w:w="973" w:type="dxa"/>
            <w:noWrap w:val="0"/>
            <w:vAlign w:val="top"/>
          </w:tcPr>
          <w:p>
            <w:pPr>
              <w:widowControl w:val="0"/>
              <w:jc w:val="both"/>
              <w:rPr>
                <w:rFonts w:ascii="Calibri" w:eastAsia="宋体" w:hAnsi="Calibri"/>
                <w:bCs/>
                <w:kern w:val="2"/>
                <w:sz w:val="21"/>
                <w:szCs w:val="21"/>
                <w:lang w:eastAsia="zh-CN"/>
              </w:rPr>
            </w:pPr>
          </w:p>
        </w:tc>
        <w:tc>
          <w:tcPr>
            <w:tcW w:w="642" w:type="dxa"/>
            <w:noWrap w:val="0"/>
            <w:vAlign w:val="top"/>
          </w:tcPr>
          <w:p>
            <w:pPr>
              <w:widowControl w:val="0"/>
              <w:jc w:val="both"/>
              <w:rPr>
                <w:rFonts w:ascii="Calibri" w:eastAsia="宋体" w:hAnsi="Calibri"/>
                <w:bCs/>
                <w:kern w:val="2"/>
                <w:sz w:val="21"/>
                <w:szCs w:val="21"/>
                <w:lang w:eastAsia="zh-CN"/>
              </w:rPr>
            </w:pPr>
          </w:p>
        </w:tc>
        <w:tc>
          <w:tcPr>
            <w:tcW w:w="540" w:type="dxa"/>
            <w:noWrap w:val="0"/>
            <w:vAlign w:val="top"/>
          </w:tcPr>
          <w:p>
            <w:pPr>
              <w:widowControl w:val="0"/>
              <w:jc w:val="both"/>
              <w:rPr>
                <w:rFonts w:ascii="Calibri" w:eastAsia="宋体" w:hAnsi="Calibri"/>
                <w:bCs/>
                <w:kern w:val="2"/>
                <w:sz w:val="21"/>
                <w:szCs w:val="21"/>
                <w:lang w:eastAsia="zh-CN"/>
              </w:rPr>
            </w:pPr>
          </w:p>
        </w:tc>
      </w:tr>
      <w:tr>
        <w:tblPrEx>
          <w:tblW w:w="5000" w:type="pct"/>
          <w:tblInd w:w="-46" w:type="dxa"/>
          <w:tblLayout w:type="fixed"/>
          <w:tblCellMar>
            <w:top w:w="0" w:type="dxa"/>
            <w:left w:w="108" w:type="dxa"/>
            <w:bottom w:w="0" w:type="dxa"/>
            <w:right w:w="108" w:type="dxa"/>
          </w:tblCellMar>
        </w:tblPrEx>
        <w:trPr>
          <w:trHeight w:val="320"/>
        </w:trPr>
        <w:tc>
          <w:tcPr>
            <w:tcW w:w="9091" w:type="dxa"/>
            <w:gridSpan w:val="6"/>
            <w:noWrap w:val="0"/>
            <w:vAlign w:val="top"/>
          </w:tcPr>
          <w:p>
            <w:pPr>
              <w:widowControl w:val="0"/>
              <w:jc w:val="both"/>
              <w:rPr>
                <w:rFonts w:ascii="Calibri" w:eastAsia="宋体" w:hAnsi="Calibri"/>
                <w:bCs/>
                <w:kern w:val="2"/>
                <w:sz w:val="21"/>
                <w:szCs w:val="21"/>
                <w:lang w:eastAsia="zh-CN"/>
              </w:rPr>
            </w:pPr>
            <w:r>
              <w:rPr>
                <w:rFonts w:ascii="Calibri" w:eastAsia="宋体" w:hAnsi="Calibri" w:cs="Times New Roman" w:hint="eastAsia"/>
                <w:b/>
                <w:kern w:val="2"/>
                <w:sz w:val="21"/>
                <w:szCs w:val="22"/>
                <w:lang w:eastAsia="zh-CN"/>
              </w:rPr>
              <w:t>（三）其他商务要求</w:t>
            </w:r>
          </w:p>
        </w:tc>
      </w:tr>
      <w:tr>
        <w:tblPrEx>
          <w:tblW w:w="5000" w:type="pct"/>
          <w:tblInd w:w="-46" w:type="dxa"/>
          <w:tblLayout w:type="fixed"/>
          <w:tblCellMar>
            <w:top w:w="0" w:type="dxa"/>
            <w:left w:w="108" w:type="dxa"/>
            <w:bottom w:w="0" w:type="dxa"/>
            <w:right w:w="108" w:type="dxa"/>
          </w:tblCellMar>
        </w:tblPrEx>
        <w:trPr>
          <w:trHeight w:val="320"/>
        </w:trPr>
        <w:tc>
          <w:tcPr>
            <w:tcW w:w="610" w:type="dxa"/>
            <w:noWrap w:val="0"/>
            <w:vAlign w:val="top"/>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1</w:t>
            </w:r>
          </w:p>
        </w:tc>
        <w:tc>
          <w:tcPr>
            <w:tcW w:w="1408" w:type="dxa"/>
            <w:noWrap w:val="0"/>
            <w:vAlign w:val="top"/>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w:t>
            </w:r>
          </w:p>
        </w:tc>
        <w:tc>
          <w:tcPr>
            <w:tcW w:w="4918" w:type="dxa"/>
            <w:noWrap w:val="0"/>
            <w:vAlign w:val="top"/>
          </w:tcPr>
          <w:p>
            <w:pPr>
              <w:widowControl w:val="0"/>
              <w:jc w:val="center"/>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（填写相关内容）</w:t>
            </w:r>
          </w:p>
        </w:tc>
        <w:tc>
          <w:tcPr>
            <w:tcW w:w="973" w:type="dxa"/>
            <w:noWrap w:val="0"/>
            <w:vAlign w:val="top"/>
          </w:tcPr>
          <w:p>
            <w:pPr>
              <w:widowControl w:val="0"/>
              <w:jc w:val="both"/>
              <w:rPr>
                <w:rFonts w:ascii="Calibri" w:eastAsia="宋体" w:hAnsi="Calibri"/>
                <w:bCs/>
                <w:kern w:val="2"/>
                <w:sz w:val="21"/>
                <w:szCs w:val="21"/>
                <w:lang w:eastAsia="zh-CN"/>
              </w:rPr>
            </w:pPr>
          </w:p>
        </w:tc>
        <w:tc>
          <w:tcPr>
            <w:tcW w:w="642" w:type="dxa"/>
            <w:noWrap w:val="0"/>
            <w:vAlign w:val="top"/>
          </w:tcPr>
          <w:p>
            <w:pPr>
              <w:widowControl w:val="0"/>
              <w:jc w:val="both"/>
              <w:rPr>
                <w:rFonts w:ascii="Calibri" w:eastAsia="宋体" w:hAnsi="Calibri"/>
                <w:bCs/>
                <w:kern w:val="2"/>
                <w:sz w:val="21"/>
                <w:szCs w:val="21"/>
                <w:lang w:eastAsia="zh-CN"/>
              </w:rPr>
            </w:pPr>
          </w:p>
        </w:tc>
        <w:tc>
          <w:tcPr>
            <w:tcW w:w="540" w:type="dxa"/>
            <w:noWrap w:val="0"/>
            <w:vAlign w:val="top"/>
          </w:tcPr>
          <w:p>
            <w:pPr>
              <w:widowControl w:val="0"/>
              <w:jc w:val="both"/>
              <w:rPr>
                <w:rFonts w:ascii="Calibri" w:eastAsia="宋体" w:hAnsi="Calibri"/>
                <w:bCs/>
                <w:kern w:val="2"/>
                <w:sz w:val="21"/>
                <w:szCs w:val="21"/>
                <w:lang w:eastAsia="zh-CN"/>
              </w:rPr>
            </w:pPr>
          </w:p>
        </w:tc>
      </w:tr>
    </w:tbl>
    <w:p>
      <w:pPr>
        <w:widowControl w:val="0"/>
        <w:ind w:firstLine="420" w:firstLineChars="200"/>
        <w:jc w:val="both"/>
        <w:rPr>
          <w:rFonts w:ascii="Calibri" w:eastAsia="宋体" w:hAnsi="Calibri"/>
          <w:bCs/>
          <w:kern w:val="2"/>
          <w:sz w:val="21"/>
          <w:szCs w:val="21"/>
          <w:lang w:eastAsia="zh-CN"/>
        </w:rPr>
      </w:pPr>
      <w:r>
        <w:rPr>
          <w:rFonts w:ascii="Calibri" w:eastAsia="宋体" w:hAnsi="Calibri" w:cs="Times New Roman" w:hint="eastAsia"/>
          <w:bCs/>
          <w:kern w:val="2"/>
          <w:sz w:val="21"/>
          <w:szCs w:val="21"/>
          <w:lang w:eastAsia="zh-CN"/>
        </w:rPr>
        <w:t>《商务要求偏离表》编制指引：</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imes New Roman" w:hint="eastAsia"/>
          <w:bCs/>
          <w:kern w:val="2"/>
          <w:sz w:val="21"/>
          <w:szCs w:val="21"/>
          <w:lang w:eastAsia="zh-CN"/>
        </w:rPr>
        <w:t>1、商务要求偏离表的序号、商务需求项、招标商务要求等栏目对应“用户需求书”中的“商务要求”章节相关内容。</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imes New Roman"/>
          <w:bCs/>
          <w:kern w:val="2"/>
          <w:sz w:val="21"/>
          <w:szCs w:val="21"/>
          <w:lang w:eastAsia="zh-CN"/>
        </w:rPr>
        <w:t>2</w:t>
      </w:r>
      <w:r>
        <w:rPr>
          <w:rFonts w:ascii="Calibri" w:eastAsia="宋体" w:hAnsi="Calibri" w:cs="Times New Roman" w:hint="eastAsia"/>
          <w:bCs/>
          <w:kern w:val="2"/>
          <w:sz w:val="21"/>
          <w:szCs w:val="21"/>
          <w:lang w:eastAsia="zh-CN"/>
        </w:rPr>
        <w:t>、“投标商务响应”一栏必须一一对照“招标商务要求”，详细填写自身响应情况，而不能不合理照搬照抄招标文件的商务要求，以体现具体响应情况。</w:t>
      </w:r>
    </w:p>
    <w:p>
      <w:pPr>
        <w:widowControl w:val="0"/>
        <w:ind w:firstLine="420" w:firstLineChars="200"/>
        <w:jc w:val="both"/>
        <w:rPr>
          <w:rFonts w:ascii="Calibri" w:eastAsia="宋体" w:hAnsi="Calibri"/>
          <w:bCs/>
          <w:color w:val="FF0000"/>
          <w:kern w:val="2"/>
          <w:sz w:val="21"/>
          <w:szCs w:val="21"/>
          <w:lang w:eastAsia="zh-CN"/>
        </w:rPr>
      </w:pPr>
      <w:r>
        <w:rPr>
          <w:rFonts w:ascii="Calibri" w:eastAsia="宋体" w:hAnsi="Calibri" w:cs="Times New Roman"/>
          <w:bCs/>
          <w:kern w:val="2"/>
          <w:sz w:val="21"/>
          <w:szCs w:val="21"/>
          <w:lang w:eastAsia="zh-CN"/>
        </w:rPr>
        <w:t>3</w:t>
      </w:r>
      <w:r>
        <w:rPr>
          <w:rFonts w:ascii="Calibri" w:eastAsia="宋体" w:hAnsi="Calibri" w:cs="Times New Roman" w:hint="eastAsia"/>
          <w:bCs/>
          <w:kern w:val="2"/>
          <w:sz w:val="21"/>
          <w:szCs w:val="21"/>
          <w:lang w:eastAsia="zh-CN"/>
        </w:rPr>
        <w:t>、“偏离情况”一栏填写如实填写“正偏离”、“负偏离”或“无偏离”，其中：“正偏离”表示“投标响应优于招标商务要求”，“负偏离”表示“投标响应不满足招标商务要求”，“无偏离”表示“投标响应与招标商务要求一致”。</w:t>
      </w:r>
    </w:p>
    <w:p>
      <w:pPr>
        <w:widowControl w:val="0"/>
        <w:jc w:val="both"/>
        <w:rPr>
          <w:rFonts w:ascii="Calibri" w:eastAsia="宋体" w:hAnsi="Calibri"/>
          <w:bCs/>
          <w:kern w:val="2"/>
          <w:sz w:val="21"/>
          <w:szCs w:val="21"/>
          <w:lang w:eastAsia="zh-CN"/>
        </w:rPr>
      </w:pPr>
      <w:r>
        <w:rPr>
          <w:rFonts w:ascii="Calibri" w:eastAsia="宋体" w:hAnsi="Calibri" w:cs="Times New Roman" w:hint="eastAsia"/>
          <w:bCs/>
          <w:kern w:val="2"/>
          <w:sz w:val="21"/>
          <w:szCs w:val="21"/>
          <w:lang w:eastAsia="zh-CN"/>
        </w:rPr>
        <w:t>“投标商务响应”对比“招标商务要求”存在响应不全（包括未响应整项招标商务要求或者未响应一项招标商务要求的部分内容），均视为“负偏离”。</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imes New Roman" w:hint="eastAsia"/>
          <w:bCs/>
          <w:kern w:val="2"/>
          <w:sz w:val="21"/>
          <w:szCs w:val="21"/>
          <w:lang w:eastAsia="zh-CN"/>
        </w:rPr>
        <w:t>4、带★号条款为不可偏离条款，如未响应或出现负偏离的，将作投标无效处理。</w:t>
      </w:r>
    </w:p>
    <w:p>
      <w:pPr>
        <w:widowControl/>
        <w:jc w:val="left"/>
        <w:rPr>
          <w:rFonts w:ascii="宋体" w:eastAsia="宋体" w:hAnsi="宋体" w:hint="eastAsia"/>
          <w:color w:val="FF0000"/>
          <w:kern w:val="2"/>
          <w:sz w:val="32"/>
          <w:szCs w:val="32"/>
          <w:lang w:eastAsia="zh-CN"/>
        </w:rPr>
      </w:pPr>
      <w:r>
        <w:rPr>
          <w:rFonts w:ascii="宋体" w:eastAsia="宋体" w:hAnsi="宋体"/>
          <w:color w:val="FF0000"/>
          <w:kern w:val="2"/>
          <w:sz w:val="32"/>
          <w:szCs w:val="32"/>
          <w:lang w:eastAsia="zh-CN"/>
        </w:rPr>
        <w:br w:type="page"/>
      </w:r>
    </w:p>
    <w:p>
      <w:pPr>
        <w:keepNext/>
        <w:keepLines/>
        <w:widowControl w:val="0"/>
        <w:spacing w:before="260" w:after="260" w:line="240" w:lineRule="auto"/>
        <w:jc w:val="center"/>
        <w:outlineLvl w:val="2"/>
        <w:rPr>
          <w:rFonts w:ascii="宋体" w:eastAsia="宋体" w:hAnsi="宋体" w:hint="eastAsia"/>
          <w:b/>
          <w:bCs/>
          <w:kern w:val="2"/>
          <w:szCs w:val="32"/>
          <w:lang w:eastAsia="zh-CN"/>
        </w:rPr>
      </w:pPr>
      <w:r>
        <w:rPr>
          <w:rFonts w:ascii="黑体" w:eastAsia="黑体" w:hAnsi="宋体" w:cs="Times New Roman" w:hint="eastAsia"/>
          <w:bCs/>
          <w:kern w:val="2"/>
          <w:lang w:eastAsia="zh-CN"/>
        </w:rPr>
        <w:t>五、技术要求偏离表</w:t>
      </w:r>
    </w:p>
    <w:tbl>
      <w:tblPr>
        <w:tblStyle w:val="TableNormal"/>
        <w:tblW w:w="5000" w:type="pct"/>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69"/>
        <w:gridCol w:w="781"/>
        <w:gridCol w:w="3839"/>
        <w:gridCol w:w="2654"/>
        <w:gridCol w:w="718"/>
        <w:gridCol w:w="395"/>
      </w:tblGrid>
      <w:tr>
        <w:tblPrEx>
          <w:tblW w:w="5000" w:type="pct"/>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0"/>
        </w:trPr>
        <w:tc>
          <w:tcPr>
            <w:tcW w:w="464" w:type="dxa"/>
            <w:noWrap w:val="0"/>
            <w:vAlign w:val="center"/>
          </w:tcPr>
          <w:p>
            <w:pPr>
              <w:widowControl w:val="0"/>
              <w:jc w:val="center"/>
              <w:rPr>
                <w:rFonts w:ascii="Calibri" w:eastAsia="宋体" w:hAnsi="Calibri"/>
                <w:color w:val="000000"/>
                <w:kern w:val="2"/>
                <w:sz w:val="21"/>
                <w:szCs w:val="21"/>
                <w:lang w:eastAsia="zh-CN"/>
              </w:rPr>
            </w:pPr>
            <w:r>
              <w:rPr>
                <w:rFonts w:ascii="Calibri" w:eastAsia="宋体" w:hAnsi="Calibri" w:cs="Times New Roman" w:hint="eastAsia"/>
                <w:kern w:val="2"/>
                <w:szCs w:val="22"/>
                <w:lang w:eastAsia="zh-CN"/>
              </w:rPr>
              <w:t>序号</w:t>
            </w:r>
          </w:p>
        </w:tc>
        <w:tc>
          <w:tcPr>
            <w:tcW w:w="772" w:type="dxa"/>
            <w:noWrap w:val="0"/>
            <w:vAlign w:val="center"/>
          </w:tcPr>
          <w:p>
            <w:pPr>
              <w:widowControl w:val="0"/>
              <w:jc w:val="center"/>
              <w:rPr>
                <w:rFonts w:ascii="Calibri" w:eastAsia="宋体" w:hAnsi="Calibri"/>
                <w:color w:val="000000"/>
                <w:kern w:val="2"/>
                <w:sz w:val="21"/>
                <w:szCs w:val="21"/>
                <w:lang w:eastAsia="zh-CN"/>
              </w:rPr>
            </w:pPr>
            <w:r>
              <w:rPr>
                <w:rFonts w:ascii="Calibri" w:eastAsia="宋体" w:hAnsi="Calibri" w:cs="Times New Roman" w:hint="eastAsia"/>
                <w:kern w:val="2"/>
                <w:szCs w:val="22"/>
                <w:lang w:eastAsia="zh-CN"/>
              </w:rPr>
              <w:t>货物名称</w:t>
            </w:r>
          </w:p>
        </w:tc>
        <w:tc>
          <w:tcPr>
            <w:tcW w:w="3795" w:type="dxa"/>
            <w:noWrap w:val="0"/>
            <w:vAlign w:val="center"/>
          </w:tcPr>
          <w:p>
            <w:pPr>
              <w:widowControl w:val="0"/>
              <w:jc w:val="center"/>
              <w:rPr>
                <w:rFonts w:ascii="Calibri" w:eastAsia="宋体" w:hAnsi="Calibri"/>
                <w:color w:val="000000"/>
                <w:kern w:val="2"/>
                <w:sz w:val="21"/>
                <w:szCs w:val="21"/>
                <w:lang w:eastAsia="zh-CN"/>
              </w:rPr>
            </w:pPr>
            <w:r>
              <w:rPr>
                <w:rFonts w:ascii="Calibri" w:eastAsia="宋体" w:hAnsi="Calibri" w:cs="Times New Roman" w:hint="eastAsia"/>
                <w:kern w:val="2"/>
                <w:szCs w:val="22"/>
                <w:lang w:eastAsia="zh-CN"/>
              </w:rPr>
              <w:t>招标技术要求</w:t>
            </w:r>
          </w:p>
        </w:tc>
        <w:tc>
          <w:tcPr>
            <w:tcW w:w="2623" w:type="dxa"/>
            <w:noWrap w:val="0"/>
            <w:vAlign w:val="center"/>
          </w:tcPr>
          <w:p>
            <w:pPr>
              <w:widowControl w:val="0"/>
              <w:jc w:val="center"/>
              <w:rPr>
                <w:rFonts w:ascii="Calibri" w:eastAsia="宋体" w:hAnsi="Calibri"/>
                <w:color w:val="000000"/>
                <w:kern w:val="2"/>
                <w:sz w:val="21"/>
                <w:szCs w:val="21"/>
                <w:lang w:eastAsia="zh-CN"/>
              </w:rPr>
            </w:pPr>
            <w:r>
              <w:rPr>
                <w:rFonts w:ascii="Calibri" w:eastAsia="宋体" w:hAnsi="Calibri" w:cs="Times New Roman" w:hint="eastAsia"/>
                <w:kern w:val="2"/>
                <w:szCs w:val="22"/>
                <w:lang w:eastAsia="zh-CN"/>
              </w:rPr>
              <w:t>投标技术响应</w:t>
            </w:r>
          </w:p>
        </w:tc>
        <w:tc>
          <w:tcPr>
            <w:tcW w:w="710" w:type="dxa"/>
            <w:noWrap w:val="0"/>
            <w:vAlign w:val="center"/>
          </w:tcPr>
          <w:p>
            <w:pPr>
              <w:widowControl w:val="0"/>
              <w:jc w:val="center"/>
              <w:rPr>
                <w:rFonts w:ascii="Calibri" w:eastAsia="宋体" w:hAnsi="Calibri"/>
                <w:color w:val="000000"/>
                <w:kern w:val="2"/>
                <w:sz w:val="21"/>
                <w:szCs w:val="21"/>
                <w:lang w:eastAsia="zh-CN"/>
              </w:rPr>
            </w:pPr>
            <w:r>
              <w:rPr>
                <w:rFonts w:ascii="Calibri" w:eastAsia="宋体" w:hAnsi="Calibri" w:cs="Times New Roman" w:hint="eastAsia"/>
                <w:kern w:val="2"/>
                <w:szCs w:val="22"/>
                <w:lang w:eastAsia="zh-CN"/>
              </w:rPr>
              <w:t>偏离情况</w:t>
            </w:r>
          </w:p>
        </w:tc>
        <w:tc>
          <w:tcPr>
            <w:tcW w:w="390" w:type="dxa"/>
            <w:noWrap w:val="0"/>
            <w:vAlign w:val="center"/>
          </w:tcPr>
          <w:p>
            <w:pPr>
              <w:widowControl w:val="0"/>
              <w:jc w:val="center"/>
              <w:rPr>
                <w:rFonts w:ascii="Calibri" w:eastAsia="宋体" w:hAnsi="Calibri"/>
                <w:color w:val="000000"/>
                <w:kern w:val="2"/>
                <w:sz w:val="21"/>
                <w:szCs w:val="21"/>
                <w:lang w:eastAsia="zh-CN"/>
              </w:rPr>
            </w:pPr>
            <w:r>
              <w:rPr>
                <w:rFonts w:ascii="Calibri" w:eastAsia="宋体" w:hAnsi="Calibri" w:cs="Times New Roman" w:hint="eastAsia"/>
                <w:kern w:val="2"/>
                <w:szCs w:val="22"/>
                <w:lang w:eastAsia="zh-CN"/>
              </w:rPr>
              <w:t>说明</w:t>
            </w:r>
          </w:p>
        </w:tc>
      </w:tr>
      <w:tr>
        <w:tblPrEx>
          <w:tblW w:w="5000" w:type="pct"/>
          <w:tblInd w:w="-37" w:type="dxa"/>
          <w:tblLayout w:type="fixed"/>
          <w:tblCellMar>
            <w:top w:w="0" w:type="dxa"/>
            <w:left w:w="108" w:type="dxa"/>
            <w:bottom w:w="0" w:type="dxa"/>
            <w:right w:w="108" w:type="dxa"/>
          </w:tblCellMar>
        </w:tblPrEx>
        <w:trPr>
          <w:trHeight w:val="170"/>
        </w:trPr>
        <w:tc>
          <w:tcPr>
            <w:tcW w:w="464" w:type="dxa"/>
            <w:vMerge w:val="restart"/>
            <w:noWrap w:val="0"/>
            <w:vAlign w:val="center"/>
          </w:tcPr>
          <w:p>
            <w:pPr>
              <w:widowControl w:val="0"/>
              <w:jc w:val="center"/>
              <w:rPr>
                <w:rFonts w:ascii="Calibri" w:eastAsia="宋体" w:hAnsi="Calibri"/>
                <w:color w:val="000000"/>
                <w:kern w:val="2"/>
                <w:sz w:val="21"/>
                <w:szCs w:val="21"/>
                <w:lang w:eastAsia="zh-CN"/>
              </w:rPr>
            </w:pPr>
            <w:r>
              <w:rPr>
                <w:rFonts w:ascii="Calibri" w:eastAsia="宋体" w:hAnsi="Calibri" w:cs="Times New Roman"/>
                <w:color w:val="000000"/>
                <w:kern w:val="2"/>
                <w:sz w:val="21"/>
                <w:szCs w:val="21"/>
                <w:lang w:eastAsia="zh-CN"/>
              </w:rPr>
              <w:t>1</w:t>
            </w:r>
          </w:p>
        </w:tc>
        <w:tc>
          <w:tcPr>
            <w:tcW w:w="772" w:type="dxa"/>
            <w:vMerge w:val="restart"/>
            <w:noWrap w:val="0"/>
            <w:vAlign w:val="center"/>
          </w:tcPr>
          <w:p>
            <w:pPr>
              <w:widowControl w:val="0"/>
              <w:jc w:val="center"/>
              <w:rPr>
                <w:rFonts w:ascii="Calibri" w:eastAsia="宋体" w:hAnsi="Calibri"/>
                <w:color w:val="000000"/>
                <w:kern w:val="2"/>
                <w:sz w:val="21"/>
                <w:szCs w:val="21"/>
                <w:lang w:eastAsia="zh-CN"/>
              </w:rPr>
            </w:pPr>
            <w:r>
              <w:rPr>
                <w:rFonts w:ascii="Calibri" w:eastAsia="宋体" w:hAnsi="Calibri" w:cs="Times New Roman" w:hint="eastAsia"/>
                <w:color w:val="000000"/>
                <w:kern w:val="2"/>
                <w:sz w:val="21"/>
                <w:szCs w:val="21"/>
                <w:lang w:eastAsia="zh-CN"/>
              </w:rPr>
              <w:t>*</w:t>
            </w:r>
            <w:r>
              <w:rPr>
                <w:rFonts w:ascii="Calibri" w:eastAsia="宋体" w:hAnsi="Calibri" w:cs="Times New Roman"/>
                <w:color w:val="000000"/>
                <w:kern w:val="2"/>
                <w:sz w:val="21"/>
                <w:szCs w:val="21"/>
                <w:lang w:eastAsia="zh-CN"/>
              </w:rPr>
              <w:t>**</w:t>
            </w:r>
            <w:r>
              <w:rPr>
                <w:rFonts w:ascii="Calibri" w:eastAsia="宋体" w:hAnsi="Calibri" w:cs="Times New Roman" w:hint="eastAsia"/>
                <w:color w:val="000000"/>
                <w:kern w:val="2"/>
                <w:sz w:val="21"/>
                <w:szCs w:val="21"/>
                <w:lang w:eastAsia="zh-CN"/>
              </w:rPr>
              <w:t>设备</w:t>
            </w:r>
          </w:p>
        </w:tc>
        <w:tc>
          <w:tcPr>
            <w:tcW w:w="3795" w:type="dxa"/>
            <w:noWrap w:val="0"/>
            <w:vAlign w:val="top"/>
          </w:tcPr>
          <w:p>
            <w:pPr>
              <w:widowControl w:val="0"/>
              <w:jc w:val="center"/>
              <w:rPr>
                <w:rFonts w:ascii="Calibri" w:eastAsia="宋体" w:hAnsi="Calibri"/>
                <w:color w:val="000000"/>
                <w:kern w:val="2"/>
                <w:sz w:val="21"/>
                <w:szCs w:val="21"/>
                <w:lang w:eastAsia="zh-CN"/>
              </w:rPr>
            </w:pPr>
            <w:r>
              <w:rPr>
                <w:rFonts w:ascii="Calibri" w:eastAsia="宋体" w:hAnsi="Calibri" w:cs="Times New Roman" w:hint="eastAsia"/>
                <w:kern w:val="2"/>
                <w:sz w:val="21"/>
                <w:szCs w:val="22"/>
                <w:lang w:eastAsia="zh-CN"/>
              </w:rPr>
              <w:t>（填写相关内容）</w:t>
            </w:r>
          </w:p>
        </w:tc>
        <w:tc>
          <w:tcPr>
            <w:tcW w:w="2623" w:type="dxa"/>
            <w:noWrap w:val="0"/>
            <w:vAlign w:val="top"/>
          </w:tcPr>
          <w:p>
            <w:pPr>
              <w:widowControl w:val="0"/>
              <w:jc w:val="both"/>
              <w:rPr>
                <w:rFonts w:ascii="Calibri" w:eastAsia="宋体" w:hAnsi="Calibri"/>
                <w:color w:val="000000"/>
                <w:kern w:val="2"/>
                <w:sz w:val="21"/>
                <w:szCs w:val="21"/>
                <w:lang w:eastAsia="zh-CN"/>
              </w:rPr>
            </w:pPr>
          </w:p>
        </w:tc>
        <w:tc>
          <w:tcPr>
            <w:tcW w:w="710" w:type="dxa"/>
            <w:noWrap w:val="0"/>
            <w:vAlign w:val="top"/>
          </w:tcPr>
          <w:p>
            <w:pPr>
              <w:widowControl w:val="0"/>
              <w:jc w:val="both"/>
              <w:rPr>
                <w:rFonts w:ascii="Calibri" w:eastAsia="宋体" w:hAnsi="Calibri"/>
                <w:color w:val="000000"/>
                <w:kern w:val="2"/>
                <w:sz w:val="21"/>
                <w:szCs w:val="21"/>
                <w:lang w:eastAsia="zh-CN"/>
              </w:rPr>
            </w:pPr>
          </w:p>
        </w:tc>
        <w:tc>
          <w:tcPr>
            <w:tcW w:w="390" w:type="dxa"/>
            <w:noWrap w:val="0"/>
            <w:vAlign w:val="top"/>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noWrap w:val="0"/>
            <w:vAlign w:val="center"/>
          </w:tcPr>
          <w:p>
            <w:pPr>
              <w:widowControl w:val="0"/>
              <w:jc w:val="center"/>
              <w:rPr>
                <w:rFonts w:ascii="Calibri" w:eastAsia="宋体" w:hAnsi="Calibri"/>
                <w:color w:val="000000"/>
                <w:kern w:val="2"/>
                <w:sz w:val="21"/>
                <w:szCs w:val="21"/>
                <w:lang w:eastAsia="zh-CN"/>
              </w:rPr>
            </w:pPr>
          </w:p>
        </w:tc>
        <w:tc>
          <w:tcPr>
            <w:tcW w:w="772" w:type="dxa"/>
            <w:vMerge/>
            <w:noWrap w:val="0"/>
            <w:vAlign w:val="center"/>
          </w:tcPr>
          <w:p>
            <w:pPr>
              <w:widowControl w:val="0"/>
              <w:jc w:val="center"/>
              <w:rPr>
                <w:rFonts w:ascii="Calibri" w:eastAsia="宋体" w:hAnsi="Calibri"/>
                <w:color w:val="000000"/>
                <w:kern w:val="2"/>
                <w:sz w:val="21"/>
                <w:szCs w:val="21"/>
                <w:lang w:eastAsia="zh-CN"/>
              </w:rPr>
            </w:pPr>
          </w:p>
        </w:tc>
        <w:tc>
          <w:tcPr>
            <w:tcW w:w="3795" w:type="dxa"/>
            <w:noWrap w:val="0"/>
            <w:vAlign w:val="top"/>
          </w:tcPr>
          <w:p>
            <w:pPr>
              <w:widowControl w:val="0"/>
              <w:jc w:val="center"/>
              <w:rPr>
                <w:rFonts w:ascii="Calibri" w:eastAsia="宋体" w:hAnsi="Calibri"/>
                <w:color w:val="000000"/>
                <w:kern w:val="2"/>
                <w:sz w:val="21"/>
                <w:szCs w:val="21"/>
                <w:lang w:eastAsia="zh-CN"/>
              </w:rPr>
            </w:pPr>
            <w:r>
              <w:rPr>
                <w:rFonts w:ascii="Calibri" w:eastAsia="宋体" w:hAnsi="Calibri" w:cs="Times New Roman" w:hint="eastAsia"/>
                <w:kern w:val="2"/>
                <w:sz w:val="21"/>
                <w:szCs w:val="22"/>
                <w:lang w:eastAsia="zh-CN"/>
              </w:rPr>
              <w:t>（填写相关内容）</w:t>
            </w:r>
          </w:p>
        </w:tc>
        <w:tc>
          <w:tcPr>
            <w:tcW w:w="2623" w:type="dxa"/>
            <w:noWrap w:val="0"/>
            <w:vAlign w:val="top"/>
          </w:tcPr>
          <w:p>
            <w:pPr>
              <w:widowControl w:val="0"/>
              <w:jc w:val="both"/>
              <w:rPr>
                <w:rFonts w:ascii="Calibri" w:eastAsia="宋体" w:hAnsi="Calibri"/>
                <w:color w:val="000000"/>
                <w:kern w:val="2"/>
                <w:sz w:val="21"/>
                <w:szCs w:val="21"/>
                <w:lang w:eastAsia="zh-CN"/>
              </w:rPr>
            </w:pPr>
          </w:p>
        </w:tc>
        <w:tc>
          <w:tcPr>
            <w:tcW w:w="710" w:type="dxa"/>
            <w:noWrap w:val="0"/>
            <w:vAlign w:val="top"/>
          </w:tcPr>
          <w:p>
            <w:pPr>
              <w:widowControl w:val="0"/>
              <w:jc w:val="both"/>
              <w:rPr>
                <w:rFonts w:ascii="Calibri" w:eastAsia="宋体" w:hAnsi="Calibri"/>
                <w:color w:val="000000"/>
                <w:kern w:val="2"/>
                <w:sz w:val="21"/>
                <w:szCs w:val="21"/>
                <w:lang w:eastAsia="zh-CN"/>
              </w:rPr>
            </w:pPr>
          </w:p>
        </w:tc>
        <w:tc>
          <w:tcPr>
            <w:tcW w:w="390" w:type="dxa"/>
            <w:noWrap w:val="0"/>
            <w:vAlign w:val="top"/>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noWrap w:val="0"/>
            <w:vAlign w:val="center"/>
          </w:tcPr>
          <w:p>
            <w:pPr>
              <w:widowControl w:val="0"/>
              <w:jc w:val="center"/>
              <w:rPr>
                <w:rFonts w:ascii="Calibri" w:eastAsia="宋体" w:hAnsi="Calibri"/>
                <w:color w:val="000000"/>
                <w:kern w:val="2"/>
                <w:sz w:val="21"/>
                <w:szCs w:val="21"/>
                <w:lang w:eastAsia="zh-CN"/>
              </w:rPr>
            </w:pPr>
          </w:p>
        </w:tc>
        <w:tc>
          <w:tcPr>
            <w:tcW w:w="772" w:type="dxa"/>
            <w:vMerge/>
            <w:noWrap w:val="0"/>
            <w:vAlign w:val="center"/>
          </w:tcPr>
          <w:p>
            <w:pPr>
              <w:widowControl w:val="0"/>
              <w:jc w:val="center"/>
              <w:rPr>
                <w:rFonts w:ascii="Calibri" w:eastAsia="宋体" w:hAnsi="Calibri"/>
                <w:color w:val="000000"/>
                <w:kern w:val="2"/>
                <w:sz w:val="21"/>
                <w:szCs w:val="21"/>
                <w:lang w:eastAsia="zh-CN"/>
              </w:rPr>
            </w:pPr>
          </w:p>
        </w:tc>
        <w:tc>
          <w:tcPr>
            <w:tcW w:w="3795" w:type="dxa"/>
            <w:noWrap w:val="0"/>
            <w:vAlign w:val="top"/>
          </w:tcPr>
          <w:p>
            <w:pPr>
              <w:widowControl w:val="0"/>
              <w:jc w:val="center"/>
              <w:rPr>
                <w:rFonts w:ascii="Calibri" w:eastAsia="宋体" w:hAnsi="Calibri"/>
                <w:color w:val="000000"/>
                <w:kern w:val="2"/>
                <w:sz w:val="21"/>
                <w:szCs w:val="21"/>
                <w:lang w:eastAsia="zh-CN"/>
              </w:rPr>
            </w:pPr>
            <w:r>
              <w:rPr>
                <w:rFonts w:ascii="Calibri" w:eastAsia="宋体" w:hAnsi="Calibri" w:cs="Times New Roman" w:hint="eastAsia"/>
                <w:kern w:val="2"/>
                <w:sz w:val="21"/>
                <w:szCs w:val="22"/>
                <w:lang w:eastAsia="zh-CN"/>
              </w:rPr>
              <w:t>（填写相关内容）</w:t>
            </w:r>
          </w:p>
        </w:tc>
        <w:tc>
          <w:tcPr>
            <w:tcW w:w="2623" w:type="dxa"/>
            <w:noWrap w:val="0"/>
            <w:vAlign w:val="top"/>
          </w:tcPr>
          <w:p>
            <w:pPr>
              <w:widowControl w:val="0"/>
              <w:jc w:val="both"/>
              <w:rPr>
                <w:rFonts w:ascii="Calibri" w:eastAsia="宋体" w:hAnsi="Calibri"/>
                <w:color w:val="000000"/>
                <w:kern w:val="2"/>
                <w:sz w:val="21"/>
                <w:szCs w:val="21"/>
                <w:lang w:eastAsia="zh-CN"/>
              </w:rPr>
            </w:pPr>
          </w:p>
        </w:tc>
        <w:tc>
          <w:tcPr>
            <w:tcW w:w="710" w:type="dxa"/>
            <w:noWrap w:val="0"/>
            <w:vAlign w:val="top"/>
          </w:tcPr>
          <w:p>
            <w:pPr>
              <w:widowControl w:val="0"/>
              <w:jc w:val="both"/>
              <w:rPr>
                <w:rFonts w:ascii="Calibri" w:eastAsia="宋体" w:hAnsi="Calibri"/>
                <w:color w:val="000000"/>
                <w:kern w:val="2"/>
                <w:sz w:val="21"/>
                <w:szCs w:val="21"/>
                <w:lang w:eastAsia="zh-CN"/>
              </w:rPr>
            </w:pPr>
          </w:p>
        </w:tc>
        <w:tc>
          <w:tcPr>
            <w:tcW w:w="390" w:type="dxa"/>
            <w:noWrap w:val="0"/>
            <w:vAlign w:val="top"/>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noWrap w:val="0"/>
            <w:vAlign w:val="center"/>
          </w:tcPr>
          <w:p>
            <w:pPr>
              <w:widowControl w:val="0"/>
              <w:jc w:val="center"/>
              <w:rPr>
                <w:rFonts w:ascii="Calibri" w:eastAsia="宋体" w:hAnsi="Calibri"/>
                <w:color w:val="000000"/>
                <w:kern w:val="2"/>
                <w:sz w:val="21"/>
                <w:szCs w:val="21"/>
                <w:lang w:eastAsia="zh-CN"/>
              </w:rPr>
            </w:pPr>
          </w:p>
        </w:tc>
        <w:tc>
          <w:tcPr>
            <w:tcW w:w="772" w:type="dxa"/>
            <w:vMerge/>
            <w:noWrap w:val="0"/>
            <w:vAlign w:val="center"/>
          </w:tcPr>
          <w:p>
            <w:pPr>
              <w:widowControl w:val="0"/>
              <w:jc w:val="center"/>
              <w:rPr>
                <w:rFonts w:ascii="Calibri" w:eastAsia="宋体" w:hAnsi="Calibri"/>
                <w:color w:val="000000"/>
                <w:kern w:val="2"/>
                <w:sz w:val="21"/>
                <w:szCs w:val="21"/>
                <w:lang w:eastAsia="zh-CN"/>
              </w:rPr>
            </w:pPr>
          </w:p>
        </w:tc>
        <w:tc>
          <w:tcPr>
            <w:tcW w:w="3795" w:type="dxa"/>
            <w:noWrap w:val="0"/>
            <w:vAlign w:val="top"/>
          </w:tcPr>
          <w:p>
            <w:pPr>
              <w:widowControl w:val="0"/>
              <w:jc w:val="center"/>
              <w:rPr>
                <w:rFonts w:ascii="Calibri" w:eastAsia="宋体" w:hAnsi="Calibri"/>
                <w:color w:val="000000"/>
                <w:kern w:val="2"/>
                <w:sz w:val="21"/>
                <w:szCs w:val="21"/>
                <w:lang w:eastAsia="zh-CN"/>
              </w:rPr>
            </w:pPr>
            <w:r>
              <w:rPr>
                <w:rFonts w:ascii="Calibri" w:eastAsia="宋体" w:hAnsi="Calibri" w:cs="Times New Roman" w:hint="eastAsia"/>
                <w:kern w:val="2"/>
                <w:sz w:val="21"/>
                <w:szCs w:val="22"/>
                <w:lang w:eastAsia="zh-CN"/>
              </w:rPr>
              <w:t>（填写相关内容）</w:t>
            </w:r>
          </w:p>
        </w:tc>
        <w:tc>
          <w:tcPr>
            <w:tcW w:w="2623" w:type="dxa"/>
            <w:noWrap w:val="0"/>
            <w:vAlign w:val="top"/>
          </w:tcPr>
          <w:p>
            <w:pPr>
              <w:widowControl w:val="0"/>
              <w:jc w:val="both"/>
              <w:rPr>
                <w:rFonts w:ascii="Calibri" w:eastAsia="宋体" w:hAnsi="Calibri"/>
                <w:color w:val="000000"/>
                <w:kern w:val="2"/>
                <w:sz w:val="21"/>
                <w:szCs w:val="21"/>
                <w:lang w:eastAsia="zh-CN"/>
              </w:rPr>
            </w:pPr>
          </w:p>
        </w:tc>
        <w:tc>
          <w:tcPr>
            <w:tcW w:w="710" w:type="dxa"/>
            <w:noWrap w:val="0"/>
            <w:vAlign w:val="top"/>
          </w:tcPr>
          <w:p>
            <w:pPr>
              <w:widowControl w:val="0"/>
              <w:jc w:val="both"/>
              <w:rPr>
                <w:rFonts w:ascii="Calibri" w:eastAsia="宋体" w:hAnsi="Calibri"/>
                <w:color w:val="000000"/>
                <w:kern w:val="2"/>
                <w:sz w:val="21"/>
                <w:szCs w:val="21"/>
                <w:lang w:eastAsia="zh-CN"/>
              </w:rPr>
            </w:pPr>
          </w:p>
        </w:tc>
        <w:tc>
          <w:tcPr>
            <w:tcW w:w="390" w:type="dxa"/>
            <w:noWrap w:val="0"/>
            <w:vAlign w:val="top"/>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noWrap w:val="0"/>
            <w:vAlign w:val="center"/>
          </w:tcPr>
          <w:p>
            <w:pPr>
              <w:widowControl w:val="0"/>
              <w:jc w:val="center"/>
              <w:rPr>
                <w:rFonts w:ascii="Calibri" w:eastAsia="宋体" w:hAnsi="Calibri"/>
                <w:color w:val="000000"/>
                <w:kern w:val="2"/>
                <w:sz w:val="21"/>
                <w:szCs w:val="21"/>
                <w:lang w:eastAsia="zh-CN"/>
              </w:rPr>
            </w:pPr>
          </w:p>
        </w:tc>
        <w:tc>
          <w:tcPr>
            <w:tcW w:w="772" w:type="dxa"/>
            <w:vMerge/>
            <w:noWrap w:val="0"/>
            <w:vAlign w:val="center"/>
          </w:tcPr>
          <w:p>
            <w:pPr>
              <w:widowControl w:val="0"/>
              <w:jc w:val="center"/>
              <w:rPr>
                <w:rFonts w:ascii="Calibri" w:eastAsia="宋体" w:hAnsi="Calibri"/>
                <w:color w:val="000000"/>
                <w:kern w:val="2"/>
                <w:sz w:val="21"/>
                <w:szCs w:val="21"/>
                <w:lang w:eastAsia="zh-CN"/>
              </w:rPr>
            </w:pPr>
          </w:p>
        </w:tc>
        <w:tc>
          <w:tcPr>
            <w:tcW w:w="3795" w:type="dxa"/>
            <w:noWrap w:val="0"/>
            <w:vAlign w:val="top"/>
          </w:tcPr>
          <w:p>
            <w:pPr>
              <w:widowControl w:val="0"/>
              <w:jc w:val="center"/>
              <w:rPr>
                <w:rFonts w:ascii="Calibri" w:eastAsia="宋体" w:hAnsi="Calibri"/>
                <w:color w:val="000000"/>
                <w:kern w:val="2"/>
                <w:sz w:val="21"/>
                <w:szCs w:val="21"/>
                <w:lang w:eastAsia="zh-CN"/>
              </w:rPr>
            </w:pPr>
            <w:r>
              <w:rPr>
                <w:rFonts w:ascii="Calibri" w:eastAsia="宋体" w:hAnsi="Calibri" w:cs="Times New Roman" w:hint="eastAsia"/>
                <w:kern w:val="2"/>
                <w:sz w:val="21"/>
                <w:szCs w:val="22"/>
                <w:lang w:eastAsia="zh-CN"/>
              </w:rPr>
              <w:t>（填写相关内容）</w:t>
            </w:r>
          </w:p>
        </w:tc>
        <w:tc>
          <w:tcPr>
            <w:tcW w:w="2623" w:type="dxa"/>
            <w:noWrap w:val="0"/>
            <w:vAlign w:val="top"/>
          </w:tcPr>
          <w:p>
            <w:pPr>
              <w:widowControl w:val="0"/>
              <w:jc w:val="both"/>
              <w:rPr>
                <w:rFonts w:ascii="Calibri" w:eastAsia="宋体" w:hAnsi="Calibri"/>
                <w:color w:val="000000"/>
                <w:kern w:val="2"/>
                <w:sz w:val="21"/>
                <w:szCs w:val="21"/>
                <w:lang w:eastAsia="zh-CN"/>
              </w:rPr>
            </w:pPr>
          </w:p>
        </w:tc>
        <w:tc>
          <w:tcPr>
            <w:tcW w:w="710" w:type="dxa"/>
            <w:noWrap w:val="0"/>
            <w:vAlign w:val="top"/>
          </w:tcPr>
          <w:p>
            <w:pPr>
              <w:widowControl w:val="0"/>
              <w:jc w:val="both"/>
              <w:rPr>
                <w:rFonts w:ascii="Calibri" w:eastAsia="宋体" w:hAnsi="Calibri"/>
                <w:color w:val="000000"/>
                <w:kern w:val="2"/>
                <w:sz w:val="21"/>
                <w:szCs w:val="21"/>
                <w:lang w:eastAsia="zh-CN"/>
              </w:rPr>
            </w:pPr>
          </w:p>
        </w:tc>
        <w:tc>
          <w:tcPr>
            <w:tcW w:w="390" w:type="dxa"/>
            <w:noWrap w:val="0"/>
            <w:vAlign w:val="top"/>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noWrap w:val="0"/>
            <w:vAlign w:val="center"/>
          </w:tcPr>
          <w:p>
            <w:pPr>
              <w:widowControl w:val="0"/>
              <w:jc w:val="center"/>
              <w:rPr>
                <w:rFonts w:ascii="Calibri" w:eastAsia="宋体" w:hAnsi="Calibri"/>
                <w:color w:val="000000"/>
                <w:kern w:val="2"/>
                <w:sz w:val="21"/>
                <w:szCs w:val="21"/>
                <w:lang w:eastAsia="zh-CN"/>
              </w:rPr>
            </w:pPr>
          </w:p>
        </w:tc>
        <w:tc>
          <w:tcPr>
            <w:tcW w:w="772" w:type="dxa"/>
            <w:vMerge/>
            <w:noWrap w:val="0"/>
            <w:vAlign w:val="center"/>
          </w:tcPr>
          <w:p>
            <w:pPr>
              <w:widowControl w:val="0"/>
              <w:jc w:val="center"/>
              <w:rPr>
                <w:rFonts w:ascii="Calibri" w:eastAsia="宋体" w:hAnsi="Calibri"/>
                <w:color w:val="000000"/>
                <w:kern w:val="2"/>
                <w:sz w:val="21"/>
                <w:szCs w:val="21"/>
                <w:lang w:eastAsia="zh-CN"/>
              </w:rPr>
            </w:pPr>
          </w:p>
        </w:tc>
        <w:tc>
          <w:tcPr>
            <w:tcW w:w="3795" w:type="dxa"/>
            <w:noWrap w:val="0"/>
            <w:vAlign w:val="top"/>
          </w:tcPr>
          <w:p>
            <w:pPr>
              <w:widowControl w:val="0"/>
              <w:jc w:val="center"/>
              <w:rPr>
                <w:rFonts w:ascii="Calibri" w:eastAsia="宋体" w:hAnsi="Calibri"/>
                <w:color w:val="000000"/>
                <w:kern w:val="2"/>
                <w:sz w:val="21"/>
                <w:szCs w:val="21"/>
                <w:lang w:eastAsia="zh-CN"/>
              </w:rPr>
            </w:pPr>
            <w:r>
              <w:rPr>
                <w:rFonts w:ascii="宋体" w:eastAsia="宋体" w:hAnsi="宋体" w:cs="Times New Roman" w:hint="eastAsia"/>
                <w:color w:val="000000"/>
                <w:kern w:val="2"/>
                <w:sz w:val="21"/>
                <w:szCs w:val="21"/>
                <w:lang w:eastAsia="zh-CN"/>
              </w:rPr>
              <w:t>……</w:t>
            </w:r>
          </w:p>
        </w:tc>
        <w:tc>
          <w:tcPr>
            <w:tcW w:w="2623" w:type="dxa"/>
            <w:noWrap w:val="0"/>
            <w:vAlign w:val="top"/>
          </w:tcPr>
          <w:p>
            <w:pPr>
              <w:widowControl w:val="0"/>
              <w:jc w:val="both"/>
              <w:rPr>
                <w:rFonts w:ascii="Calibri" w:eastAsia="宋体" w:hAnsi="Calibri"/>
                <w:color w:val="000000"/>
                <w:kern w:val="2"/>
                <w:sz w:val="21"/>
                <w:szCs w:val="21"/>
                <w:lang w:eastAsia="zh-CN"/>
              </w:rPr>
            </w:pPr>
          </w:p>
        </w:tc>
        <w:tc>
          <w:tcPr>
            <w:tcW w:w="710" w:type="dxa"/>
            <w:noWrap w:val="0"/>
            <w:vAlign w:val="top"/>
          </w:tcPr>
          <w:p>
            <w:pPr>
              <w:widowControl w:val="0"/>
              <w:jc w:val="both"/>
              <w:rPr>
                <w:rFonts w:ascii="Calibri" w:eastAsia="宋体" w:hAnsi="Calibri"/>
                <w:color w:val="000000"/>
                <w:kern w:val="2"/>
                <w:sz w:val="21"/>
                <w:szCs w:val="21"/>
                <w:lang w:eastAsia="zh-CN"/>
              </w:rPr>
            </w:pPr>
          </w:p>
        </w:tc>
        <w:tc>
          <w:tcPr>
            <w:tcW w:w="390" w:type="dxa"/>
            <w:noWrap w:val="0"/>
            <w:vAlign w:val="top"/>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noWrap w:val="0"/>
            <w:vAlign w:val="center"/>
          </w:tcPr>
          <w:p>
            <w:pPr>
              <w:widowControl w:val="0"/>
              <w:jc w:val="center"/>
              <w:rPr>
                <w:rFonts w:ascii="Calibri" w:eastAsia="宋体" w:hAnsi="Calibri"/>
                <w:color w:val="000000"/>
                <w:kern w:val="2"/>
                <w:sz w:val="21"/>
                <w:szCs w:val="21"/>
                <w:lang w:eastAsia="zh-CN"/>
              </w:rPr>
            </w:pPr>
          </w:p>
        </w:tc>
        <w:tc>
          <w:tcPr>
            <w:tcW w:w="772" w:type="dxa"/>
            <w:vMerge/>
            <w:noWrap w:val="0"/>
            <w:vAlign w:val="center"/>
          </w:tcPr>
          <w:p>
            <w:pPr>
              <w:widowControl w:val="0"/>
              <w:jc w:val="center"/>
              <w:rPr>
                <w:rFonts w:ascii="Calibri" w:eastAsia="宋体" w:hAnsi="Calibri"/>
                <w:color w:val="000000"/>
                <w:kern w:val="2"/>
                <w:sz w:val="21"/>
                <w:szCs w:val="21"/>
                <w:lang w:eastAsia="zh-CN"/>
              </w:rPr>
            </w:pPr>
          </w:p>
        </w:tc>
        <w:tc>
          <w:tcPr>
            <w:tcW w:w="3795" w:type="dxa"/>
            <w:noWrap w:val="0"/>
            <w:vAlign w:val="top"/>
          </w:tcPr>
          <w:p>
            <w:pPr>
              <w:widowControl w:val="0"/>
              <w:jc w:val="center"/>
              <w:rPr>
                <w:rFonts w:ascii="Calibri" w:eastAsia="宋体" w:hAnsi="Calibri"/>
                <w:b/>
                <w:bCs/>
                <w:color w:val="000000"/>
                <w:kern w:val="2"/>
                <w:sz w:val="21"/>
                <w:szCs w:val="21"/>
                <w:lang w:eastAsia="zh-CN"/>
              </w:rPr>
            </w:pPr>
            <w:r>
              <w:rPr>
                <w:rFonts w:ascii="宋体" w:eastAsia="宋体" w:hAnsi="宋体" w:cs="Times New Roman" w:hint="eastAsia"/>
                <w:color w:val="000000"/>
                <w:kern w:val="2"/>
                <w:sz w:val="21"/>
                <w:szCs w:val="21"/>
                <w:lang w:eastAsia="zh-CN"/>
              </w:rPr>
              <w:t>……</w:t>
            </w:r>
          </w:p>
        </w:tc>
        <w:tc>
          <w:tcPr>
            <w:tcW w:w="2623" w:type="dxa"/>
            <w:noWrap w:val="0"/>
            <w:vAlign w:val="top"/>
          </w:tcPr>
          <w:p>
            <w:pPr>
              <w:widowControl w:val="0"/>
              <w:jc w:val="both"/>
              <w:rPr>
                <w:rFonts w:ascii="Calibri" w:eastAsia="宋体" w:hAnsi="Calibri"/>
                <w:b/>
                <w:bCs/>
                <w:color w:val="FF0000"/>
                <w:kern w:val="2"/>
                <w:sz w:val="21"/>
                <w:szCs w:val="21"/>
                <w:lang w:eastAsia="zh-CN"/>
              </w:rPr>
            </w:pPr>
          </w:p>
        </w:tc>
        <w:tc>
          <w:tcPr>
            <w:tcW w:w="710" w:type="dxa"/>
            <w:noWrap w:val="0"/>
            <w:vAlign w:val="top"/>
          </w:tcPr>
          <w:p>
            <w:pPr>
              <w:widowControl w:val="0"/>
              <w:jc w:val="both"/>
              <w:rPr>
                <w:rFonts w:ascii="Calibri" w:eastAsia="宋体" w:hAnsi="Calibri"/>
                <w:b/>
                <w:bCs/>
                <w:color w:val="FF0000"/>
                <w:kern w:val="2"/>
                <w:sz w:val="21"/>
                <w:szCs w:val="21"/>
                <w:lang w:eastAsia="zh-CN"/>
              </w:rPr>
            </w:pPr>
          </w:p>
        </w:tc>
        <w:tc>
          <w:tcPr>
            <w:tcW w:w="390" w:type="dxa"/>
            <w:noWrap w:val="0"/>
            <w:vAlign w:val="top"/>
          </w:tcPr>
          <w:p>
            <w:pPr>
              <w:widowControl w:val="0"/>
              <w:jc w:val="both"/>
              <w:rPr>
                <w:rFonts w:ascii="Calibri" w:eastAsia="宋体" w:hAnsi="Calibri"/>
                <w:b/>
                <w:bCs/>
                <w:color w:val="FF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noWrap w:val="0"/>
            <w:vAlign w:val="center"/>
          </w:tcPr>
          <w:p>
            <w:pPr>
              <w:widowControl w:val="0"/>
              <w:jc w:val="center"/>
              <w:rPr>
                <w:rFonts w:ascii="Calibri" w:eastAsia="宋体" w:hAnsi="Calibri"/>
                <w:color w:val="000000"/>
                <w:kern w:val="2"/>
                <w:sz w:val="21"/>
                <w:szCs w:val="21"/>
                <w:lang w:eastAsia="zh-CN"/>
              </w:rPr>
            </w:pPr>
          </w:p>
        </w:tc>
        <w:tc>
          <w:tcPr>
            <w:tcW w:w="772" w:type="dxa"/>
            <w:vMerge/>
            <w:noWrap w:val="0"/>
            <w:vAlign w:val="center"/>
          </w:tcPr>
          <w:p>
            <w:pPr>
              <w:widowControl w:val="0"/>
              <w:jc w:val="center"/>
              <w:rPr>
                <w:rFonts w:ascii="Calibri" w:eastAsia="宋体" w:hAnsi="Calibri"/>
                <w:color w:val="000000"/>
                <w:kern w:val="2"/>
                <w:sz w:val="21"/>
                <w:szCs w:val="21"/>
                <w:lang w:eastAsia="zh-CN"/>
              </w:rPr>
            </w:pPr>
          </w:p>
        </w:tc>
        <w:tc>
          <w:tcPr>
            <w:tcW w:w="3795" w:type="dxa"/>
            <w:noWrap w:val="0"/>
            <w:vAlign w:val="top"/>
          </w:tcPr>
          <w:p>
            <w:pPr>
              <w:widowControl w:val="0"/>
              <w:jc w:val="center"/>
              <w:rPr>
                <w:rFonts w:ascii="Calibri" w:eastAsia="宋体" w:hAnsi="Calibri"/>
                <w:color w:val="000000"/>
                <w:kern w:val="2"/>
                <w:sz w:val="21"/>
                <w:szCs w:val="21"/>
                <w:lang w:eastAsia="zh-CN"/>
              </w:rPr>
            </w:pPr>
            <w:r>
              <w:rPr>
                <w:rFonts w:ascii="宋体" w:eastAsia="宋体" w:hAnsi="宋体" w:cs="Times New Roman" w:hint="eastAsia"/>
                <w:color w:val="000000"/>
                <w:kern w:val="2"/>
                <w:sz w:val="21"/>
                <w:szCs w:val="21"/>
                <w:lang w:eastAsia="zh-CN"/>
              </w:rPr>
              <w:t>……</w:t>
            </w:r>
          </w:p>
        </w:tc>
        <w:tc>
          <w:tcPr>
            <w:tcW w:w="2623" w:type="dxa"/>
            <w:noWrap w:val="0"/>
            <w:vAlign w:val="top"/>
          </w:tcPr>
          <w:p>
            <w:pPr>
              <w:widowControl w:val="0"/>
              <w:jc w:val="both"/>
              <w:rPr>
                <w:rFonts w:ascii="Calibri" w:eastAsia="宋体" w:hAnsi="Calibri"/>
                <w:color w:val="000000"/>
                <w:kern w:val="2"/>
                <w:sz w:val="21"/>
                <w:szCs w:val="21"/>
                <w:lang w:eastAsia="zh-CN"/>
              </w:rPr>
            </w:pPr>
          </w:p>
        </w:tc>
        <w:tc>
          <w:tcPr>
            <w:tcW w:w="710" w:type="dxa"/>
            <w:noWrap w:val="0"/>
            <w:vAlign w:val="top"/>
          </w:tcPr>
          <w:p>
            <w:pPr>
              <w:widowControl w:val="0"/>
              <w:jc w:val="both"/>
              <w:rPr>
                <w:rFonts w:ascii="Calibri" w:eastAsia="宋体" w:hAnsi="Calibri"/>
                <w:color w:val="000000"/>
                <w:kern w:val="2"/>
                <w:sz w:val="21"/>
                <w:szCs w:val="21"/>
                <w:lang w:eastAsia="zh-CN"/>
              </w:rPr>
            </w:pPr>
          </w:p>
        </w:tc>
        <w:tc>
          <w:tcPr>
            <w:tcW w:w="390" w:type="dxa"/>
            <w:noWrap w:val="0"/>
            <w:vAlign w:val="top"/>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65"/>
        </w:trPr>
        <w:tc>
          <w:tcPr>
            <w:tcW w:w="464" w:type="dxa"/>
            <w:vMerge w:val="restart"/>
            <w:noWrap w:val="0"/>
            <w:vAlign w:val="center"/>
          </w:tcPr>
          <w:p>
            <w:pPr>
              <w:widowControl w:val="0"/>
              <w:jc w:val="center"/>
              <w:rPr>
                <w:rFonts w:ascii="Calibri" w:eastAsia="宋体" w:hAnsi="Calibri"/>
                <w:color w:val="000000"/>
                <w:kern w:val="2"/>
                <w:sz w:val="21"/>
                <w:szCs w:val="21"/>
                <w:lang w:eastAsia="zh-CN"/>
              </w:rPr>
            </w:pPr>
            <w:r>
              <w:rPr>
                <w:rFonts w:ascii="Calibri" w:eastAsia="宋体" w:hAnsi="Calibri" w:cs="Times New Roman" w:hint="eastAsia"/>
                <w:color w:val="000000"/>
                <w:kern w:val="2"/>
                <w:sz w:val="21"/>
                <w:szCs w:val="21"/>
                <w:lang w:eastAsia="zh-CN"/>
              </w:rPr>
              <w:t>2</w:t>
            </w:r>
          </w:p>
        </w:tc>
        <w:tc>
          <w:tcPr>
            <w:tcW w:w="772" w:type="dxa"/>
            <w:vMerge w:val="restart"/>
            <w:noWrap w:val="0"/>
            <w:vAlign w:val="center"/>
          </w:tcPr>
          <w:p>
            <w:pPr>
              <w:widowControl w:val="0"/>
              <w:jc w:val="center"/>
              <w:rPr>
                <w:rFonts w:ascii="Calibri" w:eastAsia="宋体" w:hAnsi="Calibri"/>
                <w:color w:val="000000"/>
                <w:kern w:val="2"/>
                <w:sz w:val="21"/>
                <w:szCs w:val="21"/>
                <w:lang w:eastAsia="zh-CN"/>
              </w:rPr>
            </w:pPr>
            <w:r>
              <w:rPr>
                <w:rFonts w:ascii="Calibri" w:eastAsia="宋体" w:hAnsi="Calibri" w:cs="Times New Roman" w:hint="eastAsia"/>
                <w:color w:val="000000"/>
                <w:kern w:val="2"/>
                <w:sz w:val="21"/>
                <w:szCs w:val="21"/>
                <w:lang w:eastAsia="zh-CN"/>
              </w:rPr>
              <w:t>*</w:t>
            </w:r>
            <w:r>
              <w:rPr>
                <w:rFonts w:ascii="Calibri" w:eastAsia="宋体" w:hAnsi="Calibri" w:cs="Times New Roman"/>
                <w:color w:val="000000"/>
                <w:kern w:val="2"/>
                <w:sz w:val="21"/>
                <w:szCs w:val="21"/>
                <w:lang w:eastAsia="zh-CN"/>
              </w:rPr>
              <w:t>*</w:t>
            </w:r>
            <w:r>
              <w:rPr>
                <w:rFonts w:ascii="Calibri" w:eastAsia="宋体" w:hAnsi="Calibri" w:cs="Times New Roman" w:hint="eastAsia"/>
                <w:color w:val="000000"/>
                <w:kern w:val="2"/>
                <w:sz w:val="21"/>
                <w:szCs w:val="21"/>
                <w:lang w:eastAsia="zh-CN"/>
              </w:rPr>
              <w:t>设备</w:t>
            </w:r>
          </w:p>
        </w:tc>
        <w:tc>
          <w:tcPr>
            <w:tcW w:w="3795" w:type="dxa"/>
            <w:noWrap w:val="0"/>
            <w:vAlign w:val="top"/>
          </w:tcPr>
          <w:p>
            <w:pPr>
              <w:widowControl w:val="0"/>
              <w:jc w:val="center"/>
              <w:rPr>
                <w:rFonts w:ascii="Calibri" w:eastAsia="宋体" w:hAnsi="Calibri"/>
                <w:b/>
                <w:bCs/>
                <w:color w:val="000000"/>
                <w:kern w:val="2"/>
                <w:sz w:val="21"/>
                <w:szCs w:val="21"/>
                <w:lang w:eastAsia="zh-CN"/>
              </w:rPr>
            </w:pPr>
            <w:r>
              <w:rPr>
                <w:rFonts w:ascii="Calibri" w:eastAsia="宋体" w:hAnsi="Calibri" w:cs="Times New Roman" w:hint="eastAsia"/>
                <w:kern w:val="2"/>
                <w:sz w:val="21"/>
                <w:szCs w:val="22"/>
                <w:lang w:eastAsia="zh-CN"/>
              </w:rPr>
              <w:t>（填写相关内容）</w:t>
            </w:r>
          </w:p>
        </w:tc>
        <w:tc>
          <w:tcPr>
            <w:tcW w:w="2623" w:type="dxa"/>
            <w:noWrap w:val="0"/>
            <w:vAlign w:val="top"/>
          </w:tcPr>
          <w:p>
            <w:pPr>
              <w:widowControl w:val="0"/>
              <w:jc w:val="both"/>
              <w:rPr>
                <w:rFonts w:ascii="Calibri" w:eastAsia="宋体" w:hAnsi="Calibri"/>
                <w:b/>
                <w:bCs/>
                <w:color w:val="FF0000"/>
                <w:kern w:val="2"/>
                <w:sz w:val="21"/>
                <w:szCs w:val="21"/>
                <w:lang w:eastAsia="zh-CN"/>
              </w:rPr>
            </w:pPr>
          </w:p>
        </w:tc>
        <w:tc>
          <w:tcPr>
            <w:tcW w:w="710" w:type="dxa"/>
            <w:noWrap w:val="0"/>
            <w:vAlign w:val="top"/>
          </w:tcPr>
          <w:p>
            <w:pPr>
              <w:widowControl w:val="0"/>
              <w:jc w:val="both"/>
              <w:rPr>
                <w:rFonts w:ascii="Calibri" w:eastAsia="宋体" w:hAnsi="Calibri"/>
                <w:b/>
                <w:bCs/>
                <w:color w:val="FF0000"/>
                <w:kern w:val="2"/>
                <w:sz w:val="21"/>
                <w:szCs w:val="21"/>
                <w:lang w:eastAsia="zh-CN"/>
              </w:rPr>
            </w:pPr>
          </w:p>
        </w:tc>
        <w:tc>
          <w:tcPr>
            <w:tcW w:w="390" w:type="dxa"/>
            <w:noWrap w:val="0"/>
            <w:vAlign w:val="top"/>
          </w:tcPr>
          <w:p>
            <w:pPr>
              <w:widowControl w:val="0"/>
              <w:jc w:val="both"/>
              <w:rPr>
                <w:rFonts w:ascii="Calibri" w:eastAsia="宋体" w:hAnsi="Calibri"/>
                <w:b/>
                <w:bCs/>
                <w:color w:val="FF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170"/>
        </w:trPr>
        <w:tc>
          <w:tcPr>
            <w:tcW w:w="464" w:type="dxa"/>
            <w:vMerge/>
            <w:noWrap w:val="0"/>
            <w:vAlign w:val="top"/>
          </w:tcPr>
          <w:p>
            <w:pPr>
              <w:widowControl w:val="0"/>
              <w:jc w:val="center"/>
              <w:rPr>
                <w:rFonts w:ascii="Calibri" w:eastAsia="宋体" w:hAnsi="Calibri"/>
                <w:color w:val="000000"/>
                <w:kern w:val="2"/>
                <w:sz w:val="21"/>
                <w:szCs w:val="21"/>
                <w:lang w:eastAsia="zh-CN"/>
              </w:rPr>
            </w:pPr>
          </w:p>
        </w:tc>
        <w:tc>
          <w:tcPr>
            <w:tcW w:w="772" w:type="dxa"/>
            <w:vMerge/>
            <w:noWrap w:val="0"/>
            <w:vAlign w:val="top"/>
          </w:tcPr>
          <w:p>
            <w:pPr>
              <w:widowControl w:val="0"/>
              <w:jc w:val="both"/>
              <w:rPr>
                <w:rFonts w:ascii="Calibri" w:eastAsia="宋体" w:hAnsi="Calibri"/>
                <w:color w:val="000000"/>
                <w:kern w:val="2"/>
                <w:sz w:val="21"/>
                <w:szCs w:val="21"/>
                <w:lang w:eastAsia="zh-CN"/>
              </w:rPr>
            </w:pPr>
          </w:p>
        </w:tc>
        <w:tc>
          <w:tcPr>
            <w:tcW w:w="3795" w:type="dxa"/>
            <w:noWrap w:val="0"/>
            <w:vAlign w:val="top"/>
          </w:tcPr>
          <w:p>
            <w:pPr>
              <w:widowControl w:val="0"/>
              <w:jc w:val="center"/>
              <w:rPr>
                <w:rFonts w:ascii="Calibri" w:eastAsia="宋体" w:hAnsi="Calibri"/>
                <w:color w:val="000000"/>
                <w:kern w:val="2"/>
                <w:sz w:val="21"/>
                <w:szCs w:val="21"/>
                <w:lang w:eastAsia="zh-CN"/>
              </w:rPr>
            </w:pPr>
            <w:r>
              <w:rPr>
                <w:rFonts w:ascii="Calibri" w:eastAsia="宋体" w:hAnsi="Calibri" w:cs="Times New Roman" w:hint="eastAsia"/>
                <w:kern w:val="2"/>
                <w:sz w:val="21"/>
                <w:szCs w:val="22"/>
                <w:lang w:eastAsia="zh-CN"/>
              </w:rPr>
              <w:t>（填写相关内容）</w:t>
            </w:r>
          </w:p>
        </w:tc>
        <w:tc>
          <w:tcPr>
            <w:tcW w:w="2623" w:type="dxa"/>
            <w:noWrap w:val="0"/>
            <w:vAlign w:val="top"/>
          </w:tcPr>
          <w:p>
            <w:pPr>
              <w:widowControl w:val="0"/>
              <w:jc w:val="both"/>
              <w:rPr>
                <w:rFonts w:ascii="Calibri" w:eastAsia="宋体" w:hAnsi="Calibri"/>
                <w:color w:val="000000"/>
                <w:kern w:val="2"/>
                <w:sz w:val="21"/>
                <w:szCs w:val="21"/>
                <w:lang w:eastAsia="zh-CN"/>
              </w:rPr>
            </w:pPr>
          </w:p>
        </w:tc>
        <w:tc>
          <w:tcPr>
            <w:tcW w:w="710" w:type="dxa"/>
            <w:noWrap w:val="0"/>
            <w:vAlign w:val="top"/>
          </w:tcPr>
          <w:p>
            <w:pPr>
              <w:widowControl w:val="0"/>
              <w:jc w:val="both"/>
              <w:rPr>
                <w:rFonts w:ascii="Calibri" w:eastAsia="宋体" w:hAnsi="Calibri"/>
                <w:color w:val="000000"/>
                <w:kern w:val="2"/>
                <w:sz w:val="21"/>
                <w:szCs w:val="21"/>
                <w:lang w:eastAsia="zh-CN"/>
              </w:rPr>
            </w:pPr>
          </w:p>
        </w:tc>
        <w:tc>
          <w:tcPr>
            <w:tcW w:w="390" w:type="dxa"/>
            <w:noWrap w:val="0"/>
            <w:vAlign w:val="top"/>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32"/>
        </w:trPr>
        <w:tc>
          <w:tcPr>
            <w:tcW w:w="464" w:type="dxa"/>
            <w:vMerge/>
            <w:noWrap w:val="0"/>
            <w:vAlign w:val="top"/>
          </w:tcPr>
          <w:p>
            <w:pPr>
              <w:widowControl w:val="0"/>
              <w:jc w:val="center"/>
              <w:rPr>
                <w:rFonts w:ascii="Calibri" w:eastAsia="宋体" w:hAnsi="Calibri"/>
                <w:color w:val="000000"/>
                <w:kern w:val="2"/>
                <w:sz w:val="21"/>
                <w:szCs w:val="21"/>
                <w:lang w:eastAsia="zh-CN"/>
              </w:rPr>
            </w:pPr>
          </w:p>
        </w:tc>
        <w:tc>
          <w:tcPr>
            <w:tcW w:w="772" w:type="dxa"/>
            <w:vMerge/>
            <w:noWrap w:val="0"/>
            <w:vAlign w:val="top"/>
          </w:tcPr>
          <w:p>
            <w:pPr>
              <w:widowControl w:val="0"/>
              <w:jc w:val="both"/>
              <w:rPr>
                <w:rFonts w:ascii="Calibri" w:eastAsia="宋体" w:hAnsi="Calibri"/>
                <w:color w:val="000000"/>
                <w:kern w:val="2"/>
                <w:sz w:val="21"/>
                <w:szCs w:val="21"/>
                <w:lang w:eastAsia="zh-CN"/>
              </w:rPr>
            </w:pPr>
          </w:p>
        </w:tc>
        <w:tc>
          <w:tcPr>
            <w:tcW w:w="3795" w:type="dxa"/>
            <w:noWrap w:val="0"/>
            <w:vAlign w:val="top"/>
          </w:tcPr>
          <w:p>
            <w:pPr>
              <w:widowControl w:val="0"/>
              <w:jc w:val="center"/>
              <w:rPr>
                <w:rFonts w:ascii="Calibri" w:eastAsia="宋体" w:hAnsi="Calibri"/>
                <w:color w:val="000000"/>
                <w:kern w:val="2"/>
                <w:sz w:val="21"/>
                <w:szCs w:val="21"/>
                <w:lang w:eastAsia="zh-CN"/>
              </w:rPr>
            </w:pPr>
            <w:r>
              <w:rPr>
                <w:rFonts w:ascii="Calibri" w:eastAsia="宋体" w:hAnsi="Calibri" w:cs="Times New Roman" w:hint="eastAsia"/>
                <w:kern w:val="2"/>
                <w:sz w:val="21"/>
                <w:szCs w:val="22"/>
                <w:lang w:eastAsia="zh-CN"/>
              </w:rPr>
              <w:t>（填写相关内容）</w:t>
            </w:r>
          </w:p>
        </w:tc>
        <w:tc>
          <w:tcPr>
            <w:tcW w:w="2623" w:type="dxa"/>
            <w:noWrap w:val="0"/>
            <w:vAlign w:val="top"/>
          </w:tcPr>
          <w:p>
            <w:pPr>
              <w:widowControl w:val="0"/>
              <w:jc w:val="both"/>
              <w:rPr>
                <w:rFonts w:ascii="Calibri" w:eastAsia="宋体" w:hAnsi="Calibri"/>
                <w:color w:val="000000"/>
                <w:kern w:val="2"/>
                <w:sz w:val="21"/>
                <w:szCs w:val="21"/>
                <w:lang w:eastAsia="zh-CN"/>
              </w:rPr>
            </w:pPr>
          </w:p>
        </w:tc>
        <w:tc>
          <w:tcPr>
            <w:tcW w:w="710" w:type="dxa"/>
            <w:noWrap w:val="0"/>
            <w:vAlign w:val="top"/>
          </w:tcPr>
          <w:p>
            <w:pPr>
              <w:widowControl w:val="0"/>
              <w:jc w:val="both"/>
              <w:rPr>
                <w:rFonts w:ascii="Calibri" w:eastAsia="宋体" w:hAnsi="Calibri"/>
                <w:color w:val="000000"/>
                <w:kern w:val="2"/>
                <w:sz w:val="21"/>
                <w:szCs w:val="21"/>
                <w:lang w:eastAsia="zh-CN"/>
              </w:rPr>
            </w:pPr>
          </w:p>
        </w:tc>
        <w:tc>
          <w:tcPr>
            <w:tcW w:w="390" w:type="dxa"/>
            <w:noWrap w:val="0"/>
            <w:vAlign w:val="top"/>
          </w:tcPr>
          <w:p>
            <w:pPr>
              <w:widowControl w:val="0"/>
              <w:jc w:val="both"/>
              <w:rPr>
                <w:rFonts w:ascii="Calibri" w:eastAsia="宋体" w:hAnsi="Calibri"/>
                <w:color w:val="000000"/>
                <w:kern w:val="2"/>
                <w:sz w:val="21"/>
                <w:szCs w:val="21"/>
                <w:lang w:eastAsia="zh-CN"/>
              </w:rPr>
            </w:pPr>
          </w:p>
        </w:tc>
      </w:tr>
      <w:tr>
        <w:tblPrEx>
          <w:tblW w:w="5000" w:type="pct"/>
          <w:tblInd w:w="-37" w:type="dxa"/>
          <w:tblLayout w:type="fixed"/>
          <w:tblCellMar>
            <w:top w:w="0" w:type="dxa"/>
            <w:left w:w="108" w:type="dxa"/>
            <w:bottom w:w="0" w:type="dxa"/>
            <w:right w:w="108" w:type="dxa"/>
          </w:tblCellMar>
        </w:tblPrEx>
        <w:trPr>
          <w:trHeight w:val="20"/>
        </w:trPr>
        <w:tc>
          <w:tcPr>
            <w:tcW w:w="464" w:type="dxa"/>
            <w:vMerge/>
            <w:noWrap w:val="0"/>
            <w:vAlign w:val="top"/>
          </w:tcPr>
          <w:p>
            <w:pPr>
              <w:widowControl w:val="0"/>
              <w:jc w:val="center"/>
              <w:rPr>
                <w:rFonts w:ascii="Calibri" w:eastAsia="宋体" w:hAnsi="Calibri"/>
                <w:color w:val="000000"/>
                <w:kern w:val="2"/>
                <w:sz w:val="21"/>
                <w:szCs w:val="21"/>
                <w:lang w:eastAsia="zh-CN"/>
              </w:rPr>
            </w:pPr>
          </w:p>
        </w:tc>
        <w:tc>
          <w:tcPr>
            <w:tcW w:w="772" w:type="dxa"/>
            <w:vMerge/>
            <w:noWrap w:val="0"/>
            <w:vAlign w:val="top"/>
          </w:tcPr>
          <w:p>
            <w:pPr>
              <w:widowControl w:val="0"/>
              <w:jc w:val="both"/>
              <w:rPr>
                <w:rFonts w:ascii="Calibri" w:eastAsia="宋体" w:hAnsi="Calibri"/>
                <w:color w:val="000000"/>
                <w:kern w:val="2"/>
                <w:sz w:val="21"/>
                <w:szCs w:val="21"/>
                <w:lang w:eastAsia="zh-CN"/>
              </w:rPr>
            </w:pPr>
          </w:p>
        </w:tc>
        <w:tc>
          <w:tcPr>
            <w:tcW w:w="3795" w:type="dxa"/>
            <w:noWrap w:val="0"/>
            <w:vAlign w:val="top"/>
          </w:tcPr>
          <w:p>
            <w:pPr>
              <w:widowControl w:val="0"/>
              <w:jc w:val="center"/>
              <w:rPr>
                <w:rFonts w:ascii="Calibri" w:eastAsia="宋体" w:hAnsi="Calibri"/>
                <w:color w:val="000000"/>
                <w:kern w:val="2"/>
                <w:sz w:val="21"/>
                <w:szCs w:val="21"/>
                <w:lang w:eastAsia="zh-CN"/>
              </w:rPr>
            </w:pPr>
            <w:r>
              <w:rPr>
                <w:rFonts w:ascii="宋体" w:eastAsia="宋体" w:hAnsi="宋体" w:cs="Times New Roman" w:hint="eastAsia"/>
                <w:color w:val="000000"/>
                <w:kern w:val="2"/>
                <w:sz w:val="21"/>
                <w:szCs w:val="21"/>
                <w:lang w:eastAsia="zh-CN"/>
              </w:rPr>
              <w:t>……</w:t>
            </w:r>
          </w:p>
        </w:tc>
        <w:tc>
          <w:tcPr>
            <w:tcW w:w="2623" w:type="dxa"/>
            <w:noWrap w:val="0"/>
            <w:vAlign w:val="top"/>
          </w:tcPr>
          <w:p>
            <w:pPr>
              <w:widowControl w:val="0"/>
              <w:jc w:val="both"/>
              <w:rPr>
                <w:rFonts w:ascii="Calibri" w:eastAsia="宋体" w:hAnsi="Calibri"/>
                <w:color w:val="000000"/>
                <w:kern w:val="2"/>
                <w:sz w:val="21"/>
                <w:szCs w:val="21"/>
                <w:lang w:eastAsia="zh-CN"/>
              </w:rPr>
            </w:pPr>
          </w:p>
        </w:tc>
        <w:tc>
          <w:tcPr>
            <w:tcW w:w="710" w:type="dxa"/>
            <w:noWrap w:val="0"/>
            <w:vAlign w:val="top"/>
          </w:tcPr>
          <w:p>
            <w:pPr>
              <w:widowControl w:val="0"/>
              <w:jc w:val="both"/>
              <w:rPr>
                <w:rFonts w:ascii="Calibri" w:eastAsia="宋体" w:hAnsi="Calibri"/>
                <w:color w:val="000000"/>
                <w:kern w:val="2"/>
                <w:sz w:val="21"/>
                <w:szCs w:val="21"/>
                <w:lang w:eastAsia="zh-CN"/>
              </w:rPr>
            </w:pPr>
          </w:p>
        </w:tc>
        <w:tc>
          <w:tcPr>
            <w:tcW w:w="390" w:type="dxa"/>
            <w:noWrap w:val="0"/>
            <w:vAlign w:val="top"/>
          </w:tcPr>
          <w:p>
            <w:pPr>
              <w:widowControl w:val="0"/>
              <w:jc w:val="both"/>
              <w:rPr>
                <w:rFonts w:ascii="Calibri" w:eastAsia="宋体" w:hAnsi="Calibri"/>
                <w:color w:val="000000"/>
                <w:kern w:val="2"/>
                <w:sz w:val="21"/>
                <w:szCs w:val="21"/>
                <w:lang w:eastAsia="zh-CN"/>
              </w:rPr>
            </w:pPr>
          </w:p>
        </w:tc>
      </w:tr>
    </w:tbl>
    <w:p>
      <w:pPr>
        <w:widowControl w:val="0"/>
        <w:jc w:val="both"/>
        <w:rPr>
          <w:rFonts w:ascii="Calibri" w:eastAsia="宋体" w:hAnsi="Calibri"/>
          <w:kern w:val="2"/>
          <w:szCs w:val="22"/>
          <w:lang w:eastAsia="zh-CN"/>
        </w:rPr>
      </w:pPr>
    </w:p>
    <w:p>
      <w:pPr>
        <w:widowControl w:val="0"/>
        <w:jc w:val="both"/>
        <w:rPr>
          <w:rFonts w:ascii="Calibri" w:eastAsia="宋体" w:hAnsi="Calibri"/>
          <w:kern w:val="2"/>
          <w:sz w:val="21"/>
          <w:szCs w:val="21"/>
          <w:lang w:eastAsia="zh-CN"/>
        </w:rPr>
      </w:pPr>
      <w:bookmarkStart w:id="45" w:name="_Hlk72095977"/>
      <w:r>
        <w:rPr>
          <w:rFonts w:ascii="Calibri" w:eastAsia="宋体" w:hAnsi="Calibri" w:cs="Times New Roman" w:hint="eastAsia"/>
          <w:kern w:val="2"/>
          <w:sz w:val="21"/>
          <w:szCs w:val="21"/>
          <w:lang w:eastAsia="zh-CN"/>
        </w:rPr>
        <w:t>证明资料【如有的话，提供的证明资料应统一编号（排序），格式自定】</w:t>
      </w:r>
      <w:bookmarkEnd w:id="45"/>
      <w:r>
        <w:rPr>
          <w:rFonts w:ascii="Calibri" w:eastAsia="宋体" w:hAnsi="Calibri" w:cs="Times New Roman" w:hint="eastAsia"/>
          <w:kern w:val="2"/>
          <w:sz w:val="21"/>
          <w:szCs w:val="21"/>
          <w:lang w:eastAsia="zh-CN"/>
        </w:rPr>
        <w:t>：</w:t>
      </w:r>
    </w:p>
    <w:p>
      <w:pPr>
        <w:widowControl w:val="0"/>
        <w:jc w:val="both"/>
        <w:rPr>
          <w:rFonts w:ascii="Calibri" w:eastAsia="宋体" w:hAnsi="Calibri"/>
          <w:b/>
          <w:kern w:val="2"/>
          <w:sz w:val="21"/>
          <w:szCs w:val="21"/>
          <w:lang w:eastAsia="zh-CN"/>
        </w:rPr>
      </w:pPr>
    </w:p>
    <w:p>
      <w:pPr>
        <w:widowControl w:val="0"/>
        <w:ind w:firstLine="420" w:firstLineChars="200"/>
        <w:jc w:val="both"/>
        <w:rPr>
          <w:rFonts w:ascii="Calibri" w:eastAsia="宋体" w:hAnsi="Calibri"/>
          <w:bCs/>
          <w:kern w:val="2"/>
          <w:sz w:val="21"/>
          <w:szCs w:val="21"/>
          <w:lang w:eastAsia="zh-CN"/>
        </w:rPr>
      </w:pPr>
      <w:r>
        <w:rPr>
          <w:rFonts w:ascii="Calibri" w:eastAsia="宋体" w:hAnsi="Calibri" w:cs="Times New Roman" w:hint="eastAsia"/>
          <w:bCs/>
          <w:kern w:val="2"/>
          <w:sz w:val="21"/>
          <w:szCs w:val="21"/>
          <w:lang w:eastAsia="zh-CN"/>
        </w:rPr>
        <w:t>《技术要求偏离表》编制指引：</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imes New Roman" w:hint="eastAsia"/>
          <w:bCs/>
          <w:kern w:val="2"/>
          <w:sz w:val="21"/>
          <w:szCs w:val="21"/>
          <w:lang w:eastAsia="zh-CN"/>
        </w:rPr>
        <w:t>1、技术要求偏离表的序号、货物名称、招标技术要求等栏目</w:t>
      </w:r>
      <w:bookmarkStart w:id="46" w:name="_Hlk72094407"/>
      <w:r>
        <w:rPr>
          <w:rFonts w:ascii="Calibri" w:eastAsia="宋体" w:hAnsi="Calibri" w:cs="Times New Roman" w:hint="eastAsia"/>
          <w:bCs/>
          <w:kern w:val="2"/>
          <w:sz w:val="21"/>
          <w:szCs w:val="21"/>
          <w:lang w:eastAsia="zh-CN"/>
        </w:rPr>
        <w:t>对应“用户需求书”中的“技术要求”章节</w:t>
      </w:r>
      <w:bookmarkEnd w:id="46"/>
      <w:r>
        <w:rPr>
          <w:rFonts w:ascii="Calibri" w:eastAsia="宋体" w:hAnsi="Calibri" w:cs="Times New Roman" w:hint="eastAsia"/>
          <w:bCs/>
          <w:kern w:val="2"/>
          <w:sz w:val="21"/>
          <w:szCs w:val="21"/>
          <w:lang w:eastAsia="zh-CN"/>
        </w:rPr>
        <w:t>相关内容。</w:t>
      </w:r>
    </w:p>
    <w:p>
      <w:pPr>
        <w:widowControl/>
        <w:spacing w:before="100" w:beforeAutospacing="0" w:afterAutospacing="0"/>
        <w:ind w:firstLine="420" w:firstLineChars="200"/>
        <w:jc w:val="both"/>
        <w:outlineLvl w:val="1"/>
        <w:rPr>
          <w:rFonts w:eastAsia="宋体"/>
          <w:bCs/>
          <w:color w:val="FF0000"/>
          <w:kern w:val="2"/>
          <w:sz w:val="21"/>
          <w:szCs w:val="21"/>
          <w:lang w:eastAsia="zh-CN"/>
        </w:rPr>
      </w:pPr>
      <w:r>
        <w:rPr>
          <w:rFonts w:ascii="宋体" w:eastAsia="宋体" w:hAnsi="宋体" w:cs="Times New Roman"/>
          <w:bCs/>
          <w:kern w:val="2"/>
          <w:sz w:val="21"/>
          <w:szCs w:val="21"/>
          <w:lang w:eastAsia="zh-CN"/>
        </w:rPr>
        <w:t>2</w:t>
      </w:r>
      <w:r>
        <w:rPr>
          <w:rFonts w:ascii="宋体" w:eastAsia="宋体" w:hAnsi="宋体" w:cs="Times New Roman" w:hint="eastAsia"/>
          <w:bCs/>
          <w:kern w:val="2"/>
          <w:sz w:val="21"/>
          <w:szCs w:val="21"/>
          <w:lang w:eastAsia="zh-CN"/>
        </w:rPr>
        <w:t>、“投标技术响应”一栏必须一一对照“招标技术要求”，详细填写投标人自身投标货物的具体参数，而不能不合理照搬照抄招标文件的技术要求，以体现具体响应情况。</w:t>
      </w:r>
      <w:r>
        <w:rPr>
          <w:rFonts w:eastAsia="宋体" w:hint="eastAsia"/>
          <w:bCs/>
          <w:color w:val="FF0000"/>
          <w:kern w:val="2"/>
          <w:sz w:val="21"/>
          <w:szCs w:val="21"/>
          <w:lang w:eastAsia="zh-CN"/>
        </w:rPr>
        <w:t>“投标技术响应”必须与</w:t>
      </w:r>
      <w:r>
        <w:rPr>
          <w:rFonts w:ascii="宋体" w:eastAsia="宋体" w:hAnsi="宋体" w:hint="eastAsia"/>
          <w:bCs/>
          <w:color w:val="FF0000"/>
          <w:kern w:val="2"/>
          <w:sz w:val="21"/>
          <w:szCs w:val="21"/>
          <w:lang w:eastAsia="zh-CN"/>
        </w:rPr>
        <w:t>所投产品</w:t>
      </w:r>
      <w:r>
        <w:rPr>
          <w:rFonts w:eastAsia="宋体" w:hint="eastAsia"/>
          <w:bCs/>
          <w:color w:val="FF0000"/>
          <w:kern w:val="2"/>
          <w:sz w:val="21"/>
          <w:szCs w:val="21"/>
          <w:lang w:eastAsia="zh-CN"/>
        </w:rPr>
        <w:t>客观实际保持一致，响应不实且情节严重的，经查实，将依法记入供应商诚信档案或受到行政处罚。</w:t>
      </w:r>
    </w:p>
    <w:p>
      <w:pPr>
        <w:widowControl w:val="0"/>
        <w:ind w:firstLine="420" w:firstLineChars="200"/>
        <w:jc w:val="both"/>
        <w:rPr>
          <w:rFonts w:eastAsia="宋体"/>
          <w:bCs/>
          <w:color w:val="FF0000"/>
          <w:kern w:val="2"/>
          <w:sz w:val="21"/>
          <w:szCs w:val="21"/>
          <w:lang w:eastAsia="zh-CN"/>
        </w:rPr>
      </w:pPr>
      <w:r>
        <w:rPr>
          <w:rFonts w:ascii="Calibri" w:eastAsia="宋体" w:hAnsi="Calibri" w:cs="Times New Roman"/>
          <w:bCs/>
          <w:kern w:val="2"/>
          <w:sz w:val="21"/>
          <w:szCs w:val="21"/>
          <w:lang w:eastAsia="zh-CN"/>
        </w:rPr>
        <w:t>3</w:t>
      </w:r>
      <w:r>
        <w:rPr>
          <w:rFonts w:ascii="Calibri" w:eastAsia="宋体" w:hAnsi="Calibri" w:cs="Times New Roman" w:hint="eastAsia"/>
          <w:bCs/>
          <w:kern w:val="2"/>
          <w:sz w:val="21"/>
          <w:szCs w:val="21"/>
          <w:lang w:eastAsia="zh-CN"/>
        </w:rPr>
        <w:t>、</w:t>
      </w:r>
      <w:bookmarkStart w:id="47" w:name="_Hlk72158270"/>
      <w:r>
        <w:rPr>
          <w:rFonts w:ascii="Calibri" w:eastAsia="宋体" w:hAnsi="Calibri" w:cs="Times New Roman" w:hint="eastAsia"/>
          <w:bCs/>
          <w:kern w:val="2"/>
          <w:sz w:val="21"/>
          <w:szCs w:val="21"/>
          <w:lang w:eastAsia="zh-CN"/>
        </w:rPr>
        <w:t>“偏离情况”</w:t>
      </w:r>
      <w:bookmarkEnd w:id="47"/>
      <w:r>
        <w:rPr>
          <w:rFonts w:ascii="Calibri" w:eastAsia="宋体" w:hAnsi="Calibri" w:cs="Times New Roman" w:hint="eastAsia"/>
          <w:bCs/>
          <w:kern w:val="2"/>
          <w:sz w:val="21"/>
          <w:szCs w:val="21"/>
          <w:lang w:eastAsia="zh-CN"/>
        </w:rPr>
        <w:t>一栏填写如实填写“正偏离”、“负偏离”或“无偏离”，其中：</w:t>
      </w:r>
      <w:bookmarkStart w:id="48" w:name="_Hlk72093866"/>
      <w:r>
        <w:rPr>
          <w:rFonts w:ascii="Calibri" w:eastAsia="宋体" w:hAnsi="Calibri" w:cs="Times New Roman" w:hint="eastAsia"/>
          <w:bCs/>
          <w:kern w:val="2"/>
          <w:sz w:val="21"/>
          <w:szCs w:val="21"/>
          <w:lang w:eastAsia="zh-CN"/>
        </w:rPr>
        <w:t>“正偏离”表示“投标响应优于招标技术要求”，“负偏离”表示“投标响应不满足招标技术要求”，“无偏离”表示“投标响应与招标技术要求一致”</w:t>
      </w:r>
      <w:bookmarkEnd w:id="48"/>
      <w:r>
        <w:rPr>
          <w:rFonts w:ascii="Calibri" w:eastAsia="宋体" w:hAnsi="Calibri" w:cs="Times New Roman" w:hint="eastAsia"/>
          <w:bCs/>
          <w:kern w:val="2"/>
          <w:sz w:val="21"/>
          <w:szCs w:val="21"/>
          <w:lang w:eastAsia="zh-CN"/>
        </w:rPr>
        <w:t>。“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eastAsia="宋体" w:hint="eastAsia"/>
          <w:bCs/>
          <w:color w:val="FF0000"/>
          <w:kern w:val="2"/>
          <w:sz w:val="21"/>
          <w:szCs w:val="21"/>
          <w:lang w:eastAsia="zh-CN"/>
        </w:rPr>
        <w:t>“偏离情况”必须与所投产品客观实际保持一致，响应不实且情节严重的，经查实，将依法记入供应商诚信档案或受到行政处罚。</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imes New Roman"/>
          <w:bCs/>
          <w:kern w:val="2"/>
          <w:sz w:val="21"/>
          <w:szCs w:val="21"/>
          <w:lang w:eastAsia="zh-CN"/>
        </w:rPr>
        <w:t>4</w:t>
      </w:r>
      <w:r>
        <w:rPr>
          <w:rFonts w:ascii="Calibri" w:eastAsia="宋体" w:hAnsi="Calibri" w:cs="Times New Roman" w:hint="eastAsia"/>
          <w:bCs/>
          <w:kern w:val="2"/>
          <w:sz w:val="21"/>
          <w:szCs w:val="21"/>
          <w:lang w:eastAsia="zh-CN"/>
        </w:rPr>
        <w:t>、未要求提供证明资料的招标技术要求，可以不提供证明资料（如实响应即可）。</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imes New Roman" w:hint="eastAsia"/>
          <w:bCs/>
          <w:kern w:val="2"/>
          <w:sz w:val="21"/>
          <w:szCs w:val="21"/>
          <w:lang w:eastAsia="zh-CN"/>
        </w:rPr>
        <w:t>5、</w:t>
      </w:r>
      <w:bookmarkStart w:id="49" w:name="_Hlk72096106"/>
      <w:r>
        <w:rPr>
          <w:rFonts w:ascii="Calibri" w:eastAsia="宋体" w:hAnsi="Calibri" w:cs="Times New Roman" w:hint="eastAsia"/>
          <w:bCs/>
          <w:kern w:val="2"/>
          <w:sz w:val="21"/>
          <w:szCs w:val="21"/>
          <w:lang w:eastAsia="zh-CN"/>
        </w:rPr>
        <w:t>证明资料条款响应要求</w:t>
      </w:r>
      <w:bookmarkEnd w:id="49"/>
      <w:r>
        <w:rPr>
          <w:rFonts w:ascii="Calibri" w:eastAsia="宋体" w:hAnsi="Calibri" w:cs="Times New Roman" w:hint="eastAsia"/>
          <w:bCs/>
          <w:kern w:val="2"/>
          <w:sz w:val="21"/>
          <w:szCs w:val="21"/>
          <w:lang w:eastAsia="zh-CN"/>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50" w:name="_Hlk73558782"/>
      <w:r>
        <w:rPr>
          <w:rFonts w:ascii="Calibri" w:eastAsia="宋体" w:hAnsi="Calibri" w:cs="Times New Roman" w:hint="eastAsia"/>
          <w:bCs/>
          <w:kern w:val="2"/>
          <w:sz w:val="21"/>
          <w:szCs w:val="21"/>
          <w:lang w:eastAsia="zh-CN"/>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51" w:name="_Hlk73558164"/>
      <w:r>
        <w:rPr>
          <w:rFonts w:ascii="Calibri" w:eastAsia="宋体" w:hAnsi="Calibri" w:cs="Times New Roman" w:hint="eastAsia"/>
          <w:bCs/>
          <w:kern w:val="2"/>
          <w:sz w:val="21"/>
          <w:szCs w:val="21"/>
          <w:lang w:eastAsia="zh-CN"/>
        </w:rPr>
        <w:t>且投标人在“偏离情况”一栏响应为“正偏离”或“无偏离”的，经评审委员会认定，将判定为负偏离。</w:t>
      </w:r>
      <w:bookmarkEnd w:id="50"/>
      <w:bookmarkEnd w:id="51"/>
    </w:p>
    <w:p>
      <w:pPr>
        <w:widowControl w:val="0"/>
        <w:ind w:firstLine="420" w:firstLineChars="200"/>
        <w:jc w:val="both"/>
        <w:rPr>
          <w:rFonts w:ascii="Calibri" w:eastAsia="宋体" w:hAnsi="Calibri"/>
          <w:bCs/>
          <w:kern w:val="2"/>
          <w:sz w:val="21"/>
          <w:szCs w:val="21"/>
          <w:lang w:eastAsia="zh-CN"/>
        </w:rPr>
      </w:pPr>
      <w:r>
        <w:rPr>
          <w:rFonts w:ascii="Calibri" w:eastAsia="宋体" w:hAnsi="Calibri" w:cs="Times New Roman" w:hint="eastAsia"/>
          <w:bCs/>
          <w:kern w:val="2"/>
          <w:sz w:val="21"/>
          <w:szCs w:val="21"/>
          <w:lang w:eastAsia="zh-CN"/>
        </w:rPr>
        <w:t>6、</w:t>
      </w:r>
      <w:bookmarkStart w:id="52" w:name="_Hlk72096137"/>
      <w:r>
        <w:rPr>
          <w:rFonts w:ascii="Calibri" w:eastAsia="宋体" w:hAnsi="Calibri" w:cs="Times New Roman" w:hint="eastAsia"/>
          <w:bCs/>
          <w:kern w:val="2"/>
          <w:sz w:val="21"/>
          <w:szCs w:val="21"/>
          <w:lang w:eastAsia="zh-CN"/>
        </w:rPr>
        <w:t>表后“证明资料”部分内容的编制</w:t>
      </w:r>
      <w:bookmarkEnd w:id="52"/>
      <w:r>
        <w:rPr>
          <w:rFonts w:ascii="Calibri" w:eastAsia="宋体" w:hAnsi="Calibri" w:cs="Times New Roman" w:hint="eastAsia"/>
          <w:bCs/>
          <w:kern w:val="2"/>
          <w:sz w:val="21"/>
          <w:szCs w:val="21"/>
          <w:lang w:eastAsia="zh-CN"/>
        </w:rPr>
        <w:t>：提供的所有证明资料应当统一编号（排序），且证明资料的编号（顺序）、数量和名称（形式）均应与“说明”一栏所填内容保持一致（一一对应），以便评审委员会查看。</w:t>
      </w:r>
      <w:bookmarkStart w:id="53" w:name="_Hlk73558180"/>
      <w:r>
        <w:rPr>
          <w:rFonts w:ascii="Calibri" w:eastAsia="宋体" w:hAnsi="Calibri" w:cs="Times New Roman" w:hint="eastAsia"/>
          <w:bCs/>
          <w:kern w:val="2"/>
          <w:sz w:val="21"/>
          <w:szCs w:val="21"/>
          <w:lang w:eastAsia="zh-CN"/>
        </w:rPr>
        <w:t>未按照招标文件要求在表后放置证明材料的供应商将承担不利后果，经评审委员会认定，相关技术要求将判定为负偏离。</w:t>
      </w:r>
      <w:bookmarkEnd w:id="53"/>
    </w:p>
    <w:p>
      <w:pPr>
        <w:widowControl w:val="0"/>
        <w:ind w:firstLine="420" w:firstLineChars="200"/>
        <w:jc w:val="both"/>
        <w:rPr>
          <w:rFonts w:ascii="Calibri" w:eastAsia="宋体" w:hAnsi="Calibri"/>
          <w:bCs/>
          <w:kern w:val="2"/>
          <w:sz w:val="21"/>
          <w:szCs w:val="21"/>
          <w:lang w:eastAsia="zh-CN"/>
        </w:rPr>
      </w:pPr>
      <w:r>
        <w:rPr>
          <w:rFonts w:ascii="Calibri" w:eastAsia="宋体" w:hAnsi="Calibri" w:cs="Times New Roman" w:hint="eastAsia"/>
          <w:bCs/>
          <w:kern w:val="2"/>
          <w:sz w:val="21"/>
          <w:szCs w:val="21"/>
          <w:lang w:eastAsia="zh-CN"/>
        </w:rPr>
        <w:t>7、</w:t>
      </w:r>
      <w:bookmarkStart w:id="54" w:name="_Hlk72096176"/>
      <w:r>
        <w:rPr>
          <w:rFonts w:ascii="Calibri" w:eastAsia="宋体" w:hAnsi="Calibri" w:cs="Times New Roman" w:hint="eastAsia"/>
          <w:bCs/>
          <w:kern w:val="2"/>
          <w:sz w:val="21"/>
          <w:szCs w:val="21"/>
          <w:lang w:eastAsia="zh-CN"/>
        </w:rPr>
        <w:t>证明资料的形式及其它具体要求</w:t>
      </w:r>
      <w:bookmarkEnd w:id="54"/>
      <w:r>
        <w:rPr>
          <w:rFonts w:ascii="Calibri" w:eastAsia="宋体" w:hAnsi="Calibri" w:cs="Times New Roman" w:hint="eastAsia"/>
          <w:bCs/>
          <w:kern w:val="2"/>
          <w:sz w:val="21"/>
          <w:szCs w:val="21"/>
          <w:lang w:eastAsia="zh-CN"/>
        </w:rPr>
        <w:t>：</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imes New Roman" w:hint="eastAsia"/>
          <w:bCs/>
          <w:kern w:val="2"/>
          <w:sz w:val="21"/>
          <w:szCs w:val="21"/>
          <w:lang w:eastAsia="zh-CN"/>
        </w:rPr>
        <w:t>（1）除照片、图片（截图）及不需加盖公章的文字说明（技术说明）外，其它证明资料均要求为原件扫描件；</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imes New Roman" w:hint="eastAsia"/>
          <w:bCs/>
          <w:kern w:val="2"/>
          <w:sz w:val="21"/>
          <w:szCs w:val="21"/>
          <w:lang w:eastAsia="zh-CN"/>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imes New Roman" w:hint="eastAsia"/>
          <w:bCs/>
          <w:kern w:val="2"/>
          <w:sz w:val="21"/>
          <w:szCs w:val="21"/>
          <w:lang w:eastAsia="zh-CN"/>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imes New Roman" w:hint="eastAsia"/>
          <w:bCs/>
          <w:kern w:val="2"/>
          <w:sz w:val="21"/>
          <w:szCs w:val="21"/>
          <w:lang w:eastAsia="zh-CN"/>
        </w:rPr>
        <w:t>我国政府机构出具的产品检验和核准证件应为证件正面、背面和附件标注的全部具体内容；产品检验和核准证件的尺寸和清晰度应该能够在电脑上被阅读、识别和判断；</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imes New Roman" w:hint="eastAsia"/>
          <w:bCs/>
          <w:kern w:val="2"/>
          <w:sz w:val="21"/>
          <w:szCs w:val="21"/>
          <w:lang w:eastAsia="zh-CN"/>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imes New Roman" w:hint="eastAsia"/>
          <w:bCs/>
          <w:kern w:val="2"/>
          <w:sz w:val="21"/>
          <w:szCs w:val="21"/>
          <w:lang w:eastAsia="zh-CN"/>
        </w:rPr>
        <w:t>其它证明资料的形式要求参照以上要求执行；</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imes New Roman" w:hint="eastAsia"/>
          <w:bCs/>
          <w:kern w:val="2"/>
          <w:sz w:val="21"/>
          <w:szCs w:val="21"/>
          <w:lang w:eastAsia="zh-CN"/>
        </w:rPr>
        <w:t>（4）证明资料均要求原件备查。</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imes New Roman" w:hint="eastAsia"/>
          <w:bCs/>
          <w:kern w:val="2"/>
          <w:sz w:val="21"/>
          <w:szCs w:val="21"/>
          <w:lang w:eastAsia="zh-CN"/>
        </w:rPr>
        <w:t>8、其它注意事项：</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imes New Roman" w:hint="eastAsia"/>
          <w:bCs/>
          <w:kern w:val="2"/>
          <w:sz w:val="21"/>
          <w:szCs w:val="21"/>
          <w:lang w:eastAsia="zh-CN"/>
        </w:rPr>
        <w:t>（1）评审委员会有权对投标人的响应情况作出判断（评审结论）；</w:t>
      </w:r>
    </w:p>
    <w:p>
      <w:pPr>
        <w:widowControl w:val="0"/>
        <w:ind w:firstLine="420" w:firstLineChars="200"/>
        <w:jc w:val="both"/>
        <w:rPr>
          <w:rFonts w:ascii="Calibri" w:eastAsia="宋体" w:hAnsi="Calibri"/>
          <w:bCs/>
          <w:kern w:val="2"/>
          <w:sz w:val="21"/>
          <w:szCs w:val="21"/>
          <w:lang w:eastAsia="zh-CN"/>
        </w:rPr>
      </w:pPr>
      <w:r>
        <w:rPr>
          <w:rFonts w:ascii="Calibri" w:eastAsia="宋体" w:hAnsi="Calibri" w:cs="Times New Roman" w:hint="eastAsia"/>
          <w:bCs/>
          <w:kern w:val="2"/>
          <w:sz w:val="21"/>
          <w:szCs w:val="21"/>
          <w:lang w:eastAsia="zh-CN"/>
        </w:rPr>
        <w:t>（2）</w:t>
      </w:r>
      <w:bookmarkStart w:id="55" w:name="_Hlk72158213"/>
      <w:r>
        <w:rPr>
          <w:rFonts w:ascii="Calibri" w:eastAsia="宋体" w:hAnsi="Calibri" w:cs="Times New Roman" w:hint="eastAsia"/>
          <w:bCs/>
          <w:kern w:val="2"/>
          <w:sz w:val="21"/>
          <w:szCs w:val="21"/>
          <w:lang w:eastAsia="zh-CN"/>
        </w:rPr>
        <w:t>评审委员会有权对以谋取中标为目的的技术规格模糊响应（如有意不合理照搬照抄招标文件的技术要求）或虚假响应予以认定，并视情况经政府集中采购机构报主管部门进行处理。</w:t>
      </w:r>
      <w:bookmarkEnd w:id="55"/>
    </w:p>
    <w:p>
      <w:pPr>
        <w:widowControl w:val="0"/>
        <w:ind w:firstLine="480" w:firstLineChars="200"/>
        <w:jc w:val="both"/>
        <w:rPr>
          <w:rFonts w:ascii="Calibri" w:eastAsia="宋体" w:hAnsi="Calibri"/>
          <w:b/>
          <w:kern w:val="2"/>
          <w:szCs w:val="22"/>
          <w:lang w:eastAsia="zh-CN"/>
        </w:rPr>
      </w:pPr>
    </w:p>
    <w:p>
      <w:pPr>
        <w:widowControl w:val="0"/>
        <w:ind w:firstLine="480" w:firstLineChars="200"/>
        <w:jc w:val="both"/>
        <w:rPr>
          <w:rFonts w:ascii="Calibri" w:eastAsia="宋体" w:hAnsi="Calibri"/>
          <w:b/>
          <w:kern w:val="2"/>
          <w:szCs w:val="22"/>
          <w:lang w:eastAsia="zh-CN"/>
        </w:rPr>
      </w:pPr>
    </w:p>
    <w:p>
      <w:pPr>
        <w:widowControl w:val="0"/>
        <w:ind w:firstLine="480" w:firstLineChars="200"/>
        <w:jc w:val="both"/>
        <w:rPr>
          <w:rFonts w:ascii="Calibri" w:eastAsia="宋体" w:hAnsi="Calibri"/>
          <w:b/>
          <w:kern w:val="2"/>
          <w:szCs w:val="22"/>
          <w:lang w:eastAsia="zh-CN"/>
        </w:rPr>
      </w:pPr>
    </w:p>
    <w:p>
      <w:pPr>
        <w:widowControl w:val="0"/>
        <w:jc w:val="both"/>
        <w:rPr>
          <w:rFonts w:ascii="宋体" w:eastAsia="宋体" w:hAnsi="宋体" w:hint="eastAsia"/>
          <w:kern w:val="2"/>
          <w:sz w:val="21"/>
          <w:szCs w:val="22"/>
          <w:lang w:eastAsia="zh-CN"/>
        </w:rPr>
      </w:pPr>
      <w:r>
        <w:rPr>
          <w:rFonts w:ascii="宋体" w:eastAsia="宋体" w:hAnsi="宋体"/>
          <w:color w:val="FF0000"/>
          <w:kern w:val="2"/>
          <w:sz w:val="32"/>
          <w:szCs w:val="32"/>
          <w:lang w:eastAsia="zh-CN"/>
        </w:rPr>
        <w:br w:type="page"/>
      </w:r>
      <w:r>
        <w:rPr>
          <w:rFonts w:ascii="Calibri" w:eastAsia="宋体" w:hAnsi="Calibri" w:cs="Times New Roman"/>
          <w:kern w:val="2"/>
          <w:sz w:val="21"/>
          <w:szCs w:val="22"/>
          <w:lang w:eastAsia="zh-CN"/>
        </w:rPr>
        <w:t xml:space="preserve"> </w:t>
      </w:r>
      <w:bookmarkStart w:id="56" w:name="_Hlk72588611"/>
      <w:bookmarkStart w:id="57" w:name="_Hlk72260843"/>
      <w:r>
        <w:rPr>
          <w:rFonts w:ascii="宋体" w:eastAsia="宋体" w:hAnsi="宋体" w:cs="Times New Roman" w:hint="eastAsia"/>
          <w:kern w:val="2"/>
          <w:sz w:val="21"/>
          <w:szCs w:val="22"/>
          <w:lang w:eastAsia="zh-CN"/>
        </w:rPr>
        <w:t>………………</w:t>
      </w:r>
      <w:bookmarkEnd w:id="56"/>
      <w:r>
        <w:rPr>
          <w:rFonts w:ascii="宋体" w:eastAsia="宋体" w:hAnsi="宋体" w:cs="Times New Roman" w:hint="eastAsia"/>
          <w:kern w:val="2"/>
          <w:sz w:val="21"/>
          <w:szCs w:val="22"/>
          <w:lang w:eastAsia="zh-CN"/>
        </w:rPr>
        <w:t>（根据项目具体情况增加与技术、商务评审相关的节点）</w:t>
      </w:r>
      <w:bookmarkEnd w:id="57"/>
      <w:r>
        <w:rPr>
          <w:rFonts w:ascii="宋体" w:eastAsia="宋体" w:hAnsi="宋体" w:cs="Times New Roman" w:hint="eastAsia"/>
          <w:kern w:val="2"/>
          <w:sz w:val="21"/>
          <w:szCs w:val="22"/>
          <w:lang w:eastAsia="zh-CN"/>
        </w:rPr>
        <w:t>………………</w:t>
      </w:r>
    </w:p>
    <w:p>
      <w:pPr>
        <w:widowControl w:val="0"/>
        <w:jc w:val="center"/>
        <w:rPr>
          <w:rFonts w:ascii="Calibri" w:eastAsia="宋体" w:hAnsi="Calibri"/>
          <w:kern w:val="2"/>
          <w:szCs w:val="22"/>
          <w:lang w:eastAsia="zh-CN"/>
        </w:rPr>
      </w:pPr>
    </w:p>
    <w:p>
      <w:pPr>
        <w:widowControl w:val="0"/>
        <w:ind w:left="821" w:firstLine="1620" w:leftChars="342" w:firstLineChars="675"/>
        <w:jc w:val="both"/>
        <w:rPr>
          <w:rFonts w:ascii="黑体" w:eastAsia="黑体" w:hAnsi="宋体" w:hint="default"/>
          <w:kern w:val="2"/>
          <w:szCs w:val="20"/>
          <w:lang w:val="en-US" w:eastAsia="zh-CN"/>
        </w:rPr>
      </w:pPr>
      <w:bookmarkStart w:id="58" w:name="_Hlk72062872"/>
      <w:r>
        <w:rPr>
          <w:rFonts w:ascii="黑体" w:eastAsia="黑体" w:hAnsi="宋体" w:cs="Times New Roman" w:hint="eastAsia"/>
          <w:kern w:val="2"/>
          <w:szCs w:val="20"/>
          <w:lang w:eastAsia="zh-CN"/>
        </w:rPr>
        <w:t>六、</w:t>
      </w:r>
      <w:r>
        <w:rPr>
          <w:rFonts w:ascii="黑体" w:eastAsia="黑体" w:hAnsi="宋体" w:cs="Times New Roman" w:hint="eastAsia"/>
          <w:kern w:val="2"/>
          <w:szCs w:val="20"/>
          <w:lang w:val="en-US" w:eastAsia="zh-CN"/>
        </w:rPr>
        <w:t>项目实施方案</w:t>
      </w:r>
    </w:p>
    <w:p>
      <w:pPr>
        <w:widowControl w:val="0"/>
        <w:ind w:left="821" w:firstLine="1620" w:leftChars="342" w:firstLineChars="675"/>
        <w:jc w:val="both"/>
        <w:rPr>
          <w:rFonts w:ascii="黑体" w:eastAsia="黑体" w:hAnsi="宋体"/>
          <w:kern w:val="2"/>
          <w:szCs w:val="20"/>
          <w:lang w:eastAsia="zh-CN"/>
        </w:rPr>
      </w:pPr>
      <w:r>
        <w:rPr>
          <w:rFonts w:ascii="黑体" w:eastAsia="黑体" w:hAnsi="宋体" w:cs="Times New Roman" w:hint="eastAsia"/>
          <w:kern w:val="2"/>
          <w:szCs w:val="20"/>
          <w:lang w:eastAsia="zh-CN"/>
        </w:rPr>
        <w:t>七、售后服务方案</w:t>
      </w:r>
    </w:p>
    <w:p>
      <w:pPr>
        <w:widowControl w:val="0"/>
        <w:ind w:left="821" w:firstLine="1620" w:leftChars="342" w:firstLineChars="675"/>
        <w:jc w:val="both"/>
        <w:rPr>
          <w:rFonts w:ascii="黑体" w:eastAsia="黑体" w:hAnsi="宋体" w:hint="default"/>
          <w:kern w:val="2"/>
          <w:szCs w:val="20"/>
          <w:lang w:val="en-US" w:eastAsia="zh-CN"/>
        </w:rPr>
      </w:pPr>
      <w:r>
        <w:rPr>
          <w:rFonts w:ascii="黑体" w:eastAsia="黑体" w:hAnsi="宋体" w:cs="Times New Roman" w:hint="eastAsia"/>
          <w:kern w:val="2"/>
          <w:szCs w:val="20"/>
          <w:lang w:eastAsia="zh-CN"/>
        </w:rPr>
        <w:t>八、</w:t>
      </w:r>
      <w:r>
        <w:rPr>
          <w:rFonts w:ascii="黑体" w:eastAsia="黑体" w:hAnsi="宋体" w:cs="Times New Roman" w:hint="eastAsia"/>
          <w:kern w:val="2"/>
          <w:szCs w:val="20"/>
          <w:lang w:val="en-US" w:eastAsia="zh-CN"/>
        </w:rPr>
        <w:t>同类项目业绩</w:t>
      </w:r>
    </w:p>
    <w:p>
      <w:pPr>
        <w:widowControl w:val="0"/>
        <w:ind w:left="821" w:firstLine="1620" w:leftChars="342" w:firstLineChars="675"/>
        <w:jc w:val="both"/>
        <w:rPr>
          <w:rFonts w:ascii="黑体" w:eastAsia="黑体" w:hAnsi="宋体"/>
          <w:kern w:val="2"/>
          <w:szCs w:val="20"/>
          <w:lang w:eastAsia="zh-CN"/>
        </w:rPr>
      </w:pPr>
      <w:r>
        <w:rPr>
          <w:rFonts w:ascii="黑体" w:eastAsia="黑体" w:hAnsi="宋体" w:cs="Times New Roman" w:hint="eastAsia"/>
          <w:kern w:val="2"/>
          <w:szCs w:val="20"/>
          <w:lang w:eastAsia="zh-CN"/>
        </w:rPr>
        <w:t>九、履约评价情况</w:t>
      </w:r>
    </w:p>
    <w:p>
      <w:pPr>
        <w:widowControl w:val="0"/>
        <w:ind w:left="821" w:firstLine="1620" w:leftChars="342" w:firstLineChars="675"/>
        <w:jc w:val="both"/>
        <w:rPr>
          <w:rFonts w:ascii="黑体" w:eastAsia="黑体" w:hAnsi="宋体" w:hint="default"/>
          <w:kern w:val="2"/>
          <w:szCs w:val="20"/>
          <w:lang w:val="en-US" w:eastAsia="zh-CN"/>
        </w:rPr>
      </w:pPr>
      <w:r>
        <w:rPr>
          <w:rFonts w:ascii="黑体" w:eastAsia="黑体" w:hAnsi="宋体" w:cs="Times New Roman" w:hint="eastAsia"/>
          <w:kern w:val="2"/>
          <w:szCs w:val="20"/>
          <w:lang w:eastAsia="zh-CN"/>
        </w:rPr>
        <w:t>十、</w:t>
      </w:r>
      <w:r>
        <w:rPr>
          <w:rFonts w:ascii="黑体" w:eastAsia="黑体" w:hAnsi="宋体" w:cs="Times New Roman" w:hint="eastAsia"/>
          <w:kern w:val="2"/>
          <w:szCs w:val="20"/>
          <w:lang w:val="en-US" w:eastAsia="zh-CN"/>
        </w:rPr>
        <w:t>厂家针对本项目的保证</w:t>
      </w:r>
    </w:p>
    <w:p>
      <w:pPr>
        <w:widowControl w:val="0"/>
        <w:ind w:left="821" w:firstLine="1620" w:leftChars="342" w:firstLineChars="675"/>
        <w:jc w:val="both"/>
        <w:rPr>
          <w:rFonts w:ascii="黑体" w:eastAsia="黑体" w:hAnsi="宋体" w:hint="eastAsia"/>
          <w:kern w:val="2"/>
          <w:szCs w:val="20"/>
          <w:lang w:eastAsia="zh-CN"/>
        </w:rPr>
      </w:pPr>
      <w:r>
        <w:rPr>
          <w:rFonts w:ascii="黑体" w:eastAsia="黑体" w:hAnsi="宋体" w:cs="Times New Roman" w:hint="eastAsia"/>
          <w:kern w:val="2"/>
          <w:szCs w:val="20"/>
          <w:lang w:eastAsia="zh-CN"/>
        </w:rPr>
        <w:t>十一、投标人认为需要加以说明的其他内容</w:t>
      </w:r>
    </w:p>
    <w:bookmarkEnd w:id="58"/>
    <w:p>
      <w:pPr>
        <w:widowControl/>
        <w:jc w:val="center"/>
        <w:rPr>
          <w:rFonts w:ascii="黑体" w:eastAsia="黑体" w:hAnsi="宋体" w:hint="eastAsia"/>
          <w:szCs w:val="20"/>
          <w:lang w:eastAsia="zh-CN"/>
        </w:rPr>
      </w:pPr>
    </w:p>
    <w:p>
      <w:pPr>
        <w:widowControl/>
        <w:jc w:val="center"/>
        <w:rPr>
          <w:rFonts w:ascii="黑体" w:eastAsia="黑体" w:hAnsi="宋体"/>
          <w:szCs w:val="20"/>
          <w:lang w:eastAsia="zh-CN"/>
        </w:rPr>
      </w:pPr>
      <w:r>
        <w:rPr>
          <w:rFonts w:ascii="黑体" w:eastAsia="黑体" w:hAnsi="宋体" w:cs="Times New Roman" w:hint="eastAsia"/>
          <w:szCs w:val="20"/>
          <w:lang w:eastAsia="zh-CN"/>
        </w:rPr>
        <w:t>（一）</w:t>
      </w:r>
      <w:r>
        <w:rPr>
          <w:rFonts w:ascii="黑体" w:eastAsia="黑体" w:hAnsi="宋体" w:cs="Times New Roman" w:hint="eastAsia"/>
          <w:szCs w:val="20"/>
          <w:highlight w:val="yellow"/>
          <w:lang w:eastAsia="zh-CN"/>
        </w:rPr>
        <w:t>政府采购违法行为风险知悉确认书</w:t>
      </w:r>
    </w:p>
    <w:p>
      <w:pPr>
        <w:widowControl/>
        <w:jc w:val="center"/>
        <w:rPr>
          <w:rFonts w:ascii="黑体" w:eastAsia="黑体" w:hAnsi="宋体"/>
          <w:szCs w:val="20"/>
          <w:lang w:eastAsia="zh-CN"/>
        </w:rPr>
      </w:pPr>
    </w:p>
    <w:p>
      <w:pPr>
        <w:widowControl w:val="0"/>
        <w:spacing w:before="0" w:beforeLines="0" w:after="157" w:afterLines="50" w:line="360" w:lineRule="exact"/>
        <w:ind w:firstLine="480" w:firstLineChars="200"/>
        <w:jc w:val="both"/>
        <w:rPr>
          <w:rFonts w:ascii="Calibri" w:eastAsia="宋体" w:hAnsi="Calibri" w:hint="eastAsia"/>
          <w:b/>
          <w:bCs/>
          <w:kern w:val="2"/>
          <w:szCs w:val="22"/>
          <w:lang w:eastAsia="zh-CN"/>
        </w:rPr>
      </w:pPr>
      <w:r>
        <w:rPr>
          <w:rFonts w:ascii="Calibri" w:eastAsia="宋体" w:hAnsi="Calibri" w:cs="Times New Roman" w:hint="eastAsia"/>
          <w:b/>
          <w:bCs/>
          <w:kern w:val="2"/>
          <w:szCs w:val="22"/>
          <w:lang w:eastAsia="zh-CN"/>
        </w:rPr>
        <w:t>我</w:t>
      </w:r>
      <w:r>
        <w:rPr>
          <w:rFonts w:ascii="Calibri" w:eastAsia="宋体" w:hAnsi="Calibri" w:hint="eastAsia"/>
          <w:b/>
          <w:bCs/>
          <w:kern w:val="2"/>
          <w:lang w:eastAsia="zh-CN"/>
        </w:rPr>
        <w:t>单位</w:t>
      </w:r>
      <w:r>
        <w:rPr>
          <w:rFonts w:ascii="Calibri" w:eastAsia="宋体" w:hAnsi="Calibri" w:cs="Times New Roman" w:hint="eastAsia"/>
          <w:b/>
          <w:bCs/>
          <w:kern w:val="2"/>
          <w:szCs w:val="22"/>
          <w:lang w:eastAsia="zh-CN"/>
        </w:rPr>
        <w:t>在投标前已充分知悉以下情形为参与政府采购活动时的重大风险事项，并承诺已对下述风险提示事项重点排查，</w:t>
      </w:r>
      <w:r>
        <w:rPr>
          <w:rFonts w:ascii="Calibri" w:eastAsia="宋体" w:hAnsi="Calibri" w:hint="eastAsia"/>
          <w:b/>
          <w:bCs/>
          <w:kern w:val="2"/>
          <w:szCs w:val="22"/>
          <w:lang w:eastAsia="zh-CN"/>
        </w:rPr>
        <w:t>若存在下述情况，我单位愿意依法承担被记入供应商诚信档案、罚款、取消参与政府采购资格、吊销营业执照等处罚；构成犯罪的，依法承担刑事责任。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9"/>
        <w:gridCol w:w="81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1"/>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序号</w:t>
            </w:r>
          </w:p>
        </w:tc>
        <w:tc>
          <w:tcPr>
            <w:tcW w:w="78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b/>
                <w:bCs/>
                <w:kern w:val="2"/>
                <w:lang w:eastAsia="zh-CN"/>
              </w:rPr>
              <w:t>供应商参与投标禁止情形</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与其他投标供应商的法定代表人、主要经营负责人、投标授权代表人、项目负责人、主要技术人员为</w:t>
            </w:r>
            <w:r>
              <w:rPr>
                <w:rFonts w:ascii="仿宋_GB2312" w:eastAsia="仿宋_GB2312" w:hAnsi="仿宋_GB2312" w:cs="仿宋_GB2312" w:hint="eastAsia"/>
                <w:b/>
                <w:bCs/>
                <w:kern w:val="2"/>
                <w:lang w:eastAsia="zh-CN"/>
              </w:rPr>
              <w:t>同一人、属同一单位或者在同一单位缴纳社会保险</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rPr>
          <w:trHeight w:val="90"/>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2</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参与本项目政府采购活动时，与其他投标供应商存在单位负责人为</w:t>
            </w:r>
            <w:r>
              <w:rPr>
                <w:rFonts w:ascii="仿宋_GB2312" w:eastAsia="仿宋_GB2312" w:hAnsi="仿宋_GB2312" w:cs="仿宋_GB2312" w:hint="eastAsia"/>
                <w:b/>
                <w:bCs/>
                <w:kern w:val="2"/>
                <w:lang w:eastAsia="zh-CN"/>
              </w:rPr>
              <w:t>同一人或直接控股、管理关系</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3</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与其他投标供应商的投标文件或部分投标文件</w:t>
            </w:r>
            <w:r>
              <w:rPr>
                <w:rFonts w:ascii="仿宋_GB2312" w:eastAsia="仿宋_GB2312" w:hAnsi="仿宋_GB2312" w:cs="仿宋_GB2312" w:hint="eastAsia"/>
                <w:b/>
                <w:bCs/>
                <w:kern w:val="2"/>
                <w:lang w:eastAsia="zh-CN"/>
              </w:rPr>
              <w:t>相互混装或存在非正常一致</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4</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与其他投标供应商的投标文件由</w:t>
            </w:r>
            <w:r>
              <w:rPr>
                <w:rFonts w:ascii="仿宋_GB2312" w:eastAsia="仿宋_GB2312" w:hAnsi="仿宋_GB2312" w:cs="仿宋_GB2312" w:hint="eastAsia"/>
                <w:b/>
                <w:bCs/>
                <w:kern w:val="2"/>
                <w:lang w:eastAsia="zh-CN"/>
              </w:rPr>
              <w:t>同一单位或者同一人编制</w:t>
            </w:r>
            <w:r>
              <w:rPr>
                <w:rFonts w:ascii="仿宋_GB2312" w:eastAsia="仿宋_GB2312" w:hAnsi="仿宋_GB2312" w:cs="仿宋_GB2312" w:hint="eastAsia"/>
                <w:kern w:val="2"/>
                <w:lang w:eastAsia="zh-CN"/>
              </w:rPr>
              <w:t>，或者使用</w:t>
            </w:r>
            <w:r>
              <w:rPr>
                <w:rFonts w:ascii="仿宋_GB2312" w:eastAsia="仿宋_GB2312" w:hAnsi="仿宋_GB2312" w:cs="仿宋_GB2312" w:hint="eastAsia"/>
                <w:b/>
                <w:bCs/>
                <w:kern w:val="2"/>
                <w:lang w:eastAsia="zh-CN"/>
              </w:rPr>
              <w:t>同一设备编制</w:t>
            </w:r>
            <w:r>
              <w:rPr>
                <w:rFonts w:ascii="仿宋_GB2312" w:eastAsia="仿宋_GB2312" w:hAnsi="仿宋_GB2312" w:cs="仿宋_GB2312" w:hint="eastAsia"/>
                <w:kern w:val="2"/>
                <w:lang w:eastAsia="zh-CN"/>
              </w:rPr>
              <w:t>（“文件制作机器码”“文件创建标识码”一致）。</w:t>
            </w:r>
          </w:p>
        </w:tc>
      </w:tr>
      <w:tr>
        <w:tblPrEx>
          <w:tblW w:w="5000" w:type="pct"/>
          <w:tblInd w:w="0" w:type="dxa"/>
          <w:tblLayout w:type="fixed"/>
          <w:tblCellMar>
            <w:top w:w="0" w:type="dxa"/>
            <w:left w:w="108" w:type="dxa"/>
            <w:bottom w:w="0" w:type="dxa"/>
            <w:right w:w="108" w:type="dxa"/>
          </w:tblCellMar>
        </w:tblPrEx>
        <w:trPr>
          <w:trHeight w:val="90"/>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5</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提供</w:t>
            </w:r>
            <w:r>
              <w:rPr>
                <w:rFonts w:ascii="仿宋_GB2312" w:eastAsia="仿宋_GB2312" w:hAnsi="仿宋_GB2312" w:cs="仿宋_GB2312" w:hint="eastAsia"/>
                <w:b/>
                <w:bCs/>
                <w:kern w:val="2"/>
                <w:lang w:eastAsia="zh-CN"/>
              </w:rPr>
              <w:t>未经出具机构核实</w:t>
            </w:r>
            <w:r>
              <w:rPr>
                <w:rFonts w:ascii="仿宋_GB2312" w:eastAsia="仿宋_GB2312" w:hAnsi="仿宋_GB2312" w:cs="仿宋_GB2312" w:hint="eastAsia"/>
                <w:kern w:val="2"/>
                <w:lang w:eastAsia="zh-CN"/>
              </w:rPr>
              <w:t>的虚假的检验检测报告、业绩材料、社保缴纳证明、学历学位证书、职称认证证书等材料。</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6</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擅自将投标密钥或电子营业执照出借他人使用或未妥善保管。</w:t>
            </w:r>
          </w:p>
        </w:tc>
      </w:tr>
    </w:tbl>
    <w:p>
      <w:pPr>
        <w:widowControl w:val="0"/>
        <w:spacing w:before="157" w:beforeLines="50" w:line="380" w:lineRule="exact"/>
        <w:ind w:firstLine="420" w:firstLineChars="200"/>
        <w:jc w:val="both"/>
        <w:rPr>
          <w:rFonts w:ascii="Calibri" w:eastAsia="宋体" w:hAnsi="Calibri"/>
          <w:b/>
          <w:kern w:val="2"/>
          <w:sz w:val="21"/>
          <w:szCs w:val="22"/>
          <w:lang w:eastAsia="zh-CN"/>
        </w:rPr>
      </w:pPr>
      <w:r>
        <w:rPr>
          <w:rFonts w:ascii="Calibri" w:eastAsia="宋体" w:hAnsi="Calibri" w:cs="Times New Roman" w:hint="eastAsia"/>
          <w:b/>
          <w:kern w:val="2"/>
          <w:sz w:val="21"/>
          <w:szCs w:val="22"/>
          <w:lang w:eastAsia="zh-CN"/>
        </w:rPr>
        <w:t>一、我单位已充分知悉“隐瞒真实情况，提供虚假资料”的法定情形，包括但不限于：</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（一）通过转让或者租借等方式从其他单位获取资格或者资质证书投标的。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（二）由其他单位或者其他单位负责人在投标供应商编制的投标文件上加盖印章或者签字的。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（三）项目负责人或者主要技术人员不是本单位人员的。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（四）投标保证金不是从投标供应商基本账户转出的。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（五）其他隐瞒真实情况、提供虚假资料的行为。</w:t>
      </w:r>
    </w:p>
    <w:p>
      <w:pPr>
        <w:widowControl w:val="0"/>
        <w:spacing w:beforeLines="0" w:line="380" w:lineRule="exact"/>
        <w:ind w:firstLine="420" w:firstLineChars="200"/>
        <w:jc w:val="both"/>
        <w:rPr>
          <w:rFonts w:ascii="Calibri" w:eastAsia="宋体" w:hAnsi="Calibri"/>
          <w:b/>
          <w:kern w:val="2"/>
          <w:sz w:val="21"/>
          <w:szCs w:val="22"/>
          <w:lang w:eastAsia="zh-CN"/>
        </w:rPr>
      </w:pPr>
      <w:r>
        <w:rPr>
          <w:rFonts w:ascii="Calibri" w:eastAsia="宋体" w:hAnsi="Calibri" w:cs="Times New Roman" w:hint="eastAsia"/>
          <w:b/>
          <w:kern w:val="2"/>
          <w:sz w:val="21"/>
          <w:szCs w:val="22"/>
          <w:lang w:eastAsia="zh-CN"/>
        </w:rPr>
        <w:t>二、我单位已充分知悉“与其他采购参加人串通投标”的法定情形，包括但不限于：</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（一）投标供应商之间相互约定给予未中标的供应商利益补偿。</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（二）不同投标供应商的法定代表人、主要经营负责人、项目投标授权代表人、项目负责人、主要技术人员为同一人、属同一单位或者在同一单位缴纳社会保险。</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（三）不同投标供应商的投标文件由同一单位或者同一人编制，或者由同一人分阶段参与编制的。</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（四）不同投标供应商的投标文件或部分投标文件相互混装。</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（五）不同投标供应商的投标文件内容存在非正常一致。</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（六）由同一单位工作人员为两家以上（含两家）供应商进行同一项投标活动的。</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（七）不同投标人的投标报价呈规律性差异。</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（八）不同投标人的投标保证金从同一单位或者个人的账户转出。</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（九）主管部门依照法律、法规认定的其他情形。</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imes New Roman" w:hint="eastAsia"/>
          <w:b/>
          <w:kern w:val="2"/>
          <w:sz w:val="21"/>
          <w:szCs w:val="22"/>
          <w:lang w:eastAsia="zh-CN"/>
        </w:rPr>
        <w:t>三、我单位已充分知悉下列情形存在法律风险，在投标前已对相关风险事项进行排查。</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imes New Roman" w:hint="eastAsia"/>
          <w:kern w:val="2"/>
          <w:sz w:val="21"/>
          <w:szCs w:val="22"/>
          <w:lang w:eastAsia="zh-CN"/>
        </w:rPr>
        <w:t>（一）对于从其他主体获取的投标资料，我单位应审慎核查，确保其真实性。</w:t>
      </w:r>
      <w:r>
        <w:rPr>
          <w:rFonts w:ascii="Calibri" w:eastAsia="宋体" w:hAnsi="Calibri" w:cs="Times New Roman" w:hint="eastAsia"/>
          <w:b/>
          <w:kern w:val="2"/>
          <w:sz w:val="21"/>
          <w:szCs w:val="22"/>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（二）对于涉及国家机关出具的公文、证件、证明材料等文件，一旦涉嫌虚假，经查实，主管部门将依法从严处理，并移送有关部门追究法律责任；涉嫌犯罪的，移送司法机关处理。</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（三）我单位对投标电子密钥或电子营业执照负有妥善保管、及时变更和续期等主体责任；使用电子密钥或电子营业执照在深圳政府采购网站进行的活动，均具有法律效力，须承担相应的法律后果。若</w:t>
      </w:r>
      <w:r>
        <w:rPr>
          <w:rFonts w:ascii="Calibri" w:eastAsia="宋体" w:hAnsi="Calibri" w:cs="Times New Roman" w:hint="eastAsia"/>
          <w:b/>
          <w:bCs/>
          <w:kern w:val="2"/>
          <w:sz w:val="21"/>
          <w:szCs w:val="22"/>
          <w:lang w:eastAsia="zh-CN"/>
        </w:rPr>
        <w:t>擅自将投标密钥或电子营业执照出借他人使用所造成的法律后果，由我单位自行承担</w:t>
      </w:r>
      <w:r>
        <w:rPr>
          <w:rFonts w:ascii="Calibri" w:eastAsia="宋体" w:hAnsi="Calibri" w:cs="Times New Roman" w:hint="eastAsia"/>
          <w:kern w:val="2"/>
          <w:sz w:val="21"/>
          <w:szCs w:val="22"/>
          <w:lang w:eastAsia="zh-CN"/>
        </w:rPr>
        <w:t>。</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imes New Roman" w:hint="eastAsia"/>
          <w:b/>
          <w:kern w:val="2"/>
          <w:sz w:val="21"/>
          <w:szCs w:val="22"/>
          <w:lang w:eastAsia="zh-CN"/>
        </w:rPr>
        <w:t>四、我单位已充分知悉政府采购违法、违规行为的法律后果。</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widowControl w:val="0"/>
        <w:spacing w:beforeLines="0" w:line="340" w:lineRule="exact"/>
        <w:ind w:firstLine="420" w:firstLineChars="200"/>
        <w:jc w:val="both"/>
        <w:rPr>
          <w:rFonts w:ascii="Calibri" w:eastAsia="宋体" w:hAnsi="Calibri"/>
          <w:kern w:val="2"/>
          <w:sz w:val="21"/>
          <w:szCs w:val="22"/>
          <w:highlight w:val="yellow"/>
          <w:lang w:eastAsia="zh-CN"/>
        </w:rPr>
      </w:pPr>
      <w:r>
        <w:rPr>
          <w:rFonts w:ascii="Calibri" w:eastAsia="宋体" w:hAnsi="Calibri" w:cs="Times New Roman" w:hint="eastAsia"/>
          <w:kern w:val="2"/>
          <w:sz w:val="21"/>
          <w:szCs w:val="22"/>
          <w:highlight w:val="yellow"/>
          <w:lang w:eastAsia="zh-CN"/>
        </w:rPr>
        <w:t>以下文字请投标供应商抄写并确认：“我单位已仔细阅读《政府采购违法行为风险知悉确认书》，充分知悉违法行为的法律后果，并承诺将严谨、诚信、依法依规参与政府采购活动”。</w:t>
      </w:r>
    </w:p>
    <w:tbl>
      <w:tblPr>
        <w:tblStyle w:val="1"/>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8856"/>
      </w:tblGrid>
      <w:tr>
        <w:tblPrEx>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4"/>
        </w:trPr>
        <w:tc>
          <w:tcPr>
            <w:tcW w:w="8529" w:type="dxa"/>
            <w:tcBorders>
              <w:top w:val="nil"/>
              <w:left w:val="nil"/>
              <w:bottom w:val="single" w:sz="8" w:space="0" w:color="000000"/>
              <w:right w:val="nil"/>
            </w:tcBorders>
            <w:noWrap w:val="0"/>
            <w:vAlign w:val="top"/>
          </w:tcPr>
          <w:p>
            <w:pPr>
              <w:widowControl w:val="0"/>
              <w:autoSpaceDE w:val="0"/>
              <w:autoSpaceDN w:val="0"/>
              <w:spacing w:beforeLines="0" w:line="340" w:lineRule="exact"/>
              <w:ind w:firstLine="1866"/>
              <w:jc w:val="both"/>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noWrap w:val="0"/>
            <w:vAlign w:val="top"/>
          </w:tcPr>
          <w:p>
            <w:pPr>
              <w:widowControl w:val="0"/>
              <w:autoSpaceDE w:val="0"/>
              <w:autoSpaceDN w:val="0"/>
              <w:spacing w:beforeLines="0" w:line="340" w:lineRule="exact"/>
              <w:ind w:firstLine="1866"/>
              <w:jc w:val="both"/>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noWrap w:val="0"/>
            <w:vAlign w:val="top"/>
          </w:tcPr>
          <w:p>
            <w:pPr>
              <w:widowControl w:val="0"/>
              <w:autoSpaceDE w:val="0"/>
              <w:autoSpaceDN w:val="0"/>
              <w:spacing w:beforeLines="0" w:line="340" w:lineRule="exact"/>
              <w:ind w:firstLine="1866"/>
              <w:jc w:val="both"/>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auto"/>
              <w:right w:val="nil"/>
            </w:tcBorders>
            <w:noWrap w:val="0"/>
            <w:vAlign w:val="top"/>
          </w:tcPr>
          <w:p>
            <w:pPr>
              <w:widowControl w:val="0"/>
              <w:autoSpaceDE w:val="0"/>
              <w:autoSpaceDN w:val="0"/>
              <w:spacing w:beforeLines="0" w:line="340" w:lineRule="exact"/>
              <w:ind w:firstLine="1866"/>
              <w:jc w:val="both"/>
              <w:rPr>
                <w:rFonts w:ascii="宋体" w:eastAsia="宋体" w:hAnsi="宋体"/>
                <w:spacing w:val="-4"/>
                <w:sz w:val="21"/>
                <w:szCs w:val="21"/>
                <w:lang w:eastAsia="zh-CN"/>
              </w:rPr>
            </w:pPr>
          </w:p>
        </w:tc>
      </w:tr>
    </w:tbl>
    <w:p>
      <w:pPr>
        <w:widowControl/>
        <w:wordWrap w:val="0"/>
        <w:autoSpaceDE w:val="0"/>
        <w:autoSpaceDN w:val="0"/>
        <w:spacing w:beforeLines="0" w:line="340" w:lineRule="exact"/>
        <w:ind w:right="808" w:firstLine="420" w:firstLineChars="200"/>
        <w:jc w:val="right"/>
        <w:rPr>
          <w:rFonts w:ascii="宋体" w:eastAsia="宋体" w:hAnsi="宋体" w:hint="eastAsia"/>
          <w:spacing w:val="-4"/>
          <w:sz w:val="21"/>
          <w:szCs w:val="21"/>
          <w:lang w:eastAsia="zh-CN"/>
        </w:rPr>
      </w:pPr>
    </w:p>
    <w:p>
      <w:pPr>
        <w:widowControl/>
        <w:wordWrap w:val="0"/>
        <w:autoSpaceDE w:val="0"/>
        <w:autoSpaceDN w:val="0"/>
        <w:spacing w:beforeLines="0" w:line="340" w:lineRule="exact"/>
        <w:ind w:right="808" w:firstLine="420" w:firstLineChars="200"/>
        <w:jc w:val="right"/>
        <w:rPr>
          <w:rFonts w:ascii="宋体" w:eastAsia="宋体" w:hAnsi="宋体"/>
          <w:spacing w:val="-4"/>
          <w:sz w:val="21"/>
          <w:szCs w:val="21"/>
          <w:u w:val="single"/>
          <w:lang w:eastAsia="zh-CN"/>
        </w:rPr>
      </w:pPr>
      <w:r>
        <w:rPr>
          <w:rFonts w:ascii="宋体" w:eastAsia="宋体" w:hAnsi="宋体" w:cs="Times New Roman" w:hint="eastAsia"/>
          <w:spacing w:val="-4"/>
          <w:sz w:val="21"/>
          <w:szCs w:val="21"/>
          <w:lang w:eastAsia="zh-CN"/>
        </w:rPr>
        <w:t>单位负责人签名：</w:t>
      </w:r>
      <w:r>
        <w:rPr>
          <w:rFonts w:ascii="宋体" w:eastAsia="宋体" w:hAnsi="宋体" w:cs="Times New Roman" w:hint="eastAsia"/>
          <w:spacing w:val="-4"/>
          <w:sz w:val="21"/>
          <w:szCs w:val="21"/>
          <w:u w:val="single"/>
          <w:lang w:eastAsia="zh-CN"/>
        </w:rPr>
        <w:t xml:space="preserve">              </w:t>
      </w:r>
    </w:p>
    <w:p>
      <w:pPr>
        <w:widowControl/>
        <w:wordWrap w:val="0"/>
        <w:autoSpaceDE w:val="0"/>
        <w:autoSpaceDN w:val="0"/>
        <w:spacing w:beforeLines="0" w:line="340" w:lineRule="exact"/>
        <w:ind w:right="808" w:firstLine="420" w:firstLineChars="200"/>
        <w:jc w:val="center"/>
        <w:rPr>
          <w:rFonts w:ascii="宋体" w:eastAsia="宋体" w:hAnsi="宋体"/>
          <w:spacing w:val="-4"/>
          <w:sz w:val="21"/>
          <w:szCs w:val="21"/>
          <w:u w:val="single"/>
          <w:lang w:eastAsia="zh-CN"/>
        </w:rPr>
      </w:pPr>
      <w:r>
        <w:rPr>
          <w:rFonts w:ascii="宋体" w:eastAsia="宋体" w:hAnsi="宋体" w:cs="Times New Roman" w:hint="eastAsia"/>
          <w:spacing w:val="-4"/>
          <w:sz w:val="21"/>
          <w:szCs w:val="21"/>
          <w:lang w:eastAsia="zh-CN"/>
        </w:rPr>
        <w:t xml:space="preserve">                                 （加盖公章）</w:t>
      </w:r>
    </w:p>
    <w:p>
      <w:pPr>
        <w:widowControl/>
        <w:wordWrap w:val="0"/>
        <w:autoSpaceDE w:val="0"/>
        <w:autoSpaceDN w:val="0"/>
        <w:spacing w:beforeLines="0" w:line="340" w:lineRule="exact"/>
        <w:ind w:right="808" w:firstLine="420" w:firstLineChars="200"/>
        <w:jc w:val="right"/>
        <w:rPr>
          <w:rFonts w:ascii="宋体" w:eastAsia="宋体" w:hAnsi="宋体"/>
          <w:spacing w:val="-4"/>
          <w:sz w:val="21"/>
          <w:szCs w:val="21"/>
          <w:u w:val="single"/>
          <w:lang w:eastAsia="zh-CN"/>
        </w:rPr>
      </w:pPr>
      <w:r>
        <w:rPr>
          <w:rFonts w:ascii="宋体" w:eastAsia="宋体" w:hAnsi="宋体" w:cs="Times New Roman" w:hint="eastAsia"/>
          <w:spacing w:val="-4"/>
          <w:sz w:val="21"/>
          <w:szCs w:val="21"/>
          <w:lang w:eastAsia="zh-CN"/>
        </w:rPr>
        <w:t xml:space="preserve">     日期：</w:t>
      </w:r>
      <w:r>
        <w:rPr>
          <w:rFonts w:ascii="宋体" w:eastAsia="宋体" w:hAnsi="宋体" w:cs="Times New Roman" w:hint="eastAsia"/>
          <w:spacing w:val="-4"/>
          <w:sz w:val="21"/>
          <w:szCs w:val="21"/>
          <w:u w:val="single"/>
          <w:lang w:eastAsia="zh-CN"/>
        </w:rPr>
        <w:t xml:space="preserve">              </w:t>
      </w:r>
    </w:p>
    <w:p>
      <w:pPr>
        <w:widowControl/>
        <w:autoSpaceDE w:val="0"/>
        <w:autoSpaceDN w:val="0"/>
        <w:spacing w:beforeLines="0" w:line="340" w:lineRule="exact"/>
        <w:ind w:firstLine="420" w:firstLineChars="200"/>
        <w:jc w:val="left"/>
        <w:rPr>
          <w:rFonts w:ascii="宋体" w:eastAsia="宋体" w:hAnsi="宋体" w:hint="eastAsia"/>
          <w:b/>
          <w:bCs/>
          <w:spacing w:val="-4"/>
          <w:sz w:val="21"/>
          <w:szCs w:val="21"/>
          <w:lang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20" w:firstLineChars="200"/>
        <w:jc w:val="left"/>
        <w:textAlignment w:val="auto"/>
        <w:rPr>
          <w:rFonts w:ascii="宋体" w:eastAsia="宋体" w:hAnsi="宋体" w:hint="eastAsia"/>
          <w:b/>
          <w:bCs/>
          <w:spacing w:val="-4"/>
          <w:sz w:val="21"/>
          <w:szCs w:val="21"/>
          <w:lang w:eastAsia="zh-CN"/>
        </w:rPr>
      </w:pPr>
      <w:r>
        <w:rPr>
          <w:rFonts w:ascii="宋体" w:eastAsia="宋体" w:hAnsi="宋体" w:cs="Times New Roman" w:hint="eastAsia"/>
          <w:b/>
          <w:bCs/>
          <w:spacing w:val="-4"/>
          <w:sz w:val="21"/>
          <w:szCs w:val="21"/>
          <w:lang w:eastAsia="zh-CN"/>
        </w:rPr>
        <w:t>注：1.《政府采购违法行为风险知悉确认书》需由投标供应商负责人签字并加盖单位公章后，扫描上传至投标文件一并提交。</w:t>
      </w:r>
    </w:p>
    <w:p>
      <w:pPr>
        <w:keepNext w:val="0"/>
        <w:keepLines w:val="0"/>
        <w:pageBreakBefore w:val="0"/>
        <w:widowControl w:val="0"/>
        <w:kinsoku/>
        <w:wordWrap/>
        <w:overflowPunct/>
        <w:topLinePunct w:val="0"/>
        <w:bidi w:val="0"/>
        <w:adjustRightInd/>
        <w:snapToGrid/>
        <w:ind w:firstLine="420" w:firstLineChars="200"/>
        <w:jc w:val="both"/>
        <w:textAlignment w:val="auto"/>
        <w:rPr>
          <w:rFonts w:ascii="Calibri" w:eastAsia="宋体" w:hAnsi="Calibri"/>
          <w:b/>
          <w:bCs/>
          <w:kern w:val="2"/>
          <w:sz w:val="21"/>
          <w:szCs w:val="22"/>
          <w:lang w:eastAsia="zh-CN"/>
        </w:rPr>
      </w:pPr>
      <w:r>
        <w:rPr>
          <w:rFonts w:ascii="Calibri" w:eastAsia="宋体" w:hAnsi="Calibri" w:hint="eastAsia"/>
          <w:b/>
          <w:bCs/>
          <w:kern w:val="2"/>
          <w:sz w:val="21"/>
          <w:szCs w:val="22"/>
          <w:lang w:eastAsia="zh-CN"/>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pPr>
        <w:widowControl/>
        <w:autoSpaceDE w:val="0"/>
        <w:autoSpaceDN w:val="0"/>
        <w:spacing w:line="400" w:lineRule="exact"/>
        <w:ind w:firstLine="420" w:firstLineChars="200"/>
        <w:jc w:val="left"/>
        <w:rPr>
          <w:rFonts w:ascii="宋体" w:eastAsia="宋体" w:hAnsi="宋体"/>
          <w:color w:val="FF0000"/>
          <w:spacing w:val="-4"/>
          <w:sz w:val="21"/>
          <w:szCs w:val="21"/>
          <w:lang w:eastAsia="zh-CN"/>
        </w:rPr>
      </w:pPr>
    </w:p>
    <w:p>
      <w:pPr>
        <w:widowControl/>
        <w:wordWrap/>
        <w:autoSpaceDE w:val="0"/>
        <w:autoSpaceDN w:val="0"/>
        <w:spacing w:line="400" w:lineRule="exact"/>
        <w:ind w:right="1414" w:firstLine="480" w:firstLineChars="200"/>
        <w:jc w:val="right"/>
        <w:rPr>
          <w:rFonts w:ascii="Calibri" w:eastAsia="宋体" w:hAnsi="Calibri"/>
          <w:szCs w:val="22"/>
          <w:lang w:eastAsia="zh-CN"/>
        </w:rPr>
      </w:pPr>
    </w:p>
    <w:p>
      <w:pPr>
        <w:widowControl/>
        <w:wordWrap/>
        <w:autoSpaceDE w:val="0"/>
        <w:autoSpaceDN w:val="0"/>
        <w:spacing w:line="400" w:lineRule="exact"/>
        <w:ind w:right="1414" w:firstLine="480" w:firstLineChars="200"/>
        <w:jc w:val="right"/>
        <w:rPr>
          <w:rFonts w:ascii="Calibri" w:eastAsia="宋体" w:hAnsi="Calibri"/>
          <w:szCs w:val="22"/>
          <w:lang w:eastAsia="zh-CN"/>
        </w:rPr>
      </w:pPr>
    </w:p>
    <w:p>
      <w:pPr>
        <w:widowControl/>
        <w:wordWrap/>
        <w:autoSpaceDE w:val="0"/>
        <w:autoSpaceDN w:val="0"/>
        <w:spacing w:line="400" w:lineRule="exact"/>
        <w:ind w:right="1414" w:firstLine="480" w:firstLineChars="200"/>
        <w:jc w:val="right"/>
        <w:rPr>
          <w:rFonts w:ascii="Calibri" w:eastAsia="宋体" w:hAnsi="Calibri"/>
          <w:szCs w:val="22"/>
          <w:lang w:eastAsia="zh-CN"/>
        </w:rPr>
      </w:pPr>
    </w:p>
    <w:p>
      <w:pPr>
        <w:widowControl w:val="0"/>
        <w:jc w:val="center"/>
        <w:rPr>
          <w:rFonts w:ascii="黑体" w:eastAsia="黑体" w:hAnsi="Calibri" w:hint="eastAsia"/>
          <w:kern w:val="2"/>
          <w:szCs w:val="20"/>
          <w:lang w:eastAsia="zh-CN"/>
        </w:rPr>
      </w:pPr>
      <w:r>
        <w:rPr>
          <w:rFonts w:ascii="黑体" w:eastAsia="黑体" w:hAnsi="Calibri" w:cs="Times New Roman" w:hint="eastAsia"/>
          <w:kern w:val="2"/>
          <w:szCs w:val="20"/>
          <w:lang w:eastAsia="zh-CN"/>
        </w:rPr>
        <w:t>（二）订单融资情况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ascii="宋体" w:eastAsia="宋体" w:hAnsi="宋体" w:cs="宋体"/>
          <w:b/>
          <w:bCs/>
          <w:kern w:val="2"/>
          <w:sz w:val="21"/>
          <w:szCs w:val="22"/>
          <w:lang w:eastAsia="zh-CN"/>
        </w:rPr>
      </w:pPr>
      <w:r>
        <w:rPr>
          <w:rFonts w:ascii="宋体" w:eastAsia="宋体" w:hAnsi="宋体" w:cs="宋体" w:hint="eastAsia"/>
          <w:b/>
          <w:bCs/>
          <w:kern w:val="2"/>
          <w:sz w:val="21"/>
          <w:szCs w:val="22"/>
          <w:lang w:eastAsia="zh-CN"/>
        </w:rPr>
        <w:t>1、关于政府采购订单融资政策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eastAsia="宋体" w:hint="eastAsia"/>
          <w:bCs/>
          <w:kern w:val="2"/>
          <w:sz w:val="21"/>
          <w:szCs w:val="21"/>
          <w:lang w:eastAsia="zh-CN"/>
        </w:rPr>
      </w:pPr>
      <w:r>
        <w:rPr>
          <w:rFonts w:eastAsia="宋体" w:hint="eastAsia"/>
          <w:bCs/>
          <w:kern w:val="2"/>
          <w:sz w:val="21"/>
          <w:szCs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ascii="宋体" w:eastAsia="宋体" w:hAnsi="宋体" w:cs="宋体" w:hint="eastAsia"/>
          <w:b/>
          <w:bCs/>
          <w:kern w:val="2"/>
          <w:sz w:val="21"/>
          <w:szCs w:val="22"/>
          <w:lang w:eastAsia="zh-CN"/>
        </w:rPr>
      </w:pPr>
      <w:r>
        <w:rPr>
          <w:rFonts w:ascii="宋体" w:eastAsia="宋体" w:hAnsi="宋体" w:cs="宋体" w:hint="eastAsia"/>
          <w:b/>
          <w:bCs/>
          <w:kern w:val="2"/>
          <w:sz w:val="21"/>
          <w:szCs w:val="22"/>
          <w:lang w:eastAsia="zh-CN"/>
        </w:rPr>
        <w:t>2、供应商账户信息</w:t>
      </w:r>
    </w:p>
    <w:p>
      <w:pPr>
        <w:keepNext w:val="0"/>
        <w:keepLines w:val="0"/>
        <w:pageBreakBefore w:val="0"/>
        <w:widowControl w:val="0"/>
        <w:kinsoku/>
        <w:wordWrap w:val="0"/>
        <w:overflowPunct/>
        <w:topLinePunct w:val="0"/>
        <w:autoSpaceDE/>
        <w:autoSpaceDN/>
        <w:bidi w:val="0"/>
        <w:adjustRightInd/>
        <w:snapToGrid/>
        <w:ind w:left="480" w:firstLine="210" w:leftChars="200" w:firstLineChars="100"/>
        <w:jc w:val="both"/>
        <w:textAlignment w:val="auto"/>
        <w:rPr>
          <w:rFonts w:ascii="Calibri" w:eastAsia="宋体" w:hAnsi="Calibri" w:hint="eastAsia"/>
          <w:kern w:val="2"/>
          <w:sz w:val="21"/>
          <w:szCs w:val="21"/>
          <w:lang w:eastAsia="zh-CN"/>
        </w:rPr>
      </w:pPr>
      <w:r>
        <w:rPr>
          <w:rFonts w:ascii="Calibri" w:eastAsia="宋体" w:hAnsi="Calibri" w:cs="Times New Roman" w:hint="eastAsia"/>
          <w:kern w:val="2"/>
          <w:sz w:val="21"/>
          <w:szCs w:val="21"/>
          <w:lang w:eastAsia="zh-CN"/>
        </w:rPr>
        <w:t>投标人（单位全称）：</w:t>
      </w:r>
      <w:r>
        <w:rPr>
          <w:rFonts w:ascii="Calibri" w:eastAsia="宋体" w:hAnsi="Calibri" w:cs="Times New Roman" w:hint="eastAsia"/>
          <w:kern w:val="2"/>
          <w:sz w:val="21"/>
          <w:szCs w:val="21"/>
          <w:u w:val="thick"/>
          <w:lang w:eastAsia="zh-CN"/>
        </w:rPr>
        <w:t xml:space="preserve">                                  </w:t>
      </w:r>
      <w:r>
        <w:rPr>
          <w:rFonts w:ascii="Calibri" w:eastAsia="宋体" w:hAnsi="Calibri" w:cs="Times New Roman" w:hint="eastAsia"/>
          <w:kern w:val="2"/>
          <w:sz w:val="21"/>
          <w:szCs w:val="21"/>
          <w:lang w:eastAsia="zh-CN"/>
        </w:rPr>
        <w:t xml:space="preserve">；  </w:t>
      </w:r>
    </w:p>
    <w:p>
      <w:pPr>
        <w:keepNext w:val="0"/>
        <w:keepLines w:val="0"/>
        <w:pageBreakBefore w:val="0"/>
        <w:widowControl w:val="0"/>
        <w:kinsoku/>
        <w:wordWrap w:val="0"/>
        <w:overflowPunct/>
        <w:topLinePunct w:val="0"/>
        <w:autoSpaceDE/>
        <w:autoSpaceDN/>
        <w:bidi w:val="0"/>
        <w:adjustRightInd/>
        <w:snapToGrid/>
        <w:ind w:left="480" w:firstLine="210" w:leftChars="200" w:firstLineChars="100"/>
        <w:jc w:val="both"/>
        <w:textAlignment w:val="auto"/>
        <w:rPr>
          <w:rFonts w:ascii="Calibri" w:eastAsia="宋体" w:hAnsi="Calibri" w:hint="eastAsia"/>
          <w:kern w:val="2"/>
          <w:sz w:val="21"/>
          <w:szCs w:val="21"/>
          <w:lang w:eastAsia="zh-CN"/>
        </w:rPr>
      </w:pPr>
      <w:r>
        <w:rPr>
          <w:rFonts w:ascii="Calibri" w:eastAsia="宋体" w:hAnsi="Calibri" w:cs="Times New Roman" w:hint="eastAsia"/>
          <w:kern w:val="2"/>
          <w:sz w:val="21"/>
          <w:szCs w:val="21"/>
          <w:lang w:eastAsia="zh-CN"/>
        </w:rPr>
        <w:t>投标人单位地址：</w:t>
      </w:r>
      <w:r>
        <w:rPr>
          <w:rFonts w:ascii="Calibri" w:eastAsia="宋体" w:hAnsi="Calibri" w:cs="Times New Roman" w:hint="eastAsia"/>
          <w:kern w:val="2"/>
          <w:sz w:val="21"/>
          <w:szCs w:val="21"/>
          <w:u w:val="thick"/>
          <w:lang w:eastAsia="zh-CN"/>
        </w:rPr>
        <w:t xml:space="preserve">       </w:t>
      </w:r>
      <w:r>
        <w:rPr>
          <w:rFonts w:eastAsia="宋体" w:hAnsi="Calibri" w:cs="Times New Roman" w:hint="eastAsia"/>
          <w:kern w:val="2"/>
          <w:sz w:val="21"/>
          <w:szCs w:val="21"/>
          <w:u w:val="thick"/>
          <w:lang w:eastAsia="zh-CN"/>
        </w:rPr>
        <w:t xml:space="preserve">      </w:t>
      </w:r>
      <w:r>
        <w:rPr>
          <w:rFonts w:ascii="Calibri" w:eastAsia="宋体" w:hAnsi="Calibri" w:cs="Times New Roman" w:hint="eastAsia"/>
          <w:kern w:val="2"/>
          <w:sz w:val="21"/>
          <w:szCs w:val="21"/>
          <w:u w:val="thick"/>
          <w:lang w:eastAsia="zh-CN"/>
        </w:rPr>
        <w:t xml:space="preserve">                      </w:t>
      </w:r>
      <w:r>
        <w:rPr>
          <w:rFonts w:eastAsia="宋体" w:hAnsi="Calibri" w:cs="Times New Roman" w:hint="eastAsia"/>
          <w:kern w:val="2"/>
          <w:sz w:val="21"/>
          <w:szCs w:val="21"/>
          <w:u w:val="thick"/>
          <w:lang w:eastAsia="zh-CN"/>
        </w:rPr>
        <w:t xml:space="preserve">   </w:t>
      </w:r>
      <w:r>
        <w:rPr>
          <w:rFonts w:ascii="Calibri" w:eastAsia="宋体" w:hAnsi="Calibri" w:cs="Times New Roman" w:hint="eastAsia"/>
          <w:kern w:val="2"/>
          <w:sz w:val="21"/>
          <w:szCs w:val="21"/>
          <w:lang w:eastAsia="zh-CN"/>
        </w:rPr>
        <w:t>；</w:t>
      </w:r>
    </w:p>
    <w:p>
      <w:pPr>
        <w:keepNext w:val="0"/>
        <w:keepLines w:val="0"/>
        <w:pageBreakBefore w:val="0"/>
        <w:widowControl w:val="0"/>
        <w:kinsoku/>
        <w:wordWrap w:val="0"/>
        <w:overflowPunct/>
        <w:topLinePunct w:val="0"/>
        <w:autoSpaceDE/>
        <w:autoSpaceDN/>
        <w:bidi w:val="0"/>
        <w:adjustRightInd/>
        <w:snapToGrid/>
        <w:ind w:left="480" w:firstLine="210" w:leftChars="200" w:firstLineChars="100"/>
        <w:jc w:val="both"/>
        <w:textAlignment w:val="auto"/>
        <w:rPr>
          <w:rFonts w:ascii="Calibri" w:eastAsia="宋体" w:hAnsi="Calibri" w:hint="eastAsia"/>
          <w:kern w:val="2"/>
          <w:sz w:val="21"/>
          <w:szCs w:val="21"/>
          <w:lang w:eastAsia="zh-CN"/>
        </w:rPr>
      </w:pPr>
      <w:r>
        <w:rPr>
          <w:rFonts w:ascii="Calibri" w:eastAsia="宋体" w:hAnsi="Calibri" w:cs="Times New Roman" w:hint="eastAsia"/>
          <w:kern w:val="2"/>
          <w:sz w:val="21"/>
          <w:szCs w:val="21"/>
          <w:lang w:eastAsia="zh-CN"/>
        </w:rPr>
        <w:t>法定代表人（负责人）或其</w:t>
      </w:r>
      <w:r>
        <w:rPr>
          <w:rFonts w:eastAsia="宋体" w:hAnsi="Calibri" w:cs="Times New Roman" w:hint="eastAsia"/>
          <w:kern w:val="2"/>
          <w:sz w:val="21"/>
          <w:szCs w:val="21"/>
          <w:lang w:eastAsia="zh-CN"/>
        </w:rPr>
        <w:t>授权</w:t>
      </w:r>
      <w:r>
        <w:rPr>
          <w:rFonts w:ascii="Calibri" w:eastAsia="宋体" w:hAnsi="Calibri" w:cs="Times New Roman" w:hint="eastAsia"/>
          <w:kern w:val="2"/>
          <w:sz w:val="21"/>
          <w:szCs w:val="21"/>
          <w:lang w:eastAsia="zh-CN"/>
        </w:rPr>
        <w:t>委托代理人：</w:t>
      </w:r>
      <w:r>
        <w:rPr>
          <w:rFonts w:ascii="Calibri" w:eastAsia="宋体" w:hAnsi="Calibri" w:cs="Times New Roman" w:hint="eastAsia"/>
          <w:kern w:val="2"/>
          <w:sz w:val="21"/>
          <w:szCs w:val="21"/>
          <w:u w:val="thick"/>
          <w:lang w:eastAsia="zh-CN"/>
        </w:rPr>
        <w:t xml:space="preserve">              </w:t>
      </w:r>
      <w:r>
        <w:rPr>
          <w:rFonts w:ascii="Calibri" w:eastAsia="宋体" w:hAnsi="Calibri" w:cs="Times New Roman" w:hint="eastAsia"/>
          <w:kern w:val="2"/>
          <w:sz w:val="21"/>
          <w:szCs w:val="21"/>
          <w:lang w:eastAsia="zh-CN"/>
        </w:rPr>
        <w:t>；</w:t>
      </w:r>
    </w:p>
    <w:p>
      <w:pPr>
        <w:keepNext w:val="0"/>
        <w:keepLines w:val="0"/>
        <w:pageBreakBefore w:val="0"/>
        <w:widowControl w:val="0"/>
        <w:kinsoku/>
        <w:wordWrap w:val="0"/>
        <w:overflowPunct/>
        <w:topLinePunct w:val="0"/>
        <w:autoSpaceDE/>
        <w:autoSpaceDN/>
        <w:bidi w:val="0"/>
        <w:adjustRightInd/>
        <w:snapToGrid/>
        <w:ind w:left="480" w:firstLine="210" w:leftChars="200" w:firstLineChars="100"/>
        <w:jc w:val="both"/>
        <w:textAlignment w:val="auto"/>
        <w:rPr>
          <w:rFonts w:ascii="Calibri" w:eastAsia="宋体" w:hAnsi="Calibri" w:hint="eastAsia"/>
          <w:kern w:val="2"/>
          <w:sz w:val="21"/>
          <w:szCs w:val="21"/>
          <w:u w:val="thick"/>
          <w:lang w:eastAsia="zh-CN"/>
        </w:rPr>
      </w:pPr>
      <w:r>
        <w:rPr>
          <w:rFonts w:ascii="Calibri" w:eastAsia="宋体" w:hAnsi="Calibri" w:cs="Times New Roman" w:hint="eastAsia"/>
          <w:kern w:val="2"/>
          <w:sz w:val="21"/>
          <w:szCs w:val="21"/>
          <w:lang w:eastAsia="zh-CN"/>
        </w:rPr>
        <w:t>联系电话：</w:t>
      </w:r>
      <w:r>
        <w:rPr>
          <w:rFonts w:ascii="Calibri" w:eastAsia="宋体" w:hAnsi="Calibri" w:cs="Times New Roman" w:hint="eastAsia"/>
          <w:kern w:val="2"/>
          <w:sz w:val="21"/>
          <w:szCs w:val="21"/>
          <w:u w:val="thick"/>
          <w:lang w:eastAsia="zh-CN"/>
        </w:rPr>
        <w:t xml:space="preserve">        </w:t>
      </w:r>
      <w:r>
        <w:rPr>
          <w:rFonts w:eastAsia="宋体" w:hAnsi="Calibri" w:cs="Times New Roman" w:hint="eastAsia"/>
          <w:kern w:val="2"/>
          <w:sz w:val="21"/>
          <w:szCs w:val="21"/>
          <w:u w:val="thick"/>
          <w:lang w:eastAsia="zh-CN"/>
        </w:rPr>
        <w:t xml:space="preserve">      </w:t>
      </w:r>
      <w:r>
        <w:rPr>
          <w:rFonts w:ascii="Calibri" w:eastAsia="宋体" w:hAnsi="Calibri" w:cs="Times New Roman" w:hint="eastAsia"/>
          <w:kern w:val="2"/>
          <w:sz w:val="21"/>
          <w:szCs w:val="21"/>
          <w:u w:val="thick"/>
          <w:lang w:eastAsia="zh-CN"/>
        </w:rPr>
        <w:t xml:space="preserve">           </w:t>
      </w:r>
      <w:r>
        <w:rPr>
          <w:rFonts w:ascii="Calibri" w:eastAsia="宋体" w:hAnsi="Calibri" w:cs="Times New Roman" w:hint="eastAsia"/>
          <w:kern w:val="2"/>
          <w:sz w:val="21"/>
          <w:szCs w:val="21"/>
          <w:lang w:eastAsia="zh-CN"/>
        </w:rPr>
        <w:t>；</w:t>
      </w:r>
    </w:p>
    <w:p>
      <w:pPr>
        <w:keepNext w:val="0"/>
        <w:keepLines w:val="0"/>
        <w:pageBreakBefore w:val="0"/>
        <w:widowControl w:val="0"/>
        <w:kinsoku/>
        <w:wordWrap w:val="0"/>
        <w:overflowPunct/>
        <w:topLinePunct w:val="0"/>
        <w:autoSpaceDE/>
        <w:autoSpaceDN/>
        <w:bidi w:val="0"/>
        <w:adjustRightInd/>
        <w:snapToGrid/>
        <w:ind w:left="480" w:firstLine="210" w:leftChars="200" w:firstLineChars="100"/>
        <w:jc w:val="both"/>
        <w:textAlignment w:val="auto"/>
        <w:rPr>
          <w:rFonts w:ascii="Calibri" w:eastAsia="宋体" w:hAnsi="Calibri" w:hint="eastAsia"/>
          <w:kern w:val="2"/>
          <w:sz w:val="21"/>
          <w:szCs w:val="21"/>
          <w:lang w:eastAsia="zh-CN"/>
        </w:rPr>
      </w:pPr>
      <w:r>
        <w:rPr>
          <w:rFonts w:eastAsia="宋体" w:hAnsi="Calibri" w:cs="Times New Roman" w:hint="eastAsia"/>
          <w:kern w:val="2"/>
          <w:sz w:val="21"/>
          <w:szCs w:val="21"/>
          <w:lang w:eastAsia="zh-CN"/>
        </w:rPr>
        <w:t>开户银行名称：</w:t>
      </w:r>
      <w:r>
        <w:rPr>
          <w:rFonts w:ascii="Calibri" w:eastAsia="宋体" w:hAnsi="Calibri" w:cs="Times New Roman" w:hint="eastAsia"/>
          <w:kern w:val="2"/>
          <w:sz w:val="21"/>
          <w:szCs w:val="21"/>
          <w:u w:val="thick"/>
          <w:lang w:eastAsia="zh-CN"/>
        </w:rPr>
        <w:t xml:space="preserve">                     </w:t>
      </w:r>
      <w:r>
        <w:rPr>
          <w:rFonts w:ascii="Calibri" w:eastAsia="宋体" w:hAnsi="Calibri" w:cs="Times New Roman" w:hint="eastAsia"/>
          <w:kern w:val="2"/>
          <w:sz w:val="21"/>
          <w:szCs w:val="21"/>
          <w:lang w:eastAsia="zh-CN"/>
        </w:rPr>
        <w:t>；</w:t>
      </w:r>
    </w:p>
    <w:p>
      <w:pPr>
        <w:keepNext w:val="0"/>
        <w:keepLines w:val="0"/>
        <w:pageBreakBefore w:val="0"/>
        <w:widowControl w:val="0"/>
        <w:kinsoku/>
        <w:wordWrap w:val="0"/>
        <w:overflowPunct/>
        <w:topLinePunct w:val="0"/>
        <w:autoSpaceDE/>
        <w:autoSpaceDN/>
        <w:bidi w:val="0"/>
        <w:adjustRightInd/>
        <w:snapToGrid/>
        <w:ind w:left="480" w:firstLine="210" w:leftChars="200" w:firstLineChars="100"/>
        <w:jc w:val="both"/>
        <w:textAlignment w:val="auto"/>
        <w:rPr>
          <w:rFonts w:ascii="Calibri" w:eastAsia="宋体" w:hAnsi="Calibri" w:hint="eastAsia"/>
          <w:kern w:val="2"/>
          <w:sz w:val="21"/>
          <w:szCs w:val="21"/>
          <w:u w:val="thick"/>
          <w:lang w:eastAsia="zh-CN"/>
        </w:rPr>
      </w:pPr>
      <w:r>
        <w:rPr>
          <w:rFonts w:ascii="Calibri" w:eastAsia="宋体" w:hAnsi="Calibri" w:cs="Times New Roman" w:hint="eastAsia"/>
          <w:kern w:val="2"/>
          <w:sz w:val="21"/>
          <w:szCs w:val="21"/>
          <w:lang w:eastAsia="zh-CN"/>
        </w:rPr>
        <w:t>开户银行账号：</w:t>
      </w:r>
      <w:r>
        <w:rPr>
          <w:rFonts w:ascii="Calibri" w:eastAsia="宋体" w:hAnsi="Calibri" w:cs="Times New Roman" w:hint="eastAsia"/>
          <w:kern w:val="2"/>
          <w:sz w:val="21"/>
          <w:szCs w:val="21"/>
          <w:u w:val="thick"/>
          <w:lang w:eastAsia="zh-CN"/>
        </w:rPr>
        <w:t xml:space="preserve">                     </w:t>
      </w:r>
      <w:r>
        <w:rPr>
          <w:rFonts w:ascii="Calibri" w:eastAsia="宋体" w:hAnsi="Calibri" w:cs="Times New Roman" w:hint="eastAsia"/>
          <w:kern w:val="2"/>
          <w:sz w:val="21"/>
          <w:szCs w:val="21"/>
          <w:lang w:eastAsia="zh-CN"/>
        </w:rPr>
        <w:t>；</w:t>
      </w:r>
    </w:p>
    <w:p>
      <w:pPr>
        <w:keepNext w:val="0"/>
        <w:keepLines w:val="0"/>
        <w:pageBreakBefore w:val="0"/>
        <w:widowControl w:val="0"/>
        <w:kinsoku/>
        <w:wordWrap w:val="0"/>
        <w:overflowPunct/>
        <w:topLinePunct w:val="0"/>
        <w:autoSpaceDE/>
        <w:autoSpaceDN/>
        <w:bidi w:val="0"/>
        <w:adjustRightInd/>
        <w:snapToGrid/>
        <w:ind w:left="480" w:firstLine="210" w:leftChars="200" w:firstLineChars="100"/>
        <w:jc w:val="both"/>
        <w:textAlignment w:val="auto"/>
        <w:rPr>
          <w:rFonts w:ascii="Calibri" w:eastAsia="宋体" w:hAnsi="Calibri" w:hint="eastAsia"/>
          <w:kern w:val="2"/>
          <w:sz w:val="21"/>
          <w:szCs w:val="21"/>
          <w:lang w:eastAsia="zh-CN"/>
        </w:rPr>
      </w:pPr>
      <w:r>
        <w:rPr>
          <w:rFonts w:ascii="Calibri" w:eastAsia="宋体" w:hAnsi="Calibri" w:cs="Times New Roman" w:hint="eastAsia"/>
          <w:kern w:val="2"/>
          <w:sz w:val="21"/>
          <w:szCs w:val="21"/>
          <w:lang w:eastAsia="zh-CN"/>
        </w:rPr>
        <w:t>开户银行地址：</w:t>
      </w:r>
      <w:r>
        <w:rPr>
          <w:rFonts w:ascii="Calibri" w:eastAsia="宋体" w:hAnsi="Calibri" w:cs="Times New Roman" w:hint="eastAsia"/>
          <w:kern w:val="2"/>
          <w:sz w:val="21"/>
          <w:szCs w:val="21"/>
          <w:u w:val="thick"/>
          <w:lang w:eastAsia="zh-CN"/>
        </w:rPr>
        <w:t xml:space="preserve">                     </w:t>
      </w:r>
      <w:r>
        <w:rPr>
          <w:rFonts w:ascii="Calibri" w:eastAsia="宋体" w:hAnsi="Calibri" w:cs="Times New Roman"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imes New Roman" w:hint="eastAsia"/>
          <w:kern w:val="2"/>
          <w:sz w:val="21"/>
          <w:szCs w:val="21"/>
          <w:lang w:eastAsia="zh-CN"/>
        </w:rPr>
        <w:t xml:space="preserve"> </w:t>
      </w:r>
      <w:r>
        <w:rPr>
          <w:rFonts w:ascii="宋体" w:eastAsia="宋体" w:hAnsi="宋体" w:cs="Times New Roman" w:hint="eastAsia"/>
          <w:b/>
          <w:bCs/>
          <w:color w:val="FF0000"/>
          <w:spacing w:val="-4"/>
          <w:sz w:val="21"/>
          <w:szCs w:val="21"/>
          <w:lang w:eastAsia="zh-CN"/>
        </w:rPr>
        <w:t>注：本项填写内容作为订单融资开展的参考信息，不作为供应商资格性审查及符合性审查条件。</w:t>
      </w:r>
    </w:p>
    <w:p>
      <w:pPr>
        <w:widowControl/>
        <w:tabs>
          <w:tab w:val="left" w:pos="8200"/>
        </w:tabs>
        <w:wordWrap/>
        <w:autoSpaceDE w:val="0"/>
        <w:autoSpaceDN w:val="0"/>
        <w:spacing w:line="400" w:lineRule="exact"/>
        <w:ind w:right="1414" w:firstLine="420" w:firstLineChars="200"/>
        <w:jc w:val="both"/>
        <w:rPr>
          <w:rFonts w:ascii="宋体" w:eastAsia="宋体" w:hAnsi="宋体" w:hint="eastAsia"/>
          <w:b/>
          <w:bCs/>
          <w:color w:val="FF0000"/>
          <w:spacing w:val="-4"/>
          <w:sz w:val="21"/>
          <w:szCs w:val="21"/>
          <w:lang w:eastAsia="zh-CN"/>
        </w:rPr>
      </w:pPr>
    </w:p>
    <w:p>
      <w:pPr>
        <w:widowControl/>
        <w:tabs>
          <w:tab w:val="left" w:pos="6930"/>
          <w:tab w:val="left" w:pos="8200"/>
        </w:tabs>
        <w:wordWrap/>
        <w:autoSpaceDE w:val="0"/>
        <w:autoSpaceDN w:val="0"/>
        <w:spacing w:line="400" w:lineRule="exact"/>
        <w:ind w:right="1414" w:firstLine="480" w:firstLineChars="200"/>
        <w:jc w:val="both"/>
        <w:rPr>
          <w:rFonts w:ascii="Calibri" w:eastAsia="宋体" w:hAnsi="Calibri"/>
          <w:szCs w:val="22"/>
          <w:lang w:eastAsia="zh-CN"/>
        </w:rPr>
      </w:pPr>
    </w:p>
    <w:p>
      <w:pPr>
        <w:widowControl/>
        <w:wordWrap/>
        <w:autoSpaceDE w:val="0"/>
        <w:autoSpaceDN w:val="0"/>
        <w:spacing w:line="400" w:lineRule="exact"/>
        <w:ind w:right="1414" w:firstLine="480" w:firstLineChars="200"/>
        <w:jc w:val="right"/>
        <w:rPr>
          <w:rFonts w:ascii="Calibri" w:eastAsia="宋体" w:hAnsi="Calibri"/>
          <w:szCs w:val="22"/>
          <w:lang w:eastAsia="zh-CN"/>
        </w:rPr>
      </w:pPr>
    </w:p>
    <w:p>
      <w:pPr>
        <w:widowControl w:val="0"/>
        <w:ind w:firstLine="630" w:firstLineChars="300"/>
        <w:jc w:val="both"/>
        <w:rPr>
          <w:rFonts w:ascii="宋体" w:eastAsia="宋体" w:hAnsi="宋体"/>
          <w:kern w:val="2"/>
          <w:sz w:val="21"/>
          <w:szCs w:val="22"/>
          <w:lang w:eastAsia="zh-CN"/>
        </w:rPr>
      </w:pPr>
      <w:r>
        <w:rPr>
          <w:rFonts w:ascii="Calibri" w:eastAsia="宋体" w:hAnsi="Calibri" w:cs="Times New Roman"/>
          <w:kern w:val="2"/>
          <w:sz w:val="21"/>
          <w:szCs w:val="22"/>
          <w:lang w:eastAsia="zh-CN"/>
        </w:rPr>
        <w:t xml:space="preserve">  </w:t>
      </w:r>
      <w:r>
        <w:rPr>
          <w:rFonts w:ascii="宋体" w:eastAsia="宋体" w:hAnsi="宋体" w:cs="Times New Roman" w:hint="eastAsia"/>
          <w:kern w:val="2"/>
          <w:sz w:val="21"/>
          <w:szCs w:val="22"/>
          <w:lang w:eastAsia="zh-CN"/>
        </w:rPr>
        <w:t>………………（根据项目具体情况增加与综合实力评审相关的节点）</w:t>
      </w:r>
    </w:p>
    <w:p>
      <w:pPr>
        <w:widowControl w:val="0"/>
        <w:ind w:firstLine="720" w:firstLineChars="300"/>
        <w:jc w:val="both"/>
        <w:rPr>
          <w:rFonts w:ascii="Calibri" w:eastAsia="宋体" w:hAnsi="Calibri"/>
          <w:kern w:val="2"/>
          <w:szCs w:val="22"/>
          <w:lang w:eastAsia="zh-CN"/>
        </w:rPr>
      </w:pPr>
    </w:p>
    <w:p>
      <w:pPr>
        <w:widowControl/>
        <w:spacing w:line="360" w:lineRule="auto"/>
        <w:jc w:val="left"/>
        <w:rPr>
          <w:rFonts w:ascii="Calibri" w:eastAsia="宋体" w:hAnsi="Calibri"/>
          <w:b/>
          <w:bCs/>
          <w:szCs w:val="22"/>
          <w:lang w:eastAsia="zh-CN"/>
        </w:rPr>
      </w:pPr>
    </w:p>
    <w:p>
      <w:pPr>
        <w:widowControl/>
        <w:jc w:val="center"/>
        <w:rPr>
          <w:rFonts w:ascii="黑体" w:eastAsia="黑体" w:hAnsi="宋体"/>
          <w:szCs w:val="20"/>
          <w:lang w:eastAsia="zh-CN"/>
        </w:rPr>
      </w:pPr>
      <w:r>
        <w:rPr>
          <w:rFonts w:ascii="黑体" w:eastAsia="黑体" w:hAnsi="宋体" w:cs="Times New Roman" w:hint="eastAsia"/>
          <w:szCs w:val="20"/>
          <w:lang w:eastAsia="zh-CN"/>
        </w:rPr>
        <w:t>（三）投标人认为需要加以说明的其他内容（格式自定）</w:t>
      </w:r>
    </w:p>
    <w:p>
      <w:pPr>
        <w:widowControl/>
        <w:jc w:val="center"/>
        <w:rPr>
          <w:rFonts w:ascii="黑体" w:eastAsia="黑体" w:hAnsi="宋体"/>
          <w:szCs w:val="20"/>
          <w:lang w:eastAsia="zh-CN"/>
        </w:rPr>
      </w:pPr>
    </w:p>
    <w:p>
      <w:pPr>
        <w:widowControl w:val="0"/>
        <w:spacing w:after="60" w:afterLines="25" w:line="300" w:lineRule="auto"/>
        <w:jc w:val="both"/>
        <w:rPr>
          <w:rFonts w:ascii="Arial" w:eastAsia="宋体" w:hAnsi="Arial"/>
          <w:kern w:val="2"/>
          <w:lang w:eastAsia="zh-CN"/>
        </w:rPr>
      </w:pPr>
    </w:p>
    <w:p>
      <w:pPr>
        <w:widowControl w:val="0"/>
        <w:jc w:val="both"/>
        <w:rPr>
          <w:rFonts w:ascii="Arial" w:eastAsia="宋体" w:hAnsi="Arial"/>
          <w:kern w:val="2"/>
          <w:lang w:eastAsia="zh-CN"/>
        </w:rPr>
      </w:pPr>
      <w:r>
        <w:rPr>
          <w:rFonts w:ascii="Arial" w:eastAsia="宋体" w:hAnsi="Arial"/>
          <w:kern w:val="2"/>
          <w:lang w:eastAsia="zh-CN"/>
        </w:rPr>
        <w:br w:type="page"/>
      </w:r>
    </w:p>
    <w:p>
      <w:pPr>
        <w:widowControl w:val="0"/>
        <w:spacing w:line="360" w:lineRule="auto"/>
        <w:jc w:val="both"/>
        <w:rPr>
          <w:rFonts w:ascii="Calibri" w:eastAsia="宋体" w:hAnsi="Calibri"/>
          <w:b/>
          <w:bCs/>
          <w:kern w:val="2"/>
          <w:szCs w:val="22"/>
          <w:lang w:eastAsia="zh-CN"/>
        </w:rPr>
      </w:pPr>
    </w:p>
    <w:p>
      <w:pPr>
        <w:keepNext/>
        <w:keepLines/>
        <w:widowControl w:val="0"/>
        <w:adjustRightInd w:val="0"/>
        <w:spacing w:before="260" w:after="260"/>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第五章  合同条款及格式</w:t>
      </w:r>
    </w:p>
    <w:p>
      <w:pPr>
        <w:widowControl/>
        <w:jc w:val="center"/>
        <w:rPr>
          <w:rFonts w:ascii="宋体" w:eastAsia="黑体" w:hAnsi="宋体" w:hint="eastAsia"/>
          <w:bCs/>
          <w:kern w:val="44"/>
          <w:sz w:val="28"/>
          <w:szCs w:val="44"/>
          <w:lang w:eastAsia="zh-CN"/>
        </w:rPr>
      </w:pPr>
      <w:bookmarkStart w:id="59" w:name="_Hlk72574405"/>
      <w:r>
        <w:rPr>
          <w:rFonts w:ascii="Calibri" w:eastAsia="宋体" w:hAnsi="Calibri" w:cs="Times New Roman" w:hint="eastAsia"/>
          <w:b/>
          <w:kern w:val="2"/>
          <w:szCs w:val="22"/>
          <w:lang w:eastAsia="zh-CN"/>
        </w:rPr>
        <w:t>（仅供参考，具体以项目需求及采购结果为准）</w:t>
      </w:r>
      <w:bookmarkEnd w:id="59"/>
    </w:p>
    <w:p>
      <w:pPr>
        <w:widowControl w:val="0"/>
        <w:snapToGrid w:val="0"/>
        <w:spacing w:line="300" w:lineRule="auto"/>
        <w:jc w:val="center"/>
        <w:rPr>
          <w:rFonts w:ascii="仿宋" w:eastAsia="仿宋" w:hAnsi="仿宋" w:hint="eastAsia"/>
          <w:kern w:val="2"/>
          <w:sz w:val="28"/>
          <w:szCs w:val="28"/>
          <w:lang w:eastAsia="zh-CN"/>
        </w:rPr>
      </w:pPr>
    </w:p>
    <w:p>
      <w:pPr>
        <w:widowControl w:val="0"/>
        <w:jc w:val="both"/>
        <w:rPr>
          <w:rFonts w:ascii="Calibri" w:eastAsia="宋体" w:hAnsi="Calibri"/>
          <w:kern w:val="2"/>
          <w:sz w:val="21"/>
          <w:szCs w:val="22"/>
          <w:lang w:eastAsia="zh-CN"/>
        </w:rPr>
      </w:pPr>
    </w:p>
    <w:p>
      <w:pPr>
        <w:widowControl w:val="0"/>
        <w:jc w:val="left"/>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采购人：</w:t>
      </w:r>
      <w:r>
        <w:rPr>
          <w:rFonts w:ascii="Calibri" w:eastAsia="宋体" w:hAnsi="Calibri" w:cs="Times New Roman" w:hint="eastAsia"/>
          <w:kern w:val="2"/>
          <w:sz w:val="21"/>
          <w:szCs w:val="21"/>
          <w:u w:val="single"/>
          <w:lang w:eastAsia="zh-CN"/>
        </w:rPr>
        <w:t xml:space="preserve">           </w:t>
      </w:r>
    </w:p>
    <w:p>
      <w:pPr>
        <w:widowControl w:val="0"/>
        <w:jc w:val="left"/>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供应商：</w:t>
      </w:r>
      <w:r>
        <w:rPr>
          <w:rFonts w:ascii="Calibri" w:eastAsia="宋体" w:hAnsi="Calibri" w:cs="Times New Roman" w:hint="eastAsia"/>
          <w:kern w:val="2"/>
          <w:sz w:val="21"/>
          <w:szCs w:val="21"/>
          <w:u w:val="single"/>
          <w:lang w:eastAsia="zh-CN"/>
        </w:rPr>
        <w:t xml:space="preserve">           </w:t>
      </w:r>
    </w:p>
    <w:p>
      <w:pPr>
        <w:widowControl w:val="0"/>
        <w:jc w:val="left"/>
        <w:rPr>
          <w:rFonts w:ascii="Calibri" w:eastAsia="宋体" w:hAnsi="Calibri"/>
          <w:kern w:val="2"/>
          <w:szCs w:val="22"/>
          <w:lang w:eastAsia="zh-CN"/>
        </w:rPr>
      </w:pPr>
    </w:p>
    <w:p>
      <w:pPr>
        <w:widowControl w:val="0"/>
        <w:spacing w:line="360" w:lineRule="auto"/>
        <w:ind w:firstLine="560"/>
        <w:jc w:val="left"/>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根据深圳市</w:t>
      </w:r>
      <w:r>
        <w:rPr>
          <w:rFonts w:ascii="宋体" w:eastAsia="宋体" w:hAnsi="宋体" w:cs="宋体" w:hint="eastAsia"/>
          <w:kern w:val="2"/>
          <w:sz w:val="21"/>
          <w:szCs w:val="21"/>
          <w:lang w:eastAsia="zh-CN"/>
        </w:rPr>
        <w:t>****</w:t>
      </w:r>
      <w:r>
        <w:rPr>
          <w:rFonts w:ascii="Calibri" w:eastAsia="宋体" w:hAnsi="Calibri" w:cs="Times New Roman" w:hint="eastAsia"/>
          <w:kern w:val="2"/>
          <w:sz w:val="21"/>
          <w:szCs w:val="21"/>
          <w:u w:val="single"/>
          <w:lang w:eastAsia="zh-CN"/>
        </w:rPr>
        <w:t xml:space="preserve">        </w:t>
      </w:r>
      <w:r>
        <w:rPr>
          <w:rFonts w:ascii="Calibri" w:eastAsia="宋体" w:hAnsi="Calibri" w:cs="Times New Roman" w:hint="eastAsia"/>
          <w:kern w:val="2"/>
          <w:sz w:val="21"/>
          <w:szCs w:val="21"/>
          <w:lang w:eastAsia="zh-CN"/>
        </w:rPr>
        <w:t>号采购项目的投标结果，由</w:t>
      </w:r>
      <w:r>
        <w:rPr>
          <w:rFonts w:ascii="Calibri" w:eastAsia="宋体" w:hAnsi="Calibri" w:cs="Times New Roman" w:hint="eastAsia"/>
          <w:kern w:val="2"/>
          <w:sz w:val="21"/>
          <w:szCs w:val="21"/>
          <w:u w:val="single"/>
          <w:lang w:eastAsia="zh-CN"/>
        </w:rPr>
        <w:t xml:space="preserve">       </w:t>
      </w:r>
      <w:r>
        <w:rPr>
          <w:rFonts w:ascii="Calibri" w:eastAsia="宋体" w:hAnsi="Calibri" w:cs="Times New Roman" w:hint="eastAsia"/>
          <w:kern w:val="2"/>
          <w:sz w:val="21"/>
          <w:szCs w:val="21"/>
          <w:lang w:eastAsia="zh-CN"/>
        </w:rPr>
        <w:t>单位为中标方。按照有关规定，经深圳市</w:t>
      </w:r>
      <w:r>
        <w:rPr>
          <w:rFonts w:ascii="Calibri" w:eastAsia="宋体" w:hAnsi="Calibri" w:cs="Times New Roman" w:hint="eastAsia"/>
          <w:kern w:val="2"/>
          <w:sz w:val="21"/>
          <w:szCs w:val="21"/>
          <w:u w:val="single"/>
          <w:lang w:eastAsia="zh-CN"/>
        </w:rPr>
        <w:t xml:space="preserve">           </w:t>
      </w:r>
      <w:r>
        <w:rPr>
          <w:rFonts w:ascii="Calibri" w:eastAsia="宋体" w:hAnsi="Calibri" w:cs="Times New Roman" w:hint="eastAsia"/>
          <w:kern w:val="2"/>
          <w:sz w:val="21"/>
          <w:szCs w:val="21"/>
          <w:lang w:eastAsia="zh-CN"/>
        </w:rPr>
        <w:t>（以下简称甲方）和</w:t>
      </w:r>
      <w:r>
        <w:rPr>
          <w:rFonts w:ascii="Calibri" w:eastAsia="宋体" w:hAnsi="Calibri" w:cs="Times New Roman" w:hint="eastAsia"/>
          <w:kern w:val="2"/>
          <w:sz w:val="21"/>
          <w:szCs w:val="21"/>
          <w:u w:val="single"/>
          <w:lang w:eastAsia="zh-CN"/>
        </w:rPr>
        <w:t xml:space="preserve">           </w:t>
      </w:r>
      <w:r>
        <w:rPr>
          <w:rFonts w:ascii="Calibri" w:eastAsia="宋体" w:hAnsi="Calibri" w:cs="Times New Roman" w:hint="eastAsia"/>
          <w:kern w:val="2"/>
          <w:sz w:val="21"/>
          <w:szCs w:val="21"/>
          <w:lang w:eastAsia="zh-CN"/>
        </w:rPr>
        <w:t>单位（以下简称乙方）协商，达成以下合同条款：</w:t>
      </w:r>
    </w:p>
    <w:p>
      <w:pPr>
        <w:widowControl w:val="0"/>
        <w:spacing w:line="360" w:lineRule="auto"/>
        <w:ind w:firstLine="560"/>
        <w:jc w:val="left"/>
        <w:rPr>
          <w:rFonts w:ascii="Calibri" w:eastAsia="宋体" w:hAnsi="Calibri"/>
          <w:b/>
          <w:kern w:val="2"/>
          <w:sz w:val="21"/>
          <w:szCs w:val="21"/>
          <w:lang w:eastAsia="zh-CN"/>
        </w:rPr>
      </w:pPr>
      <w:r>
        <w:rPr>
          <w:rFonts w:ascii="Calibri" w:eastAsia="宋体" w:hAnsi="Calibri" w:cs="Times New Roman" w:hint="eastAsia"/>
          <w:b/>
          <w:kern w:val="2"/>
          <w:sz w:val="21"/>
          <w:szCs w:val="21"/>
          <w:lang w:eastAsia="zh-CN"/>
        </w:rPr>
        <w:t>第一条  合同标的</w:t>
      </w:r>
    </w:p>
    <w:p>
      <w:pPr>
        <w:widowControl w:val="0"/>
        <w:spacing w:line="360" w:lineRule="auto"/>
        <w:ind w:firstLine="560"/>
        <w:jc w:val="left"/>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乙方根据甲方需求提供下列货物：</w:t>
      </w:r>
    </w:p>
    <w:p>
      <w:pPr>
        <w:widowControl w:val="0"/>
        <w:spacing w:line="360" w:lineRule="auto"/>
        <w:ind w:firstLine="560"/>
        <w:jc w:val="left"/>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货物名称、规格及数量详见</w:t>
      </w:r>
      <w:r>
        <w:rPr>
          <w:rFonts w:ascii="Calibri" w:eastAsia="宋体" w:hAnsi="Calibri" w:cs="Times New Roman" w:hint="eastAsia"/>
          <w:b/>
          <w:kern w:val="2"/>
          <w:sz w:val="21"/>
          <w:szCs w:val="21"/>
          <w:u w:val="single"/>
          <w:lang w:eastAsia="zh-CN"/>
        </w:rPr>
        <w:t xml:space="preserve">                  </w:t>
      </w:r>
      <w:r>
        <w:rPr>
          <w:rFonts w:ascii="Calibri" w:eastAsia="宋体" w:hAnsi="Calibri" w:cs="Times New Roman" w:hint="eastAsia"/>
          <w:kern w:val="2"/>
          <w:sz w:val="21"/>
          <w:szCs w:val="21"/>
          <w:lang w:eastAsia="zh-CN"/>
        </w:rPr>
        <w:t>。</w:t>
      </w:r>
    </w:p>
    <w:p>
      <w:pPr>
        <w:widowControl w:val="0"/>
        <w:spacing w:line="360" w:lineRule="auto"/>
        <w:ind w:firstLine="560"/>
        <w:jc w:val="left"/>
        <w:rPr>
          <w:rFonts w:ascii="Calibri" w:eastAsia="宋体" w:hAnsi="Calibri"/>
          <w:b/>
          <w:kern w:val="2"/>
          <w:sz w:val="21"/>
          <w:szCs w:val="21"/>
          <w:lang w:eastAsia="zh-CN"/>
        </w:rPr>
      </w:pPr>
      <w:r>
        <w:rPr>
          <w:rFonts w:ascii="Calibri" w:eastAsia="宋体" w:hAnsi="Calibri" w:cs="Times New Roman" w:hint="eastAsia"/>
          <w:b/>
          <w:kern w:val="2"/>
          <w:sz w:val="21"/>
          <w:szCs w:val="21"/>
          <w:lang w:eastAsia="zh-CN"/>
        </w:rPr>
        <w:t>第二条  合同价款</w:t>
      </w:r>
    </w:p>
    <w:p>
      <w:pPr>
        <w:widowControl w:val="0"/>
        <w:spacing w:line="360" w:lineRule="auto"/>
        <w:ind w:firstLine="560"/>
        <w:jc w:val="left"/>
        <w:rPr>
          <w:rFonts w:ascii="Calibri" w:eastAsia="宋体" w:hAnsi="Calibri"/>
          <w:kern w:val="2"/>
          <w:sz w:val="21"/>
          <w:szCs w:val="21"/>
          <w:lang w:eastAsia="zh-CN"/>
        </w:rPr>
      </w:pPr>
      <w:r>
        <w:rPr>
          <w:rFonts w:ascii="Calibri" w:eastAsia="宋体" w:hAnsi="Calibri" w:cs="Times New Roman" w:hint="eastAsia"/>
          <w:kern w:val="2"/>
          <w:sz w:val="21"/>
          <w:szCs w:val="21"/>
          <w:lang w:eastAsia="zh-CN"/>
        </w:rPr>
        <w:t>本合同项下总价款为</w:t>
      </w:r>
      <w:r>
        <w:rPr>
          <w:rFonts w:ascii="Calibri" w:eastAsia="宋体" w:hAnsi="Calibri" w:cs="Times New Roman" w:hint="eastAsia"/>
          <w:kern w:val="2"/>
          <w:sz w:val="21"/>
          <w:szCs w:val="21"/>
          <w:u w:val="single"/>
          <w:lang w:eastAsia="zh-CN"/>
        </w:rPr>
        <w:t xml:space="preserve">              </w:t>
      </w:r>
      <w:r>
        <w:rPr>
          <w:rFonts w:ascii="Calibri" w:eastAsia="宋体" w:hAnsi="Calibri" w:cs="Times New Roman" w:hint="eastAsia"/>
          <w:kern w:val="2"/>
          <w:sz w:val="21"/>
          <w:szCs w:val="21"/>
          <w:lang w:eastAsia="zh-CN"/>
        </w:rPr>
        <w:t>（大写）人民币，分项价款详见</w:t>
      </w:r>
      <w:r>
        <w:rPr>
          <w:rFonts w:ascii="Calibri" w:eastAsia="宋体" w:hAnsi="Calibri" w:cs="Times New Roman" w:hint="eastAsia"/>
          <w:b/>
          <w:kern w:val="2"/>
          <w:sz w:val="21"/>
          <w:szCs w:val="21"/>
          <w:u w:val="single"/>
          <w:lang w:eastAsia="zh-CN"/>
        </w:rPr>
        <w:t xml:space="preserve">          </w:t>
      </w:r>
      <w:r>
        <w:rPr>
          <w:rFonts w:ascii="Calibri" w:eastAsia="宋体" w:hAnsi="Calibri" w:cs="Times New Roman" w:hint="eastAsia"/>
          <w:kern w:val="2"/>
          <w:sz w:val="21"/>
          <w:szCs w:val="21"/>
          <w:lang w:eastAsia="zh-CN"/>
        </w:rPr>
        <w:t>。本合同总价款已包括乙方为履行本合同义务所发生的一切费用，系固定不变价格，且不随通货膨胀的影响而波动。</w:t>
      </w:r>
    </w:p>
    <w:p>
      <w:pPr>
        <w:widowControl w:val="0"/>
        <w:spacing w:line="360" w:lineRule="auto"/>
        <w:ind w:firstLine="560"/>
        <w:jc w:val="left"/>
        <w:rPr>
          <w:rFonts w:ascii="Calibri" w:eastAsia="宋体" w:hAnsi="Calibri"/>
          <w:b/>
          <w:kern w:val="2"/>
          <w:sz w:val="21"/>
          <w:szCs w:val="21"/>
          <w:lang w:eastAsia="zh-CN"/>
        </w:rPr>
      </w:pPr>
      <w:r>
        <w:rPr>
          <w:rFonts w:ascii="Calibri" w:eastAsia="宋体" w:hAnsi="Calibri" w:cs="Times New Roman" w:hint="eastAsia"/>
          <w:b/>
          <w:kern w:val="2"/>
          <w:sz w:val="21"/>
          <w:szCs w:val="21"/>
          <w:lang w:eastAsia="zh-CN"/>
        </w:rPr>
        <w:t>第三条  权利保证</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widowControl w:val="0"/>
        <w:spacing w:line="360" w:lineRule="auto"/>
        <w:ind w:firstLine="560"/>
        <w:jc w:val="left"/>
        <w:rPr>
          <w:rFonts w:ascii="Calibri" w:eastAsia="宋体" w:hAnsi="Calibri"/>
          <w:b/>
          <w:kern w:val="2"/>
          <w:sz w:val="21"/>
          <w:szCs w:val="21"/>
          <w:lang w:eastAsia="zh-CN"/>
        </w:rPr>
      </w:pPr>
      <w:r>
        <w:rPr>
          <w:rFonts w:ascii="Calibri" w:eastAsia="宋体" w:hAnsi="Calibri" w:cs="Times New Roman" w:hint="eastAsia"/>
          <w:b/>
          <w:kern w:val="2"/>
          <w:sz w:val="21"/>
          <w:szCs w:val="21"/>
          <w:lang w:eastAsia="zh-CN"/>
        </w:rPr>
        <w:t>第四条  质量保证</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1、乙方所提供的货物的技术规格符合采购文件规定的技术规格，货物符合中华人民共和国的设计和制造生产标准或行业标准。</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2、乙方应保证货物是全新、未使用过的原装合格正品（包括零部件），并完全符合甲方要求的质量、规格和性能的要求。如货物安装或配置了软件的，乙方保证相关软件均为正版软件。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3、乙方保证交货时一并提供货物的质量合格凭证或文件。</w:t>
      </w:r>
    </w:p>
    <w:p>
      <w:pPr>
        <w:widowControl w:val="0"/>
        <w:spacing w:line="360" w:lineRule="auto"/>
        <w:jc w:val="left"/>
        <w:rPr>
          <w:rFonts w:ascii="宋体" w:eastAsia="宋体" w:hAnsi="宋体"/>
          <w:kern w:val="2"/>
          <w:sz w:val="21"/>
          <w:szCs w:val="21"/>
          <w:lang w:eastAsia="zh-CN"/>
        </w:rPr>
      </w:pPr>
    </w:p>
    <w:p>
      <w:pPr>
        <w:widowControl w:val="0"/>
        <w:spacing w:line="360" w:lineRule="auto"/>
        <w:ind w:firstLine="560"/>
        <w:jc w:val="left"/>
        <w:rPr>
          <w:rFonts w:ascii="Calibri" w:eastAsia="宋体" w:hAnsi="Calibri"/>
          <w:b/>
          <w:kern w:val="2"/>
          <w:sz w:val="21"/>
          <w:szCs w:val="21"/>
          <w:lang w:eastAsia="zh-CN"/>
        </w:rPr>
      </w:pPr>
      <w:r>
        <w:rPr>
          <w:rFonts w:ascii="Calibri" w:eastAsia="宋体" w:hAnsi="Calibri" w:cs="Times New Roman" w:hint="eastAsia"/>
          <w:b/>
          <w:kern w:val="2"/>
          <w:sz w:val="21"/>
          <w:szCs w:val="21"/>
          <w:lang w:eastAsia="zh-CN"/>
        </w:rPr>
        <w:t>第五条  交货和验收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1、乙方应按照本合同或招投标文件规定的时间和方式向甲方交付货物，交货地点由甲方指定。因交货产生的费用由乙方自行承担。</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2、乙方交付的货物应当完全符合招投标文件所规定的货物、数量、质量和规格要求。乙方提供的货物不符合招投标文件和合同规定的，甲方有权拒收货物，由此引起的风险，由乙方承担。</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4、甲方应当在到货后的</w:t>
      </w:r>
      <w:r>
        <w:rPr>
          <w:rFonts w:ascii="宋体" w:eastAsia="宋体" w:hAnsi="宋体" w:cs="Times New Roman" w:hint="eastAsia"/>
          <w:kern w:val="2"/>
          <w:sz w:val="21"/>
          <w:szCs w:val="21"/>
          <w:u w:val="single"/>
          <w:lang w:eastAsia="zh-CN"/>
        </w:rPr>
        <w:t xml:space="preserve">       </w:t>
      </w:r>
      <w:r>
        <w:rPr>
          <w:rFonts w:ascii="宋体" w:eastAsia="宋体" w:hAnsi="宋体" w:cs="Times New Roman" w:hint="eastAsia"/>
          <w:kern w:val="2"/>
          <w:sz w:val="21"/>
          <w:szCs w:val="21"/>
          <w:lang w:eastAsia="zh-CN"/>
        </w:rPr>
        <w:t>个工作日内对货物进行验收；需要乙方对货物或系统进行安装调试的，甲方应在货物安装调试完毕后的</w:t>
      </w:r>
      <w:r>
        <w:rPr>
          <w:rFonts w:ascii="宋体" w:eastAsia="宋体" w:hAnsi="宋体" w:cs="Times New Roman" w:hint="eastAsia"/>
          <w:kern w:val="2"/>
          <w:sz w:val="21"/>
          <w:szCs w:val="21"/>
          <w:u w:val="single"/>
          <w:lang w:eastAsia="zh-CN"/>
        </w:rPr>
        <w:t xml:space="preserve">       </w:t>
      </w:r>
      <w:r>
        <w:rPr>
          <w:rFonts w:ascii="宋体" w:eastAsia="宋体" w:hAnsi="宋体" w:cs="Times New Roman" w:hint="eastAsia"/>
          <w:kern w:val="2"/>
          <w:sz w:val="21"/>
          <w:szCs w:val="21"/>
          <w:lang w:eastAsia="zh-CN"/>
        </w:rPr>
        <w:t>个工作日内进行质量验收。</w:t>
      </w:r>
    </w:p>
    <w:p>
      <w:pPr>
        <w:widowControl w:val="0"/>
        <w:spacing w:line="360" w:lineRule="auto"/>
        <w:ind w:firstLine="560"/>
        <w:jc w:val="left"/>
        <w:rPr>
          <w:rFonts w:ascii="Calibri" w:eastAsia="宋体" w:hAnsi="Calibri"/>
          <w:b/>
          <w:kern w:val="2"/>
          <w:sz w:val="21"/>
          <w:szCs w:val="21"/>
          <w:lang w:eastAsia="zh-CN"/>
        </w:rPr>
      </w:pPr>
      <w:r>
        <w:rPr>
          <w:rFonts w:ascii="Calibri" w:eastAsia="宋体" w:hAnsi="Calibri" w:cs="Times New Roman" w:hint="eastAsia"/>
          <w:b/>
          <w:kern w:val="2"/>
          <w:sz w:val="21"/>
          <w:szCs w:val="21"/>
          <w:lang w:eastAsia="zh-CN"/>
        </w:rPr>
        <w:t>第六条  保修及其他服务</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1、乙方应按照国家有关法律法规规章和“三包”规定和采购文件的要求及乙方在投标文件的相关承诺提供保修及其他服务。</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2、</w:t>
      </w:r>
      <w:r>
        <w:rPr>
          <w:rFonts w:ascii="宋体" w:eastAsia="宋体" w:hAnsi="宋体" w:cs="Times New Roman"/>
          <w:kern w:val="2"/>
          <w:sz w:val="21"/>
          <w:szCs w:val="21"/>
          <w:lang w:eastAsia="zh-CN"/>
        </w:rPr>
        <w:t>保修期内，乙方负责对其提供的货物进行维修和系统维护，不再收取任何费用。</w:t>
      </w:r>
      <w:r>
        <w:rPr>
          <w:rFonts w:ascii="宋体" w:eastAsia="宋体" w:hAnsi="宋体" w:cs="Times New Roman" w:hint="eastAsia"/>
          <w:kern w:val="2"/>
          <w:sz w:val="21"/>
          <w:szCs w:val="21"/>
          <w:lang w:eastAsia="zh-CN"/>
        </w:rPr>
        <w:t>所有货物保修服务方式均为乙方上门保修，即由乙方派员到货物使用现场维修，由此产生的一切费用均由乙方承担。保修期后的货物维护另行协商。</w:t>
      </w:r>
    </w:p>
    <w:p>
      <w:pPr>
        <w:widowControl w:val="0"/>
        <w:spacing w:line="360" w:lineRule="auto"/>
        <w:ind w:firstLine="560"/>
        <w:jc w:val="left"/>
        <w:rPr>
          <w:rFonts w:ascii="Calibri" w:eastAsia="宋体" w:hAnsi="Calibri"/>
          <w:b/>
          <w:kern w:val="2"/>
          <w:sz w:val="21"/>
          <w:szCs w:val="21"/>
          <w:lang w:eastAsia="zh-CN"/>
        </w:rPr>
      </w:pPr>
      <w:r>
        <w:rPr>
          <w:rFonts w:ascii="Calibri" w:eastAsia="宋体" w:hAnsi="Calibri" w:cs="Times New Roman" w:hint="eastAsia"/>
          <w:b/>
          <w:kern w:val="2"/>
          <w:sz w:val="21"/>
          <w:szCs w:val="21"/>
          <w:lang w:eastAsia="zh-CN"/>
        </w:rPr>
        <w:t>第七条  履约保证金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1、乙方应在签订本合同之日，向甲方或甲方指定的机构提交履约保证金_________元。</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2、如乙方未能履行合同规定的义务，甲方有权从履约保证金中取得补偿。</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3、甲方在乙方履行完毕本合同项下全部义务后______天内无息退还乙方。</w:t>
      </w:r>
    </w:p>
    <w:p>
      <w:pPr>
        <w:widowControl w:val="0"/>
        <w:spacing w:line="360" w:lineRule="auto"/>
        <w:ind w:firstLine="560"/>
        <w:jc w:val="left"/>
        <w:rPr>
          <w:rFonts w:ascii="宋体" w:eastAsia="宋体" w:hAnsi="宋体"/>
          <w:kern w:val="2"/>
          <w:sz w:val="21"/>
          <w:szCs w:val="21"/>
          <w:lang w:eastAsia="zh-CN"/>
        </w:rPr>
      </w:pPr>
    </w:p>
    <w:p>
      <w:pPr>
        <w:widowControl w:val="0"/>
        <w:spacing w:line="360" w:lineRule="auto"/>
        <w:ind w:firstLine="560"/>
        <w:jc w:val="left"/>
        <w:rPr>
          <w:rFonts w:ascii="Calibri" w:eastAsia="宋体" w:hAnsi="Calibri" w:hint="eastAsia"/>
          <w:b/>
          <w:kern w:val="2"/>
          <w:sz w:val="21"/>
          <w:szCs w:val="21"/>
          <w:lang w:eastAsia="zh-CN"/>
        </w:rPr>
      </w:pPr>
      <w:r>
        <w:rPr>
          <w:rFonts w:ascii="Calibri" w:eastAsia="宋体" w:hAnsi="Calibri" w:cs="Times New Roman" w:hint="eastAsia"/>
          <w:b/>
          <w:kern w:val="2"/>
          <w:sz w:val="21"/>
          <w:szCs w:val="21"/>
          <w:lang w:eastAsia="zh-CN"/>
        </w:rPr>
        <w:t>第八条   付款方式</w:t>
      </w:r>
    </w:p>
    <w:p>
      <w:pPr>
        <w:widowControl w:val="0"/>
        <w:spacing w:line="360" w:lineRule="auto"/>
        <w:ind w:firstLine="560"/>
        <w:jc w:val="left"/>
        <w:rPr>
          <w:rFonts w:ascii="Calibri" w:eastAsia="宋体" w:hAnsi="Calibri" w:hint="eastAsia"/>
          <w:kern w:val="2"/>
          <w:sz w:val="21"/>
          <w:szCs w:val="21"/>
          <w:lang w:eastAsia="zh-CN"/>
        </w:rPr>
      </w:pPr>
      <w:r>
        <w:rPr>
          <w:rFonts w:ascii="Calibri" w:eastAsia="宋体" w:hAnsi="Calibri" w:cs="Times New Roman" w:hint="eastAsia"/>
          <w:kern w:val="2"/>
          <w:sz w:val="21"/>
          <w:szCs w:val="21"/>
          <w:lang w:eastAsia="zh-CN"/>
        </w:rPr>
        <w:t>按照招标文件规定的付款方式进行支付。</w:t>
      </w:r>
    </w:p>
    <w:p>
      <w:pPr>
        <w:widowControl w:val="0"/>
        <w:spacing w:line="360" w:lineRule="auto"/>
        <w:ind w:firstLine="560"/>
        <w:jc w:val="left"/>
        <w:rPr>
          <w:rFonts w:ascii="Calibri" w:eastAsia="宋体" w:hAnsi="Calibri"/>
          <w:b/>
          <w:kern w:val="2"/>
          <w:sz w:val="21"/>
          <w:szCs w:val="21"/>
          <w:lang w:eastAsia="zh-CN"/>
        </w:rPr>
      </w:pPr>
      <w:r>
        <w:rPr>
          <w:rFonts w:ascii="Calibri" w:eastAsia="宋体" w:hAnsi="Calibri" w:cs="Times New Roman" w:hint="eastAsia"/>
          <w:b/>
          <w:kern w:val="2"/>
          <w:sz w:val="21"/>
          <w:szCs w:val="21"/>
          <w:lang w:eastAsia="zh-CN"/>
        </w:rPr>
        <w:t>第九条    违约责任</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１、甲方无正当理由拒收货物、拒付货物款的，由甲方向乙方偿付合同总价的【】%违约金。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２、甲方未按合同规定的期限向乙方支付货款的，每逾期1天甲方向乙方偿付欠款总额的【】‰滞纳金，但累计滞纳金总额不超过欠款总额的【】% 。</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３、</w:t>
      </w:r>
      <w:r>
        <w:rPr>
          <w:rFonts w:ascii="宋体" w:eastAsia="宋体" w:hAnsi="宋体" w:cs="Times New Roman"/>
          <w:kern w:val="2"/>
          <w:sz w:val="21"/>
          <w:szCs w:val="21"/>
          <w:lang w:eastAsia="zh-CN"/>
        </w:rPr>
        <w:t>乙方逾期交付货物的，每逾期1天，乙方向甲方偿付逾期交货部分货款总额的</w:t>
      </w:r>
      <w:r>
        <w:rPr>
          <w:rFonts w:ascii="宋体" w:eastAsia="宋体" w:hAnsi="宋体" w:cs="Times New Roman" w:hint="eastAsia"/>
          <w:kern w:val="2"/>
          <w:sz w:val="21"/>
          <w:szCs w:val="21"/>
          <w:lang w:eastAsia="zh-CN"/>
        </w:rPr>
        <w:t>【】</w:t>
      </w:r>
      <w:r>
        <w:rPr>
          <w:rFonts w:ascii="宋体" w:eastAsia="宋体" w:hAnsi="宋体" w:cs="Times New Roman"/>
          <w:kern w:val="2"/>
          <w:sz w:val="21"/>
          <w:szCs w:val="21"/>
          <w:lang w:eastAsia="zh-CN"/>
        </w:rPr>
        <w:t>‰的滞纳金</w:t>
      </w:r>
      <w:r>
        <w:rPr>
          <w:rFonts w:ascii="宋体" w:eastAsia="宋体" w:hAnsi="宋体" w:cs="Times New Roman" w:hint="eastAsia"/>
          <w:kern w:val="2"/>
          <w:sz w:val="21"/>
          <w:szCs w:val="21"/>
          <w:lang w:eastAsia="zh-CN"/>
        </w:rPr>
        <w:t>。如乙方逾期交货达</w:t>
      </w:r>
      <w:r>
        <w:rPr>
          <w:rFonts w:ascii="宋体" w:eastAsia="宋体" w:hAnsi="宋体" w:cs="Times New Roman" w:hint="eastAsia"/>
          <w:kern w:val="2"/>
          <w:sz w:val="21"/>
          <w:szCs w:val="21"/>
          <w:u w:val="single"/>
          <w:lang w:eastAsia="zh-CN"/>
        </w:rPr>
        <w:t xml:space="preserve">    </w:t>
      </w:r>
      <w:r>
        <w:rPr>
          <w:rFonts w:ascii="宋体" w:eastAsia="宋体" w:hAnsi="宋体" w:cs="Times New Roman" w:hint="eastAsia"/>
          <w:kern w:val="2"/>
          <w:sz w:val="21"/>
          <w:szCs w:val="21"/>
          <w:lang w:eastAsia="zh-CN"/>
        </w:rPr>
        <w:t>天，甲方有权解除合同，履约保证金不予退回，同时乙方应向甲方支付合同总价【】％的违约金。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4、乙方所交付的货物品种、型号、规格不符合合同规定的，甲方有权拒收。甲方拒收的，乙方应向甲方支付货款总额【】%的违约金。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5、在乙方承诺的或国家规定的质量保证期内（取两者中最长的期限），</w:t>
      </w:r>
      <w:r>
        <w:rPr>
          <w:rFonts w:ascii="宋体" w:eastAsia="宋体" w:hAnsi="宋体" w:cs="Times New Roman"/>
          <w:kern w:val="2"/>
          <w:sz w:val="21"/>
          <w:szCs w:val="21"/>
          <w:lang w:eastAsia="zh-CN"/>
        </w:rPr>
        <w:t>如经乙方两次维修</w:t>
      </w:r>
      <w:r>
        <w:rPr>
          <w:rFonts w:ascii="宋体" w:eastAsia="宋体" w:hAnsi="宋体" w:cs="Times New Roman" w:hint="eastAsia"/>
          <w:kern w:val="2"/>
          <w:sz w:val="21"/>
          <w:szCs w:val="21"/>
          <w:lang w:eastAsia="zh-CN"/>
        </w:rPr>
        <w:t>或更换</w:t>
      </w:r>
      <w:r>
        <w:rPr>
          <w:rFonts w:ascii="宋体" w:eastAsia="宋体" w:hAnsi="宋体" w:cs="Times New Roman"/>
          <w:kern w:val="2"/>
          <w:sz w:val="21"/>
          <w:szCs w:val="21"/>
          <w:lang w:eastAsia="zh-CN"/>
        </w:rPr>
        <w:t>，货物仍不能达到合同约定</w:t>
      </w:r>
      <w:r>
        <w:rPr>
          <w:rFonts w:ascii="宋体" w:eastAsia="宋体" w:hAnsi="宋体" w:cs="Times New Roman" w:hint="eastAsia"/>
          <w:kern w:val="2"/>
          <w:sz w:val="21"/>
          <w:szCs w:val="21"/>
          <w:lang w:eastAsia="zh-CN"/>
        </w:rPr>
        <w:t>的</w:t>
      </w:r>
      <w:r>
        <w:rPr>
          <w:rFonts w:ascii="宋体" w:eastAsia="宋体" w:hAnsi="宋体" w:cs="Times New Roman"/>
          <w:kern w:val="2"/>
          <w:sz w:val="21"/>
          <w:szCs w:val="21"/>
          <w:lang w:eastAsia="zh-CN"/>
        </w:rPr>
        <w:t>质量标准，甲方有权退货，乙方</w:t>
      </w:r>
      <w:r>
        <w:rPr>
          <w:rFonts w:ascii="宋体" w:eastAsia="宋体" w:hAnsi="宋体" w:cs="Times New Roman" w:hint="eastAsia"/>
          <w:kern w:val="2"/>
          <w:sz w:val="21"/>
          <w:szCs w:val="21"/>
          <w:lang w:eastAsia="zh-CN"/>
        </w:rPr>
        <w:t>应</w:t>
      </w:r>
      <w:r>
        <w:rPr>
          <w:rFonts w:ascii="宋体" w:eastAsia="宋体" w:hAnsi="宋体" w:cs="Times New Roman"/>
          <w:kern w:val="2"/>
          <w:sz w:val="21"/>
          <w:szCs w:val="21"/>
          <w:lang w:eastAsia="zh-CN"/>
        </w:rPr>
        <w:t>退回全部货款</w:t>
      </w:r>
      <w:r>
        <w:rPr>
          <w:rFonts w:ascii="宋体" w:eastAsia="宋体" w:hAnsi="宋体" w:cs="Times New Roman" w:hint="eastAsia"/>
          <w:kern w:val="2"/>
          <w:sz w:val="21"/>
          <w:szCs w:val="21"/>
          <w:lang w:eastAsia="zh-CN"/>
        </w:rPr>
        <w:t>并</w:t>
      </w:r>
      <w:r>
        <w:rPr>
          <w:rFonts w:ascii="宋体" w:eastAsia="宋体" w:hAnsi="宋体" w:cs="Times New Roman"/>
          <w:kern w:val="2"/>
          <w:sz w:val="21"/>
          <w:szCs w:val="21"/>
          <w:lang w:eastAsia="zh-CN"/>
        </w:rPr>
        <w:t>赔偿甲方因此遭受的损失。</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6、乙方未履行本合同项下的其他义务或违反其在投标文件中的相关承诺的，应按合同总价款的【】%向甲方承担违约责任。</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7、乙方在承担上述一项或多项违约责任后，仍应继续履行合同规定的义务（甲方解除合同的除外）。甲方未能及时追究乙方的任何一项违约责任并不表明甲方放弃追究乙方该项或其他违约责任。</w:t>
      </w:r>
    </w:p>
    <w:p>
      <w:pPr>
        <w:widowControl w:val="0"/>
        <w:spacing w:line="360" w:lineRule="auto"/>
        <w:ind w:firstLine="560"/>
        <w:jc w:val="left"/>
        <w:rPr>
          <w:rFonts w:ascii="Calibri" w:eastAsia="宋体" w:hAnsi="Calibri"/>
          <w:b/>
          <w:kern w:val="2"/>
          <w:sz w:val="21"/>
          <w:szCs w:val="21"/>
          <w:lang w:eastAsia="zh-CN"/>
        </w:rPr>
      </w:pPr>
      <w:r>
        <w:rPr>
          <w:rFonts w:ascii="Calibri" w:eastAsia="宋体" w:hAnsi="Calibri" w:cs="Times New Roman" w:hint="eastAsia"/>
          <w:b/>
          <w:kern w:val="2"/>
          <w:sz w:val="21"/>
          <w:szCs w:val="21"/>
          <w:lang w:eastAsia="zh-CN"/>
        </w:rPr>
        <w:t>第十条    合同的变更和终止</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除《中华人民共和国政府采购法》第４９条、第５０条第二款规定的情形外，本合同一经签订，甲乙双方不得擅自变更、中止或终止合同。</w:t>
      </w:r>
    </w:p>
    <w:p>
      <w:pPr>
        <w:widowControl w:val="0"/>
        <w:spacing w:line="360" w:lineRule="auto"/>
        <w:ind w:firstLine="560"/>
        <w:jc w:val="left"/>
        <w:rPr>
          <w:rFonts w:ascii="Calibri" w:eastAsia="宋体" w:hAnsi="Calibri"/>
          <w:b/>
          <w:kern w:val="2"/>
          <w:sz w:val="21"/>
          <w:szCs w:val="21"/>
          <w:lang w:eastAsia="zh-CN"/>
        </w:rPr>
      </w:pPr>
      <w:r>
        <w:rPr>
          <w:rFonts w:ascii="Calibri" w:eastAsia="宋体" w:hAnsi="Calibri" w:cs="Times New Roman" w:hint="eastAsia"/>
          <w:b/>
          <w:kern w:val="2"/>
          <w:sz w:val="21"/>
          <w:szCs w:val="21"/>
          <w:lang w:eastAsia="zh-CN"/>
        </w:rPr>
        <w:t>第十一条   争议的解决</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1、因货物的质量问题发生争议的，应当邀请国家认可的质量检测机构对货物质量进行鉴定。货物符合标准的，鉴定费由甲方承担；货物不符合质量标准的，鉴定费由乙方承担。</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2、因履行本合同引起的或与本合同有关的争议，甲、乙双方应首先通过友好协商解决，如果协商不能解决争议，则向甲方所在地有管辖权的人民法院提起诉讼；</w:t>
      </w:r>
    </w:p>
    <w:p>
      <w:pPr>
        <w:widowControl w:val="0"/>
        <w:spacing w:line="360" w:lineRule="auto"/>
        <w:ind w:firstLine="560"/>
        <w:jc w:val="left"/>
        <w:rPr>
          <w:rFonts w:ascii="Calibri" w:eastAsia="宋体" w:hAnsi="Calibri"/>
          <w:b/>
          <w:kern w:val="2"/>
          <w:sz w:val="21"/>
          <w:szCs w:val="21"/>
          <w:lang w:eastAsia="zh-CN"/>
        </w:rPr>
      </w:pPr>
      <w:r>
        <w:rPr>
          <w:rFonts w:ascii="Calibri" w:eastAsia="宋体" w:hAnsi="Calibri" w:cs="Times New Roman" w:hint="eastAsia"/>
          <w:b/>
          <w:kern w:val="2"/>
          <w:sz w:val="21"/>
          <w:szCs w:val="21"/>
          <w:lang w:eastAsia="zh-CN"/>
        </w:rPr>
        <w:t>第十二条   合同生效及其他</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1、下列文件均为本合同的重要组成部分：</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（1）本项目的采购文件、答疑及补充通知；</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（2）本项目中标的投标文件；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（3）本合同执行中共同签署的补充与修正文件。</w:t>
      </w:r>
    </w:p>
    <w:p>
      <w:pPr>
        <w:widowControl w:val="0"/>
        <w:spacing w:line="360" w:lineRule="auto"/>
        <w:jc w:val="both"/>
        <w:rPr>
          <w:rFonts w:ascii="Calibri" w:eastAsia="宋体" w:hAnsi="Calibri" w:hint="eastAsia"/>
          <w:b/>
          <w:bCs/>
          <w:kern w:val="2"/>
          <w:szCs w:val="22"/>
          <w:lang w:eastAsia="zh-CN"/>
        </w:rPr>
      </w:pPr>
      <w:r>
        <w:rPr>
          <w:rFonts w:ascii="Calibri" w:eastAsia="宋体" w:hAnsi="Calibri" w:cs="Times New Roman" w:hint="eastAsia"/>
          <w:b/>
          <w:bCs/>
          <w:kern w:val="2"/>
          <w:szCs w:val="22"/>
          <w:lang w:eastAsia="zh-CN"/>
        </w:rPr>
        <w:t xml:space="preserve">   </w:t>
      </w:r>
      <w:r>
        <w:rPr>
          <w:rFonts w:ascii="宋体" w:eastAsia="宋体" w:hAnsi="宋体" w:cs="Times New Roman" w:hint="eastAsia"/>
          <w:bCs/>
          <w:kern w:val="2"/>
          <w:sz w:val="21"/>
          <w:szCs w:val="21"/>
          <w:lang w:eastAsia="zh-CN"/>
        </w:rPr>
        <w:t xml:space="preserve"> 以上文件互为补充，如果出现内容冲突的情况，为准的优先顺序为（2）、（1）、（3）。</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2、本合同一式___份，甲、乙方双方各执份，具有同等法律效力。本合同自双方法人代表签字（盖章）认可之日起生效。</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3、本合同未尽事宜，双方友好协商，达成解决方案，经双方签字后，可作为本合同的有效附件。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本合同未尽事宜，双方友好协商，达成解决方案，经双方签字后，可作为本合同的有效附件。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甲方（采购人）：   （盖章）       乙方（供应商）：    （盖章）</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 xml:space="preserve">法定代表人：                     法定代表人： </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imes New Roman" w:hint="eastAsia"/>
          <w:kern w:val="2"/>
          <w:sz w:val="21"/>
          <w:szCs w:val="21"/>
          <w:lang w:eastAsia="zh-CN"/>
        </w:rPr>
        <w:t>委托代理人：                     委托代理人：</w:t>
      </w:r>
    </w:p>
    <w:p>
      <w:pPr>
        <w:widowControl w:val="0"/>
        <w:ind w:firstLine="525" w:firstLineChars="250"/>
        <w:jc w:val="both"/>
        <w:rPr>
          <w:rFonts w:ascii="Calibri" w:eastAsia="宋体" w:hAnsi="Calibri" w:hint="eastAsia"/>
          <w:kern w:val="2"/>
          <w:sz w:val="21"/>
          <w:szCs w:val="22"/>
          <w:lang w:eastAsia="zh-CN"/>
        </w:rPr>
      </w:pPr>
      <w:r>
        <w:rPr>
          <w:rFonts w:ascii="宋体" w:eastAsia="宋体" w:hAnsi="宋体" w:cs="Times New Roman" w:hint="eastAsia"/>
          <w:kern w:val="2"/>
          <w:sz w:val="21"/>
          <w:szCs w:val="21"/>
          <w:lang w:eastAsia="zh-CN"/>
        </w:rPr>
        <w:t>日期：   年     月    日         日期：   年     月    日</w:t>
      </w:r>
    </w:p>
    <w:p>
      <w:pPr>
        <w:widowControl w:val="0"/>
        <w:spacing w:line="360" w:lineRule="auto"/>
        <w:jc w:val="both"/>
        <w:rPr>
          <w:rFonts w:ascii="Calibri" w:eastAsia="宋体" w:hAnsi="Calibri"/>
          <w:b/>
          <w:bCs/>
          <w:kern w:val="2"/>
          <w:szCs w:val="22"/>
          <w:lang w:eastAsia="zh-CN"/>
        </w:rPr>
      </w:pPr>
    </w:p>
    <w:p>
      <w:pPr>
        <w:widowControl w:val="0"/>
        <w:jc w:val="both"/>
        <w:rPr>
          <w:rFonts w:ascii="Calibri" w:eastAsia="宋体" w:hAnsi="Calibri"/>
          <w:kern w:val="2"/>
          <w:sz w:val="21"/>
          <w:szCs w:val="22"/>
          <w:lang w:eastAsia="zh-CN"/>
        </w:rPr>
      </w:pPr>
    </w:p>
    <w:p>
      <w:pPr>
        <w:widowControl/>
        <w:jc w:val="left"/>
        <w:rPr>
          <w:rFonts w:ascii="Arial" w:eastAsia="宋体" w:hAnsi="Arial"/>
          <w:color w:val="FF0000"/>
          <w:kern w:val="2"/>
          <w:sz w:val="21"/>
          <w:lang w:eastAsia="zh-CN"/>
        </w:rPr>
      </w:pPr>
    </w:p>
    <w:p>
      <w:pPr>
        <w:widowControl/>
        <w:jc w:val="left"/>
        <w:rPr>
          <w:rFonts w:ascii="宋体" w:eastAsia="黑体" w:hAnsi="宋体" w:hint="eastAsia"/>
          <w:b/>
          <w:bCs/>
          <w:color w:val="0000FF"/>
          <w:kern w:val="44"/>
          <w:sz w:val="36"/>
          <w:szCs w:val="44"/>
          <w:lang w:eastAsia="zh-CN"/>
        </w:rPr>
      </w:pPr>
      <w:r>
        <w:rPr>
          <w:rFonts w:ascii="宋体" w:eastAsia="黑体" w:hAnsi="宋体"/>
          <w:b/>
          <w:bCs/>
          <w:color w:val="0000FF"/>
          <w:kern w:val="44"/>
          <w:sz w:val="36"/>
          <w:szCs w:val="44"/>
          <w:lang w:eastAsia="zh-CN"/>
        </w:rPr>
        <w:br w:type="page"/>
      </w:r>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第二册  通用条款（公开招标）</w:t>
      </w:r>
    </w:p>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bookmarkStart w:id="60" w:name="_Hlk72399513"/>
      <w:r>
        <w:rPr>
          <w:rFonts w:ascii="Cambria" w:eastAsia="宋体" w:hAnsi="Cambria" w:cs="Times New Roman" w:hint="eastAsia"/>
          <w:b/>
          <w:bCs/>
          <w:kern w:val="2"/>
          <w:sz w:val="28"/>
          <w:szCs w:val="28"/>
          <w:lang w:eastAsia="zh-CN"/>
        </w:rPr>
        <w:t>总则</w:t>
      </w:r>
    </w:p>
    <w:bookmarkEnd w:id="60"/>
    <w:p>
      <w:pPr>
        <w:widowControl w:val="0"/>
        <w:jc w:val="both"/>
        <w:rPr>
          <w:rFonts w:ascii="黑体" w:eastAsia="黑体" w:hAnsi="宋体" w:hint="eastAsia"/>
          <w:kern w:val="2"/>
          <w:szCs w:val="22"/>
          <w:lang w:eastAsia="zh-CN"/>
        </w:rPr>
      </w:pPr>
      <w:bookmarkStart w:id="61" w:name="_Hlk72439706"/>
      <w:r>
        <w:rPr>
          <w:rFonts w:ascii="黑体" w:eastAsia="黑体" w:hAnsi="宋体" w:cs="Times New Roman" w:hint="eastAsia"/>
          <w:kern w:val="2"/>
          <w:szCs w:val="22"/>
          <w:lang w:eastAsia="zh-CN"/>
        </w:rPr>
        <w:t>1. 通用条款说明</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1.1政府集中采购机构发出招标文件通用条款版本，列出深圳市政府采购项目进行招标采购所适用的通用条款内容。</w:t>
      </w:r>
      <w:bookmarkStart w:id="62" w:name="_Hlk72399729"/>
      <w:r>
        <w:rPr>
          <w:rFonts w:ascii="宋体" w:eastAsia="宋体" w:hAnsi="宋体" w:cs="Times New Roman" w:hint="eastAsia"/>
          <w:kern w:val="2"/>
          <w:sz w:val="21"/>
          <w:szCs w:val="21"/>
          <w:lang w:eastAsia="zh-CN"/>
        </w:rPr>
        <w:t>如有需要，政府集中采购机构可以对通用条款的内容进行补充。</w:t>
      </w:r>
      <w:bookmarkEnd w:id="62"/>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1.2招标文件分为第一册“专用条款”和第二册“通用条款”。</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1.3“专用条款”是对本次采购项目的具体要求，包含招标公告、对通用条款的补充内容及其他关键信息、用户需求书、投标文件格式及附件、合同条款及格式等内容。</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1.4“通用条款”是适用于政府采购公开招标项目的基础性条款，具有普遍性和通用性。</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1.5 “专用条款”和“通用条款”表述不一致或有冲突时，以“专用条款”为准。</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2</w:t>
      </w:r>
      <w:r>
        <w:rPr>
          <w:rFonts w:ascii="黑体" w:eastAsia="黑体" w:hAnsi="宋体" w:cs="Times New Roman"/>
          <w:kern w:val="2"/>
          <w:szCs w:val="22"/>
          <w:lang w:eastAsia="zh-CN"/>
        </w:rPr>
        <w:t>．</w:t>
      </w:r>
      <w:r>
        <w:rPr>
          <w:rFonts w:ascii="黑体" w:eastAsia="黑体" w:hAnsi="宋体" w:cs="Times New Roman" w:hint="eastAsia"/>
          <w:kern w:val="2"/>
          <w:szCs w:val="22"/>
          <w:lang w:eastAsia="zh-CN"/>
        </w:rPr>
        <w:t>招标说明</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本项目参照《深圳经济特区政府采购条例》、《深圳经济特区政府采购条例实施细则》及政府采购其他法律法规，通过公开招标方式确定中标供应商。</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3．定义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kern w:val="2"/>
          <w:sz w:val="21"/>
          <w:szCs w:val="21"/>
          <w:lang w:eastAsia="zh-CN"/>
        </w:rPr>
        <w:t>招标文件中下列术语应解释为：</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w:t>
      </w:r>
      <w:r>
        <w:rPr>
          <w:rFonts w:ascii="宋体" w:eastAsia="宋体" w:hAnsi="宋体" w:cs="Times New Roman"/>
          <w:kern w:val="2"/>
          <w:sz w:val="21"/>
          <w:szCs w:val="21"/>
          <w:lang w:eastAsia="zh-CN"/>
        </w:rPr>
        <w:t>1</w:t>
      </w:r>
      <w:r>
        <w:rPr>
          <w:rFonts w:ascii="宋体" w:eastAsia="宋体" w:hAnsi="宋体" w:cs="Times New Roman" w:hint="eastAsia"/>
          <w:kern w:val="2"/>
          <w:sz w:val="21"/>
          <w:szCs w:val="21"/>
          <w:lang w:eastAsia="zh-CN"/>
        </w:rPr>
        <w:t>“采购人”：指利用财政性资金依法进行政府采购的国家机关、事业单位、团体组织；</w:t>
      </w:r>
      <w:r>
        <w:rPr>
          <w:rFonts w:ascii="宋体" w:eastAsia="宋体" w:hAnsi="宋体" w:cs="Times New Roman"/>
          <w:kern w:val="2"/>
          <w:sz w:val="21"/>
          <w:szCs w:val="21"/>
          <w:lang w:eastAsia="zh-CN"/>
        </w:rPr>
        <w:t xml:space="preserve"> </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3.2 “政府集中采购机构”</w:t>
      </w:r>
      <w:r>
        <w:rPr>
          <w:rFonts w:ascii="Arial" w:eastAsia="宋体" w:hAnsi="Arial" w:cs="Arial" w:hint="eastAsia"/>
          <w:kern w:val="2"/>
          <w:sz w:val="21"/>
          <w:szCs w:val="21"/>
          <w:shd w:val="clear" w:color="auto" w:fill="FFFFFF"/>
          <w:lang w:eastAsia="zh-CN"/>
        </w:rPr>
        <w:t>是指市政府设立的，组织实施政府采购项目，并对政府采购活动提供服务的专门机构；</w:t>
      </w:r>
      <w:r>
        <w:rPr>
          <w:rFonts w:ascii="宋体" w:eastAsia="宋体" w:hAnsi="宋体" w:cs="Times New Roman" w:hint="eastAsia"/>
          <w:kern w:val="2"/>
          <w:sz w:val="21"/>
          <w:szCs w:val="21"/>
          <w:lang w:eastAsia="zh-CN"/>
        </w:rPr>
        <w:t>本文件所述的“政府集中采购机构”</w:t>
      </w:r>
      <w:r>
        <w:rPr>
          <w:rFonts w:ascii="宋体" w:eastAsia="宋体" w:hAnsi="宋体" w:cs="Times New Roman"/>
          <w:kern w:val="2"/>
          <w:sz w:val="21"/>
          <w:szCs w:val="21"/>
          <w:lang w:eastAsia="zh-CN"/>
        </w:rPr>
        <w:t>指</w:t>
      </w:r>
      <w:r>
        <w:rPr>
          <w:rFonts w:ascii="宋体" w:eastAsia="宋体" w:hAnsi="宋体" w:cs="Times New Roman" w:hint="eastAsia"/>
          <w:b/>
          <w:bCs/>
          <w:kern w:val="2"/>
          <w:sz w:val="21"/>
          <w:szCs w:val="21"/>
          <w:lang w:eastAsia="zh-CN"/>
        </w:rPr>
        <w:t>深圳公共资源交易中心</w:t>
      </w:r>
      <w:r>
        <w:rPr>
          <w:rFonts w:ascii="宋体" w:eastAsia="宋体" w:hAnsi="宋体" w:cs="Times New Roman" w:hint="eastAsia"/>
          <w:kern w:val="2"/>
          <w:sz w:val="21"/>
          <w:szCs w:val="21"/>
          <w:lang w:eastAsia="zh-CN"/>
        </w:rPr>
        <w:t>；</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3.3“投标人”，即供应商，指参加投标竞争并愿意按照招标文件要求向采购人提供货物、工程或者服务的依法成立的法人、其他组织或者自然人；</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3.4“评审委员会”是依据《深圳经济特区政府采购条例》、《深圳经济特区政府采购条例实施细则》等有关规定组建的专门负责本次招标其评审工作的临时性机构；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3.5“日期”</w:t>
      </w:r>
      <w:r>
        <w:rPr>
          <w:rFonts w:ascii="宋体" w:eastAsia="宋体" w:hAnsi="宋体" w:cs="Times New Roman"/>
          <w:kern w:val="2"/>
          <w:sz w:val="21"/>
          <w:szCs w:val="21"/>
          <w:lang w:eastAsia="zh-CN"/>
        </w:rPr>
        <w:t>指</w:t>
      </w:r>
      <w:r>
        <w:rPr>
          <w:rFonts w:ascii="宋体" w:eastAsia="宋体" w:hAnsi="宋体" w:cs="Times New Roman" w:hint="eastAsia"/>
          <w:kern w:val="2"/>
          <w:sz w:val="21"/>
          <w:szCs w:val="21"/>
          <w:lang w:eastAsia="zh-CN"/>
        </w:rPr>
        <w:t>公历日；</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3.6“合同”指由本次招标所产生的合同或合约文件；</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3.7“电子投标文件”指利用</w:t>
      </w:r>
      <w:r>
        <w:rPr>
          <w:rFonts w:ascii="宋体" w:eastAsia="宋体" w:hAnsi="宋体" w:cs="Times New Roman" w:hint="eastAsia"/>
          <w:b/>
          <w:bCs/>
          <w:color w:val="FF0000"/>
          <w:kern w:val="2"/>
          <w:sz w:val="21"/>
          <w:szCs w:val="21"/>
          <w:lang w:eastAsia="zh-CN"/>
        </w:rPr>
        <w:t>深圳公共资源交易中心（深圳交易集团有限公司龙华分公司）</w:t>
      </w:r>
      <w:r>
        <w:rPr>
          <w:rFonts w:ascii="宋体" w:eastAsia="宋体" w:hAnsi="宋体" w:cs="Times New Roman" w:hint="eastAsia"/>
          <w:kern w:val="2"/>
          <w:sz w:val="21"/>
          <w:szCs w:val="21"/>
          <w:lang w:eastAsia="zh-CN"/>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3.8“网上投标”指通过</w:t>
      </w:r>
      <w:r>
        <w:rPr>
          <w:rFonts w:ascii="宋体" w:eastAsia="宋体" w:hAnsi="宋体" w:cs="Times New Roman" w:hint="eastAsia"/>
          <w:b/>
          <w:bCs/>
          <w:color w:val="FF0000"/>
          <w:kern w:val="2"/>
          <w:sz w:val="21"/>
          <w:szCs w:val="21"/>
          <w:lang w:eastAsia="zh-CN"/>
        </w:rPr>
        <w:t>深圳公共资源交易中心（深圳交易集团有限公司龙华分公司）</w:t>
      </w:r>
      <w:r>
        <w:rPr>
          <w:rFonts w:ascii="宋体" w:eastAsia="宋体" w:hAnsi="宋体" w:cs="Times New Roman" w:hint="eastAsia"/>
          <w:kern w:val="2"/>
          <w:sz w:val="21"/>
          <w:szCs w:val="21"/>
          <w:lang w:eastAsia="zh-CN"/>
        </w:rPr>
        <w:t>网站上传电子投标文件；</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3.9招标文件中的标题或题名仅起引导作用，而不应视为对招标文件内容的理解和解释。</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 xml:space="preserve">4. </w:t>
      </w:r>
      <w:bookmarkStart w:id="63" w:name="_Hlk72398643"/>
      <w:r>
        <w:rPr>
          <w:rFonts w:ascii="黑体" w:eastAsia="黑体" w:hAnsi="宋体" w:cs="Times New Roman" w:hint="eastAsia"/>
          <w:kern w:val="2"/>
          <w:szCs w:val="22"/>
          <w:lang w:eastAsia="zh-CN"/>
        </w:rPr>
        <w:t>政府采购供应商责任</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4.1欢迎诚信、有实力和有社会责任心的供应商参与政府采购事业。</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5．投标人参加政府采购的条件</w:t>
      </w:r>
    </w:p>
    <w:p>
      <w:pPr>
        <w:widowControl w:val="0"/>
        <w:ind w:firstLine="412" w:firstLineChars="196"/>
        <w:jc w:val="left"/>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5.1投标人应在投标前到</w:t>
      </w:r>
      <w:r>
        <w:rPr>
          <w:rFonts w:ascii="宋体" w:eastAsia="宋体" w:hAnsi="宋体" w:cs="Times New Roman" w:hint="eastAsia"/>
          <w:b/>
          <w:bCs/>
          <w:kern w:val="2"/>
          <w:sz w:val="21"/>
          <w:szCs w:val="21"/>
          <w:lang w:eastAsia="zh-CN"/>
        </w:rPr>
        <w:t>深圳公共资源交易中心（具体在深圳交易集团有限公司政府采购业务分公司进行办理）</w:t>
      </w:r>
      <w:r>
        <w:rPr>
          <w:rFonts w:ascii="宋体" w:eastAsia="宋体" w:hAnsi="宋体" w:cs="Times New Roman" w:hint="eastAsia"/>
          <w:kern w:val="2"/>
          <w:sz w:val="21"/>
          <w:szCs w:val="21"/>
          <w:lang w:eastAsia="zh-CN"/>
        </w:rPr>
        <w:t>进行注册并办理电子密钥。《供应商注册及信息变更指引》详见www.szggzy.com网站“交易服务指南-政府采购”。</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5.2投标人资格要求</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参加本项目的投标人应具备的资格条件详见本项目招标公告中 “投标人资格要求”（即申请人的资格要求）的内容。</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5.3联合体投标</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5.3.1　以下有关联合体投标的条款仅适用于允许投标人组成联合体投标的项目。</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5.3.2  由两个或两个以上的自然人、法人或者其他组织可以组成一个联合体，以一个供应商的身份共同投标时，应符合以下原则：</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（1）投标联合体各方参加政府采购活动应当具备下列条件：</w:t>
      </w:r>
      <w:r>
        <w:rPr>
          <w:rFonts w:ascii="宋体" w:eastAsia="宋体" w:hAnsi="宋体" w:cs="Times New Roman"/>
          <w:kern w:val="2"/>
          <w:sz w:val="21"/>
          <w:szCs w:val="22"/>
          <w:lang w:eastAsia="zh-CN"/>
        </w:rPr>
        <w:t xml:space="preserve"> </w:t>
      </w:r>
    </w:p>
    <w:p>
      <w:pPr>
        <w:widowControl w:val="0"/>
        <w:ind w:left="480" w:firstLine="412" w:leftChars="200"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1、具有独立承担民事责任的能力；</w:t>
      </w:r>
      <w:r>
        <w:rPr>
          <w:rFonts w:ascii="宋体" w:eastAsia="宋体" w:hAnsi="宋体" w:cs="Times New Roman"/>
          <w:kern w:val="2"/>
          <w:sz w:val="21"/>
          <w:szCs w:val="22"/>
          <w:lang w:eastAsia="zh-CN"/>
        </w:rPr>
        <w:t xml:space="preserve"> </w:t>
      </w:r>
    </w:p>
    <w:p>
      <w:pPr>
        <w:widowControl w:val="0"/>
        <w:ind w:left="420"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2、有良好的商业信誉和健全的财务会计制度；</w:t>
      </w:r>
      <w:r>
        <w:rPr>
          <w:rFonts w:ascii="宋体" w:eastAsia="宋体" w:hAnsi="宋体" w:cs="Times New Roman"/>
          <w:kern w:val="2"/>
          <w:sz w:val="21"/>
          <w:szCs w:val="22"/>
          <w:lang w:eastAsia="zh-CN"/>
        </w:rPr>
        <w:t xml:space="preserve"> </w:t>
      </w:r>
    </w:p>
    <w:p>
      <w:pPr>
        <w:widowControl w:val="0"/>
        <w:ind w:left="480" w:firstLine="412" w:leftChars="200"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3、具有履行合同所必需的设备和专业技术能力；</w:t>
      </w:r>
      <w:r>
        <w:rPr>
          <w:rFonts w:ascii="宋体" w:eastAsia="宋体" w:hAnsi="宋体" w:cs="Times New Roman"/>
          <w:kern w:val="2"/>
          <w:sz w:val="21"/>
          <w:szCs w:val="22"/>
          <w:lang w:eastAsia="zh-CN"/>
        </w:rPr>
        <w:t xml:space="preserve"> </w:t>
      </w:r>
    </w:p>
    <w:p>
      <w:pPr>
        <w:widowControl w:val="0"/>
        <w:ind w:left="480" w:firstLine="412" w:leftChars="200"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4、有依法缴纳税收和社会保障资金的良好记录；</w:t>
      </w:r>
      <w:r>
        <w:rPr>
          <w:rFonts w:ascii="宋体" w:eastAsia="宋体" w:hAnsi="宋体" w:cs="Times New Roman"/>
          <w:kern w:val="2"/>
          <w:sz w:val="21"/>
          <w:szCs w:val="22"/>
          <w:lang w:eastAsia="zh-CN"/>
        </w:rPr>
        <w:t xml:space="preserve"> </w:t>
      </w:r>
    </w:p>
    <w:p>
      <w:pPr>
        <w:widowControl w:val="0"/>
        <w:ind w:left="480" w:firstLine="412" w:leftChars="200"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5、参加政府采购活动前三年内，在经营活动中没有重大违法记录；</w:t>
      </w:r>
      <w:r>
        <w:rPr>
          <w:rFonts w:ascii="宋体" w:eastAsia="宋体" w:hAnsi="宋体" w:cs="Times New Roman"/>
          <w:kern w:val="2"/>
          <w:sz w:val="21"/>
          <w:szCs w:val="22"/>
          <w:lang w:eastAsia="zh-CN"/>
        </w:rPr>
        <w:t xml:space="preserve"> </w:t>
      </w:r>
    </w:p>
    <w:p>
      <w:pPr>
        <w:widowControl w:val="0"/>
        <w:ind w:left="480" w:firstLine="412" w:leftChars="200"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6、法律、行政法规规定的其他条件。</w:t>
      </w:r>
      <w:r>
        <w:rPr>
          <w:rFonts w:ascii="宋体" w:eastAsia="宋体" w:hAnsi="宋体" w:cs="Times New Roman"/>
          <w:kern w:val="2"/>
          <w:sz w:val="21"/>
          <w:szCs w:val="22"/>
          <w:lang w:eastAsia="zh-CN"/>
        </w:rPr>
        <w:t xml:space="preserve"> </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（2）在投标截止前，投标联合体各方均应注册成政府集中采购机构供应商；</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（3）联合体中有同类资质的供应商按照联合体分工承担相同工作的，应当按照资质等级较低的供应商确定资质等级；</w:t>
      </w:r>
    </w:p>
    <w:p>
      <w:pPr>
        <w:widowControl w:val="0"/>
        <w:ind w:firstLine="412" w:firstLineChars="196"/>
        <w:jc w:val="both"/>
        <w:rPr>
          <w:rFonts w:ascii="Calibri" w:eastAsia="宋体" w:hAnsi="Calibri"/>
          <w:kern w:val="2"/>
          <w:sz w:val="21"/>
          <w:szCs w:val="22"/>
          <w:lang w:eastAsia="zh-CN"/>
        </w:rPr>
      </w:pPr>
      <w:r>
        <w:rPr>
          <w:rFonts w:ascii="Calibri" w:eastAsia="宋体" w:hAnsi="Calibri" w:cs="Times New Roman" w:hint="eastAsia"/>
          <w:kern w:val="2"/>
          <w:sz w:val="21"/>
          <w:szCs w:val="22"/>
          <w:lang w:eastAsia="zh-CN"/>
        </w:rPr>
        <w:t>（4）是否允许联合体参加投标，应当由采购人和采购代理机构根据项目的实际情况和潜在供应商的数量自主决定，如果决定接受联合体投标则应当在招标公告中明示；</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（5）投标人的投标文件及中标后签署的合同协议对联合体各方均具法律约束力；</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（6）联合体各方应当签订联合体投标协议，明确约定各方拟承担的工作和责任，并将该协议随投标文件一并递交给政府集中采购机构；</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（7）联合体中标后，联合体各方应当共同与采购人签订合同，就中标项目向采购人承担连带责任；</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2"/>
          <w:lang w:eastAsia="zh-CN"/>
        </w:rPr>
        <w:t>（9）本通用条款中“投标人”一词亦指联合体各方，专用条款另有规定或说明的除外。</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6．政策导向</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6.1</w:t>
      </w:r>
      <w:r>
        <w:rPr>
          <w:rFonts w:ascii="宋体" w:eastAsia="宋体" w:hAnsi="宋体" w:cs="Times New Roman"/>
          <w:kern w:val="2"/>
          <w:sz w:val="21"/>
          <w:szCs w:val="22"/>
          <w:lang w:eastAsia="zh-CN"/>
        </w:rPr>
        <w:t xml:space="preserve">  </w:t>
      </w:r>
      <w:r>
        <w:rPr>
          <w:rFonts w:ascii="宋体" w:eastAsia="宋体" w:hAnsi="宋体" w:cs="Times New Roman" w:hint="eastAsia"/>
          <w:kern w:val="2"/>
          <w:sz w:val="21"/>
          <w:szCs w:val="22"/>
          <w:lang w:eastAsia="zh-CN"/>
        </w:rPr>
        <w:t>政府采购支持本国产品、支持中小企业、监狱企业和残疾人福利性单位发展，支持乡村产业振兴，支持创新、节能减排、绿色环保等。</w:t>
      </w:r>
    </w:p>
    <w:p>
      <w:pPr>
        <w:widowControl w:val="0"/>
        <w:ind w:firstLine="405"/>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6.2</w:t>
      </w:r>
      <w:r>
        <w:rPr>
          <w:rFonts w:ascii="宋体" w:eastAsia="宋体" w:hAnsi="宋体" w:cs="Times New Roman"/>
          <w:kern w:val="2"/>
          <w:sz w:val="21"/>
          <w:szCs w:val="22"/>
          <w:lang w:eastAsia="zh-CN"/>
        </w:rPr>
        <w:t xml:space="preserve">  </w:t>
      </w:r>
      <w:r>
        <w:rPr>
          <w:rFonts w:ascii="宋体" w:eastAsia="宋体" w:hAnsi="宋体" w:cs="Times New Roman" w:hint="eastAsia"/>
          <w:kern w:val="2"/>
          <w:sz w:val="21"/>
          <w:szCs w:val="22"/>
          <w:lang w:eastAsia="zh-CN"/>
        </w:rPr>
        <w:t>本项目落实深圳市政府采购供应商诚信管理政策要求。</w:t>
      </w:r>
    </w:p>
    <w:p>
      <w:pPr>
        <w:widowControl w:val="0"/>
        <w:ind w:firstLine="405"/>
        <w:jc w:val="both"/>
        <w:rPr>
          <w:rFonts w:ascii="Calibri" w:eastAsia="宋体" w:hAnsi="Calibri"/>
          <w:kern w:val="2"/>
          <w:sz w:val="21"/>
          <w:szCs w:val="22"/>
          <w:lang w:eastAsia="zh-CN"/>
        </w:rPr>
      </w:pPr>
      <w:r>
        <w:rPr>
          <w:rFonts w:ascii="宋体" w:eastAsia="宋体" w:hAnsi="宋体" w:cs="Times New Roman" w:hint="eastAsia"/>
          <w:kern w:val="2"/>
          <w:sz w:val="21"/>
          <w:szCs w:val="22"/>
          <w:lang w:eastAsia="zh-CN"/>
        </w:rPr>
        <w:t>6.3  本项目支持投标人性别平等的相关政策。</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7. 本项目若涉及采购货物，则合格的货物及相应服务应满足以下要求：</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7</w:t>
      </w:r>
      <w:r>
        <w:rPr>
          <w:rFonts w:ascii="宋体" w:eastAsia="宋体" w:hAnsi="宋体" w:cs="Times New Roman"/>
          <w:kern w:val="2"/>
          <w:sz w:val="21"/>
          <w:szCs w:val="22"/>
          <w:lang w:eastAsia="zh-CN"/>
        </w:rPr>
        <w:t xml:space="preserve">.1  </w:t>
      </w:r>
      <w:r>
        <w:rPr>
          <w:rFonts w:ascii="宋体" w:eastAsia="宋体" w:hAnsi="宋体" w:cs="Times New Roman" w:hint="eastAsia"/>
          <w:kern w:val="2"/>
          <w:sz w:val="21"/>
          <w:szCs w:val="22"/>
          <w:lang w:eastAsia="zh-CN"/>
        </w:rPr>
        <w:t>必须是全新、未使用过的原装合格正品（包括零部件），如安装或配置了软件的，须为正版软件。</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7.2  国产的货物及其有关服务必须符合中华人民共和国的设计、制造生产标准及行业标准。招标公告有其他要求的，亦应符合其要求。</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7</w:t>
      </w:r>
      <w:r>
        <w:rPr>
          <w:rFonts w:ascii="宋体" w:eastAsia="宋体" w:hAnsi="宋体" w:cs="Times New Roman"/>
          <w:kern w:val="2"/>
          <w:sz w:val="21"/>
          <w:szCs w:val="22"/>
          <w:lang w:eastAsia="zh-CN"/>
        </w:rPr>
        <w:t>.</w:t>
      </w:r>
      <w:r>
        <w:rPr>
          <w:rFonts w:ascii="宋体" w:eastAsia="宋体" w:hAnsi="宋体" w:cs="Times New Roman" w:hint="eastAsia"/>
          <w:kern w:val="2"/>
          <w:sz w:val="21"/>
          <w:szCs w:val="22"/>
          <w:lang w:eastAsia="zh-CN"/>
        </w:rPr>
        <w:t>3</w:t>
      </w:r>
      <w:r>
        <w:rPr>
          <w:rFonts w:ascii="宋体" w:eastAsia="宋体" w:hAnsi="宋体" w:cs="Times New Roman"/>
          <w:kern w:val="2"/>
          <w:sz w:val="21"/>
          <w:szCs w:val="22"/>
          <w:lang w:eastAsia="zh-CN"/>
        </w:rPr>
        <w:t xml:space="preserve">  </w:t>
      </w:r>
      <w:r>
        <w:rPr>
          <w:rFonts w:ascii="宋体" w:eastAsia="宋体" w:hAnsi="宋体" w:cs="Times New Roman" w:hint="eastAsia"/>
          <w:kern w:val="2"/>
          <w:sz w:val="21"/>
          <w:szCs w:val="22"/>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7</w:t>
      </w:r>
      <w:r>
        <w:rPr>
          <w:rFonts w:ascii="宋体" w:eastAsia="宋体" w:hAnsi="宋体" w:cs="Times New Roman"/>
          <w:kern w:val="2"/>
          <w:sz w:val="21"/>
          <w:szCs w:val="22"/>
          <w:lang w:eastAsia="zh-CN"/>
        </w:rPr>
        <w:t>.</w:t>
      </w:r>
      <w:r>
        <w:rPr>
          <w:rFonts w:ascii="宋体" w:eastAsia="宋体" w:hAnsi="宋体" w:cs="Times New Roman" w:hint="eastAsia"/>
          <w:kern w:val="2"/>
          <w:sz w:val="21"/>
          <w:szCs w:val="22"/>
          <w:lang w:eastAsia="zh-CN"/>
        </w:rPr>
        <w:t>4</w:t>
      </w:r>
      <w:r>
        <w:rPr>
          <w:rFonts w:ascii="宋体" w:eastAsia="宋体" w:hAnsi="宋体" w:cs="Times New Roman"/>
          <w:kern w:val="2"/>
          <w:sz w:val="21"/>
          <w:szCs w:val="22"/>
          <w:lang w:eastAsia="zh-CN"/>
        </w:rPr>
        <w:t xml:space="preserve">  </w:t>
      </w:r>
      <w:r>
        <w:rPr>
          <w:rFonts w:ascii="宋体" w:eastAsia="宋体" w:hAnsi="宋体" w:cs="Times New Roman" w:hint="eastAsia"/>
          <w:kern w:val="2"/>
          <w:sz w:val="21"/>
          <w:szCs w:val="22"/>
          <w:lang w:eastAsia="zh-CN"/>
        </w:rPr>
        <w:t>投标人</w:t>
      </w:r>
      <w:bookmarkStart w:id="64" w:name="_Hlk72152753"/>
      <w:r>
        <w:rPr>
          <w:rFonts w:ascii="宋体" w:eastAsia="宋体" w:hAnsi="宋体" w:cs="Times New Roman" w:hint="eastAsia"/>
          <w:kern w:val="2"/>
          <w:sz w:val="21"/>
          <w:szCs w:val="22"/>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4"/>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7.6  工期要求：投标人在投标时对其所投项目应提交交货进度、交货计划等，在合同规定的时间内完成项目实施工作。</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7.7  投标人必须承担的设备运输、安装调试、验收检测和提供设备操作说明书、图纸等其他相关及类似的义务。</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8．投标费用</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不论投标结果如何，投标人应承担其编制投标文件与递交投标文件所涉及的一切费用。</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9．踏勘现场</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9.2投标人及其人员经过采购人的允许，可以进入采购人的项目现场踏勘。若招标文件要求投标人于统一时间地点踏勘现场的，投标人应当按时前往。</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9.3采购人应当通过政府集中采购机构向投标人提供有关现场的书面资料和数据。</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9.4任何人或任何组织在踏勘现场时向投标人提供的任何书面资料或口头承诺，未经政府集中采购机构在网上发布或书面通知，均作无效处理。</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kern w:val="2"/>
          <w:sz w:val="21"/>
          <w:szCs w:val="21"/>
          <w:lang w:eastAsia="zh-CN"/>
        </w:rPr>
        <w:t>9</w:t>
      </w:r>
      <w:r>
        <w:rPr>
          <w:rFonts w:ascii="宋体" w:eastAsia="宋体" w:hAnsi="宋体" w:cs="Times New Roman" w:hint="eastAsia"/>
          <w:kern w:val="2"/>
          <w:sz w:val="21"/>
          <w:szCs w:val="21"/>
          <w:lang w:eastAsia="zh-CN"/>
        </w:rPr>
        <w:t>.</w:t>
      </w:r>
      <w:r>
        <w:rPr>
          <w:rFonts w:ascii="宋体" w:eastAsia="宋体" w:hAnsi="宋体" w:cs="Times New Roman"/>
          <w:kern w:val="2"/>
          <w:sz w:val="21"/>
          <w:szCs w:val="21"/>
          <w:lang w:eastAsia="zh-CN"/>
        </w:rPr>
        <w:t>5</w:t>
      </w:r>
      <w:r>
        <w:rPr>
          <w:rFonts w:ascii="宋体" w:eastAsia="宋体" w:hAnsi="宋体" w:cs="Times New Roman" w:hint="eastAsia"/>
          <w:kern w:val="2"/>
          <w:sz w:val="21"/>
          <w:szCs w:val="21"/>
          <w:lang w:eastAsia="zh-CN"/>
        </w:rPr>
        <w:t>未参与踏勘现场不作为否定投标人资格的理由。</w:t>
      </w:r>
    </w:p>
    <w:p>
      <w:pPr>
        <w:widowControl w:val="0"/>
        <w:jc w:val="both"/>
        <w:rPr>
          <w:rFonts w:ascii="宋体" w:eastAsia="宋体" w:hAnsi="宋体" w:hint="eastAsia"/>
          <w:kern w:val="2"/>
          <w:sz w:val="21"/>
          <w:szCs w:val="21"/>
          <w:lang w:eastAsia="zh-CN"/>
        </w:rPr>
      </w:pPr>
      <w:r>
        <w:rPr>
          <w:rFonts w:ascii="黑体" w:eastAsia="黑体" w:hAnsi="宋体" w:cs="Times New Roman" w:hint="eastAsia"/>
          <w:kern w:val="2"/>
          <w:szCs w:val="22"/>
          <w:lang w:eastAsia="zh-CN"/>
        </w:rPr>
        <w:t>1</w:t>
      </w:r>
      <w:r>
        <w:rPr>
          <w:rFonts w:ascii="黑体" w:eastAsia="黑体" w:hAnsi="宋体" w:cs="Times New Roman"/>
          <w:kern w:val="2"/>
          <w:szCs w:val="22"/>
          <w:lang w:eastAsia="zh-CN"/>
        </w:rPr>
        <w:t>0</w:t>
      </w:r>
      <w:r>
        <w:rPr>
          <w:rFonts w:ascii="黑体" w:eastAsia="黑体" w:hAnsi="宋体" w:cs="Times New Roman" w:hint="eastAsia"/>
          <w:kern w:val="2"/>
          <w:szCs w:val="22"/>
          <w:lang w:eastAsia="zh-CN"/>
        </w:rPr>
        <w:t>．标前会议</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w:t>
      </w:r>
      <w:r>
        <w:rPr>
          <w:rFonts w:ascii="宋体" w:eastAsia="宋体" w:hAnsi="宋体" w:cs="Times New Roman"/>
          <w:kern w:val="2"/>
          <w:sz w:val="21"/>
          <w:szCs w:val="21"/>
          <w:lang w:eastAsia="zh-CN"/>
        </w:rPr>
        <w:t>0</w:t>
      </w:r>
      <w:r>
        <w:rPr>
          <w:rFonts w:ascii="宋体" w:eastAsia="宋体" w:hAnsi="宋体" w:cs="Times New Roman" w:hint="eastAsia"/>
          <w:kern w:val="2"/>
          <w:sz w:val="21"/>
          <w:szCs w:val="21"/>
          <w:lang w:eastAsia="zh-CN"/>
        </w:rPr>
        <w:t>.</w:t>
      </w:r>
      <w:r>
        <w:rPr>
          <w:rFonts w:ascii="宋体" w:eastAsia="宋体" w:hAnsi="宋体" w:cs="Times New Roman"/>
          <w:kern w:val="2"/>
          <w:sz w:val="21"/>
          <w:szCs w:val="21"/>
          <w:lang w:eastAsia="zh-CN"/>
        </w:rPr>
        <w:t>1</w:t>
      </w:r>
      <w:r>
        <w:rPr>
          <w:rFonts w:ascii="宋体" w:eastAsia="宋体" w:hAnsi="宋体" w:cs="Times New Roman" w:hint="eastAsia"/>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kern w:val="2"/>
          <w:sz w:val="21"/>
          <w:szCs w:val="22"/>
          <w:lang w:eastAsia="zh-CN"/>
        </w:rPr>
        <w:t>10</w:t>
      </w:r>
      <w:r>
        <w:rPr>
          <w:rFonts w:ascii="宋体" w:eastAsia="宋体" w:hAnsi="宋体" w:cs="Times New Roman" w:hint="eastAsia"/>
          <w:kern w:val="2"/>
          <w:sz w:val="21"/>
          <w:szCs w:val="22"/>
          <w:lang w:eastAsia="zh-CN"/>
        </w:rPr>
        <w:t>.</w:t>
      </w:r>
      <w:r>
        <w:rPr>
          <w:rFonts w:ascii="宋体" w:eastAsia="宋体" w:hAnsi="宋体" w:cs="Times New Roman"/>
          <w:kern w:val="2"/>
          <w:sz w:val="21"/>
          <w:szCs w:val="22"/>
          <w:lang w:eastAsia="zh-CN"/>
        </w:rPr>
        <w:t>2</w:t>
      </w:r>
      <w:r>
        <w:rPr>
          <w:rFonts w:ascii="宋体" w:eastAsia="宋体" w:hAnsi="宋体" w:cs="Times New Roman" w:hint="eastAsia"/>
          <w:kern w:val="2"/>
          <w:sz w:val="21"/>
          <w:szCs w:val="22"/>
          <w:lang w:eastAsia="zh-CN"/>
        </w:rPr>
        <w:t>任何人或任何组织在标前会议时向投标人提供的任何书面资料或口头承诺，未经政府集中采购机构在网上发布或书面通知，均作无效处理。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w:t>
      </w:r>
      <w:r>
        <w:rPr>
          <w:rFonts w:ascii="宋体" w:eastAsia="宋体" w:hAnsi="宋体" w:cs="Times New Roman"/>
          <w:kern w:val="2"/>
          <w:sz w:val="21"/>
          <w:szCs w:val="21"/>
          <w:lang w:eastAsia="zh-CN"/>
        </w:rPr>
        <w:t>0</w:t>
      </w:r>
      <w:r>
        <w:rPr>
          <w:rFonts w:ascii="宋体" w:eastAsia="宋体" w:hAnsi="宋体" w:cs="Times New Roman" w:hint="eastAsia"/>
          <w:kern w:val="2"/>
          <w:sz w:val="21"/>
          <w:szCs w:val="21"/>
          <w:lang w:eastAsia="zh-CN"/>
        </w:rPr>
        <w:t>.</w:t>
      </w:r>
      <w:r>
        <w:rPr>
          <w:rFonts w:ascii="宋体" w:eastAsia="宋体" w:hAnsi="宋体" w:cs="Times New Roman"/>
          <w:kern w:val="2"/>
          <w:sz w:val="21"/>
          <w:szCs w:val="21"/>
          <w:lang w:eastAsia="zh-CN"/>
        </w:rPr>
        <w:t>3</w:t>
      </w:r>
      <w:r>
        <w:rPr>
          <w:rFonts w:ascii="宋体" w:eastAsia="宋体" w:hAnsi="宋体" w:cs="Times New Roman" w:hint="eastAsia"/>
          <w:kern w:val="2"/>
          <w:sz w:val="21"/>
          <w:szCs w:val="21"/>
          <w:lang w:eastAsia="zh-CN"/>
        </w:rPr>
        <w:t>未参与标前会议不作为否定投标人资格的理由。</w:t>
      </w:r>
    </w:p>
    <w:bookmarkEnd w:id="63"/>
    <w:p>
      <w:pPr>
        <w:widowControl w:val="0"/>
        <w:ind w:firstLine="412" w:firstLineChars="196"/>
        <w:jc w:val="both"/>
        <w:rPr>
          <w:rFonts w:ascii="宋体" w:eastAsia="宋体" w:hAnsi="宋体" w:hint="eastAsia"/>
          <w:kern w:val="2"/>
          <w:sz w:val="21"/>
          <w:szCs w:val="22"/>
          <w:lang w:eastAsia="zh-CN"/>
        </w:rPr>
      </w:pPr>
    </w:p>
    <w:p>
      <w:pPr>
        <w:keepNext/>
        <w:keepLines/>
        <w:widowControl w:val="0"/>
        <w:numPr>
          <w:ilvl w:val="0"/>
          <w:numId w:val="7"/>
        </w:numPr>
        <w:spacing w:before="120" w:beforeLines="50" w:after="120" w:afterLines="50" w:line="416" w:lineRule="auto"/>
        <w:ind w:left="562" w:hanging="562"/>
        <w:jc w:val="both"/>
        <w:outlineLvl w:val="1"/>
        <w:rPr>
          <w:rFonts w:ascii="Cambria" w:eastAsia="宋体" w:hAnsi="Cambria"/>
          <w:b/>
          <w:bCs/>
          <w:kern w:val="2"/>
          <w:sz w:val="28"/>
          <w:szCs w:val="28"/>
          <w:lang w:eastAsia="zh-CN"/>
        </w:rPr>
      </w:pPr>
      <w:r>
        <w:rPr>
          <w:rFonts w:ascii="Cambria" w:eastAsia="宋体" w:hAnsi="Cambria" w:cs="Times New Roman" w:hint="eastAsia"/>
          <w:b/>
          <w:bCs/>
          <w:kern w:val="2"/>
          <w:sz w:val="28"/>
          <w:szCs w:val="28"/>
          <w:lang w:eastAsia="zh-CN"/>
        </w:rPr>
        <w:t>招标文件</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1</w:t>
      </w:r>
      <w:r>
        <w:rPr>
          <w:rFonts w:ascii="黑体" w:eastAsia="黑体" w:hAnsi="宋体" w:cs="Times New Roman"/>
          <w:kern w:val="2"/>
          <w:szCs w:val="22"/>
          <w:lang w:eastAsia="zh-CN"/>
        </w:rPr>
        <w:t>1</w:t>
      </w:r>
      <w:r>
        <w:rPr>
          <w:rFonts w:ascii="黑体" w:eastAsia="黑体" w:hAnsi="宋体" w:cs="Times New Roman" w:hint="eastAsia"/>
          <w:kern w:val="2"/>
          <w:szCs w:val="22"/>
          <w:lang w:eastAsia="zh-CN"/>
        </w:rPr>
        <w:t>．</w:t>
      </w:r>
      <w:bookmarkStart w:id="65" w:name="_Hlk72399819"/>
      <w:r>
        <w:rPr>
          <w:rFonts w:ascii="黑体" w:eastAsia="黑体" w:hAnsi="宋体" w:cs="Times New Roman" w:hint="eastAsia"/>
          <w:kern w:val="2"/>
          <w:szCs w:val="22"/>
          <w:lang w:eastAsia="zh-CN"/>
        </w:rPr>
        <w:t>招标文件的编制与组成</w:t>
      </w:r>
    </w:p>
    <w:p>
      <w:pPr>
        <w:widowControl w:val="0"/>
        <w:snapToGrid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w:t>
      </w:r>
      <w:r>
        <w:rPr>
          <w:rFonts w:ascii="宋体" w:eastAsia="宋体" w:hAnsi="宋体" w:cs="Times New Roman"/>
          <w:kern w:val="2"/>
          <w:sz w:val="21"/>
          <w:szCs w:val="21"/>
          <w:lang w:eastAsia="zh-CN"/>
        </w:rPr>
        <w:t>1</w:t>
      </w:r>
      <w:r>
        <w:rPr>
          <w:rFonts w:ascii="宋体" w:eastAsia="宋体" w:hAnsi="宋体" w:cs="Times New Roman" w:hint="eastAsia"/>
          <w:kern w:val="2"/>
          <w:sz w:val="21"/>
          <w:szCs w:val="21"/>
          <w:lang w:eastAsia="zh-CN"/>
        </w:rPr>
        <w:t>.1招标文件除以下内容外，政府集中采购机构在招标期间发出的澄清或修改等相关公告或通知内容，均是招标文件的组成部分，对投标人起约束作用；</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招标文件包括下列内容：</w:t>
      </w:r>
    </w:p>
    <w:p>
      <w:pPr>
        <w:widowControl w:val="0"/>
        <w:ind w:left="480" w:firstLine="412" w:leftChars="200" w:firstLineChars="196"/>
        <w:jc w:val="both"/>
        <w:rPr>
          <w:rFonts w:ascii="宋体" w:eastAsia="宋体" w:hAnsi="宋体" w:hint="eastAsia"/>
          <w:b/>
          <w:kern w:val="2"/>
          <w:sz w:val="21"/>
          <w:szCs w:val="21"/>
          <w:lang w:eastAsia="zh-CN"/>
        </w:rPr>
      </w:pPr>
      <w:r>
        <w:rPr>
          <w:rFonts w:ascii="宋体" w:eastAsia="宋体" w:hAnsi="宋体" w:cs="Times New Roman" w:hint="eastAsia"/>
          <w:b/>
          <w:kern w:val="2"/>
          <w:sz w:val="21"/>
          <w:szCs w:val="21"/>
          <w:lang w:eastAsia="zh-CN"/>
        </w:rPr>
        <w:t>第一册  专用条款</w:t>
      </w:r>
    </w:p>
    <w:p>
      <w:pPr>
        <w:widowControl w:val="0"/>
        <w:ind w:left="1234" w:leftChars="514"/>
        <w:jc w:val="both"/>
        <w:rPr>
          <w:rFonts w:ascii="宋体" w:eastAsia="宋体" w:hAnsi="宋体" w:hint="eastAsia"/>
          <w:b/>
          <w:kern w:val="2"/>
          <w:sz w:val="21"/>
          <w:szCs w:val="21"/>
          <w:lang w:eastAsia="zh-CN"/>
        </w:rPr>
      </w:pPr>
      <w:r>
        <w:rPr>
          <w:rFonts w:ascii="宋体" w:eastAsia="宋体" w:hAnsi="宋体" w:cs="Times New Roman" w:hint="eastAsia"/>
          <w:b/>
          <w:kern w:val="2"/>
          <w:sz w:val="21"/>
          <w:szCs w:val="21"/>
          <w:lang w:eastAsia="zh-CN"/>
        </w:rPr>
        <w:t>关键信息</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第一章  招标公告</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第二章  对通用条款的补充内容及其他关键信息</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第三章  用户需求书</w:t>
      </w:r>
    </w:p>
    <w:p>
      <w:pPr>
        <w:widowControl w:val="0"/>
        <w:ind w:left="720" w:firstLine="412" w:leftChars="300" w:firstLineChars="196"/>
        <w:jc w:val="both"/>
        <w:rPr>
          <w:rFonts w:ascii="宋体" w:eastAsia="宋体" w:hAnsi="宋体" w:hint="eastAsia"/>
          <w:kern w:val="2"/>
          <w:sz w:val="21"/>
          <w:szCs w:val="21"/>
          <w:lang w:eastAsia="zh-CN"/>
        </w:rPr>
      </w:pPr>
      <w:r>
        <w:rPr>
          <w:rFonts w:ascii="Calibri" w:eastAsia="宋体" w:hAnsi="Calibri" w:cs="Times New Roman" w:hint="eastAsia"/>
          <w:kern w:val="2"/>
          <w:sz w:val="21"/>
          <w:szCs w:val="22"/>
          <w:lang w:eastAsia="zh-CN"/>
        </w:rPr>
        <w:t xml:space="preserve">第四章 </w:t>
      </w:r>
      <w:r>
        <w:rPr>
          <w:rFonts w:ascii="Calibri" w:eastAsia="宋体" w:hAnsi="Calibri" w:cs="Times New Roman"/>
          <w:kern w:val="2"/>
          <w:sz w:val="21"/>
          <w:szCs w:val="22"/>
          <w:lang w:eastAsia="zh-CN"/>
        </w:rPr>
        <w:t xml:space="preserve"> </w:t>
      </w:r>
      <w:r>
        <w:rPr>
          <w:rFonts w:ascii="Calibri" w:eastAsia="宋体" w:hAnsi="Calibri" w:cs="Times New Roman" w:hint="eastAsia"/>
          <w:kern w:val="2"/>
          <w:sz w:val="21"/>
          <w:szCs w:val="22"/>
          <w:lang w:eastAsia="zh-CN"/>
        </w:rPr>
        <w:t>投标文件格式及附件</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第五章  合同条款及格式</w:t>
      </w:r>
    </w:p>
    <w:p>
      <w:pPr>
        <w:widowControl w:val="0"/>
        <w:ind w:left="480" w:firstLine="412" w:leftChars="200" w:firstLineChars="196"/>
        <w:jc w:val="both"/>
        <w:rPr>
          <w:rFonts w:ascii="宋体" w:eastAsia="宋体" w:hAnsi="宋体" w:hint="eastAsia"/>
          <w:b/>
          <w:kern w:val="2"/>
          <w:sz w:val="21"/>
          <w:szCs w:val="21"/>
          <w:lang w:eastAsia="zh-CN"/>
        </w:rPr>
      </w:pPr>
      <w:r>
        <w:rPr>
          <w:rFonts w:ascii="宋体" w:eastAsia="宋体" w:hAnsi="宋体" w:cs="Times New Roman" w:hint="eastAsia"/>
          <w:b/>
          <w:kern w:val="2"/>
          <w:sz w:val="21"/>
          <w:szCs w:val="21"/>
          <w:lang w:eastAsia="zh-CN"/>
        </w:rPr>
        <w:t>第二册  通用条款</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第一章  总则</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第二章  招标文件</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第三章  投标文件的编制</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第四章  投标文件的递交</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第五章  开标</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第六章  评审要求</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第七章  评审程序及评审方法</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第八章  定标及公示</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第九章  公开招标失败的后续处理</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第十章  合同的授予与备案</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第十一章  质疑处理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w:t>
      </w:r>
      <w:r>
        <w:rPr>
          <w:rFonts w:ascii="宋体" w:eastAsia="宋体" w:hAnsi="宋体" w:cs="Times New Roman"/>
          <w:kern w:val="2"/>
          <w:sz w:val="21"/>
          <w:szCs w:val="21"/>
          <w:lang w:eastAsia="zh-CN"/>
        </w:rPr>
        <w:t>1</w:t>
      </w:r>
      <w:r>
        <w:rPr>
          <w:rFonts w:ascii="宋体" w:eastAsia="宋体" w:hAnsi="宋体" w:cs="Times New Roman" w:hint="eastAsia"/>
          <w:kern w:val="2"/>
          <w:sz w:val="21"/>
          <w:szCs w:val="21"/>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w:t>
      </w:r>
      <w:r>
        <w:rPr>
          <w:rFonts w:ascii="宋体" w:eastAsia="宋体" w:hAnsi="宋体" w:cs="Times New Roman"/>
          <w:kern w:val="2"/>
          <w:sz w:val="21"/>
          <w:szCs w:val="21"/>
          <w:lang w:eastAsia="zh-CN"/>
        </w:rPr>
        <w:t>1</w:t>
      </w:r>
      <w:r>
        <w:rPr>
          <w:rFonts w:ascii="宋体" w:eastAsia="宋体" w:hAnsi="宋体" w:cs="Times New Roman" w:hint="eastAsia"/>
          <w:kern w:val="2"/>
          <w:sz w:val="21"/>
          <w:szCs w:val="21"/>
          <w:lang w:eastAsia="zh-CN"/>
        </w:rPr>
        <w:t>.3</w:t>
      </w:r>
      <w:r>
        <w:rPr>
          <w:rFonts w:ascii="宋体" w:eastAsia="宋体" w:hAnsi="宋体" w:cs="Times New Roman" w:hint="eastAsia"/>
          <w:kern w:val="2"/>
          <w:sz w:val="21"/>
          <w:szCs w:val="22"/>
          <w:lang w:eastAsia="zh-CN"/>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1</w:t>
      </w:r>
      <w:r>
        <w:rPr>
          <w:rFonts w:ascii="黑体" w:eastAsia="黑体" w:hAnsi="宋体" w:cs="Times New Roman"/>
          <w:kern w:val="2"/>
          <w:szCs w:val="22"/>
          <w:lang w:eastAsia="zh-CN"/>
        </w:rPr>
        <w:t>2</w:t>
      </w:r>
      <w:r>
        <w:rPr>
          <w:rFonts w:ascii="黑体" w:eastAsia="黑体" w:hAnsi="宋体" w:cs="Times New Roman" w:hint="eastAsia"/>
          <w:kern w:val="2"/>
          <w:szCs w:val="22"/>
          <w:lang w:eastAsia="zh-CN"/>
        </w:rPr>
        <w:t>．招标文件的澄清</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w:t>
      </w:r>
      <w:r>
        <w:rPr>
          <w:rFonts w:ascii="宋体" w:eastAsia="宋体" w:hAnsi="宋体" w:cs="Times New Roman"/>
          <w:kern w:val="2"/>
          <w:sz w:val="21"/>
          <w:szCs w:val="21"/>
          <w:lang w:eastAsia="zh-CN"/>
        </w:rPr>
        <w:t>2</w:t>
      </w:r>
      <w:r>
        <w:rPr>
          <w:rFonts w:ascii="宋体" w:eastAsia="宋体" w:hAnsi="宋体" w:cs="Times New Roman" w:hint="eastAsia"/>
          <w:kern w:val="2"/>
          <w:sz w:val="21"/>
          <w:szCs w:val="21"/>
          <w:lang w:eastAsia="zh-CN"/>
        </w:rPr>
        <w:t>.1招标文件澄清的目的是澄清、解答投标人在查阅招标文件后或现场踏勘中可能提出的与投标有关的疑问或询问。</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w:t>
      </w:r>
      <w:r>
        <w:rPr>
          <w:rFonts w:ascii="宋体" w:eastAsia="宋体" w:hAnsi="宋体" w:cs="Times New Roman"/>
          <w:kern w:val="2"/>
          <w:sz w:val="21"/>
          <w:szCs w:val="21"/>
          <w:lang w:eastAsia="zh-CN"/>
        </w:rPr>
        <w:t>2</w:t>
      </w:r>
      <w:r>
        <w:rPr>
          <w:rFonts w:ascii="宋体" w:eastAsia="宋体" w:hAnsi="宋体" w:cs="Times New Roman" w:hint="eastAsia"/>
          <w:kern w:val="2"/>
          <w:sz w:val="21"/>
          <w:szCs w:val="21"/>
          <w:lang w:eastAsia="zh-CN"/>
        </w:rPr>
        <w:t>.2投标人如对招标文件内容有疑问，应当在招标公告规定的澄清（提问）截止时间前以网上提问的形式通过网上政府采购系统提交政府集中采购机构。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w:t>
      </w:r>
      <w:r>
        <w:rPr>
          <w:rFonts w:ascii="宋体" w:eastAsia="宋体" w:hAnsi="宋体" w:cs="Times New Roman"/>
          <w:kern w:val="2"/>
          <w:sz w:val="21"/>
          <w:szCs w:val="21"/>
          <w:lang w:eastAsia="zh-CN"/>
        </w:rPr>
        <w:t>2</w:t>
      </w:r>
      <w:r>
        <w:rPr>
          <w:rFonts w:ascii="宋体" w:eastAsia="宋体" w:hAnsi="宋体" w:cs="Times New Roman" w:hint="eastAsia"/>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eastAsia="宋体" w:hAnsi="宋体" w:cs="Times New Roman"/>
          <w:kern w:val="2"/>
          <w:sz w:val="21"/>
          <w:szCs w:val="21"/>
          <w:lang w:eastAsia="zh-CN"/>
        </w:rPr>
        <w:t>3.3</w:t>
      </w:r>
      <w:r>
        <w:rPr>
          <w:rFonts w:ascii="宋体" w:eastAsia="宋体" w:hAnsi="宋体" w:cs="Times New Roman" w:hint="eastAsia"/>
          <w:kern w:val="2"/>
          <w:sz w:val="21"/>
          <w:szCs w:val="21"/>
          <w:lang w:eastAsia="zh-CN"/>
        </w:rPr>
        <w:t>、1</w:t>
      </w:r>
      <w:r>
        <w:rPr>
          <w:rFonts w:ascii="宋体" w:eastAsia="宋体" w:hAnsi="宋体" w:cs="Times New Roman"/>
          <w:kern w:val="2"/>
          <w:sz w:val="21"/>
          <w:szCs w:val="21"/>
          <w:lang w:eastAsia="zh-CN"/>
        </w:rPr>
        <w:t>3.4</w:t>
      </w:r>
      <w:r>
        <w:rPr>
          <w:rFonts w:ascii="宋体" w:eastAsia="宋体" w:hAnsi="宋体" w:cs="Times New Roman" w:hint="eastAsia"/>
          <w:kern w:val="2"/>
          <w:sz w:val="21"/>
          <w:szCs w:val="21"/>
          <w:lang w:eastAsia="zh-CN"/>
        </w:rPr>
        <w:t>款规定执行。</w:t>
      </w:r>
    </w:p>
    <w:p>
      <w:pPr>
        <w:widowControl w:val="0"/>
        <w:jc w:val="both"/>
        <w:rPr>
          <w:rFonts w:ascii="黑体" w:eastAsia="黑体" w:hAnsi="宋体" w:hint="eastAsia"/>
          <w:kern w:val="2"/>
          <w:szCs w:val="22"/>
          <w:lang w:eastAsia="zh-CN"/>
        </w:rPr>
      </w:pPr>
      <w:r>
        <w:rPr>
          <w:rFonts w:ascii="黑体" w:eastAsia="黑体" w:hAnsi="宋体" w:cs="Times New Roman"/>
          <w:kern w:val="2"/>
          <w:szCs w:val="22"/>
          <w:lang w:eastAsia="zh-CN"/>
        </w:rPr>
        <w:t>1</w:t>
      </w:r>
      <w:r>
        <w:rPr>
          <w:rFonts w:ascii="黑体" w:eastAsia="黑体" w:hAnsi="宋体" w:cs="Times New Roman" w:hint="eastAsia"/>
          <w:kern w:val="2"/>
          <w:szCs w:val="22"/>
          <w:lang w:eastAsia="zh-CN"/>
        </w:rPr>
        <w:t>3．招标文件的修改</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kern w:val="2"/>
          <w:sz w:val="21"/>
          <w:szCs w:val="21"/>
          <w:lang w:eastAsia="zh-CN"/>
        </w:rPr>
        <w:t>1</w:t>
      </w:r>
      <w:r>
        <w:rPr>
          <w:rFonts w:ascii="宋体" w:eastAsia="宋体" w:hAnsi="宋体" w:cs="Times New Roman" w:hint="eastAsia"/>
          <w:kern w:val="2"/>
          <w:sz w:val="21"/>
          <w:szCs w:val="21"/>
          <w:lang w:eastAsia="zh-CN"/>
        </w:rPr>
        <w:t>3.1招标文件发出后，在投标截止日期前任何时候，确需要变更招标文件内容的，政府集中采购机构可主动或在解答投标人提出的澄清问题时对招标文件进行修改。</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kern w:val="2"/>
          <w:sz w:val="21"/>
          <w:szCs w:val="21"/>
          <w:lang w:eastAsia="zh-CN"/>
        </w:rPr>
        <w:t>1</w:t>
      </w:r>
      <w:r>
        <w:rPr>
          <w:rFonts w:ascii="宋体" w:eastAsia="宋体" w:hAnsi="宋体" w:cs="Times New Roman" w:hint="eastAsia"/>
          <w:kern w:val="2"/>
          <w:sz w:val="21"/>
          <w:szCs w:val="21"/>
          <w:lang w:eastAsia="zh-CN"/>
        </w:rPr>
        <w:t>3.2招标文件的修改以书面形式（包括政府集中采购机构网站发布方式，如更正公告等）发送给所有投标人，招标文件的修改内容作为招标文件的组成部分，并具有约束力。</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kern w:val="2"/>
          <w:sz w:val="21"/>
          <w:szCs w:val="21"/>
          <w:lang w:eastAsia="zh-CN"/>
        </w:rPr>
        <w:t>1</w:t>
      </w:r>
      <w:r>
        <w:rPr>
          <w:rFonts w:ascii="宋体" w:eastAsia="宋体" w:hAnsi="宋体" w:cs="Times New Roman" w:hint="eastAsia"/>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kern w:val="2"/>
          <w:sz w:val="21"/>
          <w:szCs w:val="21"/>
          <w:lang w:eastAsia="zh-CN"/>
        </w:rPr>
        <w:t>1</w:t>
      </w:r>
      <w:r>
        <w:rPr>
          <w:rFonts w:ascii="宋体" w:eastAsia="宋体" w:hAnsi="宋体" w:cs="Times New Roman" w:hint="eastAsia"/>
          <w:kern w:val="2"/>
          <w:sz w:val="21"/>
          <w:szCs w:val="21"/>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5"/>
    </w:p>
    <w:p>
      <w:pPr>
        <w:widowControl w:val="0"/>
        <w:jc w:val="both"/>
        <w:rPr>
          <w:rFonts w:ascii="宋体" w:eastAsia="宋体" w:hAnsi="宋体" w:hint="eastAsia"/>
          <w:kern w:val="2"/>
          <w:sz w:val="21"/>
          <w:szCs w:val="21"/>
          <w:lang w:eastAsia="zh-CN"/>
        </w:rPr>
      </w:pPr>
    </w:p>
    <w:p>
      <w:pPr>
        <w:keepNext/>
        <w:keepLines/>
        <w:widowControl w:val="0"/>
        <w:numPr>
          <w:ilvl w:val="0"/>
          <w:numId w:val="7"/>
        </w:numPr>
        <w:spacing w:before="120" w:beforeLines="50" w:after="120" w:afterLines="50" w:line="416" w:lineRule="auto"/>
        <w:ind w:left="562" w:hanging="562"/>
        <w:jc w:val="both"/>
        <w:outlineLvl w:val="1"/>
        <w:rPr>
          <w:rFonts w:ascii="Cambria" w:eastAsia="宋体" w:hAnsi="Cambria"/>
          <w:b/>
          <w:bCs/>
          <w:kern w:val="2"/>
          <w:sz w:val="28"/>
          <w:szCs w:val="28"/>
          <w:lang w:eastAsia="zh-CN"/>
        </w:rPr>
      </w:pPr>
      <w:r>
        <w:rPr>
          <w:rFonts w:ascii="Cambria" w:eastAsia="宋体" w:hAnsi="Cambria" w:cs="Times New Roman" w:hint="eastAsia"/>
          <w:b/>
          <w:bCs/>
          <w:kern w:val="2"/>
          <w:sz w:val="28"/>
          <w:szCs w:val="28"/>
          <w:lang w:eastAsia="zh-CN"/>
        </w:rPr>
        <w:t>投标文件的编制</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14．</w:t>
      </w:r>
      <w:bookmarkStart w:id="66" w:name="_Hlk72400236"/>
      <w:r>
        <w:rPr>
          <w:rFonts w:ascii="黑体" w:eastAsia="黑体" w:hAnsi="宋体" w:cs="Times New Roman" w:hint="eastAsia"/>
          <w:kern w:val="2"/>
          <w:szCs w:val="22"/>
          <w:lang w:eastAsia="zh-CN"/>
        </w:rPr>
        <w:t>投标文件的语言及度量单位</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14.2 除技术规范另有规定外，投标文件使用的度量单位，均采用中华人民共和国法定计量单位。</w:t>
      </w:r>
    </w:p>
    <w:bookmarkEnd w:id="66"/>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15．</w:t>
      </w:r>
      <w:bookmarkStart w:id="67" w:name="_Hlk72401567"/>
      <w:r>
        <w:rPr>
          <w:rFonts w:ascii="黑体" w:eastAsia="黑体" w:hAnsi="宋体" w:cs="Times New Roman" w:hint="eastAsia"/>
          <w:kern w:val="2"/>
          <w:szCs w:val="22"/>
          <w:lang w:eastAsia="zh-CN"/>
        </w:rPr>
        <w:t>投标文件的组成</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具体内容在招标文件专用条款中进行规定。</w:t>
      </w:r>
    </w:p>
    <w:p>
      <w:pPr>
        <w:widowControl w:val="0"/>
        <w:jc w:val="both"/>
        <w:rPr>
          <w:rFonts w:ascii="黑体" w:eastAsia="黑体" w:hAnsi="宋体" w:hint="eastAsia"/>
          <w:kern w:val="2"/>
          <w:szCs w:val="22"/>
          <w:lang w:eastAsia="zh-CN"/>
        </w:rPr>
      </w:pPr>
      <w:r>
        <w:rPr>
          <w:rFonts w:ascii="黑体" w:eastAsia="黑体" w:hAnsi="宋体" w:cs="Times New Roman"/>
          <w:kern w:val="2"/>
          <w:szCs w:val="22"/>
          <w:lang w:eastAsia="zh-CN"/>
        </w:rPr>
        <w:t>16．投标文件格式</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投标文件包括本通用条款第</w:t>
      </w:r>
      <w:r>
        <w:rPr>
          <w:rFonts w:ascii="宋体" w:eastAsia="宋体" w:hAnsi="宋体" w:cs="Times New Roman"/>
          <w:kern w:val="2"/>
          <w:sz w:val="21"/>
          <w:szCs w:val="21"/>
          <w:lang w:eastAsia="zh-CN"/>
        </w:rPr>
        <w:t>15条中规定的内容。如招标文件提供了投标文件格式，则</w:t>
      </w:r>
      <w:r>
        <w:rPr>
          <w:rFonts w:ascii="宋体" w:eastAsia="宋体" w:hAnsi="宋体" w:cs="Times New Roman" w:hint="eastAsia"/>
          <w:b/>
          <w:bCs/>
          <w:kern w:val="2"/>
          <w:sz w:val="21"/>
          <w:szCs w:val="21"/>
          <w:lang w:eastAsia="zh-CN"/>
        </w:rPr>
        <w:t>投标人提交的投标文件应毫无例外地使用招标文件所提供的相应格式</w:t>
      </w:r>
      <w:r>
        <w:rPr>
          <w:rFonts w:ascii="宋体" w:eastAsia="宋体" w:hAnsi="宋体" w:cs="Times New Roman" w:hint="eastAsia"/>
          <w:kern w:val="2"/>
          <w:sz w:val="21"/>
          <w:szCs w:val="21"/>
          <w:lang w:eastAsia="zh-CN"/>
        </w:rPr>
        <w:t>（表格均可按同样格式扩展）。</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17．投标货币</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本项目的投标报价应以人民币计。</w:t>
      </w:r>
    </w:p>
    <w:bookmarkEnd w:id="67"/>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18．</w:t>
      </w:r>
      <w:bookmarkStart w:id="68" w:name="_Hlk72401735"/>
      <w:r>
        <w:rPr>
          <w:rFonts w:ascii="黑体" w:eastAsia="黑体" w:hAnsi="宋体" w:cs="Times New Roman" w:hint="eastAsia"/>
          <w:kern w:val="2"/>
          <w:szCs w:val="22"/>
          <w:lang w:eastAsia="zh-CN"/>
        </w:rPr>
        <w:t>证明投标文件投标技术方案的合格性和符合招标文件规定的文件要求</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18</w:t>
      </w:r>
      <w:r>
        <w:rPr>
          <w:rFonts w:ascii="宋体" w:eastAsia="宋体" w:hAnsi="宋体" w:cs="Times New Roman"/>
          <w:kern w:val="2"/>
          <w:sz w:val="21"/>
          <w:szCs w:val="21"/>
          <w:lang w:eastAsia="zh-CN"/>
        </w:rPr>
        <w:t xml:space="preserve">.1 </w:t>
      </w:r>
      <w:r>
        <w:rPr>
          <w:rFonts w:ascii="宋体" w:eastAsia="宋体" w:hAnsi="宋体" w:cs="Times New Roman" w:hint="eastAsia"/>
          <w:kern w:val="2"/>
          <w:sz w:val="21"/>
          <w:szCs w:val="21"/>
          <w:lang w:eastAsia="zh-CN"/>
        </w:rPr>
        <w:t>投标人应提交证明文件，证明其投标技术方案项下的货物和服务的合格性符合招标文件规定。该投标技术方案及其证明文件均作为投标文件组成部分。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kern w:val="2"/>
          <w:sz w:val="21"/>
          <w:szCs w:val="21"/>
          <w:lang w:eastAsia="zh-CN"/>
        </w:rPr>
        <w:t>1</w:t>
      </w:r>
      <w:r>
        <w:rPr>
          <w:rFonts w:ascii="宋体" w:eastAsia="宋体" w:hAnsi="宋体" w:cs="Times New Roman" w:hint="eastAsia"/>
          <w:kern w:val="2"/>
          <w:sz w:val="21"/>
          <w:szCs w:val="21"/>
          <w:lang w:eastAsia="zh-CN"/>
        </w:rPr>
        <w:t>8</w:t>
      </w:r>
      <w:r>
        <w:rPr>
          <w:rFonts w:ascii="宋体" w:eastAsia="宋体" w:hAnsi="宋体" w:cs="Times New Roman"/>
          <w:kern w:val="2"/>
          <w:sz w:val="21"/>
          <w:szCs w:val="21"/>
          <w:lang w:eastAsia="zh-CN"/>
        </w:rPr>
        <w:t xml:space="preserve">.2 </w:t>
      </w:r>
      <w:r>
        <w:rPr>
          <w:rFonts w:ascii="宋体" w:eastAsia="宋体" w:hAnsi="宋体" w:cs="Times New Roman" w:hint="eastAsia"/>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18.2.1主要技术指标和性能的详细说明。</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18.2.</w:t>
      </w:r>
      <w:r>
        <w:rPr>
          <w:rFonts w:ascii="宋体" w:eastAsia="宋体" w:hAnsi="宋体" w:cs="Times New Roman"/>
          <w:kern w:val="2"/>
          <w:sz w:val="21"/>
          <w:szCs w:val="21"/>
          <w:lang w:eastAsia="zh-CN"/>
        </w:rPr>
        <w:t>2</w:t>
      </w:r>
      <w:r>
        <w:rPr>
          <w:rFonts w:ascii="宋体" w:eastAsia="宋体" w:hAnsi="宋体" w:cs="Times New Roman" w:hint="eastAsia"/>
          <w:kern w:val="2"/>
          <w:sz w:val="21"/>
          <w:szCs w:val="21"/>
          <w:lang w:eastAsia="zh-CN"/>
        </w:rPr>
        <w:t>投标产品从采购人开始使用至招标文件中规定的周期内正常、连续地使用所必须的备件和专用工具清单，包括备件和专用工具的货源及现行价格。</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18.2.</w:t>
      </w:r>
      <w:r>
        <w:rPr>
          <w:rFonts w:ascii="宋体" w:eastAsia="宋体" w:hAnsi="宋体" w:cs="Times New Roman"/>
          <w:kern w:val="2"/>
          <w:sz w:val="21"/>
          <w:szCs w:val="21"/>
          <w:lang w:eastAsia="zh-CN"/>
        </w:rPr>
        <w:t>3</w:t>
      </w:r>
      <w:r>
        <w:rPr>
          <w:rFonts w:ascii="宋体" w:eastAsia="宋体" w:hAnsi="宋体" w:cs="Times New Roman" w:hint="eastAsia"/>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Calibri" w:eastAsia="宋体" w:hAnsi="Calibri" w:cs="Times New Roman" w:hint="eastAsia"/>
          <w:kern w:val="2"/>
          <w:sz w:val="21"/>
          <w:szCs w:val="22"/>
          <w:lang w:eastAsia="zh-CN"/>
        </w:rPr>
        <w:t>清晰度要求能够使用电脑阅读、识别和判断</w:t>
      </w:r>
      <w:r>
        <w:rPr>
          <w:rFonts w:ascii="宋体" w:eastAsia="宋体" w:hAnsi="宋体" w:cs="Times New Roman" w:hint="eastAsia"/>
          <w:kern w:val="2"/>
          <w:sz w:val="21"/>
          <w:szCs w:val="21"/>
          <w:lang w:eastAsia="zh-CN"/>
        </w:rPr>
        <w:t>；</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18.3相关资料不符合18.2款要求的，评审委员会有权认定为投标技术方案不合格响应，其相关分数予以扣减或作投标无效处理。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kern w:val="2"/>
          <w:sz w:val="21"/>
          <w:szCs w:val="21"/>
          <w:lang w:eastAsia="zh-CN"/>
        </w:rPr>
        <w:t>1</w:t>
      </w:r>
      <w:r>
        <w:rPr>
          <w:rFonts w:ascii="宋体" w:eastAsia="宋体" w:hAnsi="宋体" w:cs="Times New Roman" w:hint="eastAsia"/>
          <w:kern w:val="2"/>
          <w:sz w:val="21"/>
          <w:szCs w:val="21"/>
          <w:lang w:eastAsia="zh-CN"/>
        </w:rPr>
        <w:t>8</w:t>
      </w:r>
      <w:r>
        <w:rPr>
          <w:rFonts w:ascii="宋体" w:eastAsia="宋体" w:hAnsi="宋体" w:cs="Times New Roman"/>
          <w:kern w:val="2"/>
          <w:sz w:val="21"/>
          <w:szCs w:val="21"/>
          <w:lang w:eastAsia="zh-CN"/>
        </w:rPr>
        <w:t>.</w:t>
      </w:r>
      <w:r>
        <w:rPr>
          <w:rFonts w:ascii="宋体" w:eastAsia="宋体" w:hAnsi="宋体" w:cs="Times New Roman" w:hint="eastAsia"/>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Calibri" w:eastAsia="宋体" w:hAnsi="Calibri" w:cs="Times New Roman" w:hint="eastAsia"/>
          <w:kern w:val="2"/>
          <w:sz w:val="21"/>
          <w:szCs w:val="22"/>
          <w:lang w:eastAsia="zh-CN"/>
        </w:rPr>
        <w:t>满足要求</w:t>
      </w:r>
      <w:r>
        <w:rPr>
          <w:rFonts w:ascii="宋体" w:eastAsia="宋体" w:hAnsi="宋体" w:cs="Times New Roman" w:hint="eastAsia"/>
          <w:kern w:val="2"/>
          <w:sz w:val="21"/>
          <w:szCs w:val="21"/>
          <w:lang w:eastAsia="zh-CN"/>
        </w:rPr>
        <w:t>，由评审委员会来评判。</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18.5除非另有规定或说明，投标人对同一项目投标时，不得同时提供两套或两套以上的投标方案。</w:t>
      </w:r>
    </w:p>
    <w:bookmarkEnd w:id="68"/>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19．</w:t>
      </w:r>
      <w:bookmarkStart w:id="69" w:name="_Hlk72402034"/>
      <w:r>
        <w:rPr>
          <w:rFonts w:ascii="黑体" w:eastAsia="黑体" w:hAnsi="宋体" w:cs="Times New Roman" w:hint="eastAsia"/>
          <w:kern w:val="2"/>
          <w:szCs w:val="22"/>
          <w:lang w:eastAsia="zh-CN"/>
        </w:rPr>
        <w:t>投标文件其他证明文件的要求</w:t>
      </w:r>
    </w:p>
    <w:p>
      <w:pPr>
        <w:widowControl w:val="0"/>
        <w:jc w:val="both"/>
        <w:rPr>
          <w:rFonts w:ascii="宋体" w:eastAsia="宋体" w:hAnsi="宋体" w:hint="eastAsia"/>
          <w:color w:val="FF0000"/>
          <w:kern w:val="2"/>
          <w:sz w:val="21"/>
          <w:szCs w:val="21"/>
          <w:lang w:eastAsia="zh-CN"/>
        </w:rPr>
      </w:pPr>
      <w:r>
        <w:rPr>
          <w:rFonts w:ascii="黑体" w:eastAsia="黑体" w:hAnsi="宋体" w:cs="Times New Roman" w:hint="eastAsia"/>
          <w:kern w:val="2"/>
          <w:szCs w:val="22"/>
          <w:lang w:eastAsia="zh-CN"/>
        </w:rPr>
        <w:t xml:space="preserve">    </w:t>
      </w:r>
      <w:r>
        <w:rPr>
          <w:rFonts w:ascii="宋体" w:eastAsia="宋体" w:hAnsi="宋体" w:cs="Times New Roman" w:hint="eastAsia"/>
          <w:kern w:val="2"/>
          <w:sz w:val="21"/>
          <w:szCs w:val="21"/>
          <w:lang w:eastAsia="zh-CN"/>
        </w:rPr>
        <w:t>19.1</w:t>
      </w:r>
      <w:bookmarkStart w:id="70" w:name="_Hlk71407299"/>
      <w:r>
        <w:rPr>
          <w:rFonts w:ascii="宋体" w:eastAsia="宋体" w:hAnsi="宋体" w:cs="Times New Roman" w:hint="eastAsia"/>
          <w:kern w:val="2"/>
          <w:sz w:val="21"/>
          <w:szCs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70"/>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20．投标有效期</w:t>
      </w:r>
    </w:p>
    <w:bookmarkEnd w:id="69"/>
    <w:p>
      <w:pPr>
        <w:widowControl w:val="0"/>
        <w:ind w:firstLine="412" w:firstLineChars="196"/>
        <w:jc w:val="both"/>
        <w:rPr>
          <w:rFonts w:ascii="宋体" w:eastAsia="宋体" w:hAnsi="宋体" w:hint="eastAsia"/>
          <w:kern w:val="2"/>
          <w:sz w:val="21"/>
          <w:szCs w:val="21"/>
          <w:lang w:eastAsia="zh-CN"/>
        </w:rPr>
      </w:pPr>
      <w:bookmarkStart w:id="71" w:name="_Hlk72402214"/>
      <w:r>
        <w:rPr>
          <w:rFonts w:ascii="宋体" w:eastAsia="宋体" w:hAnsi="宋体" w:cs="Times New Roman" w:hint="eastAsia"/>
          <w:kern w:val="2"/>
          <w:sz w:val="21"/>
          <w:szCs w:val="21"/>
          <w:lang w:eastAsia="zh-CN"/>
        </w:rPr>
        <w:t>20.1 投标有效期为</w:t>
      </w:r>
      <w:r>
        <w:rPr>
          <w:rFonts w:ascii="Arial" w:eastAsia="宋体" w:hAnsi="Arial" w:cs="Arial" w:hint="eastAsia"/>
          <w:kern w:val="2"/>
          <w:sz w:val="21"/>
          <w:szCs w:val="21"/>
          <w:lang w:eastAsia="zh-CN"/>
        </w:rPr>
        <w:t>从投标截止之日算起的日历天数。</w:t>
      </w:r>
      <w:r>
        <w:rPr>
          <w:rFonts w:ascii="宋体" w:eastAsia="宋体" w:hAnsi="宋体" w:cs="Times New Roman" w:hint="eastAsia"/>
          <w:kern w:val="2"/>
          <w:sz w:val="21"/>
          <w:szCs w:val="21"/>
          <w:lang w:eastAsia="zh-CN"/>
        </w:rPr>
        <w:t>在此期限内，所有投标文件均保持有效。</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20</w:t>
      </w:r>
      <w:r>
        <w:rPr>
          <w:rFonts w:ascii="宋体" w:eastAsia="宋体" w:hAnsi="宋体" w:cs="Times New Roman"/>
          <w:kern w:val="2"/>
          <w:sz w:val="21"/>
          <w:szCs w:val="21"/>
          <w:lang w:eastAsia="zh-CN"/>
        </w:rPr>
        <w:t>.3</w:t>
      </w:r>
      <w:r>
        <w:rPr>
          <w:rFonts w:ascii="宋体" w:eastAsia="宋体" w:hAnsi="宋体" w:cs="Times New Roman" w:hint="eastAsia"/>
          <w:kern w:val="2"/>
          <w:sz w:val="21"/>
          <w:szCs w:val="21"/>
          <w:lang w:eastAsia="zh-CN"/>
        </w:rPr>
        <w:t xml:space="preserve"> 中标供应商的投标文件有效期，截止于完成本招标文件规定的全部项目内容，并通过竣工验收及保修期结束。</w:t>
      </w:r>
    </w:p>
    <w:bookmarkEnd w:id="71"/>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21．</w:t>
      </w:r>
      <w:bookmarkStart w:id="72" w:name="_Hlk72402325"/>
      <w:r>
        <w:rPr>
          <w:rFonts w:ascii="黑体" w:eastAsia="黑体" w:hAnsi="宋体" w:cs="Times New Roman" w:hint="eastAsia"/>
          <w:kern w:val="2"/>
          <w:szCs w:val="22"/>
          <w:lang w:eastAsia="zh-CN"/>
        </w:rPr>
        <w:t xml:space="preserve">关于投标保证金 </w:t>
      </w:r>
    </w:p>
    <w:p>
      <w:pPr>
        <w:widowControl w:val="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 xml:space="preserve">    21.1</w:t>
      </w:r>
      <w:r>
        <w:rPr>
          <w:rFonts w:ascii="Calibri" w:eastAsia="宋体" w:hAnsi="Calibri" w:cs="Times New Roman" w:hint="eastAsia"/>
          <w:kern w:val="2"/>
          <w:sz w:val="21"/>
          <w:szCs w:val="22"/>
          <w:lang w:eastAsia="zh-CN"/>
        </w:rPr>
        <w:t>根据《深圳市财政局关于调整政府采购投标（响应）保证金管理政策的通知》（深财购〔2021〕51号）文的规定，本项目不收取投标保证金。</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22．投标人的替代方案</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72"/>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23．</w:t>
      </w:r>
      <w:bookmarkStart w:id="73" w:name="_Hlk72402860"/>
      <w:r>
        <w:rPr>
          <w:rFonts w:ascii="黑体" w:eastAsia="黑体" w:hAnsi="宋体" w:cs="Times New Roman"/>
          <w:kern w:val="2"/>
          <w:szCs w:val="22"/>
          <w:lang w:eastAsia="zh-CN"/>
        </w:rPr>
        <w:t>投标文件的</w:t>
      </w:r>
      <w:r>
        <w:rPr>
          <w:rFonts w:ascii="黑体" w:eastAsia="黑体" w:hAnsi="宋体" w:cs="Times New Roman" w:hint="eastAsia"/>
          <w:kern w:val="2"/>
          <w:szCs w:val="22"/>
          <w:lang w:eastAsia="zh-CN"/>
        </w:rPr>
        <w:t>制作</w:t>
      </w:r>
      <w:r>
        <w:rPr>
          <w:rFonts w:ascii="黑体" w:eastAsia="黑体" w:hAnsi="宋体" w:cs="Times New Roman"/>
          <w:kern w:val="2"/>
          <w:szCs w:val="22"/>
          <w:lang w:eastAsia="zh-CN"/>
        </w:rPr>
        <w:t>要求</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23.1投标人应准备所投项目的电子投标文件一份。</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23.2投标人在使用《投标书编制软件》编制投标书时须注意：</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23.2.1导入《投标书编制软件》的招标文件项目编号、包号应与以此制作的投标文件项目编号、包号一致。例如，不能将甲项目A包的招标书导入《投标书编制软件》，制作乙项目B包的投标书。</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23.2.2不能用非本公司的电子密钥加密本公司的投标文件，或者用其它公司的登录用户上传本公司的投标文件。</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23.2.3要求用《投标书编制软件》编制投标书的包，不能用其它方式编制投标书。编制投标文件时，电脑须连通互联网。</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23.2.4投标文件不能带病毒。政府集中采购机构将用专业杀毒软件对投标文件进行病毒检测，如果这两种软件均报告发现病毒，则政府集中采购机构认为该投标文件带病毒。</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23.2.6投标人在编辑投标文件时，</w:t>
      </w:r>
      <w:r>
        <w:rPr>
          <w:rFonts w:ascii="宋体" w:eastAsia="宋体" w:hAnsi="宋体" w:cs="Times New Roman" w:hint="eastAsia"/>
          <w:b/>
          <w:kern w:val="2"/>
          <w:sz w:val="21"/>
          <w:szCs w:val="22"/>
          <w:lang w:eastAsia="zh-CN"/>
        </w:rPr>
        <w:t>在投标文件目录中属于本节点内容的必须在本节点中填写，填写到其他节点或附件，</w:t>
      </w:r>
      <w:r>
        <w:rPr>
          <w:rFonts w:ascii="宋体" w:eastAsia="宋体" w:hAnsi="宋体" w:cs="Times New Roman" w:hint="eastAsia"/>
          <w:kern w:val="2"/>
          <w:sz w:val="21"/>
          <w:szCs w:val="22"/>
          <w:lang w:eastAsia="zh-CN"/>
        </w:rPr>
        <w:t>一切后果由供应商自行承担。</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23.2.7投标文件编写完成后，</w:t>
      </w:r>
      <w:r>
        <w:rPr>
          <w:rFonts w:ascii="宋体" w:eastAsia="宋体" w:hAnsi="宋体" w:cs="Times New Roman" w:hint="eastAsia"/>
          <w:b/>
          <w:kern w:val="2"/>
          <w:sz w:val="21"/>
          <w:szCs w:val="22"/>
          <w:lang w:eastAsia="zh-CN"/>
        </w:rPr>
        <w:t>必须用属于投标人的电子密钥或电子营业执照进行加密，否则视同未盖公章，将导致投标文件无效。</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23.2.9如果开标时出现网络故障、技术故障，影响了政府采购活动，政府集中采购机构有权采取措施如延期、接受无法从网上上传的投标书等，以保障政府采购活动的公开、公平和公正。</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23.3电报、电话、传真形式的投标概不接受。</w:t>
      </w:r>
    </w:p>
    <w:p>
      <w:pPr>
        <w:widowControl w:val="0"/>
        <w:ind w:firstLine="412" w:firstLineChars="196"/>
        <w:jc w:val="both"/>
        <w:rPr>
          <w:rFonts w:ascii="宋体" w:eastAsia="宋体" w:hAnsi="宋体" w:hint="eastAsia"/>
          <w:b/>
          <w:kern w:val="2"/>
          <w:sz w:val="21"/>
          <w:szCs w:val="22"/>
          <w:lang w:eastAsia="zh-CN"/>
        </w:rPr>
      </w:pPr>
      <w:r>
        <w:rPr>
          <w:rFonts w:ascii="宋体" w:eastAsia="宋体" w:hAnsi="宋体" w:cs="Times New Roman" w:hint="eastAsia"/>
          <w:b/>
          <w:kern w:val="2"/>
          <w:sz w:val="21"/>
          <w:szCs w:val="22"/>
          <w:lang w:eastAsia="zh-CN"/>
        </w:rPr>
        <w:t>23.4经投标人电子密钥或电子营业执照加密的投标文件无须盖章或签字，</w:t>
      </w:r>
      <w:r>
        <w:rPr>
          <w:rFonts w:ascii="宋体" w:eastAsia="宋体" w:hAnsi="宋体" w:cs="Times New Roman" w:hint="eastAsia"/>
          <w:kern w:val="2"/>
          <w:sz w:val="21"/>
          <w:szCs w:val="22"/>
          <w:lang w:eastAsia="zh-CN"/>
        </w:rPr>
        <w:t>专用条款另有要求的除外。</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b/>
          <w:kern w:val="2"/>
          <w:sz w:val="21"/>
          <w:szCs w:val="22"/>
          <w:lang w:eastAsia="zh-CN"/>
        </w:rPr>
        <w:t>23.5</w:t>
      </w:r>
      <w:r>
        <w:rPr>
          <w:rFonts w:ascii="宋体" w:eastAsia="宋体" w:hAnsi="宋体" w:cs="Times New Roman" w:hint="eastAsia"/>
          <w:kern w:val="2"/>
          <w:sz w:val="21"/>
          <w:szCs w:val="22"/>
          <w:lang w:eastAsia="zh-CN"/>
        </w:rPr>
        <w:t xml:space="preserve"> 各类资格（资质）文件提供扫描件，专用条款另有要求的除外。</w:t>
      </w:r>
      <w:bookmarkEnd w:id="73"/>
    </w:p>
    <w:p>
      <w:pPr>
        <w:widowControl w:val="0"/>
        <w:ind w:firstLine="412" w:firstLineChars="196"/>
        <w:jc w:val="both"/>
        <w:rPr>
          <w:rFonts w:ascii="宋体" w:eastAsia="宋体" w:hAnsi="宋体" w:hint="eastAsia"/>
          <w:kern w:val="2"/>
          <w:sz w:val="21"/>
          <w:szCs w:val="21"/>
          <w:lang w:eastAsia="zh-CN"/>
        </w:rPr>
      </w:pPr>
    </w:p>
    <w:p>
      <w:pPr>
        <w:keepNext/>
        <w:keepLines/>
        <w:widowControl w:val="0"/>
        <w:numPr>
          <w:ilvl w:val="0"/>
          <w:numId w:val="7"/>
        </w:numPr>
        <w:spacing w:before="120" w:beforeLines="50" w:after="120" w:afterLines="50" w:line="416" w:lineRule="auto"/>
        <w:ind w:left="562" w:hanging="562"/>
        <w:jc w:val="both"/>
        <w:outlineLvl w:val="1"/>
        <w:rPr>
          <w:rFonts w:ascii="Cambria" w:eastAsia="宋体" w:hAnsi="Cambria"/>
          <w:b/>
          <w:bCs/>
          <w:kern w:val="2"/>
          <w:sz w:val="28"/>
          <w:szCs w:val="28"/>
          <w:lang w:eastAsia="zh-CN"/>
        </w:rPr>
      </w:pPr>
      <w:r>
        <w:rPr>
          <w:rFonts w:ascii="Cambria" w:eastAsia="宋体" w:hAnsi="Cambria" w:cs="Times New Roman" w:hint="eastAsia"/>
          <w:b/>
          <w:bCs/>
          <w:kern w:val="2"/>
          <w:sz w:val="28"/>
          <w:szCs w:val="28"/>
          <w:lang w:eastAsia="zh-CN"/>
        </w:rPr>
        <w:t>投标文件的递交</w:t>
      </w:r>
    </w:p>
    <w:p>
      <w:pPr>
        <w:widowControl w:val="0"/>
        <w:jc w:val="both"/>
        <w:rPr>
          <w:rFonts w:ascii="黑体" w:eastAsia="黑体" w:hAnsi="宋体" w:hint="eastAsia"/>
          <w:kern w:val="2"/>
          <w:szCs w:val="22"/>
          <w:lang w:eastAsia="zh-CN"/>
        </w:rPr>
      </w:pPr>
      <w:bookmarkStart w:id="74" w:name="_Hlk72405459"/>
      <w:r>
        <w:rPr>
          <w:rFonts w:ascii="黑体" w:eastAsia="黑体" w:hAnsi="宋体" w:cs="Times New Roman" w:hint="eastAsia"/>
          <w:kern w:val="2"/>
          <w:szCs w:val="22"/>
          <w:lang w:eastAsia="zh-CN"/>
        </w:rPr>
        <w:t>24．投标文件的保密</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24.1在投标文件制作完成后，生成后会选择是否加密投标文件，如不加密则直接点击生成文件即可，如需加密请插入CA锁，点击加密后生成文件，需输入CA锁密码即可加密成功。加密后会提示文件生成成功！</w:t>
      </w:r>
      <w:r>
        <w:rPr>
          <w:rFonts w:ascii="宋体" w:eastAsia="宋体" w:hAnsi="宋体" w:cs="Times New Roman" w:hint="eastAsia"/>
          <w:kern w:val="2"/>
          <w:sz w:val="21"/>
          <w:szCs w:val="22"/>
          <w:highlight w:val="yellow"/>
          <w:lang w:eastAsia="zh-CN"/>
        </w:rPr>
        <w:t>(注意：加密的投标文件开标时须使用加密文件时使用的锁在项目规定时间内解密！)</w:t>
      </w:r>
    </w:p>
    <w:p>
      <w:pPr>
        <w:widowControl w:val="0"/>
        <w:jc w:val="both"/>
        <w:rPr>
          <w:rFonts w:ascii="宋体" w:eastAsia="宋体" w:hAnsi="宋体" w:hint="eastAsia"/>
          <w:b/>
          <w:kern w:val="2"/>
          <w:sz w:val="21"/>
          <w:szCs w:val="22"/>
          <w:lang w:eastAsia="zh-CN"/>
        </w:rPr>
      </w:pPr>
      <w:r>
        <w:rPr>
          <w:rFonts w:ascii="宋体" w:eastAsia="宋体" w:hAnsi="宋体" w:cs="Times New Roman" w:hint="eastAsia"/>
          <w:b/>
          <w:kern w:val="2"/>
          <w:sz w:val="21"/>
          <w:szCs w:val="22"/>
          <w:lang w:eastAsia="zh-CN"/>
        </w:rPr>
        <w:t>24.2若采购项目出现延期情况：</w:t>
      </w:r>
    </w:p>
    <w:p>
      <w:pPr>
        <w:widowControl w:val="0"/>
        <w:ind w:firstLine="420" w:firstLineChars="200"/>
        <w:jc w:val="both"/>
        <w:rPr>
          <w:rFonts w:ascii="黑体" w:eastAsia="黑体" w:hAnsi="宋体" w:hint="eastAsia"/>
          <w:b/>
          <w:kern w:val="2"/>
          <w:szCs w:val="22"/>
          <w:lang w:eastAsia="zh-CN"/>
        </w:rPr>
      </w:pPr>
      <w:r>
        <w:rPr>
          <w:rFonts w:ascii="宋体" w:eastAsia="宋体" w:hAnsi="宋体" w:cs="Times New Roman" w:hint="eastAsia"/>
          <w:b/>
          <w:kern w:val="2"/>
          <w:sz w:val="21"/>
          <w:szCs w:val="22"/>
          <w:lang w:eastAsia="zh-CN"/>
        </w:rPr>
        <w:t>如果供下载的招标文件有更新，投标人必须重新下载招标文件、重新制作投标文件、重新加密投标文件、重新上传投标文件。</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25．上传投标文件及投标截止日期</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25</w:t>
      </w:r>
      <w:r>
        <w:rPr>
          <w:rFonts w:ascii="宋体" w:eastAsia="宋体" w:hAnsi="宋体" w:cs="Times New Roman"/>
          <w:kern w:val="2"/>
          <w:sz w:val="21"/>
          <w:szCs w:val="22"/>
          <w:lang w:eastAsia="zh-CN"/>
        </w:rPr>
        <w:t>.</w:t>
      </w:r>
      <w:r>
        <w:rPr>
          <w:rFonts w:ascii="宋体" w:eastAsia="宋体" w:hAnsi="宋体" w:cs="Times New Roman" w:hint="eastAsia"/>
          <w:kern w:val="2"/>
          <w:sz w:val="21"/>
          <w:szCs w:val="22"/>
          <w:lang w:eastAsia="zh-CN"/>
        </w:rPr>
        <w:t>1实行网上投标，</w:t>
      </w:r>
      <w:r>
        <w:rPr>
          <w:rFonts w:ascii="宋体" w:eastAsia="宋体" w:hAnsi="宋体" w:cs="Times New Roman"/>
          <w:kern w:val="2"/>
          <w:sz w:val="21"/>
          <w:szCs w:val="22"/>
          <w:lang w:eastAsia="zh-CN"/>
        </w:rPr>
        <w:t>投标人必须</w:t>
      </w:r>
      <w:r>
        <w:rPr>
          <w:rFonts w:ascii="宋体" w:eastAsia="宋体" w:hAnsi="宋体" w:cs="Times New Roman" w:hint="eastAsia"/>
          <w:kern w:val="2"/>
          <w:sz w:val="21"/>
          <w:szCs w:val="22"/>
          <w:lang w:eastAsia="zh-CN"/>
        </w:rPr>
        <w:t>在招标</w:t>
      </w:r>
      <w:r>
        <w:rPr>
          <w:rFonts w:ascii="宋体" w:eastAsia="宋体" w:hAnsi="宋体" w:cs="Times New Roman"/>
          <w:kern w:val="2"/>
          <w:sz w:val="21"/>
          <w:szCs w:val="22"/>
          <w:lang w:eastAsia="zh-CN"/>
        </w:rPr>
        <w:t>文件规定的投标截止时间前</w:t>
      </w:r>
      <w:r>
        <w:rPr>
          <w:rFonts w:ascii="宋体" w:eastAsia="宋体" w:hAnsi="宋体" w:cs="Times New Roman" w:hint="eastAsia"/>
          <w:kern w:val="2"/>
          <w:sz w:val="21"/>
          <w:szCs w:val="22"/>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eastAsia="宋体" w:hAnsi="宋体" w:cs="Times New Roman" w:hint="eastAsia"/>
          <w:b/>
          <w:bCs/>
          <w:kern w:val="2"/>
          <w:sz w:val="21"/>
          <w:szCs w:val="21"/>
          <w:lang w:eastAsia="zh-CN"/>
        </w:rPr>
        <w:t>深圳公共资源交易中心（深圳交易集团有限公司龙华分公司）（地址：深圳市龙华区观湖街道大和社区大和路288号宝观城锦鲤大厦办公楼22楼）协助上传，但上传过程中投标截止时间到达仍无法上传成功的，由投标人自行负责</w:t>
      </w:r>
      <w:r>
        <w:rPr>
          <w:rFonts w:ascii="宋体" w:eastAsia="宋体" w:hAnsi="宋体" w:cs="Times New Roman" w:hint="eastAsia"/>
          <w:kern w:val="2"/>
          <w:sz w:val="21"/>
          <w:szCs w:val="22"/>
          <w:lang w:eastAsia="zh-CN"/>
        </w:rPr>
        <w:t>。</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25</w:t>
      </w:r>
      <w:r>
        <w:rPr>
          <w:rFonts w:ascii="宋体" w:eastAsia="宋体" w:hAnsi="宋体" w:cs="Times New Roman"/>
          <w:kern w:val="2"/>
          <w:sz w:val="21"/>
          <w:szCs w:val="22"/>
          <w:lang w:eastAsia="zh-CN"/>
        </w:rPr>
        <w:t>.</w:t>
      </w:r>
      <w:r>
        <w:rPr>
          <w:rFonts w:ascii="宋体" w:eastAsia="宋体" w:hAnsi="宋体" w:cs="Times New Roman" w:hint="eastAsia"/>
          <w:kern w:val="2"/>
          <w:sz w:val="21"/>
          <w:szCs w:val="22"/>
          <w:lang w:eastAsia="zh-CN"/>
        </w:rPr>
        <w:t>3投标截止时间以后不得上传投标文件。</w:t>
      </w:r>
    </w:p>
    <w:p>
      <w:pPr>
        <w:widowControl w:val="0"/>
        <w:ind w:firstLine="412" w:firstLineChars="196"/>
        <w:jc w:val="both"/>
        <w:rPr>
          <w:rFonts w:ascii="宋体" w:eastAsia="宋体" w:hAnsi="宋体" w:hint="eastAsia"/>
          <w:kern w:val="2"/>
          <w:sz w:val="21"/>
          <w:szCs w:val="22"/>
          <w:lang w:eastAsia="zh-CN"/>
        </w:rPr>
      </w:pPr>
    </w:p>
    <w:p>
      <w:pPr>
        <w:widowControl w:val="0"/>
        <w:ind w:firstLine="412" w:firstLineChars="196"/>
        <w:jc w:val="both"/>
        <w:rPr>
          <w:rFonts w:ascii="宋体" w:eastAsia="宋体" w:hAnsi="宋体" w:hint="eastAsia"/>
          <w:kern w:val="2"/>
          <w:sz w:val="21"/>
          <w:szCs w:val="22"/>
          <w:lang w:eastAsia="zh-CN"/>
        </w:rPr>
      </w:pPr>
    </w:p>
    <w:bookmarkEnd w:id="74"/>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26. 样品、现场演示、方案讲解</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26.1 样品、现场演示、方案讲解等事项在招标文件专用条款中进行规定。</w:t>
      </w:r>
    </w:p>
    <w:p>
      <w:pPr>
        <w:widowControl w:val="0"/>
        <w:jc w:val="both"/>
        <w:rPr>
          <w:rFonts w:ascii="黑体" w:eastAsia="黑体" w:hAnsi="宋体" w:hint="eastAsia"/>
          <w:kern w:val="2"/>
          <w:szCs w:val="22"/>
          <w:lang w:eastAsia="zh-CN"/>
        </w:rPr>
      </w:pPr>
      <w:bookmarkStart w:id="75" w:name="_Hlk72428346"/>
      <w:r>
        <w:rPr>
          <w:rFonts w:ascii="黑体" w:eastAsia="黑体" w:hAnsi="宋体" w:cs="Times New Roman"/>
          <w:kern w:val="2"/>
          <w:szCs w:val="22"/>
          <w:lang w:eastAsia="zh-CN"/>
        </w:rPr>
        <w:t>2</w:t>
      </w:r>
      <w:r>
        <w:rPr>
          <w:rFonts w:ascii="黑体" w:eastAsia="黑体" w:hAnsi="宋体" w:cs="Times New Roman" w:hint="eastAsia"/>
          <w:kern w:val="2"/>
          <w:szCs w:val="22"/>
          <w:lang w:eastAsia="zh-CN"/>
        </w:rPr>
        <w:t>7．</w:t>
      </w:r>
      <w:r>
        <w:rPr>
          <w:rFonts w:ascii="黑体" w:eastAsia="黑体" w:hAnsi="宋体" w:cs="Times New Roman"/>
          <w:kern w:val="2"/>
          <w:szCs w:val="22"/>
          <w:lang w:eastAsia="zh-CN"/>
        </w:rPr>
        <w:t>投标文件的修改和撤销</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kern w:val="2"/>
          <w:sz w:val="21"/>
          <w:szCs w:val="22"/>
          <w:lang w:eastAsia="zh-CN"/>
        </w:rPr>
        <w:t>2</w:t>
      </w:r>
      <w:r>
        <w:rPr>
          <w:rFonts w:ascii="宋体" w:eastAsia="宋体" w:hAnsi="宋体" w:cs="Times New Roman" w:hint="eastAsia"/>
          <w:kern w:val="2"/>
          <w:sz w:val="21"/>
          <w:szCs w:val="22"/>
          <w:lang w:eastAsia="zh-CN"/>
        </w:rPr>
        <w:t>7</w:t>
      </w:r>
      <w:r>
        <w:rPr>
          <w:rFonts w:ascii="宋体" w:eastAsia="宋体" w:hAnsi="宋体" w:cs="Times New Roman"/>
          <w:kern w:val="2"/>
          <w:sz w:val="21"/>
          <w:szCs w:val="22"/>
          <w:lang w:eastAsia="zh-CN"/>
        </w:rPr>
        <w:t>.</w:t>
      </w:r>
      <w:r>
        <w:rPr>
          <w:rFonts w:ascii="宋体" w:eastAsia="宋体" w:hAnsi="宋体" w:cs="Times New Roman" w:hint="eastAsia"/>
          <w:kern w:val="2"/>
          <w:sz w:val="21"/>
          <w:szCs w:val="22"/>
          <w:lang w:eastAsia="zh-CN"/>
        </w:rPr>
        <w:t>1</w:t>
      </w:r>
      <w:r>
        <w:rPr>
          <w:rFonts w:ascii="宋体" w:eastAsia="宋体" w:hAnsi="宋体" w:cs="Times New Roman"/>
          <w:kern w:val="2"/>
          <w:sz w:val="21"/>
          <w:szCs w:val="22"/>
          <w:lang w:eastAsia="zh-CN"/>
        </w:rPr>
        <w:t>投标方在提交投标文件后可对其投标文件进行修改</w:t>
      </w:r>
      <w:r>
        <w:rPr>
          <w:rFonts w:ascii="宋体" w:eastAsia="宋体" w:hAnsi="宋体" w:cs="Times New Roman" w:hint="eastAsia"/>
          <w:kern w:val="2"/>
          <w:sz w:val="21"/>
          <w:szCs w:val="22"/>
          <w:lang w:eastAsia="zh-CN"/>
        </w:rPr>
        <w:t>并重新上传投标文件</w:t>
      </w:r>
      <w:r>
        <w:rPr>
          <w:rFonts w:ascii="宋体" w:eastAsia="宋体" w:hAnsi="宋体" w:cs="Times New Roman"/>
          <w:kern w:val="2"/>
          <w:sz w:val="21"/>
          <w:szCs w:val="22"/>
          <w:lang w:eastAsia="zh-CN"/>
        </w:rPr>
        <w:t>或</w:t>
      </w:r>
      <w:r>
        <w:rPr>
          <w:rFonts w:ascii="宋体" w:eastAsia="宋体" w:hAnsi="宋体" w:cs="Times New Roman" w:hint="eastAsia"/>
          <w:kern w:val="2"/>
          <w:sz w:val="21"/>
          <w:szCs w:val="22"/>
          <w:lang w:eastAsia="zh-CN"/>
        </w:rPr>
        <w:t>在网上进行</w:t>
      </w:r>
      <w:r>
        <w:rPr>
          <w:rFonts w:ascii="宋体" w:eastAsia="宋体" w:hAnsi="宋体" w:cs="Times New Roman"/>
          <w:kern w:val="2"/>
          <w:sz w:val="21"/>
          <w:szCs w:val="22"/>
          <w:lang w:eastAsia="zh-CN"/>
        </w:rPr>
        <w:t>撤销</w:t>
      </w:r>
      <w:r>
        <w:rPr>
          <w:rFonts w:ascii="宋体" w:eastAsia="宋体" w:hAnsi="宋体" w:cs="Times New Roman" w:hint="eastAsia"/>
          <w:kern w:val="2"/>
          <w:sz w:val="21"/>
          <w:szCs w:val="22"/>
          <w:lang w:eastAsia="zh-CN"/>
        </w:rPr>
        <w:t>投标的操作</w:t>
      </w:r>
      <w:r>
        <w:rPr>
          <w:rFonts w:ascii="宋体" w:eastAsia="宋体" w:hAnsi="宋体" w:cs="Times New Roman"/>
          <w:kern w:val="2"/>
          <w:sz w:val="21"/>
          <w:szCs w:val="22"/>
          <w:lang w:eastAsia="zh-CN"/>
        </w:rPr>
        <w:t>。</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kern w:val="2"/>
          <w:sz w:val="21"/>
          <w:szCs w:val="22"/>
          <w:lang w:eastAsia="zh-CN"/>
        </w:rPr>
        <w:t>2</w:t>
      </w:r>
      <w:r>
        <w:rPr>
          <w:rFonts w:ascii="宋体" w:eastAsia="宋体" w:hAnsi="宋体" w:cs="Times New Roman" w:hint="eastAsia"/>
          <w:kern w:val="2"/>
          <w:sz w:val="21"/>
          <w:szCs w:val="22"/>
          <w:lang w:eastAsia="zh-CN"/>
        </w:rPr>
        <w:t>7</w:t>
      </w:r>
      <w:r>
        <w:rPr>
          <w:rFonts w:ascii="宋体" w:eastAsia="宋体" w:hAnsi="宋体" w:cs="Times New Roman"/>
          <w:kern w:val="2"/>
          <w:sz w:val="21"/>
          <w:szCs w:val="22"/>
          <w:lang w:eastAsia="zh-CN"/>
        </w:rPr>
        <w:t>.</w:t>
      </w:r>
      <w:r>
        <w:rPr>
          <w:rFonts w:ascii="宋体" w:eastAsia="宋体" w:hAnsi="宋体" w:cs="Times New Roman" w:hint="eastAsia"/>
          <w:kern w:val="2"/>
          <w:sz w:val="21"/>
          <w:szCs w:val="22"/>
          <w:lang w:eastAsia="zh-CN"/>
        </w:rPr>
        <w:t>2</w:t>
      </w:r>
      <w:r>
        <w:rPr>
          <w:rFonts w:ascii="宋体" w:eastAsia="宋体" w:hAnsi="宋体" w:cs="Times New Roman"/>
          <w:kern w:val="2"/>
          <w:sz w:val="21"/>
          <w:szCs w:val="22"/>
          <w:lang w:eastAsia="zh-CN"/>
        </w:rPr>
        <w:t>投标截止时间以后不得修改投标文件。</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kern w:val="2"/>
          <w:sz w:val="21"/>
          <w:szCs w:val="22"/>
          <w:lang w:eastAsia="zh-CN"/>
        </w:rPr>
        <w:t>2</w:t>
      </w:r>
      <w:r>
        <w:rPr>
          <w:rFonts w:ascii="宋体" w:eastAsia="宋体" w:hAnsi="宋体" w:cs="Times New Roman" w:hint="eastAsia"/>
          <w:kern w:val="2"/>
          <w:sz w:val="21"/>
          <w:szCs w:val="22"/>
          <w:lang w:eastAsia="zh-CN"/>
        </w:rPr>
        <w:t>7</w:t>
      </w:r>
      <w:r>
        <w:rPr>
          <w:rFonts w:ascii="宋体" w:eastAsia="宋体" w:hAnsi="宋体" w:cs="Times New Roman"/>
          <w:kern w:val="2"/>
          <w:sz w:val="21"/>
          <w:szCs w:val="22"/>
          <w:lang w:eastAsia="zh-CN"/>
        </w:rPr>
        <w:t>.</w:t>
      </w:r>
      <w:r>
        <w:rPr>
          <w:rFonts w:ascii="宋体" w:eastAsia="宋体" w:hAnsi="宋体" w:cs="Times New Roman" w:hint="eastAsia"/>
          <w:kern w:val="2"/>
          <w:sz w:val="21"/>
          <w:szCs w:val="22"/>
          <w:lang w:eastAsia="zh-CN"/>
        </w:rPr>
        <w:t>3从投标截止期至投标人在投标文件中确定的投标有效期之间的这段时间内，投标人不得撤回其投标。</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27.4政府集中采购机构不退还投标文件，专用条款另有规定的除外。</w:t>
      </w:r>
    </w:p>
    <w:bookmarkEnd w:id="75"/>
    <w:p>
      <w:pPr>
        <w:keepNext/>
        <w:keepLines/>
        <w:widowControl w:val="0"/>
        <w:numPr>
          <w:ilvl w:val="0"/>
          <w:numId w:val="7"/>
        </w:numPr>
        <w:spacing w:before="120" w:beforeLines="50" w:after="120" w:afterLines="50" w:line="416" w:lineRule="auto"/>
        <w:ind w:left="562" w:hanging="562"/>
        <w:jc w:val="both"/>
        <w:outlineLvl w:val="1"/>
        <w:rPr>
          <w:rFonts w:ascii="Cambria" w:eastAsia="宋体" w:hAnsi="Cambria"/>
          <w:b/>
          <w:bCs/>
          <w:kern w:val="2"/>
          <w:sz w:val="28"/>
          <w:szCs w:val="28"/>
          <w:lang w:eastAsia="zh-CN"/>
        </w:rPr>
      </w:pPr>
      <w:r>
        <w:rPr>
          <w:rFonts w:ascii="Cambria" w:eastAsia="宋体" w:hAnsi="Cambria" w:cs="Times New Roman" w:hint="eastAsia"/>
          <w:b/>
          <w:bCs/>
          <w:kern w:val="2"/>
          <w:sz w:val="28"/>
          <w:szCs w:val="28"/>
          <w:lang w:eastAsia="zh-CN"/>
        </w:rPr>
        <w:t>开标</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28．开标</w:t>
      </w:r>
    </w:p>
    <w:p>
      <w:pPr>
        <w:widowControl w:val="0"/>
        <w:ind w:firstLine="359" w:firstLineChars="171"/>
        <w:jc w:val="both"/>
        <w:rPr>
          <w:rFonts w:ascii="宋体" w:eastAsia="宋体" w:hAnsi="宋体" w:hint="eastAsia"/>
          <w:kern w:val="2"/>
          <w:sz w:val="21"/>
          <w:szCs w:val="21"/>
          <w:lang w:eastAsia="zh-CN"/>
        </w:rPr>
      </w:pPr>
      <w:r>
        <w:rPr>
          <w:rFonts w:ascii="宋体" w:eastAsia="宋体" w:hAnsi="宋体" w:cs="Times New Roman"/>
          <w:kern w:val="2"/>
          <w:sz w:val="21"/>
          <w:szCs w:val="21"/>
          <w:lang w:eastAsia="zh-CN"/>
        </w:rPr>
        <w:t>2</w:t>
      </w:r>
      <w:r>
        <w:rPr>
          <w:rFonts w:ascii="宋体" w:eastAsia="宋体" w:hAnsi="宋体" w:cs="Times New Roman" w:hint="eastAsia"/>
          <w:kern w:val="2"/>
          <w:sz w:val="21"/>
          <w:szCs w:val="21"/>
          <w:lang w:eastAsia="zh-CN"/>
        </w:rPr>
        <w:t>8</w:t>
      </w:r>
      <w:r>
        <w:rPr>
          <w:rFonts w:ascii="宋体" w:eastAsia="宋体" w:hAnsi="宋体" w:cs="Times New Roman"/>
          <w:kern w:val="2"/>
          <w:sz w:val="21"/>
          <w:szCs w:val="21"/>
          <w:lang w:eastAsia="zh-CN"/>
        </w:rPr>
        <w:t>.</w:t>
      </w:r>
      <w:r>
        <w:rPr>
          <w:rFonts w:ascii="宋体" w:eastAsia="宋体" w:hAnsi="宋体" w:cs="Times New Roman" w:hint="eastAsia"/>
          <w:kern w:val="2"/>
          <w:sz w:val="21"/>
          <w:szCs w:val="21"/>
          <w:lang w:eastAsia="zh-CN"/>
        </w:rPr>
        <w:t>1投标人须在开标当日的开标时间至解密截止时间内进行解密，逾期未解密的作无效处理。解密方法：登录“</w:t>
      </w:r>
      <w:r>
        <w:rPr>
          <w:rFonts w:ascii="宋体" w:eastAsia="宋体" w:hAnsi="宋体" w:cs="Times New Roman" w:hint="eastAsia"/>
          <w:kern w:val="2"/>
          <w:sz w:val="21"/>
          <w:szCs w:val="22"/>
          <w:lang w:eastAsia="zh-CN"/>
        </w:rPr>
        <w:t>深圳政府采购自行采购系统（https://trade.szggzy.com/ggzy/center/#/login）</w:t>
      </w:r>
      <w:r>
        <w:rPr>
          <w:rFonts w:ascii="宋体" w:eastAsia="宋体" w:hAnsi="宋体" w:cs="Times New Roman" w:hint="eastAsia"/>
          <w:kern w:val="2"/>
          <w:sz w:val="21"/>
          <w:szCs w:val="21"/>
          <w:lang w:eastAsia="zh-CN"/>
        </w:rPr>
        <w:t>”，使用本单位制作电子投标文件同一个电子密钥进行在线解密、查询开标情况。</w:t>
      </w:r>
    </w:p>
    <w:p>
      <w:pPr>
        <w:widowControl w:val="0"/>
        <w:ind w:firstLine="315" w:firstLineChars="15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widowControl w:val="0"/>
        <w:ind w:firstLine="315" w:firstLineChars="150"/>
        <w:jc w:val="both"/>
        <w:rPr>
          <w:rFonts w:ascii="宋体" w:eastAsia="宋体" w:hAnsi="宋体" w:hint="eastAsia"/>
          <w:kern w:val="2"/>
          <w:sz w:val="21"/>
          <w:szCs w:val="21"/>
          <w:lang w:eastAsia="zh-CN"/>
        </w:rPr>
      </w:pPr>
    </w:p>
    <w:p>
      <w:pPr>
        <w:keepNext/>
        <w:keepLines/>
        <w:widowControl w:val="0"/>
        <w:numPr>
          <w:ilvl w:val="0"/>
          <w:numId w:val="7"/>
        </w:numPr>
        <w:spacing w:before="120" w:beforeLines="50" w:after="120" w:afterLines="50" w:line="416" w:lineRule="auto"/>
        <w:ind w:left="562" w:hanging="562"/>
        <w:jc w:val="both"/>
        <w:outlineLvl w:val="1"/>
        <w:rPr>
          <w:rFonts w:ascii="Cambria" w:eastAsia="宋体" w:hAnsi="Cambria"/>
          <w:b/>
          <w:bCs/>
          <w:kern w:val="2"/>
          <w:sz w:val="28"/>
          <w:szCs w:val="28"/>
          <w:lang w:eastAsia="zh-CN"/>
        </w:rPr>
      </w:pPr>
      <w:r>
        <w:rPr>
          <w:rFonts w:ascii="Cambria" w:eastAsia="宋体" w:hAnsi="Cambria" w:cs="Times New Roman" w:hint="eastAsia"/>
          <w:b/>
          <w:bCs/>
          <w:kern w:val="2"/>
          <w:sz w:val="28"/>
          <w:szCs w:val="28"/>
          <w:lang w:eastAsia="zh-CN"/>
        </w:rPr>
        <w:t>评审要求</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29．评审委员会组成</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29.1网上开标结束后召开评审会议，</w:t>
      </w:r>
      <w:r>
        <w:rPr>
          <w:rFonts w:ascii="宋体" w:eastAsia="宋体" w:hAnsi="宋体" w:cs="Times New Roman" w:hint="eastAsia"/>
          <w:kern w:val="2"/>
          <w:sz w:val="21"/>
          <w:szCs w:val="21"/>
          <w:lang w:eastAsia="zh-CN"/>
        </w:rPr>
        <w:t>评审委员会</w:t>
      </w:r>
      <w:r>
        <w:rPr>
          <w:rFonts w:ascii="宋体" w:eastAsia="宋体" w:hAnsi="宋体" w:cs="Times New Roman" w:hint="eastAsia"/>
          <w:kern w:val="2"/>
          <w:sz w:val="21"/>
          <w:szCs w:val="22"/>
          <w:lang w:eastAsia="zh-CN"/>
        </w:rPr>
        <w:t>由政府集中采购机构依法组建，负责评审活动。</w:t>
      </w:r>
    </w:p>
    <w:p>
      <w:pPr>
        <w:widowControl w:val="0"/>
        <w:ind w:firstLine="412" w:firstLineChars="196"/>
        <w:jc w:val="both"/>
        <w:rPr>
          <w:rFonts w:ascii="宋体" w:eastAsia="宋体" w:hAnsi="宋体" w:hint="eastAsia"/>
          <w:kern w:val="2"/>
          <w:sz w:val="21"/>
          <w:szCs w:val="22"/>
          <w:lang w:eastAsia="zh-CN"/>
        </w:rPr>
      </w:pPr>
      <w:bookmarkStart w:id="76" w:name="_Hlk72436580"/>
      <w:r>
        <w:rPr>
          <w:rFonts w:ascii="宋体" w:eastAsia="宋体" w:hAnsi="宋体" w:cs="Times New Roman" w:hint="eastAsia"/>
          <w:kern w:val="2"/>
          <w:sz w:val="21"/>
          <w:szCs w:val="22"/>
          <w:lang w:eastAsia="zh-CN"/>
        </w:rPr>
        <w:t>评审委员会由采购人代表和评审专家组成，成员人数应当为5人以上单数（部分条件下为7人以上单数），其中评审专家不得少于成员总数的三分之二。</w:t>
      </w:r>
      <w:bookmarkEnd w:id="76"/>
      <w:r>
        <w:rPr>
          <w:rFonts w:ascii="宋体" w:eastAsia="宋体" w:hAnsi="宋体" w:cs="Times New Roman" w:hint="eastAsia"/>
          <w:kern w:val="2"/>
          <w:sz w:val="21"/>
          <w:szCs w:val="22"/>
          <w:lang w:eastAsia="zh-CN"/>
        </w:rPr>
        <w:t>评定</w:t>
      </w:r>
      <w:r>
        <w:rPr>
          <w:rFonts w:ascii="Calibri" w:eastAsia="宋体" w:hAnsi="Calibri" w:cs="Times New Roman" w:hint="eastAsia"/>
          <w:kern w:val="2"/>
          <w:sz w:val="21"/>
          <w:szCs w:val="22"/>
          <w:lang w:eastAsia="zh-CN"/>
        </w:rPr>
        <w:t>分离项目</w:t>
      </w:r>
      <w:r>
        <w:rPr>
          <w:rFonts w:ascii="Calibri" w:eastAsia="宋体" w:hAnsi="Calibri" w:cs="Times New Roman"/>
          <w:kern w:val="2"/>
          <w:sz w:val="21"/>
          <w:szCs w:val="22"/>
          <w:lang w:eastAsia="zh-CN"/>
        </w:rPr>
        <w:t>评审专家</w:t>
      </w:r>
      <w:r>
        <w:rPr>
          <w:rFonts w:ascii="Calibri" w:eastAsia="宋体" w:hAnsi="Calibri" w:cs="Times New Roman" w:hint="eastAsia"/>
          <w:kern w:val="2"/>
          <w:sz w:val="21"/>
          <w:szCs w:val="22"/>
          <w:lang w:eastAsia="zh-CN"/>
        </w:rPr>
        <w:t>均</w:t>
      </w:r>
      <w:r>
        <w:rPr>
          <w:rFonts w:ascii="Calibri" w:eastAsia="宋体" w:hAnsi="Calibri" w:cs="Times New Roman"/>
          <w:kern w:val="2"/>
          <w:sz w:val="21"/>
          <w:szCs w:val="22"/>
          <w:lang w:eastAsia="zh-CN"/>
        </w:rPr>
        <w:t>由</w:t>
      </w:r>
      <w:r>
        <w:rPr>
          <w:rFonts w:ascii="Calibri" w:eastAsia="宋体" w:hAnsi="Calibri" w:cs="Times New Roman" w:hint="eastAsia"/>
          <w:kern w:val="2"/>
          <w:sz w:val="21"/>
          <w:szCs w:val="22"/>
          <w:lang w:eastAsia="zh-CN"/>
        </w:rPr>
        <w:t>评审专家组成。</w:t>
      </w:r>
      <w:r>
        <w:rPr>
          <w:rFonts w:ascii="宋体" w:eastAsia="宋体" w:hAnsi="宋体" w:cs="Times New Roman" w:hint="eastAsia"/>
          <w:kern w:val="2"/>
          <w:sz w:val="21"/>
          <w:szCs w:val="21"/>
          <w:lang w:eastAsia="zh-CN"/>
        </w:rPr>
        <w:t>评审专家一般是</w:t>
      </w:r>
      <w:r>
        <w:rPr>
          <w:rFonts w:ascii="宋体" w:eastAsia="宋体" w:hAnsi="宋体" w:cs="Times New Roman" w:hint="eastAsia"/>
          <w:kern w:val="2"/>
          <w:sz w:val="21"/>
          <w:szCs w:val="22"/>
          <w:lang w:eastAsia="zh-CN"/>
        </w:rPr>
        <w:t>从深圳市政府采购评审专家库中随机抽取。采购人代表须持本单位签发的《评审授权书》参加评审。</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29.2评审定标应当遵循公平、公正、科学、择优的原则。</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29.3评审活动依法进行，任何单位和个人不得非法干预评标过程和结果。</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29.4评审过程中不允许违背评标程序或采用招标文件未载明的评标方法或评标因素进行评标。</w:t>
      </w:r>
    </w:p>
    <w:p>
      <w:pPr>
        <w:widowControl w:val="0"/>
        <w:ind w:firstLine="412" w:firstLineChars="196"/>
        <w:jc w:val="both"/>
        <w:rPr>
          <w:rFonts w:ascii="宋体" w:eastAsia="宋体" w:hAnsi="宋体" w:hint="eastAsia"/>
          <w:bCs/>
          <w:kern w:val="2"/>
          <w:sz w:val="21"/>
          <w:szCs w:val="22"/>
          <w:lang w:eastAsia="zh-CN"/>
        </w:rPr>
      </w:pPr>
      <w:r>
        <w:rPr>
          <w:rFonts w:ascii="宋体" w:eastAsia="宋体" w:hAnsi="宋体" w:cs="Times New Roman" w:hint="eastAsia"/>
          <w:bCs/>
          <w:kern w:val="2"/>
          <w:sz w:val="21"/>
          <w:szCs w:val="22"/>
          <w:lang w:eastAsia="zh-CN"/>
        </w:rPr>
        <w:t>29.5 开标后，直到签订合同为止，凡属于对投标文件的审查、澄清、评价和比较的有关资料以及中标候选人的推荐情况、与评审有关的其他任何情况均严格保密（</w:t>
      </w:r>
      <w:r>
        <w:rPr>
          <w:rFonts w:ascii="Calibri" w:eastAsia="宋体" w:hAnsi="Calibri" w:cs="Times New Roman" w:hint="eastAsia"/>
          <w:kern w:val="2"/>
          <w:sz w:val="21"/>
          <w:szCs w:val="22"/>
          <w:lang w:eastAsia="zh-CN"/>
        </w:rPr>
        <w:t>信息公开的内容除外</w:t>
      </w:r>
      <w:r>
        <w:rPr>
          <w:rFonts w:ascii="宋体" w:eastAsia="宋体" w:hAnsi="宋体" w:cs="Times New Roman" w:hint="eastAsia"/>
          <w:bCs/>
          <w:kern w:val="2"/>
          <w:sz w:val="21"/>
          <w:szCs w:val="22"/>
          <w:lang w:eastAsia="zh-CN"/>
        </w:rPr>
        <w:t>）。</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30．向评审委员会提供的资料</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30.1公开发布的招标文件，包括图纸、服务清单、答疑文件等；</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30.2其他评标必须的资料。</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30.3</w:t>
      </w:r>
      <w:r>
        <w:rPr>
          <w:rFonts w:ascii="宋体" w:eastAsia="宋体" w:hAnsi="宋体" w:cs="Times New Roman" w:hint="eastAsia"/>
          <w:kern w:val="2"/>
          <w:sz w:val="21"/>
          <w:szCs w:val="21"/>
          <w:lang w:eastAsia="zh-CN"/>
        </w:rPr>
        <w:t>评审委员会</w:t>
      </w:r>
      <w:r>
        <w:rPr>
          <w:rFonts w:ascii="宋体" w:eastAsia="宋体" w:hAnsi="宋体" w:cs="Times New Roman" w:hint="eastAsia"/>
          <w:kern w:val="2"/>
          <w:sz w:val="21"/>
          <w:szCs w:val="22"/>
          <w:lang w:eastAsia="zh-CN"/>
        </w:rPr>
        <w:t>应当认真研究招标文件，至少应了解熟悉以下内容：</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（1）招标的目的；</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（2）招标项目需求的范围和性质；</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（3）招标文件规定的投标人的资格、财政预算限额、商务条款；</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（4）招标文件规定的评标程序、评标方法和评标因素；</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（5）招标文件所列示的资格性审查表及符合性审查表。</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31．独立评审</w:t>
      </w:r>
    </w:p>
    <w:p>
      <w:pPr>
        <w:widowControl w:val="0"/>
        <w:ind w:firstLine="412" w:firstLineChars="196"/>
        <w:jc w:val="both"/>
        <w:rPr>
          <w:rFonts w:ascii="宋体" w:eastAsia="宋体" w:hAnsi="宋体" w:hint="eastAsia"/>
          <w:bCs/>
          <w:kern w:val="2"/>
          <w:sz w:val="21"/>
          <w:szCs w:val="22"/>
          <w:lang w:eastAsia="zh-CN"/>
        </w:rPr>
      </w:pPr>
      <w:r>
        <w:rPr>
          <w:rFonts w:ascii="宋体" w:eastAsia="宋体" w:hAnsi="宋体" w:cs="Times New Roman" w:hint="eastAsia"/>
          <w:bCs/>
          <w:kern w:val="2"/>
          <w:sz w:val="21"/>
          <w:szCs w:val="22"/>
          <w:lang w:eastAsia="zh-CN"/>
        </w:rPr>
        <w:t>3</w:t>
      </w:r>
      <w:r>
        <w:rPr>
          <w:rFonts w:ascii="宋体" w:eastAsia="宋体" w:hAnsi="宋体" w:cs="Times New Roman"/>
          <w:bCs/>
          <w:kern w:val="2"/>
          <w:sz w:val="21"/>
          <w:szCs w:val="22"/>
          <w:lang w:eastAsia="zh-CN"/>
        </w:rPr>
        <w:t>1</w:t>
      </w:r>
      <w:r>
        <w:rPr>
          <w:rFonts w:ascii="宋体" w:eastAsia="宋体" w:hAnsi="宋体" w:cs="Times New Roman" w:hint="eastAsia"/>
          <w:bCs/>
          <w:kern w:val="2"/>
          <w:sz w:val="21"/>
          <w:szCs w:val="22"/>
          <w:lang w:eastAsia="zh-CN"/>
        </w:rPr>
        <w:t>.1</w:t>
      </w:r>
      <w:r>
        <w:rPr>
          <w:rFonts w:ascii="宋体" w:eastAsia="宋体" w:hAnsi="宋体" w:cs="Times New Roman" w:hint="eastAsia"/>
          <w:kern w:val="2"/>
          <w:sz w:val="21"/>
          <w:szCs w:val="21"/>
          <w:lang w:eastAsia="zh-CN"/>
        </w:rPr>
        <w:t>评审委员会</w:t>
      </w:r>
      <w:r>
        <w:rPr>
          <w:rFonts w:ascii="宋体" w:eastAsia="宋体" w:hAnsi="宋体" w:cs="Times New Roman" w:hint="eastAsia"/>
          <w:bCs/>
          <w:kern w:val="2"/>
          <w:sz w:val="21"/>
          <w:szCs w:val="22"/>
          <w:lang w:eastAsia="zh-CN"/>
        </w:rPr>
        <w:t>成员的评标活动应当独立进行，并应遵循投标文件初审、澄清有关问题、比较与评价、确定中标供应商、编写评审报告的工作程序。</w:t>
      </w:r>
    </w:p>
    <w:p>
      <w:pPr>
        <w:widowControl w:val="0"/>
        <w:ind w:firstLine="412" w:firstLineChars="196"/>
        <w:jc w:val="both"/>
        <w:rPr>
          <w:rFonts w:ascii="宋体" w:eastAsia="宋体" w:hAnsi="宋体" w:hint="eastAsia"/>
          <w:bCs/>
          <w:kern w:val="2"/>
          <w:sz w:val="21"/>
          <w:szCs w:val="21"/>
          <w:lang w:eastAsia="zh-CN"/>
        </w:rPr>
      </w:pPr>
    </w:p>
    <w:p>
      <w:pPr>
        <w:keepNext/>
        <w:keepLines/>
        <w:widowControl w:val="0"/>
        <w:numPr>
          <w:ilvl w:val="0"/>
          <w:numId w:val="7"/>
        </w:numPr>
        <w:spacing w:before="120" w:beforeLines="50" w:after="120" w:afterLines="50" w:line="416" w:lineRule="auto"/>
        <w:ind w:left="562" w:hanging="562"/>
        <w:jc w:val="both"/>
        <w:outlineLvl w:val="1"/>
        <w:rPr>
          <w:rFonts w:ascii="Cambria" w:eastAsia="宋体" w:hAnsi="Cambria"/>
          <w:b/>
          <w:bCs/>
          <w:kern w:val="2"/>
          <w:sz w:val="28"/>
          <w:szCs w:val="28"/>
          <w:lang w:eastAsia="zh-CN"/>
        </w:rPr>
      </w:pPr>
      <w:r>
        <w:rPr>
          <w:rFonts w:ascii="Cambria" w:eastAsia="宋体" w:hAnsi="Cambria" w:cs="Times New Roman" w:hint="eastAsia"/>
          <w:b/>
          <w:bCs/>
          <w:kern w:val="2"/>
          <w:sz w:val="28"/>
          <w:szCs w:val="28"/>
          <w:lang w:eastAsia="zh-CN"/>
        </w:rPr>
        <w:t>评审程序及评审方法</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32．投标文件初审</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32.1投标文件初审包括资格性审查和符合性审查。</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资格性审查：依据法律法规和招标文件的规定，对投标文件中的资格证明等进行审查，以确定投标供应商是否具备投标资格。</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符合性审查：依据招标文件的规定，对投标文件的有效性、完整性和对招标文件的响应程度进行审查，以确定是否满足符合性审查的要求。</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32.2 投标文件初审内容请详见《资格性审查表》和《符合性审查表》部分。投标人若有一条审查不通过则按投标无效处理。</w:t>
      </w:r>
    </w:p>
    <w:p>
      <w:pPr>
        <w:widowControl w:val="0"/>
        <w:ind w:firstLine="412" w:firstLineChars="196"/>
        <w:jc w:val="both"/>
        <w:rPr>
          <w:rFonts w:ascii="宋体" w:eastAsia="宋体" w:hAnsi="宋体" w:hint="eastAsia"/>
          <w:bCs/>
          <w:kern w:val="2"/>
          <w:sz w:val="21"/>
          <w:szCs w:val="22"/>
          <w:lang w:eastAsia="zh-CN"/>
        </w:rPr>
      </w:pPr>
      <w:r>
        <w:rPr>
          <w:rFonts w:ascii="宋体" w:eastAsia="宋体" w:hAnsi="宋体" w:cs="Times New Roman" w:hint="eastAsia"/>
          <w:bCs/>
          <w:kern w:val="2"/>
          <w:sz w:val="21"/>
          <w:szCs w:val="22"/>
          <w:lang w:eastAsia="zh-CN"/>
        </w:rPr>
        <w:t>32.3 投标文件初审中关于供应商家数的计算:</w:t>
      </w:r>
    </w:p>
    <w:p>
      <w:pPr>
        <w:widowControl w:val="0"/>
        <w:ind w:firstLine="412" w:firstLineChars="196"/>
        <w:jc w:val="both"/>
        <w:rPr>
          <w:rFonts w:ascii="宋体" w:eastAsia="宋体" w:hAnsi="宋体" w:hint="eastAsia"/>
          <w:bCs/>
          <w:kern w:val="2"/>
          <w:sz w:val="21"/>
          <w:szCs w:val="22"/>
          <w:lang w:eastAsia="zh-CN"/>
        </w:rPr>
      </w:pPr>
      <w:r>
        <w:rPr>
          <w:rFonts w:ascii="宋体" w:eastAsia="宋体" w:hAnsi="宋体" w:cs="Times New Roman" w:hint="eastAsia"/>
          <w:bCs/>
          <w:kern w:val="2"/>
          <w:sz w:val="21"/>
          <w:szCs w:val="22"/>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val="0"/>
        <w:ind w:firstLine="412" w:firstLineChars="196"/>
        <w:jc w:val="both"/>
        <w:rPr>
          <w:rFonts w:ascii="宋体" w:eastAsia="宋体" w:hAnsi="宋体" w:hint="eastAsia"/>
          <w:bCs/>
          <w:kern w:val="2"/>
          <w:sz w:val="21"/>
          <w:szCs w:val="22"/>
          <w:lang w:eastAsia="zh-CN"/>
        </w:rPr>
      </w:pPr>
      <w:r>
        <w:rPr>
          <w:rFonts w:ascii="宋体" w:eastAsia="宋体" w:hAnsi="宋体" w:cs="Times New Roman" w:hint="eastAsia"/>
          <w:bCs/>
          <w:kern w:val="2"/>
          <w:sz w:val="21"/>
          <w:szCs w:val="22"/>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eastAsia="宋体" w:hAnsi="宋体" w:cs="Times New Roman" w:hint="eastAsia"/>
          <w:bCs/>
          <w:kern w:val="2"/>
          <w:sz w:val="21"/>
          <w:szCs w:val="21"/>
          <w:lang w:eastAsia="zh-CN"/>
        </w:rPr>
        <w:t>评审委员会</w:t>
      </w:r>
      <w:r>
        <w:rPr>
          <w:rFonts w:ascii="宋体" w:eastAsia="宋体" w:hAnsi="宋体" w:cs="Times New Roman" w:hint="eastAsia"/>
          <w:bCs/>
          <w:kern w:val="2"/>
          <w:sz w:val="21"/>
          <w:szCs w:val="22"/>
          <w:lang w:eastAsia="zh-CN"/>
        </w:rPr>
        <w:t>按照招标文件规定的方式确定一个投标人获得中标人推荐资格，招标文件未规定的采取随机抽取方式确定，其他同品牌投标人不作为中标候选人。</w:t>
      </w:r>
    </w:p>
    <w:p>
      <w:pPr>
        <w:widowControl w:val="0"/>
        <w:ind w:firstLine="412" w:firstLineChars="196"/>
        <w:jc w:val="both"/>
        <w:rPr>
          <w:rFonts w:ascii="宋体" w:eastAsia="宋体" w:hAnsi="宋体" w:hint="eastAsia"/>
          <w:bCs/>
          <w:kern w:val="2"/>
          <w:sz w:val="21"/>
          <w:szCs w:val="22"/>
          <w:lang w:eastAsia="zh-CN"/>
        </w:rPr>
      </w:pPr>
      <w:r>
        <w:rPr>
          <w:rFonts w:ascii="宋体" w:eastAsia="宋体" w:hAnsi="宋体" w:cs="Times New Roman" w:hint="eastAsia"/>
          <w:bCs/>
          <w:kern w:val="2"/>
          <w:sz w:val="21"/>
          <w:szCs w:val="22"/>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32.4投标人投标文件作无效处理的情形，具体包括但不限于以下：</w:t>
      </w:r>
    </w:p>
    <w:p>
      <w:pPr>
        <w:widowControl w:val="0"/>
        <w:ind w:firstLine="412" w:firstLineChars="196"/>
        <w:jc w:val="both"/>
        <w:rPr>
          <w:rFonts w:ascii="Calibri" w:eastAsia="宋体" w:hAnsi="Calibri"/>
          <w:kern w:val="2"/>
          <w:sz w:val="21"/>
          <w:szCs w:val="22"/>
          <w:lang w:eastAsia="zh-CN"/>
        </w:rPr>
      </w:pPr>
      <w:r>
        <w:rPr>
          <w:rFonts w:ascii="宋体" w:eastAsia="宋体" w:hAnsi="宋体" w:cs="Times New Roman" w:hint="eastAsia"/>
          <w:kern w:val="2"/>
          <w:sz w:val="21"/>
          <w:szCs w:val="22"/>
          <w:lang w:eastAsia="zh-CN"/>
        </w:rPr>
        <w:t>32.4.1</w:t>
      </w:r>
      <w:r>
        <w:rPr>
          <w:rFonts w:ascii="Calibri" w:eastAsia="宋体" w:hAnsi="Calibri" w:cs="Times New Roman" w:hint="eastAsia"/>
          <w:kern w:val="2"/>
          <w:sz w:val="21"/>
          <w:szCs w:val="22"/>
          <w:lang w:eastAsia="zh-CN"/>
        </w:rPr>
        <w:t>不同投标人的投标文件由同一单位或者同一个人编制，或者由同一个人分阶段参与编制；</w:t>
      </w:r>
    </w:p>
    <w:p>
      <w:pPr>
        <w:widowControl w:val="0"/>
        <w:ind w:firstLine="412" w:firstLineChars="196"/>
        <w:jc w:val="both"/>
        <w:rPr>
          <w:rFonts w:ascii="Calibri" w:eastAsia="宋体" w:hAnsi="Calibri"/>
          <w:kern w:val="2"/>
          <w:sz w:val="21"/>
          <w:szCs w:val="22"/>
          <w:lang w:eastAsia="zh-CN"/>
        </w:rPr>
      </w:pPr>
      <w:r>
        <w:rPr>
          <w:rFonts w:ascii="宋体" w:eastAsia="宋体" w:hAnsi="宋体" w:cs="Times New Roman"/>
          <w:kern w:val="2"/>
          <w:sz w:val="21"/>
          <w:szCs w:val="22"/>
          <w:lang w:eastAsia="zh-CN"/>
        </w:rPr>
        <w:t>32.4.</w:t>
      </w:r>
      <w:r>
        <w:rPr>
          <w:rFonts w:ascii="宋体" w:eastAsia="宋体" w:hAnsi="宋体" w:cs="Times New Roman" w:hint="eastAsia"/>
          <w:kern w:val="2"/>
          <w:sz w:val="21"/>
          <w:szCs w:val="22"/>
          <w:lang w:eastAsia="zh-CN"/>
        </w:rPr>
        <w:t>2</w:t>
      </w:r>
      <w:r>
        <w:rPr>
          <w:rFonts w:ascii="Calibri" w:eastAsia="宋体" w:hAnsi="Calibri" w:cs="Times New Roman" w:hint="eastAsia"/>
          <w:kern w:val="2"/>
          <w:sz w:val="21"/>
          <w:szCs w:val="22"/>
          <w:lang w:eastAsia="zh-CN"/>
        </w:rPr>
        <w:t>不同投标人委托同一单位或者个人办理投标事宜；</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32.4.3不同投标人的投标文件载明的项目管理成员或者联系人员为同一人；</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32.4.4不同投标人的投标文件异常一致或者投标报价呈规律性差异；</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32.4.5</w:t>
      </w:r>
      <w:r>
        <w:rPr>
          <w:rFonts w:ascii="宋体" w:eastAsia="宋体" w:hAnsi="宋体" w:cs="Times New Roman"/>
          <w:kern w:val="2"/>
          <w:sz w:val="21"/>
          <w:szCs w:val="22"/>
          <w:lang w:eastAsia="zh-CN"/>
        </w:rPr>
        <w:t>不同投标供应商的投标文件或部分投标文件相互混装</w:t>
      </w:r>
      <w:r>
        <w:rPr>
          <w:rFonts w:ascii="宋体" w:eastAsia="宋体" w:hAnsi="宋体" w:cs="Times New Roman" w:hint="eastAsia"/>
          <w:kern w:val="2"/>
          <w:sz w:val="21"/>
          <w:szCs w:val="22"/>
          <w:lang w:eastAsia="zh-CN"/>
        </w:rPr>
        <w:t>；</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32.4.6投标供应商之间相互约定给予未中标的供应商利益补偿；</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32.4.7不同投标供应商的法定代表人、主要经营负责人、项目投标授权代表人、项目负责人、主要技术人员为同一人、属同一单位或者同一单位缴纳社会保险；</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32.4.8不同投标供应商的投标文件内容存在非正常一致；</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32.4.9在同一单位工作人员为两家以上（含两家）供应商进行同一项投标活动；</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32.4.10主管部门依照法律、法规认定的其他情形。</w:t>
      </w:r>
    </w:p>
    <w:p>
      <w:pPr>
        <w:widowControl w:val="0"/>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32.5对不属于《资格性审查表》和《符合性审查表》所列的其他情形，除专用条款另有规定和32.4条款所列情形外，不得作为投标无效的理由。</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33．澄清有关问题</w:t>
      </w:r>
    </w:p>
    <w:p>
      <w:pPr>
        <w:widowControl w:val="0"/>
        <w:ind w:firstLine="412" w:firstLineChars="196"/>
        <w:jc w:val="both"/>
        <w:rPr>
          <w:rFonts w:ascii="宋体" w:eastAsia="宋体" w:hAnsi="宋体" w:hint="eastAsia"/>
          <w:kern w:val="2"/>
          <w:sz w:val="21"/>
          <w:szCs w:val="22"/>
          <w:lang w:eastAsia="zh-CN"/>
        </w:rPr>
      </w:pPr>
      <w:bookmarkStart w:id="77" w:name="_Hlk71407321"/>
      <w:r>
        <w:rPr>
          <w:rFonts w:ascii="宋体" w:eastAsia="宋体" w:hAnsi="宋体" w:cs="Times New Roman" w:hint="eastAsia"/>
          <w:kern w:val="2"/>
          <w:sz w:val="21"/>
          <w:szCs w:val="22"/>
          <w:lang w:eastAsia="zh-CN"/>
        </w:rPr>
        <w:t>3</w:t>
      </w:r>
      <w:r>
        <w:rPr>
          <w:rFonts w:ascii="宋体" w:eastAsia="宋体" w:hAnsi="宋体" w:cs="Times New Roman"/>
          <w:kern w:val="2"/>
          <w:sz w:val="21"/>
          <w:szCs w:val="22"/>
          <w:lang w:eastAsia="zh-CN"/>
        </w:rPr>
        <w:t>3.1</w:t>
      </w:r>
      <w:r>
        <w:rPr>
          <w:rFonts w:ascii="宋体" w:eastAsia="宋体" w:hAnsi="宋体" w:cs="Times New Roman" w:hint="eastAsia"/>
          <w:kern w:val="2"/>
          <w:sz w:val="21"/>
          <w:szCs w:val="22"/>
          <w:lang w:eastAsia="zh-CN"/>
        </w:rPr>
        <w:t>对招标文件中描述有歧义或前后不一致的地方（不含</w:t>
      </w:r>
      <w:r>
        <w:rPr>
          <w:rFonts w:ascii="Calibri" w:eastAsia="宋体" w:hAnsi="Calibri" w:cs="Times New Roman"/>
          <w:kern w:val="2"/>
          <w:sz w:val="21"/>
          <w:szCs w:val="21"/>
          <w:lang w:eastAsia="zh-CN"/>
        </w:rPr>
        <w:t>招标文件存在歧义、重大缺陷导致评</w:t>
      </w:r>
      <w:r>
        <w:rPr>
          <w:rFonts w:ascii="Calibri" w:eastAsia="宋体" w:hAnsi="Calibri" w:cs="Times New Roman" w:hint="eastAsia"/>
          <w:kern w:val="2"/>
          <w:sz w:val="21"/>
          <w:szCs w:val="21"/>
          <w:lang w:eastAsia="zh-CN"/>
        </w:rPr>
        <w:t>审</w:t>
      </w:r>
      <w:r>
        <w:rPr>
          <w:rFonts w:ascii="Calibri" w:eastAsia="宋体" w:hAnsi="Calibri" w:cs="Times New Roman"/>
          <w:kern w:val="2"/>
          <w:sz w:val="21"/>
          <w:szCs w:val="21"/>
          <w:lang w:eastAsia="zh-CN"/>
        </w:rPr>
        <w:t>工作无法进行</w:t>
      </w:r>
      <w:r>
        <w:rPr>
          <w:rFonts w:ascii="Calibri" w:eastAsia="宋体" w:hAnsi="Calibri" w:cs="Times New Roman" w:hint="eastAsia"/>
          <w:kern w:val="2"/>
          <w:sz w:val="21"/>
          <w:szCs w:val="21"/>
          <w:lang w:eastAsia="zh-CN"/>
        </w:rPr>
        <w:t>的情况）</w:t>
      </w:r>
      <w:r>
        <w:rPr>
          <w:rFonts w:ascii="宋体" w:eastAsia="宋体" w:hAnsi="宋体" w:cs="Times New Roman" w:hint="eastAsia"/>
          <w:kern w:val="2"/>
          <w:sz w:val="21"/>
          <w:szCs w:val="22"/>
          <w:lang w:eastAsia="zh-CN"/>
        </w:rPr>
        <w:t>，评审委员会有权进行评判，但对同一条款的评判应适用于每个投标人。</w:t>
      </w:r>
      <w:bookmarkEnd w:id="77"/>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3</w:t>
      </w:r>
      <w:r>
        <w:rPr>
          <w:rFonts w:ascii="宋体" w:eastAsia="宋体" w:hAnsi="宋体" w:cs="Times New Roman"/>
          <w:kern w:val="2"/>
          <w:sz w:val="21"/>
          <w:szCs w:val="22"/>
          <w:lang w:eastAsia="zh-CN"/>
        </w:rPr>
        <w:t>3.2</w:t>
      </w:r>
      <w:r>
        <w:rPr>
          <w:rFonts w:ascii="Calibri" w:eastAsia="宋体" w:hAnsi="Calibri" w:cs="Times New Roman"/>
          <w:kern w:val="2"/>
          <w:sz w:val="21"/>
          <w:szCs w:val="21"/>
          <w:lang w:eastAsia="zh-CN"/>
        </w:rPr>
        <w:t>评</w:t>
      </w:r>
      <w:r>
        <w:rPr>
          <w:rFonts w:ascii="Calibri" w:eastAsia="宋体" w:hAnsi="Calibri" w:cs="Times New Roman" w:hint="eastAsia"/>
          <w:kern w:val="2"/>
          <w:sz w:val="21"/>
          <w:szCs w:val="21"/>
          <w:lang w:eastAsia="zh-CN"/>
        </w:rPr>
        <w:t>审</w:t>
      </w:r>
      <w:r>
        <w:rPr>
          <w:rFonts w:ascii="Calibri" w:eastAsia="宋体" w:hAnsi="Calibri" w:cs="Times New Roman"/>
          <w:kern w:val="2"/>
          <w:sz w:val="21"/>
          <w:szCs w:val="21"/>
          <w:lang w:eastAsia="zh-CN"/>
        </w:rPr>
        <w:t>委员会发现招标文件存在歧义、重大缺陷导致评</w:t>
      </w:r>
      <w:r>
        <w:rPr>
          <w:rFonts w:ascii="Calibri" w:eastAsia="宋体" w:hAnsi="Calibri" w:cs="Times New Roman" w:hint="eastAsia"/>
          <w:kern w:val="2"/>
          <w:sz w:val="21"/>
          <w:szCs w:val="21"/>
          <w:lang w:eastAsia="zh-CN"/>
        </w:rPr>
        <w:t>审</w:t>
      </w:r>
      <w:r>
        <w:rPr>
          <w:rFonts w:ascii="Calibri" w:eastAsia="宋体" w:hAnsi="Calibri" w:cs="Times New Roman"/>
          <w:kern w:val="2"/>
          <w:sz w:val="21"/>
          <w:szCs w:val="21"/>
          <w:lang w:eastAsia="zh-CN"/>
        </w:rPr>
        <w:t>工作无法进行，或者招标文件内容违反国家有关强制性规定的，应当停止评</w:t>
      </w:r>
      <w:r>
        <w:rPr>
          <w:rFonts w:ascii="Calibri" w:eastAsia="宋体" w:hAnsi="Calibri" w:cs="Times New Roman" w:hint="eastAsia"/>
          <w:kern w:val="2"/>
          <w:sz w:val="21"/>
          <w:szCs w:val="21"/>
          <w:lang w:eastAsia="zh-CN"/>
        </w:rPr>
        <w:t>审</w:t>
      </w:r>
      <w:r>
        <w:rPr>
          <w:rFonts w:ascii="Calibri" w:eastAsia="宋体" w:hAnsi="Calibri" w:cs="Times New Roman"/>
          <w:kern w:val="2"/>
          <w:sz w:val="21"/>
          <w:szCs w:val="21"/>
          <w:lang w:eastAsia="zh-CN"/>
        </w:rPr>
        <w:t>工作，与</w:t>
      </w:r>
      <w:r>
        <w:rPr>
          <w:rFonts w:ascii="Calibri" w:eastAsia="宋体" w:hAnsi="Calibri" w:cs="Times New Roman" w:hint="eastAsia"/>
          <w:kern w:val="2"/>
          <w:sz w:val="21"/>
          <w:szCs w:val="21"/>
          <w:lang w:eastAsia="zh-CN"/>
        </w:rPr>
        <w:t>政府集中采购机构</w:t>
      </w:r>
      <w:r>
        <w:rPr>
          <w:rFonts w:ascii="Calibri" w:eastAsia="宋体" w:hAnsi="Calibri" w:cs="Times New Roman"/>
          <w:kern w:val="2"/>
          <w:sz w:val="21"/>
          <w:szCs w:val="21"/>
          <w:lang w:eastAsia="zh-CN"/>
        </w:rPr>
        <w:t>沟通并作书面记录。</w:t>
      </w:r>
      <w:r>
        <w:rPr>
          <w:rFonts w:ascii="Calibri" w:eastAsia="宋体" w:hAnsi="Calibri" w:cs="Times New Roman" w:hint="eastAsia"/>
          <w:kern w:val="2"/>
          <w:sz w:val="21"/>
          <w:szCs w:val="21"/>
          <w:lang w:eastAsia="zh-CN"/>
        </w:rPr>
        <w:t>经</w:t>
      </w:r>
      <w:r>
        <w:rPr>
          <w:rFonts w:ascii="Calibri" w:eastAsia="宋体" w:hAnsi="Calibri" w:cs="Times New Roman"/>
          <w:kern w:val="2"/>
          <w:sz w:val="21"/>
          <w:szCs w:val="21"/>
          <w:lang w:eastAsia="zh-CN"/>
        </w:rPr>
        <w:t>确认后，</w:t>
      </w:r>
      <w:r>
        <w:rPr>
          <w:rFonts w:ascii="Calibri" w:eastAsia="宋体" w:hAnsi="Calibri" w:cs="Times New Roman" w:hint="eastAsia"/>
          <w:kern w:val="2"/>
          <w:sz w:val="21"/>
          <w:szCs w:val="21"/>
          <w:lang w:eastAsia="zh-CN"/>
        </w:rPr>
        <w:t>项目</w:t>
      </w:r>
      <w:r>
        <w:rPr>
          <w:rFonts w:ascii="Calibri" w:eastAsia="宋体" w:hAnsi="Calibri" w:cs="Times New Roman"/>
          <w:kern w:val="2"/>
          <w:sz w:val="21"/>
          <w:szCs w:val="21"/>
          <w:lang w:eastAsia="zh-CN"/>
        </w:rPr>
        <w:t>应当修改招标文件，重新组织采购活动。</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kern w:val="2"/>
          <w:sz w:val="21"/>
          <w:szCs w:val="22"/>
          <w:lang w:eastAsia="zh-CN"/>
        </w:rPr>
        <w:t>33.3</w:t>
      </w:r>
      <w:r>
        <w:rPr>
          <w:rFonts w:ascii="宋体" w:eastAsia="宋体" w:hAnsi="宋体" w:cs="Times New Roman" w:hint="eastAsia"/>
          <w:kern w:val="2"/>
          <w:sz w:val="21"/>
          <w:szCs w:val="22"/>
          <w:lang w:eastAsia="zh-CN"/>
        </w:rPr>
        <w:t>对于投标文件中含义不明确、同类问题表述不一致或者有明显文字和计算错误的内容，评审委员会应当以书面形式要求投标人作出必要的澄清、说明或者补正。</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根据本通用条款第34条，凡属于评审委员会在评审中发现的算术错误进行核实的修改不在此列。</w:t>
      </w:r>
    </w:p>
    <w:p>
      <w:pPr>
        <w:widowControl w:val="0"/>
        <w:jc w:val="both"/>
        <w:rPr>
          <w:rFonts w:ascii="黑体" w:eastAsia="黑体" w:hAnsi="宋体" w:hint="eastAsia"/>
          <w:kern w:val="2"/>
          <w:szCs w:val="22"/>
          <w:lang w:eastAsia="zh-CN"/>
        </w:rPr>
      </w:pPr>
      <w:bookmarkStart w:id="78" w:name="_Toc73517673"/>
      <w:bookmarkStart w:id="79" w:name="_Toc73521669"/>
      <w:bookmarkStart w:id="80" w:name="_Toc73521581"/>
      <w:bookmarkStart w:id="81" w:name="_Toc73518151"/>
      <w:bookmarkStart w:id="82" w:name="_Toc100052400"/>
      <w:r>
        <w:rPr>
          <w:rFonts w:ascii="黑体" w:eastAsia="黑体" w:hAnsi="宋体" w:cs="Times New Roman" w:hint="eastAsia"/>
          <w:kern w:val="2"/>
          <w:szCs w:val="22"/>
          <w:lang w:eastAsia="zh-CN"/>
        </w:rPr>
        <w:t>34．错误的修正</w:t>
      </w:r>
      <w:bookmarkEnd w:id="78"/>
      <w:bookmarkEnd w:id="79"/>
      <w:bookmarkEnd w:id="80"/>
      <w:bookmarkEnd w:id="81"/>
      <w:bookmarkEnd w:id="82"/>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投标文件报价出现前后不一致的，除专用条款另有规定外，按照下列规定修正：</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34.1投标文件中开标一览表投标报价内容与投标文件中投标报价相应内容不一致的，以开标一览表为准；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34.2大写金额和小写金额不一致的，以大写金额为准；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34.3单价金额小数点或者百分比有明显错位，以开标一览表的总价为准，并修改单价；</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34.4总价金额与按单价汇总金额不一致的，以单价金额计算结果为准。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34.5同时出现两种以上不一致的，按照前款规定的顺序修正。修正后的报价按照本通用条款33条的规定，经投标人确认后产生约束力，投标人不确认的，其投标无效。</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35．投标文件的比较与评价</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评审委员会成员对需要共同认定的事项存在争议的，应当按照少数服从多数的原则作出结论。持不同意见的评审委员会成员应当书面作出说明，否则视为无异议。</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36. 实地考察或资料查验</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36.1在评审过程中，评审委员会有权决定是否对本项目投标人进行实地考察或资料查验（原件）。投标人应随时做好接受实地考察或资料查验的准备。</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37．评审方法</w:t>
      </w:r>
    </w:p>
    <w:p>
      <w:pPr>
        <w:widowControl w:val="0"/>
        <w:ind w:firstLine="412" w:firstLineChars="196"/>
        <w:jc w:val="both"/>
        <w:rPr>
          <w:rFonts w:ascii="宋体" w:eastAsia="宋体" w:hAnsi="宋体" w:hint="eastAsia"/>
          <w:b/>
          <w:bCs/>
          <w:kern w:val="2"/>
          <w:sz w:val="21"/>
          <w:szCs w:val="21"/>
          <w:lang w:eastAsia="zh-CN"/>
        </w:rPr>
      </w:pPr>
      <w:bookmarkStart w:id="83" w:name="_Hlk72438142"/>
      <w:r>
        <w:rPr>
          <w:rFonts w:ascii="宋体" w:eastAsia="宋体" w:hAnsi="宋体" w:cs="Times New Roman" w:hint="eastAsia"/>
          <w:b/>
          <w:bCs/>
          <w:kern w:val="2"/>
          <w:sz w:val="21"/>
          <w:szCs w:val="21"/>
          <w:lang w:eastAsia="zh-CN"/>
        </w:rPr>
        <w:t>37.1.1最低价法</w:t>
      </w:r>
    </w:p>
    <w:p>
      <w:pPr>
        <w:widowControl w:val="0"/>
        <w:ind w:firstLine="412" w:firstLineChars="196"/>
        <w:jc w:val="both"/>
        <w:rPr>
          <w:rFonts w:ascii="ˎ̥" w:eastAsia="宋体" w:hAnsi="ˎ̥" w:hint="eastAsia"/>
          <w:kern w:val="2"/>
          <w:sz w:val="21"/>
          <w:szCs w:val="22"/>
          <w:lang w:eastAsia="zh-CN"/>
        </w:rPr>
      </w:pPr>
      <w:r>
        <w:rPr>
          <w:rFonts w:ascii="ˎ̥" w:eastAsia="宋体" w:hAnsi="ˎ̥" w:cs="Times New Roman"/>
          <w:kern w:val="2"/>
          <w:sz w:val="21"/>
          <w:szCs w:val="22"/>
          <w:lang w:eastAsia="zh-CN"/>
        </w:rPr>
        <w:t>最低价法，</w:t>
      </w:r>
      <w:r>
        <w:rPr>
          <w:rFonts w:ascii="ˎ̥" w:eastAsia="宋体" w:hAnsi="ˎ̥" w:cs="Times New Roman" w:hint="eastAsia"/>
          <w:kern w:val="2"/>
          <w:sz w:val="21"/>
          <w:szCs w:val="22"/>
          <w:lang w:eastAsia="zh-CN"/>
        </w:rPr>
        <w:t>是指投标文件满足招标文件全部实质性要求，且投标报价最低的投标人为中标候选人的评标方法。</w:t>
      </w:r>
    </w:p>
    <w:p>
      <w:pPr>
        <w:widowControl w:val="0"/>
        <w:ind w:firstLine="412" w:firstLineChars="196"/>
        <w:jc w:val="both"/>
        <w:rPr>
          <w:rFonts w:ascii="ˎ̥" w:eastAsia="宋体" w:hAnsi="ˎ̥" w:hint="eastAsia"/>
          <w:kern w:val="2"/>
          <w:sz w:val="21"/>
          <w:szCs w:val="22"/>
          <w:lang w:eastAsia="zh-CN"/>
        </w:rPr>
      </w:pPr>
      <w:r>
        <w:rPr>
          <w:rFonts w:ascii="ˎ̥" w:eastAsia="宋体" w:hAnsi="ˎ̥" w:cs="Times New Roman" w:hint="eastAsia"/>
          <w:kern w:val="2"/>
          <w:sz w:val="21"/>
          <w:szCs w:val="22"/>
          <w:lang w:eastAsia="zh-CN"/>
        </w:rPr>
        <w:t>采用最低价法的，评标结果按投标报价由低到高顺序排列。投标报价相同的并列。投标文件满足招标文件全部实质性要求且投标报价最低的投标人为排名第一的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widowControl w:val="0"/>
        <w:ind w:firstLine="412" w:firstLineChars="196"/>
        <w:jc w:val="both"/>
        <w:rPr>
          <w:rFonts w:ascii="宋体" w:eastAsia="宋体" w:hAnsi="宋体" w:hint="eastAsia"/>
          <w:b/>
          <w:bCs/>
          <w:kern w:val="2"/>
          <w:sz w:val="21"/>
          <w:szCs w:val="21"/>
          <w:lang w:eastAsia="zh-CN"/>
        </w:rPr>
      </w:pPr>
      <w:r>
        <w:rPr>
          <w:rFonts w:ascii="宋体" w:eastAsia="宋体" w:hAnsi="宋体" w:cs="Times New Roman" w:hint="eastAsia"/>
          <w:b/>
          <w:bCs/>
          <w:kern w:val="2"/>
          <w:sz w:val="21"/>
          <w:szCs w:val="21"/>
          <w:lang w:eastAsia="zh-CN"/>
        </w:rPr>
        <w:t>37.1.2综合评分法</w:t>
      </w:r>
    </w:p>
    <w:p>
      <w:pPr>
        <w:widowControl w:val="0"/>
        <w:ind w:firstLine="412" w:firstLineChars="196"/>
        <w:jc w:val="both"/>
        <w:rPr>
          <w:rFonts w:ascii="ˎ̥" w:eastAsia="宋体" w:hAnsi="ˎ̥" w:hint="eastAsia"/>
          <w:kern w:val="2"/>
          <w:sz w:val="21"/>
          <w:szCs w:val="22"/>
          <w:lang w:eastAsia="zh-CN"/>
        </w:rPr>
      </w:pPr>
      <w:r>
        <w:rPr>
          <w:rFonts w:ascii="ˎ̥" w:eastAsia="宋体" w:hAnsi="ˎ̥" w:cs="Times New Roman"/>
          <w:kern w:val="2"/>
          <w:sz w:val="21"/>
          <w:szCs w:val="22"/>
          <w:lang w:eastAsia="zh-CN"/>
        </w:rPr>
        <w:t>综合评分法，是指</w:t>
      </w:r>
      <w:r>
        <w:rPr>
          <w:rFonts w:ascii="ˎ̥" w:eastAsia="宋体" w:hAnsi="ˎ̥" w:cs="Times New Roman" w:hint="eastAsia"/>
          <w:kern w:val="2"/>
          <w:sz w:val="21"/>
          <w:szCs w:val="22"/>
          <w:lang w:eastAsia="zh-CN"/>
        </w:rPr>
        <w:t>在</w:t>
      </w:r>
      <w:r>
        <w:rPr>
          <w:rFonts w:ascii="ˎ̥" w:eastAsia="宋体" w:hAnsi="ˎ̥" w:cs="Times New Roman"/>
          <w:kern w:val="2"/>
          <w:sz w:val="21"/>
          <w:szCs w:val="22"/>
          <w:lang w:eastAsia="zh-CN"/>
        </w:rPr>
        <w:t>满足招标文件全部实质性要求</w:t>
      </w:r>
      <w:r>
        <w:rPr>
          <w:rFonts w:ascii="ˎ̥" w:eastAsia="宋体" w:hAnsi="ˎ̥" w:cs="Times New Roman" w:hint="eastAsia"/>
          <w:kern w:val="2"/>
          <w:sz w:val="21"/>
          <w:szCs w:val="22"/>
          <w:lang w:eastAsia="zh-CN"/>
        </w:rPr>
        <w:t>的前提下</w:t>
      </w:r>
      <w:r>
        <w:rPr>
          <w:rFonts w:ascii="ˎ̥" w:eastAsia="宋体" w:hAnsi="ˎ̥" w:cs="Times New Roman"/>
          <w:kern w:val="2"/>
          <w:sz w:val="21"/>
          <w:szCs w:val="22"/>
          <w:lang w:eastAsia="zh-CN"/>
        </w:rPr>
        <w:t>，</w:t>
      </w:r>
      <w:r>
        <w:rPr>
          <w:rFonts w:ascii="ˎ̥" w:eastAsia="宋体" w:hAnsi="ˎ̥" w:cs="Times New Roman" w:hint="eastAsia"/>
          <w:kern w:val="2"/>
          <w:sz w:val="21"/>
          <w:szCs w:val="22"/>
          <w:lang w:eastAsia="zh-CN"/>
        </w:rPr>
        <w:t>按照招标文件中规定的各项因素进行综合评审，评审总得分排名前列的投标人，作为推荐的候选中标供应商。</w:t>
      </w:r>
    </w:p>
    <w:p>
      <w:pPr>
        <w:widowControl w:val="0"/>
        <w:ind w:firstLine="412" w:firstLineChars="196"/>
        <w:jc w:val="both"/>
        <w:rPr>
          <w:rFonts w:ascii="ˎ̥" w:eastAsia="宋体" w:hAnsi="ˎ̥" w:hint="eastAsia"/>
          <w:kern w:val="2"/>
          <w:sz w:val="21"/>
          <w:szCs w:val="22"/>
          <w:lang w:eastAsia="zh-CN"/>
        </w:rPr>
      </w:pPr>
      <w:r>
        <w:rPr>
          <w:rFonts w:ascii="ˎ̥" w:eastAsia="宋体" w:hAnsi="ˎ̥" w:cs="Times New Roman" w:hint="eastAsia"/>
          <w:kern w:val="2"/>
          <w:sz w:val="21"/>
          <w:szCs w:val="22"/>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bookmarkEnd w:id="83"/>
    </w:p>
    <w:p>
      <w:pPr>
        <w:widowControl w:val="0"/>
        <w:ind w:firstLine="412" w:firstLineChars="196"/>
        <w:jc w:val="both"/>
        <w:rPr>
          <w:rFonts w:ascii="宋体" w:eastAsia="宋体" w:hAnsi="宋体" w:hint="eastAsia"/>
          <w:b/>
          <w:bCs/>
          <w:kern w:val="2"/>
          <w:sz w:val="21"/>
          <w:szCs w:val="21"/>
          <w:lang w:eastAsia="zh-CN"/>
        </w:rPr>
      </w:pPr>
      <w:r>
        <w:rPr>
          <w:rFonts w:ascii="宋体" w:eastAsia="宋体" w:hAnsi="宋体" w:cs="Times New Roman" w:hint="eastAsia"/>
          <w:b/>
          <w:bCs/>
          <w:kern w:val="2"/>
          <w:sz w:val="21"/>
          <w:szCs w:val="21"/>
          <w:lang w:eastAsia="zh-CN"/>
        </w:rPr>
        <w:t>37.2 本项目采用的评审方法见本项目招标文件第一册“专用条款”的相关内容。</w:t>
      </w:r>
    </w:p>
    <w:p>
      <w:pPr>
        <w:widowControl w:val="0"/>
        <w:ind w:firstLine="412" w:firstLineChars="196"/>
        <w:jc w:val="both"/>
        <w:rPr>
          <w:rFonts w:ascii="宋体" w:eastAsia="宋体" w:hAnsi="宋体" w:hint="eastAsia"/>
          <w:b/>
          <w:bCs/>
          <w:kern w:val="2"/>
          <w:sz w:val="21"/>
          <w:szCs w:val="21"/>
          <w:lang w:eastAsia="zh-CN"/>
        </w:rPr>
      </w:pPr>
      <w:r>
        <w:rPr>
          <w:rFonts w:ascii="宋体" w:eastAsia="宋体" w:hAnsi="宋体" w:cs="Times New Roman" w:hint="eastAsia"/>
          <w:b/>
          <w:bCs/>
          <w:kern w:val="2"/>
          <w:sz w:val="21"/>
          <w:szCs w:val="21"/>
          <w:lang w:eastAsia="zh-CN"/>
        </w:rPr>
        <w:t>37.3重新评审的情形</w:t>
      </w:r>
    </w:p>
    <w:p>
      <w:pPr>
        <w:widowControl w:val="0"/>
        <w:ind w:firstLine="412" w:firstLineChars="196"/>
        <w:jc w:val="both"/>
        <w:rPr>
          <w:rFonts w:ascii="宋体" w:eastAsia="宋体" w:hAnsi="宋体" w:hint="eastAsia"/>
          <w:b/>
          <w:bCs/>
          <w:kern w:val="2"/>
          <w:sz w:val="21"/>
          <w:szCs w:val="21"/>
          <w:lang w:eastAsia="zh-CN"/>
        </w:rPr>
      </w:pPr>
      <w:r>
        <w:rPr>
          <w:rFonts w:ascii="宋体" w:eastAsia="宋体" w:hAnsi="宋体" w:cs="宋体" w:hint="eastAsia"/>
          <w:sz w:val="21"/>
          <w:szCs w:val="21"/>
          <w:lang w:eastAsia="zh-CN"/>
        </w:rPr>
        <w:t>评审结果汇总完成后，除下列情形外，任何人不得修改评审结果：</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37.3.1分值汇总计算错误的；</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37.3.2分项评分超出评分标准范围的；</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37.3.3评审委员会成员对客观评审因素评分不一致的；</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37.3.4经评审委员会认定评分畸高、畸低的。</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投标人对本条第一款情形提出质疑的，采购人或者采购代理机构可以组织原评审委员会进行重新评审，重新评审改变评审结果的，应当书面报告本级财政部门。</w:t>
      </w:r>
    </w:p>
    <w:p>
      <w:pPr>
        <w:widowControl w:val="0"/>
        <w:ind w:firstLine="412" w:firstLineChars="196"/>
        <w:jc w:val="both"/>
        <w:rPr>
          <w:rFonts w:ascii="宋体" w:eastAsia="宋体" w:hAnsi="宋体" w:hint="eastAsia"/>
          <w:b/>
          <w:bCs/>
          <w:kern w:val="2"/>
          <w:sz w:val="21"/>
          <w:szCs w:val="21"/>
          <w:lang w:eastAsia="zh-CN"/>
        </w:rPr>
      </w:pPr>
      <w:r>
        <w:rPr>
          <w:rFonts w:ascii="宋体" w:eastAsia="宋体" w:hAnsi="宋体" w:cs="Times New Roman" w:hint="eastAsia"/>
          <w:b/>
          <w:bCs/>
          <w:kern w:val="2"/>
          <w:sz w:val="21"/>
          <w:szCs w:val="21"/>
          <w:lang w:eastAsia="zh-CN"/>
        </w:rPr>
        <w:t xml:space="preserve"> 37.4重新组建评审委员会的情形</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评审委员会或者其成员存在下列情形导致评审结果无效的，重新组建评审委员会进行评标，并书面报告本级财政部门：</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37.4.1评审委员会组成不符合《政府采购货物和服务招标投标管理办法》规定的；</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37.4.2有《政府采购货物和服务招标投标管理办法》第六十二条第一至五项情形的；</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37.4.3评审委员会及其成员独立评标受到非法干预的；</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37.4.4有政府采购法实施条例第七十五条规定的违法行为的。</w:t>
      </w:r>
    </w:p>
    <w:p>
      <w:pPr>
        <w:widowControl w:val="0"/>
        <w:ind w:firstLine="412" w:firstLineChars="196"/>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有违法违规行为的原评审委员会成员不得参加重新组建的评审委员会。</w:t>
      </w:r>
    </w:p>
    <w:p>
      <w:pPr>
        <w:widowControl w:val="0"/>
        <w:ind w:firstLine="412" w:firstLineChars="196"/>
        <w:jc w:val="both"/>
        <w:rPr>
          <w:rFonts w:ascii="宋体" w:eastAsia="宋体" w:hAnsi="宋体" w:hint="eastAsia"/>
          <w:kern w:val="2"/>
          <w:sz w:val="21"/>
          <w:szCs w:val="21"/>
          <w:lang w:eastAsia="zh-CN"/>
        </w:rPr>
      </w:pPr>
    </w:p>
    <w:p>
      <w:pPr>
        <w:keepNext/>
        <w:keepLines/>
        <w:widowControl w:val="0"/>
        <w:numPr>
          <w:ilvl w:val="0"/>
          <w:numId w:val="7"/>
        </w:numPr>
        <w:spacing w:before="120" w:beforeLines="50" w:after="120" w:afterLines="50" w:line="416" w:lineRule="auto"/>
        <w:ind w:left="562" w:hanging="562"/>
        <w:jc w:val="both"/>
        <w:outlineLvl w:val="1"/>
        <w:rPr>
          <w:rFonts w:ascii="Cambria" w:eastAsia="宋体" w:hAnsi="Cambria"/>
          <w:b/>
          <w:bCs/>
          <w:kern w:val="2"/>
          <w:sz w:val="28"/>
          <w:szCs w:val="28"/>
          <w:lang w:eastAsia="zh-CN"/>
        </w:rPr>
      </w:pPr>
      <w:r>
        <w:rPr>
          <w:rFonts w:ascii="Cambria" w:eastAsia="宋体" w:hAnsi="Cambria" w:cs="Times New Roman" w:hint="eastAsia"/>
          <w:b/>
          <w:bCs/>
          <w:kern w:val="2"/>
          <w:sz w:val="28"/>
          <w:szCs w:val="28"/>
          <w:lang w:eastAsia="zh-CN"/>
        </w:rPr>
        <w:t>定标及公示</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38．定标方法</w:t>
      </w:r>
    </w:p>
    <w:p>
      <w:pPr>
        <w:widowControl w:val="0"/>
        <w:ind w:firstLine="412" w:firstLineChars="196"/>
        <w:jc w:val="both"/>
        <w:rPr>
          <w:rFonts w:ascii="宋体" w:eastAsia="宋体" w:hAnsi="宋体" w:hint="eastAsia"/>
          <w:kern w:val="2"/>
          <w:sz w:val="21"/>
          <w:szCs w:val="21"/>
          <w:lang w:eastAsia="zh-CN"/>
        </w:rPr>
      </w:pPr>
      <w:bookmarkStart w:id="84" w:name="_Hlk73782795"/>
      <w:r>
        <w:rPr>
          <w:rFonts w:ascii="宋体" w:eastAsia="宋体" w:hAnsi="宋体" w:cs="Times New Roman" w:hint="eastAsia"/>
          <w:kern w:val="2"/>
          <w:sz w:val="21"/>
          <w:szCs w:val="21"/>
          <w:lang w:eastAsia="zh-CN"/>
        </w:rPr>
        <w:t>38.1非评定分离项目定标方法</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38</w:t>
      </w:r>
      <w:r>
        <w:rPr>
          <w:rFonts w:ascii="宋体" w:eastAsia="宋体" w:hAnsi="宋体" w:cs="Times New Roman"/>
          <w:kern w:val="2"/>
          <w:sz w:val="21"/>
          <w:szCs w:val="21"/>
          <w:lang w:eastAsia="zh-CN"/>
        </w:rPr>
        <w:t>.</w:t>
      </w:r>
      <w:r>
        <w:rPr>
          <w:rFonts w:ascii="宋体" w:eastAsia="宋体" w:hAnsi="宋体" w:cs="Times New Roman" w:hint="eastAsia"/>
          <w:kern w:val="2"/>
          <w:sz w:val="21"/>
          <w:szCs w:val="21"/>
          <w:lang w:eastAsia="zh-CN"/>
        </w:rPr>
        <w:t>1.1评审委员会依据本项目招标文件所约定的评审方法进行评审和比较，向政府集中采购机构提交书面评审报告，并根据评审方法比较评价结果从优到劣进行排序，确定候选中标供应商。</w:t>
      </w:r>
    </w:p>
    <w:p>
      <w:pPr>
        <w:widowControl w:val="0"/>
        <w:ind w:firstLine="412" w:firstLineChars="196"/>
        <w:jc w:val="both"/>
        <w:rPr>
          <w:rFonts w:ascii="ˎ̥" w:eastAsia="宋体" w:hAnsi="ˎ̥" w:hint="eastAsia"/>
          <w:kern w:val="2"/>
          <w:sz w:val="21"/>
          <w:szCs w:val="22"/>
          <w:lang w:eastAsia="zh-CN"/>
        </w:rPr>
      </w:pPr>
      <w:r>
        <w:rPr>
          <w:rFonts w:ascii="ˎ̥" w:eastAsia="宋体" w:hAnsi="ˎ̥" w:cs="Times New Roman" w:hint="eastAsia"/>
          <w:kern w:val="2"/>
          <w:sz w:val="21"/>
          <w:szCs w:val="22"/>
          <w:lang w:eastAsia="zh-CN"/>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widowControl w:val="0"/>
        <w:ind w:firstLine="412" w:firstLineChars="196"/>
        <w:jc w:val="both"/>
        <w:rPr>
          <w:rFonts w:ascii="ˎ̥" w:eastAsia="宋体" w:hAnsi="ˎ̥" w:hint="eastAsia"/>
          <w:kern w:val="2"/>
          <w:sz w:val="21"/>
          <w:szCs w:val="22"/>
          <w:lang w:eastAsia="zh-CN"/>
        </w:rPr>
      </w:pPr>
      <w:r>
        <w:rPr>
          <w:rFonts w:ascii="ˎ̥" w:eastAsia="宋体" w:hAnsi="ˎ̥" w:cs="Times New Roman" w:hint="eastAsia"/>
          <w:kern w:val="2"/>
          <w:sz w:val="21"/>
          <w:szCs w:val="22"/>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38.2评定分离项目定标方法</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val="0"/>
        <w:ind w:firstLine="412" w:firstLineChars="196"/>
        <w:jc w:val="both"/>
        <w:rPr>
          <w:rFonts w:ascii="Calibri" w:eastAsia="宋体" w:hAnsi="Calibri"/>
          <w:kern w:val="2"/>
          <w:sz w:val="21"/>
          <w:szCs w:val="22"/>
          <w:lang w:eastAsia="zh-CN"/>
        </w:rPr>
      </w:pPr>
      <w:r>
        <w:rPr>
          <w:rFonts w:ascii="宋体" w:eastAsia="宋体" w:hAnsi="宋体" w:cs="Times New Roman"/>
          <w:kern w:val="2"/>
          <w:sz w:val="21"/>
          <w:szCs w:val="21"/>
          <w:lang w:eastAsia="zh-CN"/>
        </w:rPr>
        <w:t xml:space="preserve">38.2.2 </w:t>
      </w:r>
      <w:bookmarkStart w:id="85" w:name="_Hlk71469733"/>
      <w:r>
        <w:rPr>
          <w:rFonts w:ascii="Calibri" w:eastAsia="宋体" w:hAnsi="Calibri" w:cs="Times New Roman"/>
          <w:kern w:val="2"/>
          <w:sz w:val="21"/>
          <w:szCs w:val="22"/>
          <w:lang w:eastAsia="zh-CN"/>
        </w:rPr>
        <w:t>适用评定分离的政府采购项目，采用综合评分法评</w:t>
      </w:r>
      <w:r>
        <w:rPr>
          <w:rFonts w:ascii="Calibri" w:eastAsia="宋体" w:hAnsi="Calibri" w:cs="Times New Roman" w:hint="eastAsia"/>
          <w:kern w:val="2"/>
          <w:sz w:val="21"/>
          <w:szCs w:val="22"/>
          <w:lang w:eastAsia="zh-CN"/>
        </w:rPr>
        <w:t>审。</w:t>
      </w:r>
      <w:r>
        <w:rPr>
          <w:rFonts w:ascii="宋体" w:eastAsia="宋体" w:hAnsi="宋体" w:cs="Times New Roman" w:hint="eastAsia"/>
          <w:kern w:val="2"/>
          <w:sz w:val="21"/>
          <w:szCs w:val="21"/>
          <w:lang w:eastAsia="zh-CN"/>
        </w:rPr>
        <w:t>评审委员会按照评审结果，推荐</w:t>
      </w:r>
      <w:r>
        <w:rPr>
          <w:rFonts w:ascii="Calibri" w:eastAsia="宋体" w:hAnsi="Calibri" w:cs="Times New Roman"/>
          <w:kern w:val="2"/>
          <w:sz w:val="21"/>
          <w:szCs w:val="22"/>
          <w:lang w:eastAsia="zh-CN"/>
        </w:rPr>
        <w:t>三个合格的候选中标供应商。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38.2.3</w:t>
      </w:r>
      <w:bookmarkStart w:id="86" w:name="_Hlk71469688"/>
      <w:r>
        <w:rPr>
          <w:rFonts w:ascii="Calibri" w:eastAsia="宋体" w:hAnsi="Calibri" w:cs="Times New Roman"/>
          <w:kern w:val="2"/>
          <w:sz w:val="21"/>
          <w:szCs w:val="22"/>
          <w:lang w:eastAsia="zh-CN"/>
        </w:rPr>
        <w:t>适用评定分离的政府采购项目，</w:t>
      </w:r>
      <w:r>
        <w:rPr>
          <w:rFonts w:ascii="宋体" w:eastAsia="宋体" w:hAnsi="宋体" w:cs="Times New Roman" w:hint="eastAsia"/>
          <w:kern w:val="2"/>
          <w:sz w:val="21"/>
          <w:szCs w:val="21"/>
          <w:lang w:eastAsia="zh-CN"/>
        </w:rPr>
        <w:t>按照自定法确定中标供应商：自定法是指采购人组织定标委员会，由定标委员会在三家候选中标供应商中确定中标供应商。</w:t>
      </w:r>
      <w:bookmarkEnd w:id="85"/>
      <w:bookmarkEnd w:id="86"/>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kern w:val="2"/>
          <w:sz w:val="21"/>
          <w:szCs w:val="21"/>
          <w:lang w:eastAsia="zh-CN"/>
        </w:rPr>
        <w:t>38.2.4</w:t>
      </w:r>
      <w:r>
        <w:rPr>
          <w:rFonts w:ascii="宋体" w:eastAsia="宋体" w:hAnsi="宋体" w:cs="Times New Roman" w:hint="eastAsia"/>
          <w:kern w:val="2"/>
          <w:sz w:val="21"/>
          <w:szCs w:val="21"/>
          <w:lang w:eastAsia="zh-CN"/>
        </w:rPr>
        <w:t>政府集中采购机构</w:t>
      </w:r>
      <w:r>
        <w:rPr>
          <w:rFonts w:ascii="Calibri" w:eastAsia="宋体" w:hAnsi="Calibri" w:cs="Times New Roman"/>
          <w:kern w:val="2"/>
          <w:sz w:val="21"/>
          <w:szCs w:val="22"/>
          <w:lang w:eastAsia="zh-CN"/>
        </w:rPr>
        <w:t>应当自评审结束之日起两个工作日内将候选中标供应商名单及其投标文件、评审报告送交采购人</w:t>
      </w:r>
      <w:r>
        <w:rPr>
          <w:rFonts w:ascii="宋体" w:eastAsia="宋体" w:hAnsi="宋体" w:cs="Times New Roman" w:hint="eastAsia"/>
          <w:kern w:val="2"/>
          <w:sz w:val="21"/>
          <w:szCs w:val="21"/>
          <w:lang w:eastAsia="zh-CN"/>
        </w:rPr>
        <w:t>。</w:t>
      </w:r>
      <w:r>
        <w:rPr>
          <w:rFonts w:ascii="Calibri" w:eastAsia="宋体" w:hAnsi="Calibri" w:cs="Times New Roman"/>
          <w:kern w:val="2"/>
          <w:sz w:val="21"/>
          <w:szCs w:val="22"/>
          <w:lang w:eastAsia="zh-CN"/>
        </w:rPr>
        <w:t>采购人应当安排专人对定标过程进行书面记录，形成定标报告，作为采购文件的组成部分存档，并及时将定标结果反馈</w:t>
      </w:r>
      <w:r>
        <w:rPr>
          <w:rFonts w:ascii="Calibri" w:eastAsia="宋体" w:hAnsi="Calibri" w:cs="Times New Roman" w:hint="eastAsia"/>
          <w:kern w:val="2"/>
          <w:sz w:val="21"/>
          <w:szCs w:val="22"/>
          <w:lang w:eastAsia="zh-CN"/>
        </w:rPr>
        <w:t>政府集中采购机构。具体定标程序及相关要求以按照《</w:t>
      </w:r>
      <w:r>
        <w:rPr>
          <w:rFonts w:ascii="Calibri" w:eastAsia="宋体" w:hAnsi="Calibri" w:cs="Times New Roman"/>
          <w:kern w:val="2"/>
          <w:sz w:val="21"/>
          <w:szCs w:val="22"/>
          <w:lang w:eastAsia="zh-CN"/>
        </w:rPr>
        <w:t>深圳市财政局关于印发</w:t>
      </w:r>
      <w:r>
        <w:rPr>
          <w:rFonts w:ascii="宋体" w:eastAsia="宋体" w:hAnsi="宋体" w:cs="Times New Roman" w:hint="eastAsia"/>
          <w:kern w:val="2"/>
          <w:sz w:val="21"/>
          <w:szCs w:val="22"/>
          <w:lang w:eastAsia="zh-CN"/>
        </w:rPr>
        <w:t>〈</w:t>
      </w:r>
      <w:r>
        <w:rPr>
          <w:rFonts w:ascii="Calibri" w:eastAsia="宋体" w:hAnsi="Calibri" w:cs="Times New Roman"/>
          <w:kern w:val="2"/>
          <w:sz w:val="21"/>
          <w:szCs w:val="22"/>
          <w:lang w:eastAsia="zh-CN"/>
        </w:rPr>
        <w:t>深圳市政府采购评标定标分离管理办法</w:t>
      </w:r>
      <w:r>
        <w:rPr>
          <w:rFonts w:ascii="宋体" w:eastAsia="宋体" w:hAnsi="宋体" w:cs="Times New Roman" w:hint="eastAsia"/>
          <w:kern w:val="2"/>
          <w:sz w:val="21"/>
          <w:szCs w:val="22"/>
          <w:lang w:eastAsia="zh-CN"/>
        </w:rPr>
        <w:t>〉</w:t>
      </w:r>
      <w:r>
        <w:rPr>
          <w:rFonts w:ascii="Calibri" w:eastAsia="宋体" w:hAnsi="Calibri" w:cs="Times New Roman"/>
          <w:kern w:val="2"/>
          <w:sz w:val="21"/>
          <w:szCs w:val="22"/>
          <w:lang w:eastAsia="zh-CN"/>
        </w:rPr>
        <w:t>的通知</w:t>
      </w:r>
      <w:r>
        <w:rPr>
          <w:rFonts w:ascii="Calibri" w:eastAsia="宋体" w:hAnsi="Calibri" w:cs="Times New Roman" w:hint="eastAsia"/>
          <w:kern w:val="2"/>
          <w:sz w:val="21"/>
          <w:szCs w:val="22"/>
          <w:lang w:eastAsia="zh-CN"/>
        </w:rPr>
        <w:t>》（深财规【2</w:t>
      </w:r>
      <w:r>
        <w:rPr>
          <w:rFonts w:ascii="Calibri" w:eastAsia="宋体" w:hAnsi="Calibri" w:cs="Times New Roman"/>
          <w:kern w:val="2"/>
          <w:sz w:val="21"/>
          <w:szCs w:val="22"/>
          <w:lang w:eastAsia="zh-CN"/>
        </w:rPr>
        <w:t>020</w:t>
      </w:r>
      <w:r>
        <w:rPr>
          <w:rFonts w:ascii="Calibri" w:eastAsia="宋体" w:hAnsi="Calibri" w:cs="Times New Roman" w:hint="eastAsia"/>
          <w:kern w:val="2"/>
          <w:sz w:val="21"/>
          <w:szCs w:val="22"/>
          <w:lang w:eastAsia="zh-CN"/>
        </w:rPr>
        <w:t>】1号）执行。</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说明：采购人及投标供应商应按照上述方法提前做好相关准备。</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38.3专用条款另有规定的，按专用条款相关要求定标。</w:t>
      </w:r>
      <w:bookmarkEnd w:id="84"/>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39．编写评审报告</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40．中标公告</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40.1</w:t>
      </w:r>
      <w:bookmarkStart w:id="87" w:name="_Hlk72438709"/>
      <w:r>
        <w:rPr>
          <w:rFonts w:ascii="宋体" w:eastAsia="宋体" w:hAnsi="宋体" w:cs="Times New Roman" w:hint="eastAsia"/>
          <w:kern w:val="2"/>
          <w:sz w:val="21"/>
          <w:szCs w:val="21"/>
          <w:lang w:eastAsia="zh-CN"/>
        </w:rPr>
        <w:t>为体现“公开、公平、公正”的原则，评审结束后经采购人确认（确定）评审结果，政府集中采购机构将在</w:t>
      </w:r>
      <w:r>
        <w:rPr>
          <w:rFonts w:ascii="宋体" w:eastAsia="宋体" w:hAnsi="宋体" w:cs="Times New Roman" w:hint="eastAsia"/>
          <w:b/>
          <w:bCs/>
          <w:kern w:val="2"/>
          <w:sz w:val="21"/>
          <w:szCs w:val="22"/>
          <w:lang w:eastAsia="zh-CN"/>
        </w:rPr>
        <w:t>深圳政府采购自行采购系统</w:t>
      </w:r>
      <w:r>
        <w:rPr>
          <w:rFonts w:ascii="宋体" w:eastAsia="宋体" w:hAnsi="宋体" w:cs="Times New Roman" w:hint="eastAsia"/>
          <w:b/>
          <w:bCs/>
          <w:kern w:val="2"/>
          <w:sz w:val="21"/>
          <w:szCs w:val="21"/>
          <w:lang w:eastAsia="zh-CN"/>
        </w:rPr>
        <w:t>（https://zxcg.szggzy.com/home/index.html）</w:t>
      </w:r>
      <w:r>
        <w:rPr>
          <w:rFonts w:ascii="宋体" w:eastAsia="宋体" w:hAnsi="宋体" w:cs="Times New Roman" w:hint="eastAsia"/>
          <w:kern w:val="2"/>
          <w:sz w:val="21"/>
          <w:szCs w:val="21"/>
          <w:lang w:eastAsia="zh-CN"/>
        </w:rPr>
        <w:t>上发布中标结果公告。</w:t>
      </w:r>
      <w:bookmarkEnd w:id="87"/>
      <w:bookmarkStart w:id="88" w:name="_Hlk72438751"/>
      <w:r>
        <w:rPr>
          <w:rFonts w:ascii="宋体" w:eastAsia="宋体" w:hAnsi="宋体" w:cs="Times New Roman" w:hint="eastAsia"/>
          <w:kern w:val="2"/>
          <w:sz w:val="21"/>
          <w:szCs w:val="21"/>
          <w:lang w:eastAsia="zh-CN"/>
        </w:rPr>
        <w:t>供应商如对评审结果有异议，</w:t>
      </w:r>
      <w:r>
        <w:rPr>
          <w:rFonts w:ascii="宋体" w:eastAsia="宋体" w:hAnsi="宋体" w:cs="Times New Roman"/>
          <w:kern w:val="2"/>
          <w:sz w:val="21"/>
          <w:szCs w:val="21"/>
          <w:lang w:eastAsia="zh-CN"/>
        </w:rPr>
        <w:t>可在发布公示日期起</w:t>
      </w:r>
      <w:r>
        <w:rPr>
          <w:rFonts w:ascii="宋体" w:eastAsia="宋体" w:hAnsi="宋体" w:cs="Times New Roman" w:hint="eastAsia"/>
          <w:kern w:val="2"/>
          <w:sz w:val="21"/>
          <w:szCs w:val="21"/>
          <w:lang w:eastAsia="zh-CN"/>
        </w:rPr>
        <w:t>七</w:t>
      </w:r>
      <w:r>
        <w:rPr>
          <w:rFonts w:ascii="宋体" w:eastAsia="宋体" w:hAnsi="宋体" w:cs="Times New Roman"/>
          <w:kern w:val="2"/>
          <w:sz w:val="21"/>
          <w:szCs w:val="21"/>
          <w:lang w:eastAsia="zh-CN"/>
        </w:rPr>
        <w:t>个工作日内向</w:t>
      </w:r>
      <w:r>
        <w:rPr>
          <w:rFonts w:ascii="宋体" w:eastAsia="宋体" w:hAnsi="宋体" w:cs="Times New Roman" w:hint="eastAsia"/>
          <w:kern w:val="2"/>
          <w:sz w:val="21"/>
          <w:szCs w:val="21"/>
          <w:lang w:eastAsia="zh-CN"/>
        </w:rPr>
        <w:t>政府集中采购机构</w:t>
      </w:r>
      <w:r>
        <w:rPr>
          <w:rFonts w:ascii="宋体" w:eastAsia="宋体" w:hAnsi="宋体" w:cs="Times New Roman"/>
          <w:kern w:val="2"/>
          <w:sz w:val="21"/>
          <w:szCs w:val="21"/>
          <w:lang w:eastAsia="zh-CN"/>
        </w:rPr>
        <w:t>提出。 监督电话：0755-83948143。</w:t>
      </w:r>
      <w:r>
        <w:rPr>
          <w:rFonts w:ascii="宋体" w:eastAsia="宋体" w:hAnsi="宋体" w:cs="Times New Roman" w:hint="eastAsia"/>
          <w:kern w:val="2"/>
          <w:sz w:val="21"/>
          <w:szCs w:val="21"/>
          <w:lang w:eastAsia="zh-CN"/>
        </w:rPr>
        <w:t>若在公示期内未提出质疑，则视为认同该评审结果。</w:t>
      </w:r>
    </w:p>
    <w:bookmarkEnd w:id="88"/>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40.2质疑、投诉供应商应保证质疑、投诉内容的真实性和可靠性，并承担相应的法律责任。</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41．中标通知书</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41</w:t>
      </w:r>
      <w:r>
        <w:rPr>
          <w:rFonts w:ascii="宋体" w:eastAsia="宋体" w:hAnsi="宋体" w:cs="Times New Roman"/>
          <w:kern w:val="2"/>
          <w:sz w:val="21"/>
          <w:szCs w:val="21"/>
          <w:lang w:eastAsia="zh-CN"/>
        </w:rPr>
        <w:t>.</w:t>
      </w:r>
      <w:r>
        <w:rPr>
          <w:rFonts w:ascii="宋体" w:eastAsia="宋体" w:hAnsi="宋体" w:cs="Times New Roman" w:hint="eastAsia"/>
          <w:kern w:val="2"/>
          <w:sz w:val="21"/>
          <w:szCs w:val="21"/>
          <w:lang w:eastAsia="zh-CN"/>
        </w:rPr>
        <w:t>1</w:t>
      </w:r>
      <w:bookmarkStart w:id="89" w:name="_Hlk72438863"/>
      <w:r>
        <w:rPr>
          <w:rFonts w:ascii="宋体" w:eastAsia="宋体" w:hAnsi="宋体" w:cs="Times New Roman" w:hint="eastAsia"/>
          <w:kern w:val="2"/>
          <w:sz w:val="21"/>
          <w:szCs w:val="21"/>
          <w:lang w:eastAsia="zh-CN"/>
        </w:rPr>
        <w:t>中标公告公布以后无异常的情况下,中标供应商和采购人可自行登录</w:t>
      </w:r>
      <w:r>
        <w:rPr>
          <w:rFonts w:ascii="宋体" w:eastAsia="宋体" w:hAnsi="宋体" w:cs="Times New Roman" w:hint="eastAsia"/>
          <w:b/>
          <w:bCs/>
          <w:kern w:val="2"/>
          <w:sz w:val="21"/>
          <w:szCs w:val="21"/>
          <w:lang w:eastAsia="zh-CN"/>
        </w:rPr>
        <w:t>“</w:t>
      </w:r>
      <w:r>
        <w:rPr>
          <w:rFonts w:ascii="宋体" w:eastAsia="宋体" w:hAnsi="宋体" w:cs="Times New Roman" w:hint="eastAsia"/>
          <w:kern w:val="2"/>
          <w:sz w:val="21"/>
          <w:szCs w:val="22"/>
          <w:lang w:eastAsia="zh-CN"/>
        </w:rPr>
        <w:t>深圳政府采购自行采购系统（https://trade.szggzy.com/ggzy/center/#/login）</w:t>
      </w:r>
      <w:r>
        <w:rPr>
          <w:rFonts w:ascii="宋体" w:eastAsia="宋体" w:hAnsi="宋体" w:cs="Times New Roman" w:hint="eastAsia"/>
          <w:b/>
          <w:bCs/>
          <w:kern w:val="2"/>
          <w:sz w:val="21"/>
          <w:szCs w:val="21"/>
          <w:lang w:eastAsia="zh-CN"/>
        </w:rPr>
        <w:t>”</w:t>
      </w:r>
      <w:r>
        <w:rPr>
          <w:rFonts w:ascii="宋体" w:eastAsia="宋体" w:hAnsi="宋体" w:cs="Times New Roman" w:hint="eastAsia"/>
          <w:kern w:val="2"/>
          <w:sz w:val="21"/>
          <w:szCs w:val="21"/>
          <w:lang w:eastAsia="zh-CN"/>
        </w:rPr>
        <w:t>上打印</w:t>
      </w:r>
      <w:r>
        <w:rPr>
          <w:rFonts w:ascii="宋体" w:eastAsia="宋体" w:hAnsi="宋体" w:cs="Times New Roman" w:hint="eastAsia"/>
          <w:b/>
          <w:kern w:val="2"/>
          <w:sz w:val="21"/>
          <w:szCs w:val="21"/>
          <w:lang w:eastAsia="zh-CN"/>
        </w:rPr>
        <w:t>《数字中标通知书》</w:t>
      </w:r>
      <w:r>
        <w:rPr>
          <w:rFonts w:ascii="宋体" w:eastAsia="宋体" w:hAnsi="宋体" w:cs="Times New Roman" w:hint="eastAsia"/>
          <w:kern w:val="2"/>
          <w:sz w:val="21"/>
          <w:szCs w:val="21"/>
          <w:lang w:eastAsia="zh-CN"/>
        </w:rPr>
        <w:t>。</w:t>
      </w:r>
      <w:bookmarkEnd w:id="89"/>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41</w:t>
      </w:r>
      <w:r>
        <w:rPr>
          <w:rFonts w:ascii="宋体" w:eastAsia="宋体" w:hAnsi="宋体" w:cs="Times New Roman"/>
          <w:kern w:val="2"/>
          <w:sz w:val="21"/>
          <w:szCs w:val="21"/>
          <w:lang w:eastAsia="zh-CN"/>
        </w:rPr>
        <w:t>.2</w:t>
      </w:r>
      <w:r>
        <w:rPr>
          <w:rFonts w:ascii="宋体" w:eastAsia="宋体" w:hAnsi="宋体" w:cs="Times New Roman" w:hint="eastAsia"/>
          <w:kern w:val="2"/>
          <w:sz w:val="21"/>
          <w:szCs w:val="21"/>
          <w:lang w:eastAsia="zh-CN"/>
        </w:rPr>
        <w:t>中标通知书是合同的重要组成部分。</w:t>
      </w:r>
    </w:p>
    <w:p>
      <w:pPr>
        <w:widowControl w:val="0"/>
        <w:ind w:firstLine="412" w:firstLineChars="196"/>
        <w:jc w:val="both"/>
        <w:rPr>
          <w:rFonts w:ascii="宋体" w:eastAsia="宋体" w:hAnsi="宋体" w:hint="eastAsia"/>
          <w:kern w:val="2"/>
          <w:sz w:val="21"/>
          <w:szCs w:val="21"/>
          <w:lang w:eastAsia="zh-CN"/>
        </w:rPr>
      </w:pPr>
      <w:bookmarkStart w:id="90" w:name="_Hlk71407340"/>
      <w:r>
        <w:rPr>
          <w:rFonts w:ascii="宋体" w:eastAsia="宋体" w:hAnsi="宋体" w:cs="Times New Roman" w:hint="eastAsia"/>
          <w:kern w:val="2"/>
          <w:sz w:val="21"/>
          <w:szCs w:val="21"/>
          <w:lang w:eastAsia="zh-CN"/>
        </w:rPr>
        <w:t>41.3因质疑投诉或其它原因导致项目结果变更或采购终止的，政府集中采购机构有权吊销中标通知书。</w:t>
      </w:r>
    </w:p>
    <w:bookmarkEnd w:id="90"/>
    <w:p>
      <w:pPr>
        <w:widowControl w:val="0"/>
        <w:ind w:firstLine="412" w:firstLineChars="196"/>
        <w:jc w:val="both"/>
        <w:rPr>
          <w:rFonts w:ascii="宋体" w:eastAsia="宋体" w:hAnsi="宋体" w:hint="eastAsia"/>
          <w:kern w:val="2"/>
          <w:sz w:val="21"/>
          <w:szCs w:val="21"/>
          <w:lang w:eastAsia="zh-CN"/>
        </w:rPr>
      </w:pPr>
    </w:p>
    <w:p>
      <w:pPr>
        <w:keepNext/>
        <w:keepLines/>
        <w:widowControl w:val="0"/>
        <w:numPr>
          <w:ilvl w:val="0"/>
          <w:numId w:val="7"/>
        </w:numPr>
        <w:spacing w:before="120" w:beforeLines="50" w:after="120" w:afterLines="50" w:line="416" w:lineRule="auto"/>
        <w:ind w:left="562" w:hanging="562"/>
        <w:jc w:val="both"/>
        <w:outlineLvl w:val="1"/>
        <w:rPr>
          <w:rFonts w:ascii="Cambria" w:eastAsia="宋体" w:hAnsi="Cambria"/>
          <w:b/>
          <w:bCs/>
          <w:kern w:val="2"/>
          <w:sz w:val="28"/>
          <w:szCs w:val="28"/>
          <w:lang w:eastAsia="zh-CN"/>
        </w:rPr>
      </w:pPr>
      <w:r>
        <w:rPr>
          <w:rFonts w:ascii="Cambria" w:eastAsia="宋体" w:hAnsi="Cambria" w:cs="Times New Roman" w:hint="eastAsia"/>
          <w:b/>
          <w:bCs/>
          <w:kern w:val="2"/>
          <w:sz w:val="28"/>
          <w:szCs w:val="28"/>
          <w:lang w:eastAsia="zh-CN"/>
        </w:rPr>
        <w:t>公开招标失败的后续处理</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42．公开招标失败的处理</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1"/>
          <w:lang w:eastAsia="zh-CN"/>
        </w:rPr>
        <w:t>42.1本项目公开招标过程中若由于投标截止后</w:t>
      </w:r>
      <w:r>
        <w:rPr>
          <w:rFonts w:ascii="宋体" w:eastAsia="宋体" w:hAnsi="宋体" w:cs="Times New Roman" w:hint="eastAsia"/>
          <w:kern w:val="2"/>
          <w:sz w:val="21"/>
          <w:szCs w:val="22"/>
          <w:lang w:eastAsia="zh-CN"/>
        </w:rPr>
        <w:t>实际递交</w:t>
      </w:r>
      <w:r>
        <w:rPr>
          <w:rFonts w:ascii="宋体" w:eastAsia="宋体" w:hAnsi="宋体" w:cs="Times New Roman"/>
          <w:kern w:val="2"/>
          <w:sz w:val="21"/>
          <w:szCs w:val="22"/>
          <w:lang w:eastAsia="zh-CN"/>
        </w:rPr>
        <w:t>投标</w:t>
      </w:r>
      <w:r>
        <w:rPr>
          <w:rFonts w:ascii="宋体" w:eastAsia="宋体" w:hAnsi="宋体" w:cs="Times New Roman" w:hint="eastAsia"/>
          <w:kern w:val="2"/>
          <w:sz w:val="21"/>
          <w:szCs w:val="22"/>
          <w:lang w:eastAsia="zh-CN"/>
        </w:rPr>
        <w:t>文件的供应商数量不足、经</w:t>
      </w:r>
      <w:r>
        <w:rPr>
          <w:rFonts w:ascii="宋体" w:eastAsia="宋体" w:hAnsi="宋体" w:cs="Times New Roman" w:hint="eastAsia"/>
          <w:kern w:val="2"/>
          <w:sz w:val="21"/>
          <w:szCs w:val="21"/>
          <w:lang w:eastAsia="zh-CN"/>
        </w:rPr>
        <w:t>评审委员会</w:t>
      </w:r>
      <w:r>
        <w:rPr>
          <w:rFonts w:ascii="宋体" w:eastAsia="宋体" w:hAnsi="宋体" w:cs="Times New Roman" w:hint="eastAsia"/>
          <w:kern w:val="2"/>
          <w:sz w:val="21"/>
          <w:szCs w:val="22"/>
          <w:lang w:eastAsia="zh-CN"/>
        </w:rPr>
        <w:t>评审对招标文件作实质响应的供应商不足等原因造成公开招标失败，可由</w:t>
      </w:r>
      <w:r>
        <w:rPr>
          <w:rFonts w:ascii="宋体" w:eastAsia="宋体" w:hAnsi="宋体" w:cs="宋体" w:hint="eastAsia"/>
          <w:kern w:val="2"/>
          <w:sz w:val="21"/>
          <w:szCs w:val="22"/>
          <w:lang w:eastAsia="zh-CN"/>
        </w:rPr>
        <w:t>政府集中采购机构</w:t>
      </w:r>
      <w:r>
        <w:rPr>
          <w:rFonts w:ascii="宋体" w:eastAsia="宋体" w:hAnsi="宋体" w:cs="Times New Roman" w:hint="eastAsia"/>
          <w:kern w:val="2"/>
          <w:sz w:val="21"/>
          <w:szCs w:val="22"/>
          <w:lang w:eastAsia="zh-CN"/>
        </w:rPr>
        <w:t>重新组织采购。</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42.3重新组织采购有以下两种组织形式：</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（1）由政府集中采购机构重新组织公开招标；</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（2）根据实际情况需要向同级财政部门提出非公开招标方式申请，经同级财政部门批准，公开招标失败采购项目可转为竞争性谈判或单一来源谈判方式采购。</w:t>
      </w:r>
    </w:p>
    <w:p>
      <w:pPr>
        <w:widowControl w:val="0"/>
        <w:ind w:firstLine="412"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42.4公开招标失败的采购项目重新组织公开招标，由政府集中采购机构重新按公开招标流程组织采购活动。</w:t>
      </w:r>
    </w:p>
    <w:p>
      <w:pPr>
        <w:widowControl w:val="0"/>
        <w:jc w:val="both"/>
        <w:rPr>
          <w:rFonts w:ascii="宋体" w:eastAsia="宋体" w:hAnsi="宋体" w:hint="eastAsia"/>
          <w:kern w:val="2"/>
          <w:sz w:val="21"/>
          <w:szCs w:val="22"/>
          <w:lang w:eastAsia="zh-CN"/>
        </w:rPr>
      </w:pPr>
      <w:r>
        <w:rPr>
          <w:rFonts w:ascii="黑体" w:eastAsia="黑体" w:hAnsi="宋体" w:cs="Times New Roman" w:hint="eastAsia"/>
          <w:kern w:val="2"/>
          <w:szCs w:val="22"/>
          <w:lang w:eastAsia="zh-CN"/>
        </w:rPr>
        <w:t xml:space="preserve">    </w:t>
      </w:r>
      <w:r>
        <w:rPr>
          <w:rFonts w:ascii="宋体" w:eastAsia="宋体" w:hAnsi="宋体" w:cs="Times New Roman" w:hint="eastAsia"/>
          <w:kern w:val="2"/>
          <w:sz w:val="21"/>
          <w:szCs w:val="22"/>
          <w:lang w:eastAsia="zh-CN"/>
        </w:rPr>
        <w:t>42.5公开招标失败的采购项目经同级财政部门批准转为竞争性谈判或单一来源谈判方式采购的，按规定要求组织政府采购工作。</w:t>
      </w:r>
    </w:p>
    <w:p>
      <w:pPr>
        <w:widowControl w:val="0"/>
        <w:jc w:val="both"/>
        <w:rPr>
          <w:rFonts w:ascii="黑体" w:eastAsia="黑体" w:hAnsi="宋体" w:hint="eastAsia"/>
          <w:kern w:val="2"/>
          <w:szCs w:val="22"/>
          <w:lang w:eastAsia="zh-CN"/>
        </w:rPr>
      </w:pPr>
    </w:p>
    <w:p>
      <w:pPr>
        <w:keepNext/>
        <w:keepLines/>
        <w:widowControl w:val="0"/>
        <w:numPr>
          <w:ilvl w:val="0"/>
          <w:numId w:val="7"/>
        </w:numPr>
        <w:spacing w:before="120" w:beforeLines="50" w:after="120" w:afterLines="50" w:line="416" w:lineRule="auto"/>
        <w:ind w:left="562" w:hanging="562"/>
        <w:jc w:val="both"/>
        <w:outlineLvl w:val="1"/>
        <w:rPr>
          <w:rFonts w:ascii="Cambria" w:eastAsia="宋体" w:hAnsi="Cambria"/>
          <w:b/>
          <w:bCs/>
          <w:kern w:val="2"/>
          <w:sz w:val="28"/>
          <w:szCs w:val="28"/>
          <w:lang w:eastAsia="zh-CN"/>
        </w:rPr>
      </w:pPr>
      <w:bookmarkStart w:id="91" w:name="_Hlk72439043"/>
      <w:r>
        <w:rPr>
          <w:rFonts w:ascii="Cambria" w:eastAsia="宋体" w:hAnsi="Cambria" w:cs="Times New Roman" w:hint="eastAsia"/>
          <w:b/>
          <w:bCs/>
          <w:kern w:val="2"/>
          <w:sz w:val="28"/>
          <w:szCs w:val="28"/>
          <w:lang w:eastAsia="zh-CN"/>
        </w:rPr>
        <w:t>合同的授予与备案</w:t>
      </w:r>
      <w:bookmarkEnd w:id="91"/>
    </w:p>
    <w:p>
      <w:pPr>
        <w:widowControl w:val="0"/>
        <w:jc w:val="both"/>
        <w:rPr>
          <w:rFonts w:ascii="黑体" w:eastAsia="黑体" w:hAnsi="宋体" w:hint="eastAsia"/>
          <w:kern w:val="2"/>
          <w:szCs w:val="22"/>
          <w:lang w:eastAsia="zh-CN"/>
        </w:rPr>
      </w:pPr>
      <w:bookmarkStart w:id="92" w:name="_Toc73518157"/>
      <w:bookmarkStart w:id="93" w:name="_Toc73517679"/>
      <w:bookmarkStart w:id="94" w:name="_Toc73521674"/>
      <w:bookmarkStart w:id="95" w:name="_Toc100052408"/>
      <w:bookmarkStart w:id="96" w:name="_Toc73521586"/>
      <w:bookmarkStart w:id="97" w:name="_Hlk72439088"/>
      <w:r>
        <w:rPr>
          <w:rFonts w:ascii="黑体" w:eastAsia="黑体" w:hAnsi="宋体" w:cs="Times New Roman" w:hint="eastAsia"/>
          <w:kern w:val="2"/>
          <w:szCs w:val="22"/>
          <w:lang w:eastAsia="zh-CN"/>
        </w:rPr>
        <w:t>43．合同授予标准</w:t>
      </w:r>
      <w:bookmarkEnd w:id="92"/>
      <w:bookmarkEnd w:id="93"/>
      <w:bookmarkEnd w:id="94"/>
      <w:bookmarkEnd w:id="95"/>
      <w:bookmarkEnd w:id="96"/>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本项目的合同将授予经本招标文件规定评审确定的中标供应商。</w:t>
      </w:r>
    </w:p>
    <w:p>
      <w:pPr>
        <w:widowControl w:val="0"/>
        <w:jc w:val="both"/>
        <w:rPr>
          <w:rFonts w:ascii="黑体" w:eastAsia="黑体" w:hAnsi="宋体" w:hint="eastAsia"/>
          <w:kern w:val="2"/>
          <w:szCs w:val="22"/>
          <w:lang w:eastAsia="zh-CN"/>
        </w:rPr>
      </w:pPr>
      <w:bookmarkStart w:id="98" w:name="_Toc73521587"/>
      <w:bookmarkStart w:id="99" w:name="_Toc73517680"/>
      <w:bookmarkStart w:id="100" w:name="_Toc73518158"/>
      <w:bookmarkStart w:id="101" w:name="_Toc100052409"/>
      <w:bookmarkStart w:id="102" w:name="_Toc73521675"/>
      <w:r>
        <w:rPr>
          <w:rFonts w:ascii="黑体" w:eastAsia="黑体" w:hAnsi="宋体" w:cs="Times New Roman" w:hint="eastAsia"/>
          <w:kern w:val="2"/>
          <w:szCs w:val="22"/>
          <w:lang w:eastAsia="zh-CN"/>
        </w:rPr>
        <w:t>44．</w:t>
      </w:r>
      <w:bookmarkEnd w:id="98"/>
      <w:bookmarkEnd w:id="99"/>
      <w:bookmarkEnd w:id="100"/>
      <w:bookmarkEnd w:id="101"/>
      <w:bookmarkEnd w:id="102"/>
      <w:r>
        <w:rPr>
          <w:rFonts w:ascii="黑体" w:eastAsia="黑体" w:hAnsi="宋体" w:cs="Times New Roman" w:hint="eastAsia"/>
          <w:kern w:val="2"/>
          <w:szCs w:val="22"/>
          <w:lang w:eastAsia="zh-CN"/>
        </w:rPr>
        <w:t>接受和拒绝任何或所有投标的权力</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widowControl w:val="0"/>
        <w:jc w:val="both"/>
        <w:rPr>
          <w:rFonts w:ascii="黑体" w:eastAsia="黑体" w:hAnsi="宋体" w:hint="eastAsia"/>
          <w:kern w:val="2"/>
          <w:szCs w:val="22"/>
          <w:lang w:eastAsia="zh-CN"/>
        </w:rPr>
      </w:pPr>
      <w:bookmarkStart w:id="103" w:name="_Toc73517682"/>
      <w:bookmarkStart w:id="104" w:name="_Toc73521589"/>
      <w:bookmarkStart w:id="105" w:name="_Toc73518160"/>
      <w:bookmarkStart w:id="106" w:name="_Toc73521677"/>
      <w:bookmarkStart w:id="107" w:name="_Toc100052410"/>
      <w:r>
        <w:rPr>
          <w:rFonts w:ascii="黑体" w:eastAsia="黑体" w:hAnsi="宋体" w:cs="Times New Roman" w:hint="eastAsia"/>
          <w:kern w:val="2"/>
          <w:szCs w:val="22"/>
          <w:lang w:eastAsia="zh-CN"/>
        </w:rPr>
        <w:t>45．合同的签订</w:t>
      </w:r>
      <w:bookmarkEnd w:id="103"/>
      <w:bookmarkEnd w:id="104"/>
      <w:bookmarkEnd w:id="105"/>
      <w:bookmarkEnd w:id="106"/>
      <w:bookmarkEnd w:id="107"/>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45.1中标人将于中标通知书发出之日起十个工作日内，按照采购文件（招标文件和投标文件等）内容与采购人签订政府采购合同；合同的实质性内容应当符合招标文件的规定；</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45.2中标人如不按本通用条款第45</w:t>
      </w:r>
      <w:r>
        <w:rPr>
          <w:rFonts w:ascii="宋体" w:eastAsia="宋体" w:hAnsi="宋体" w:cs="Times New Roman"/>
          <w:kern w:val="2"/>
          <w:sz w:val="21"/>
          <w:szCs w:val="21"/>
          <w:lang w:eastAsia="zh-CN"/>
        </w:rPr>
        <w:t>.1</w:t>
      </w:r>
      <w:r>
        <w:rPr>
          <w:rFonts w:ascii="宋体" w:eastAsia="宋体" w:hAnsi="宋体" w:cs="Times New Roman" w:hint="eastAsia"/>
          <w:kern w:val="2"/>
          <w:sz w:val="21"/>
          <w:szCs w:val="21"/>
          <w:lang w:eastAsia="zh-CN"/>
        </w:rPr>
        <w:t>款的规定与采购人签订合同，</w:t>
      </w:r>
      <w:r>
        <w:rPr>
          <w:rFonts w:ascii="宋体" w:eastAsia="宋体" w:hAnsi="宋体" w:cs="宋体"/>
          <w:sz w:val="21"/>
          <w:szCs w:val="21"/>
          <w:lang w:eastAsia="zh-CN"/>
        </w:rPr>
        <w:t>情节严重的，由</w:t>
      </w:r>
      <w:r>
        <w:rPr>
          <w:rFonts w:ascii="宋体" w:eastAsia="宋体" w:hAnsi="宋体" w:cs="宋体" w:hint="eastAsia"/>
          <w:sz w:val="21"/>
          <w:szCs w:val="21"/>
          <w:lang w:eastAsia="zh-CN"/>
        </w:rPr>
        <w:t>同级财政</w:t>
      </w:r>
      <w:r>
        <w:rPr>
          <w:rFonts w:ascii="宋体" w:eastAsia="宋体" w:hAnsi="宋体" w:cs="宋体"/>
          <w:sz w:val="21"/>
          <w:szCs w:val="21"/>
          <w:lang w:eastAsia="zh-CN"/>
        </w:rPr>
        <w:t>部门记入供应商诚信档案，予以通报</w:t>
      </w:r>
      <w:r>
        <w:rPr>
          <w:rFonts w:ascii="宋体" w:eastAsia="宋体" w:hAnsi="宋体" w:cs="Times New Roman" w:hint="eastAsia"/>
          <w:kern w:val="2"/>
          <w:sz w:val="21"/>
          <w:szCs w:val="21"/>
          <w:lang w:eastAsia="zh-CN"/>
        </w:rPr>
        <w:t>；</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45.3中标人应当按照合同约定履行义务，完成中标项目，不得将中标项目转让（转包）给他人。</w:t>
      </w:r>
    </w:p>
    <w:p>
      <w:pPr>
        <w:widowControl w:val="0"/>
        <w:jc w:val="both"/>
        <w:rPr>
          <w:rFonts w:ascii="黑体" w:eastAsia="黑体" w:hAnsi="宋体" w:hint="eastAsia"/>
          <w:kern w:val="2"/>
          <w:szCs w:val="22"/>
          <w:lang w:eastAsia="zh-CN"/>
        </w:rPr>
      </w:pPr>
      <w:bookmarkStart w:id="108" w:name="_Toc73518161"/>
      <w:bookmarkStart w:id="109" w:name="_Toc73521590"/>
      <w:bookmarkStart w:id="110" w:name="_Toc73521678"/>
      <w:bookmarkStart w:id="111" w:name="_Toc73517683"/>
      <w:bookmarkStart w:id="112" w:name="_Toc100052411"/>
      <w:r>
        <w:rPr>
          <w:rFonts w:ascii="黑体" w:eastAsia="黑体" w:hAnsi="宋体" w:cs="Times New Roman" w:hint="eastAsia"/>
          <w:kern w:val="2"/>
          <w:szCs w:val="22"/>
          <w:lang w:eastAsia="zh-CN"/>
        </w:rPr>
        <w:t>46．履约担保</w:t>
      </w:r>
      <w:bookmarkEnd w:id="108"/>
      <w:bookmarkEnd w:id="109"/>
      <w:bookmarkEnd w:id="110"/>
      <w:bookmarkEnd w:id="111"/>
      <w:bookmarkEnd w:id="112"/>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46.1在签订项目合同的同时，中标人应按“对通用条款的补充内容”中规定的金额向采购人提交履约担保；</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46.2，允许供应商自主选择以支票、汇票、本票、保函等非现金方式提交履约担保；</w:t>
      </w:r>
      <w:r>
        <w:rPr>
          <w:rFonts w:ascii="Calibri" w:eastAsia="宋体" w:hAnsi="Calibri" w:cs="Times New Roman"/>
          <w:kern w:val="2"/>
          <w:sz w:val="21"/>
          <w:szCs w:val="22"/>
          <w:lang w:eastAsia="zh-CN"/>
        </w:rPr>
        <w:t>中标</w:t>
      </w:r>
      <w:r>
        <w:rPr>
          <w:rFonts w:ascii="Calibri" w:eastAsia="宋体" w:hAnsi="Calibri" w:cs="Times New Roman" w:hint="eastAsia"/>
          <w:kern w:val="2"/>
          <w:sz w:val="21"/>
          <w:szCs w:val="22"/>
          <w:lang w:eastAsia="zh-CN"/>
        </w:rPr>
        <w:t>人</w:t>
      </w:r>
      <w:r>
        <w:rPr>
          <w:rFonts w:ascii="Calibri" w:eastAsia="宋体" w:hAnsi="Calibri" w:cs="Times New Roman"/>
          <w:kern w:val="2"/>
          <w:sz w:val="21"/>
          <w:szCs w:val="22"/>
          <w:lang w:eastAsia="zh-CN"/>
        </w:rPr>
        <w:t>提交履约</w:t>
      </w:r>
      <w:r>
        <w:rPr>
          <w:rFonts w:ascii="Calibri" w:eastAsia="宋体" w:hAnsi="Calibri" w:cs="Times New Roman" w:hint="eastAsia"/>
          <w:kern w:val="2"/>
          <w:sz w:val="21"/>
          <w:szCs w:val="22"/>
          <w:lang w:eastAsia="zh-CN"/>
        </w:rPr>
        <w:t>担保不是</w:t>
      </w:r>
      <w:r>
        <w:rPr>
          <w:rFonts w:ascii="Calibri" w:eastAsia="宋体" w:hAnsi="Calibri" w:cs="Times New Roman"/>
          <w:kern w:val="2"/>
          <w:sz w:val="21"/>
          <w:szCs w:val="22"/>
          <w:lang w:eastAsia="zh-CN"/>
        </w:rPr>
        <w:t>合同签订的</w:t>
      </w:r>
      <w:r>
        <w:rPr>
          <w:rFonts w:ascii="Calibri" w:eastAsia="宋体" w:hAnsi="Calibri" w:cs="Times New Roman" w:hint="eastAsia"/>
          <w:kern w:val="2"/>
          <w:sz w:val="21"/>
          <w:szCs w:val="22"/>
          <w:lang w:eastAsia="zh-CN"/>
        </w:rPr>
        <w:t>前提</w:t>
      </w:r>
      <w:r>
        <w:rPr>
          <w:rFonts w:ascii="Calibri" w:eastAsia="宋体" w:hAnsi="Calibri" w:cs="Times New Roman"/>
          <w:kern w:val="2"/>
          <w:sz w:val="21"/>
          <w:szCs w:val="22"/>
          <w:lang w:eastAsia="zh-CN"/>
        </w:rPr>
        <w:t>条件，不要求中标</w:t>
      </w:r>
      <w:r>
        <w:rPr>
          <w:rFonts w:ascii="Calibri" w:eastAsia="宋体" w:hAnsi="Calibri" w:cs="Times New Roman" w:hint="eastAsia"/>
          <w:kern w:val="2"/>
          <w:sz w:val="21"/>
          <w:szCs w:val="22"/>
          <w:lang w:eastAsia="zh-CN"/>
        </w:rPr>
        <w:t>人</w:t>
      </w:r>
      <w:r>
        <w:rPr>
          <w:rFonts w:ascii="Calibri" w:eastAsia="宋体" w:hAnsi="Calibri" w:cs="Times New Roman"/>
          <w:kern w:val="2"/>
          <w:sz w:val="21"/>
          <w:szCs w:val="22"/>
          <w:lang w:eastAsia="zh-CN"/>
        </w:rPr>
        <w:t>提供除法律、法规明确规定外的其他担保</w:t>
      </w:r>
      <w:r>
        <w:rPr>
          <w:rFonts w:ascii="Calibri" w:eastAsia="宋体" w:hAnsi="Calibri" w:cs="Times New Roman" w:hint="eastAsia"/>
          <w:kern w:val="2"/>
          <w:sz w:val="21"/>
          <w:szCs w:val="22"/>
          <w:lang w:eastAsia="zh-CN"/>
        </w:rPr>
        <w:t>。</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47. 合同备案</w:t>
      </w:r>
    </w:p>
    <w:p>
      <w:pPr>
        <w:widowControl w:val="0"/>
        <w:jc w:val="both"/>
        <w:rPr>
          <w:rFonts w:ascii="黑体" w:eastAsia="黑体" w:hAnsi="宋体" w:hint="eastAsia"/>
          <w:kern w:val="2"/>
          <w:szCs w:val="22"/>
          <w:lang w:eastAsia="zh-CN"/>
        </w:rPr>
      </w:pPr>
      <w:r>
        <w:rPr>
          <w:rFonts w:ascii="宋体" w:eastAsia="宋体" w:hAnsi="宋体" w:hint="eastAsia"/>
          <w:kern w:val="2"/>
          <w:sz w:val="21"/>
          <w:szCs w:val="21"/>
          <w:lang w:eastAsia="zh-Hans"/>
        </w:rPr>
        <w:t>采购人与中标供应商自中标通知书发出之日起10个工作日内签订政府采购合同，</w:t>
      </w:r>
      <w:r>
        <w:rPr>
          <w:rFonts w:ascii="宋体" w:eastAsia="宋体" w:hAnsi="宋体" w:hint="eastAsia"/>
          <w:kern w:val="2"/>
          <w:sz w:val="21"/>
          <w:szCs w:val="21"/>
          <w:lang w:eastAsia="zh-CN"/>
        </w:rPr>
        <w:t>并按财政部门规定提交备案。</w:t>
      </w:r>
      <w:r>
        <w:rPr>
          <w:rFonts w:ascii="黑体" w:eastAsia="黑体" w:hAnsi="宋体" w:cs="Times New Roman" w:hint="eastAsia"/>
          <w:kern w:val="2"/>
          <w:szCs w:val="22"/>
          <w:lang w:eastAsia="zh-CN"/>
        </w:rPr>
        <w:t>48. 合同变更</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合同变更事宜按《深圳市财政局关于优化政府采购合同备案的通知》（深财发保〔2022〕2号）相关规定执行。</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49. 项目验收</w:t>
      </w:r>
    </w:p>
    <w:p>
      <w:pPr>
        <w:widowControl/>
        <w:ind w:right="176" w:firstLine="420"/>
        <w:jc w:val="left"/>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49.1采购人应当按照招标文件和合同规定的标准和方法，及时组织验收。</w:t>
      </w:r>
      <w:r>
        <w:rPr>
          <w:rFonts w:ascii="宋体" w:eastAsia="宋体" w:hAnsi="宋体" w:cs="Times New Roman"/>
          <w:kern w:val="2"/>
          <w:sz w:val="21"/>
          <w:szCs w:val="22"/>
          <w:lang w:eastAsia="zh-CN"/>
        </w:rPr>
        <w:t xml:space="preserve"> </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50. 宣传</w:t>
      </w:r>
    </w:p>
    <w:p>
      <w:pPr>
        <w:widowControl w:val="0"/>
        <w:ind w:left="240" w:firstLine="412" w:leftChars="100"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凡与政府采购活动有关的宣传或广告，若当中提及政府采购，</w:t>
      </w:r>
      <w:r>
        <w:rPr>
          <w:rFonts w:ascii="宋体" w:eastAsia="宋体" w:hAnsi="宋体" w:cs="Times New Roman"/>
          <w:kern w:val="2"/>
          <w:sz w:val="21"/>
          <w:szCs w:val="22"/>
          <w:lang w:eastAsia="zh-CN"/>
        </w:rPr>
        <w:t>必须事先将具体对外宣传方案报</w:t>
      </w:r>
      <w:r>
        <w:rPr>
          <w:rFonts w:ascii="宋体" w:eastAsia="宋体" w:hAnsi="宋体" w:cs="Times New Roman" w:hint="eastAsia"/>
          <w:kern w:val="2"/>
          <w:sz w:val="21"/>
          <w:szCs w:val="22"/>
          <w:lang w:eastAsia="zh-CN"/>
        </w:rPr>
        <w:t>同级财政部门</w:t>
      </w:r>
      <w:r>
        <w:rPr>
          <w:rFonts w:ascii="宋体" w:eastAsia="宋体" w:hAnsi="宋体" w:cs="Times New Roman"/>
          <w:kern w:val="2"/>
          <w:sz w:val="21"/>
          <w:szCs w:val="22"/>
          <w:lang w:eastAsia="zh-CN"/>
        </w:rPr>
        <w:t>和</w:t>
      </w:r>
      <w:r>
        <w:rPr>
          <w:rFonts w:ascii="宋体" w:eastAsia="宋体" w:hAnsi="宋体" w:cs="Times New Roman" w:hint="eastAsia"/>
          <w:kern w:val="2"/>
          <w:sz w:val="21"/>
          <w:szCs w:val="22"/>
          <w:lang w:eastAsia="zh-CN"/>
        </w:rPr>
        <w:t>政府集中采购机构</w:t>
      </w:r>
      <w:r>
        <w:rPr>
          <w:rFonts w:ascii="宋体" w:eastAsia="宋体" w:hAnsi="宋体" w:cs="Times New Roman"/>
          <w:kern w:val="2"/>
          <w:sz w:val="21"/>
          <w:szCs w:val="22"/>
          <w:lang w:eastAsia="zh-CN"/>
        </w:rPr>
        <w:t>，并征得其同意。对外市场宣传包括但不限于以下形式：</w:t>
      </w:r>
    </w:p>
    <w:p>
      <w:pPr>
        <w:widowControl w:val="0"/>
        <w:ind w:left="240" w:firstLine="412" w:leftChars="100" w:firstLineChars="196"/>
        <w:jc w:val="both"/>
        <w:rPr>
          <w:rFonts w:ascii="宋体" w:eastAsia="宋体" w:hAnsi="宋体" w:hint="eastAsia"/>
          <w:kern w:val="2"/>
          <w:sz w:val="21"/>
          <w:szCs w:val="22"/>
          <w:lang w:eastAsia="zh-CN"/>
        </w:rPr>
      </w:pPr>
      <w:r>
        <w:rPr>
          <w:rFonts w:ascii="宋体" w:eastAsia="宋体" w:hAnsi="宋体" w:cs="Times New Roman"/>
          <w:kern w:val="2"/>
          <w:sz w:val="21"/>
          <w:szCs w:val="22"/>
          <w:lang w:eastAsia="zh-CN"/>
        </w:rPr>
        <w:t>a.名片、宣传册、广告标语等；</w:t>
      </w:r>
    </w:p>
    <w:p>
      <w:pPr>
        <w:widowControl w:val="0"/>
        <w:ind w:left="240" w:firstLine="412" w:leftChars="100" w:firstLineChars="196"/>
        <w:jc w:val="both"/>
        <w:rPr>
          <w:rFonts w:ascii="宋体" w:eastAsia="宋体" w:hAnsi="宋体" w:hint="eastAsia"/>
          <w:kern w:val="2"/>
          <w:sz w:val="21"/>
          <w:szCs w:val="22"/>
          <w:lang w:eastAsia="zh-CN"/>
        </w:rPr>
      </w:pPr>
      <w:r>
        <w:rPr>
          <w:rFonts w:ascii="宋体" w:eastAsia="宋体" w:hAnsi="宋体" w:cs="Times New Roman"/>
          <w:kern w:val="2"/>
          <w:sz w:val="21"/>
          <w:szCs w:val="22"/>
          <w:lang w:eastAsia="zh-CN"/>
        </w:rPr>
        <w:t>b.案例介绍、推广等；</w:t>
      </w:r>
    </w:p>
    <w:p>
      <w:pPr>
        <w:widowControl w:val="0"/>
        <w:ind w:left="240" w:firstLine="412" w:leftChars="100" w:firstLineChars="196"/>
        <w:jc w:val="both"/>
        <w:rPr>
          <w:rFonts w:ascii="宋体" w:eastAsia="宋体" w:hAnsi="宋体" w:hint="eastAsia"/>
          <w:kern w:val="2"/>
          <w:sz w:val="21"/>
          <w:szCs w:val="22"/>
          <w:lang w:eastAsia="zh-CN"/>
        </w:rPr>
      </w:pPr>
      <w:r>
        <w:rPr>
          <w:rFonts w:ascii="宋体" w:eastAsia="宋体" w:hAnsi="宋体" w:cs="Times New Roman" w:hint="eastAsia"/>
          <w:kern w:val="2"/>
          <w:sz w:val="21"/>
          <w:szCs w:val="22"/>
          <w:lang w:eastAsia="zh-CN"/>
        </w:rPr>
        <w:t>c.工作</w:t>
      </w:r>
      <w:r>
        <w:rPr>
          <w:rFonts w:ascii="宋体" w:eastAsia="宋体" w:hAnsi="宋体" w:cs="Times New Roman"/>
          <w:kern w:val="2"/>
          <w:sz w:val="21"/>
          <w:szCs w:val="22"/>
          <w:lang w:eastAsia="zh-CN"/>
        </w:rPr>
        <w:t>人员向其他消费群体宣传。</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51. 供应商违法责任</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5</w:t>
      </w:r>
      <w:r>
        <w:rPr>
          <w:rFonts w:ascii="宋体" w:eastAsia="宋体" w:hAnsi="宋体" w:cs="Times New Roman"/>
          <w:kern w:val="2"/>
          <w:sz w:val="21"/>
          <w:szCs w:val="21"/>
          <w:lang w:eastAsia="zh-CN"/>
        </w:rPr>
        <w:t>1.1</w:t>
      </w:r>
      <w:r>
        <w:rPr>
          <w:rFonts w:ascii="宋体" w:eastAsia="宋体" w:hAnsi="宋体" w:cs="Times New Roman" w:hint="eastAsia"/>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（1）在采购活动中应当回避而未回避的；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（2）未按本条例规定签订、履行采购合同，造成严重后果的；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（3）隐瞒真实情况，提供虚假资料的；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（4）以非法手段排斥其他供应商参与竞争的；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（5）与其他采购参加人串通投标的；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（6）恶意投诉的；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（7）向采购项目相关人行贿或者提供其他不当利益的；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（8）阻碍、抗拒主管部门监督检查的；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（9）其他违反本条例规定的行为。</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5</w:t>
      </w:r>
      <w:r>
        <w:rPr>
          <w:rFonts w:ascii="宋体" w:eastAsia="宋体" w:hAnsi="宋体" w:cs="Times New Roman"/>
          <w:kern w:val="2"/>
          <w:sz w:val="21"/>
          <w:szCs w:val="21"/>
          <w:lang w:eastAsia="zh-CN"/>
        </w:rPr>
        <w:t xml:space="preserve">1.2 </w:t>
      </w:r>
      <w:r>
        <w:rPr>
          <w:rFonts w:ascii="宋体" w:eastAsia="宋体" w:hAnsi="宋体" w:cs="Times New Roman" w:hint="eastAsia"/>
          <w:kern w:val="2"/>
          <w:sz w:val="21"/>
          <w:szCs w:val="21"/>
          <w:lang w:eastAsia="zh-CN"/>
        </w:rPr>
        <w:t>根据《深圳市财政局关于调整政府采购投标（响应）保证金管理政策的通知 》（深财购〔2021〕51 号）的要求，供应商在政府采购活动中出现《深圳经济特区政府采购条例实施细则》第八十条所列情形的，</w:t>
      </w:r>
      <w:bookmarkStart w:id="113" w:name="_Hlk72440769"/>
      <w:r>
        <w:rPr>
          <w:rFonts w:ascii="宋体" w:eastAsia="宋体" w:hAnsi="宋体" w:cs="Times New Roman" w:hint="eastAsia"/>
          <w:kern w:val="2"/>
          <w:sz w:val="21"/>
          <w:szCs w:val="21"/>
          <w:lang w:eastAsia="zh-CN"/>
        </w:rPr>
        <w:t>政府集中采购机构或采购人不予退还其交纳的谈判保证金，情节严重的，并由主管部门</w:t>
      </w:r>
      <w:bookmarkEnd w:id="113"/>
      <w:r>
        <w:rPr>
          <w:rFonts w:ascii="宋体" w:eastAsia="宋体" w:hAnsi="宋体" w:cs="Times New Roman" w:hint="eastAsia"/>
          <w:kern w:val="2"/>
          <w:sz w:val="21"/>
          <w:szCs w:val="21"/>
          <w:lang w:eastAsia="zh-CN"/>
        </w:rPr>
        <w:t>记入供应商诚信档案，予以通报：</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w:t>
      </w:r>
      <w:r>
        <w:rPr>
          <w:rFonts w:ascii="宋体" w:eastAsia="宋体" w:hAnsi="宋体" w:cs="Times New Roman"/>
          <w:kern w:val="2"/>
          <w:sz w:val="21"/>
          <w:szCs w:val="21"/>
          <w:lang w:eastAsia="zh-CN"/>
        </w:rPr>
        <w:t>）投标截止后，撤销投标的；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kern w:val="2"/>
          <w:sz w:val="21"/>
          <w:szCs w:val="21"/>
          <w:lang w:eastAsia="zh-CN"/>
        </w:rPr>
        <w:t>（</w:t>
      </w:r>
      <w:r>
        <w:rPr>
          <w:rFonts w:ascii="宋体" w:eastAsia="宋体" w:hAnsi="宋体" w:cs="Times New Roman" w:hint="eastAsia"/>
          <w:kern w:val="2"/>
          <w:sz w:val="21"/>
          <w:szCs w:val="21"/>
          <w:lang w:eastAsia="zh-CN"/>
        </w:rPr>
        <w:t>2</w:t>
      </w:r>
      <w:r>
        <w:rPr>
          <w:rFonts w:ascii="宋体" w:eastAsia="宋体" w:hAnsi="宋体" w:cs="Times New Roman"/>
          <w:kern w:val="2"/>
          <w:sz w:val="21"/>
          <w:szCs w:val="21"/>
          <w:lang w:eastAsia="zh-CN"/>
        </w:rPr>
        <w:t>）中标后无正当理由未在规定期限内签订合同的；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kern w:val="2"/>
          <w:sz w:val="21"/>
          <w:szCs w:val="21"/>
          <w:lang w:eastAsia="zh-CN"/>
        </w:rPr>
        <w:t>（</w:t>
      </w:r>
      <w:r>
        <w:rPr>
          <w:rFonts w:ascii="宋体" w:eastAsia="宋体" w:hAnsi="宋体" w:cs="Times New Roman" w:hint="eastAsia"/>
          <w:kern w:val="2"/>
          <w:sz w:val="21"/>
          <w:szCs w:val="21"/>
          <w:lang w:eastAsia="zh-CN"/>
        </w:rPr>
        <w:t>3</w:t>
      </w:r>
      <w:r>
        <w:rPr>
          <w:rFonts w:ascii="宋体" w:eastAsia="宋体" w:hAnsi="宋体" w:cs="Times New Roman"/>
          <w:kern w:val="2"/>
          <w:sz w:val="21"/>
          <w:szCs w:val="21"/>
          <w:lang w:eastAsia="zh-CN"/>
        </w:rPr>
        <w:t>）将中标项目转让给他人、或者在投标文件中未说明且未经采购人、采购招标机构同意，将中标项目分包给他人的；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cs="Times New Roman"/>
          <w:kern w:val="2"/>
          <w:sz w:val="21"/>
          <w:szCs w:val="21"/>
          <w:lang w:eastAsia="zh-CN"/>
        </w:rPr>
        <w:t>（</w:t>
      </w:r>
      <w:r>
        <w:rPr>
          <w:rFonts w:ascii="宋体" w:eastAsia="宋体" w:hAnsi="宋体" w:cs="Times New Roman" w:hint="eastAsia"/>
          <w:kern w:val="2"/>
          <w:sz w:val="21"/>
          <w:szCs w:val="21"/>
          <w:lang w:eastAsia="zh-CN"/>
        </w:rPr>
        <w:t>4</w:t>
      </w:r>
      <w:r>
        <w:rPr>
          <w:rFonts w:ascii="宋体" w:eastAsia="宋体" w:hAnsi="宋体" w:cs="Times New Roman"/>
          <w:kern w:val="2"/>
          <w:sz w:val="21"/>
          <w:szCs w:val="21"/>
          <w:lang w:eastAsia="zh-CN"/>
        </w:rPr>
        <w:t>）拒绝履行合同义务的</w:t>
      </w:r>
      <w:r>
        <w:rPr>
          <w:rFonts w:ascii="宋体" w:eastAsia="宋体" w:hAnsi="宋体" w:cs="Times New Roman" w:hint="eastAsia"/>
          <w:kern w:val="2"/>
          <w:sz w:val="21"/>
          <w:szCs w:val="21"/>
          <w:lang w:eastAsia="zh-CN"/>
        </w:rPr>
        <w:t>。</w:t>
      </w:r>
    </w:p>
    <w:bookmarkEnd w:id="97"/>
    <w:p>
      <w:pPr>
        <w:keepNext/>
        <w:keepLines/>
        <w:widowControl w:val="0"/>
        <w:numPr>
          <w:ilvl w:val="0"/>
          <w:numId w:val="7"/>
        </w:numPr>
        <w:spacing w:before="120" w:beforeLines="50" w:after="120" w:afterLines="50" w:line="416" w:lineRule="auto"/>
        <w:ind w:left="562" w:hanging="562"/>
        <w:jc w:val="both"/>
        <w:outlineLvl w:val="1"/>
        <w:rPr>
          <w:rFonts w:ascii="Cambria" w:eastAsia="宋体" w:hAnsi="Cambria"/>
          <w:b/>
          <w:bCs/>
          <w:kern w:val="2"/>
          <w:sz w:val="28"/>
          <w:szCs w:val="28"/>
          <w:lang w:eastAsia="zh-CN"/>
        </w:rPr>
      </w:pPr>
      <w:r>
        <w:rPr>
          <w:rFonts w:ascii="Cambria" w:eastAsia="宋体" w:hAnsi="Cambria" w:cs="Times New Roman" w:hint="eastAsia"/>
          <w:b/>
          <w:bCs/>
          <w:kern w:val="2"/>
          <w:sz w:val="28"/>
          <w:szCs w:val="28"/>
          <w:lang w:eastAsia="zh-CN"/>
        </w:rPr>
        <w:t>质疑处理</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52.质疑提出与答复</w:t>
      </w:r>
    </w:p>
    <w:p>
      <w:pPr>
        <w:widowControl w:val="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 xml:space="preserve">    52.1提出质疑</w:t>
      </w:r>
    </w:p>
    <w:p>
      <w:pPr>
        <w:widowControl w:val="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 xml:space="preserve">    参与政府采购活动的供应商认为自己的权益在采购活动中受到损害的，应当自知道或者应当知道其权益受到损害之日起七个工作日内向采购人、政府集中采购机构以书面形式提出质疑。</w:t>
      </w:r>
    </w:p>
    <w:p>
      <w:pPr>
        <w:widowControl w:val="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 xml:space="preserve">    52.2</w:t>
      </w:r>
      <w:r>
        <w:rPr>
          <w:rFonts w:ascii="宋体" w:eastAsia="宋体" w:hAnsi="宋体" w:cs="Times New Roman"/>
          <w:kern w:val="2"/>
          <w:sz w:val="21"/>
          <w:szCs w:val="21"/>
          <w:lang w:eastAsia="zh-CN"/>
        </w:rPr>
        <w:t>法律依据</w:t>
      </w:r>
    </w:p>
    <w:p>
      <w:pPr>
        <w:widowControl w:val="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 xml:space="preserve">    《中华人民共和国政府采购法》、《中华人民共和国政府采购法实施条例》、</w:t>
      </w:r>
      <w:r>
        <w:rPr>
          <w:rFonts w:ascii="宋体" w:eastAsia="宋体" w:hAnsi="宋体" w:cs="Times New Roman"/>
          <w:kern w:val="2"/>
          <w:sz w:val="21"/>
          <w:szCs w:val="21"/>
          <w:lang w:eastAsia="zh-CN"/>
        </w:rPr>
        <w:t>《</w:t>
      </w:r>
      <w:r>
        <w:rPr>
          <w:rFonts w:ascii="宋体" w:eastAsia="宋体" w:hAnsi="宋体" w:cs="Times New Roman" w:hint="eastAsia"/>
          <w:kern w:val="2"/>
          <w:sz w:val="21"/>
          <w:szCs w:val="21"/>
          <w:lang w:eastAsia="zh-CN"/>
        </w:rPr>
        <w:t>深圳经济特区政府采购</w:t>
      </w:r>
      <w:r>
        <w:rPr>
          <w:rFonts w:ascii="宋体" w:eastAsia="宋体" w:hAnsi="宋体" w:cs="Times New Roman"/>
          <w:kern w:val="2"/>
          <w:sz w:val="21"/>
          <w:szCs w:val="21"/>
          <w:lang w:eastAsia="zh-CN"/>
        </w:rPr>
        <w:t>条例</w:t>
      </w:r>
      <w:r>
        <w:rPr>
          <w:rFonts w:ascii="宋体" w:eastAsia="宋体" w:hAnsi="宋体" w:cs="Times New Roman" w:hint="eastAsia"/>
          <w:kern w:val="2"/>
          <w:sz w:val="21"/>
          <w:szCs w:val="21"/>
          <w:lang w:eastAsia="zh-CN"/>
        </w:rPr>
        <w:t>》、《深圳经济特区政府采购条例实施细则》、《政府采购质疑和投诉办法》（财政部令第94号）和其他有关法律法规规定。</w:t>
      </w:r>
    </w:p>
    <w:p>
      <w:pPr>
        <w:widowControl w:val="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 xml:space="preserve">  </w:t>
      </w:r>
      <w:r>
        <w:rPr>
          <w:rFonts w:ascii="宋体" w:eastAsia="宋体" w:hAnsi="宋体" w:cs="Times New Roman" w:hint="eastAsia"/>
          <w:color w:val="FF0000"/>
          <w:kern w:val="2"/>
          <w:sz w:val="21"/>
          <w:szCs w:val="21"/>
          <w:lang w:eastAsia="zh-CN"/>
        </w:rPr>
        <w:t xml:space="preserve">  </w:t>
      </w:r>
      <w:r>
        <w:rPr>
          <w:rFonts w:ascii="宋体" w:eastAsia="宋体" w:hAnsi="宋体" w:cs="Times New Roman" w:hint="eastAsia"/>
          <w:kern w:val="2"/>
          <w:sz w:val="21"/>
          <w:szCs w:val="21"/>
          <w:lang w:eastAsia="zh-CN"/>
        </w:rPr>
        <w:t>52.3质疑条件</w:t>
      </w:r>
    </w:p>
    <w:p>
      <w:pPr>
        <w:widowControl w:val="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 xml:space="preserve">    52.3.1提出质疑的供应商应当是参与所质疑项目采购活动的供应商；</w:t>
      </w:r>
      <w:bookmarkStart w:id="114" w:name="_Hlk75374941"/>
      <w:r>
        <w:rPr>
          <w:rFonts w:ascii="宋体" w:eastAsia="宋体" w:hAnsi="宋体" w:cs="Times New Roman" w:hint="eastAsia"/>
          <w:kern w:val="2"/>
          <w:sz w:val="21"/>
          <w:szCs w:val="21"/>
          <w:lang w:eastAsia="zh-CN"/>
        </w:rPr>
        <w:t>以联合体形式参与的，质疑应当由组成联合体的所有成员共同提出</w:t>
      </w:r>
      <w:bookmarkEnd w:id="114"/>
      <w:r>
        <w:rPr>
          <w:rFonts w:ascii="宋体" w:eastAsia="宋体" w:hAnsi="宋体" w:cs="Times New Roman" w:hint="eastAsia"/>
          <w:kern w:val="2"/>
          <w:sz w:val="21"/>
          <w:szCs w:val="21"/>
          <w:lang w:eastAsia="zh-CN"/>
        </w:rPr>
        <w:t>；</w:t>
      </w:r>
    </w:p>
    <w:p>
      <w:pPr>
        <w:widowControl w:val="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val="0"/>
        <w:ind w:firstLine="42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52.3.3应提交书面质疑函，质疑函应当包括以下内容：</w:t>
      </w:r>
      <w:r>
        <w:rPr>
          <w:rFonts w:ascii="宋体" w:eastAsia="宋体" w:hAnsi="宋体" w:cs="Times New Roman"/>
          <w:kern w:val="2"/>
          <w:sz w:val="21"/>
          <w:szCs w:val="21"/>
          <w:lang w:eastAsia="zh-CN"/>
        </w:rPr>
        <w:t xml:space="preserve"> </w:t>
      </w:r>
    </w:p>
    <w:p>
      <w:pPr>
        <w:widowControl w:val="0"/>
        <w:ind w:firstLine="42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（1）供应商的名称（或者姓名）、地址、邮编、邮箱、联系人及联系电话；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（2）质疑项目的名称、编号；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（3）具体、明确的质疑对象、质疑事项和质疑请求；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（4）因质疑事项而受损害的权益；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（5）事实依据；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（6）必要的法律依据；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（7）提出质疑的日期。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供应商为自然人的，应当由本人签字；供应商为法人或者其他组织的，应当由法定代表人（负责人），或者其授权代理人签字或者盖章，并加盖公章。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52.4提交</w:t>
      </w:r>
      <w:r>
        <w:rPr>
          <w:rFonts w:ascii="宋体" w:eastAsia="宋体" w:hAnsi="宋体" w:cs="Times New Roman"/>
          <w:kern w:val="2"/>
          <w:sz w:val="21"/>
          <w:szCs w:val="21"/>
          <w:lang w:eastAsia="zh-CN"/>
        </w:rPr>
        <w:t>材料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供应商可以委托代理人进行质疑。</w:t>
      </w:r>
      <w:r>
        <w:rPr>
          <w:rFonts w:ascii="宋体" w:eastAsia="宋体" w:hAnsi="宋体" w:cs="Times New Roman"/>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52.5收文地点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cs="Times New Roman" w:hint="eastAsia"/>
          <w:b/>
          <w:bCs/>
          <w:kern w:val="2"/>
          <w:sz w:val="21"/>
          <w:szCs w:val="21"/>
          <w:lang w:eastAsia="zh-CN"/>
        </w:rPr>
        <w:t>地址：深圳公共资源交易中心（深圳交易集团有限公司龙华分公司）（地址：深圳市龙华区观湖街道大和社区大和路288号宝观城锦鲤大厦办公楼22楼）。</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52.6收文办理</w:t>
      </w:r>
      <w:r>
        <w:rPr>
          <w:rFonts w:ascii="宋体" w:eastAsia="宋体" w:hAnsi="宋体" w:cs="Times New Roman"/>
          <w:kern w:val="2"/>
          <w:sz w:val="21"/>
          <w:szCs w:val="21"/>
          <w:lang w:eastAsia="zh-CN"/>
        </w:rPr>
        <w:t>程序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ind w:firstLine="420" w:firstLineChars="200"/>
        <w:jc w:val="both"/>
        <w:rPr>
          <w:rFonts w:ascii="仿宋" w:eastAsia="仿宋" w:hAnsi="仿宋" w:hint="eastAsia"/>
          <w:kern w:val="2"/>
          <w:sz w:val="28"/>
          <w:szCs w:val="28"/>
          <w:lang w:eastAsia="zh-CN"/>
        </w:rPr>
      </w:pPr>
      <w:r>
        <w:rPr>
          <w:rFonts w:ascii="宋体" w:eastAsia="宋体" w:hAnsi="宋体" w:cs="Times New Roman" w:hint="eastAsia"/>
          <w:kern w:val="2"/>
          <w:sz w:val="21"/>
          <w:szCs w:val="21"/>
          <w:lang w:eastAsia="zh-CN"/>
        </w:rPr>
        <w:t>52.6.2供应商提交的质疑材料不符合质疑条件的，视情况处理：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供应商提交的质疑材料不全或者未按要求签字或者盖章的，政府集中采购机构应当一次性告知供应商需补正的内容和补正期限。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供应商提交的质疑存在下列情形之一的，不予受理：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（1）质疑主体不满足要求的；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（2）供应商自身权益未受到损害的；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（3）供应商未在法定质疑期限内提出质疑的；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（4）质疑材料不全或者未按要求签字或者盖章的情况下，要求补正后，逾期未补正或者补正后仍不符合规定的；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（5）其他不符合受理条件情形的。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质疑事项不予受理的，政府集中采购机构应当向供应商出具不符合质疑条件告知书。</w:t>
      </w:r>
    </w:p>
    <w:p>
      <w:pPr>
        <w:widowControl w:val="0"/>
        <w:jc w:val="both"/>
        <w:rPr>
          <w:rFonts w:ascii="宋体" w:eastAsia="宋体" w:hAnsi="宋体" w:hint="eastAsia"/>
          <w:kern w:val="2"/>
          <w:sz w:val="21"/>
          <w:szCs w:val="21"/>
          <w:lang w:eastAsia="zh-CN"/>
        </w:rPr>
      </w:pPr>
      <w:r>
        <w:rPr>
          <w:rFonts w:ascii="宋体" w:eastAsia="宋体" w:hAnsi="宋体" w:cs="Times New Roman" w:hint="eastAsia"/>
          <w:color w:val="FF0000"/>
          <w:kern w:val="2"/>
          <w:sz w:val="21"/>
          <w:szCs w:val="21"/>
          <w:lang w:eastAsia="zh-CN"/>
        </w:rPr>
        <w:t xml:space="preserve">  </w:t>
      </w:r>
      <w:r>
        <w:rPr>
          <w:rFonts w:ascii="宋体" w:eastAsia="宋体" w:hAnsi="宋体" w:cs="Times New Roman" w:hint="eastAsia"/>
          <w:kern w:val="2"/>
          <w:sz w:val="21"/>
          <w:szCs w:val="21"/>
          <w:lang w:eastAsia="zh-CN"/>
        </w:rPr>
        <w:t xml:space="preserve">  52.7质疑答复时限</w:t>
      </w:r>
    </w:p>
    <w:p>
      <w:pPr>
        <w:widowControl w:val="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 xml:space="preserve">    自收文之日起七个工作日内。</w:t>
      </w:r>
    </w:p>
    <w:p>
      <w:pPr>
        <w:widowControl w:val="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 xml:space="preserve">    52.8投诉</w:t>
      </w:r>
    </w:p>
    <w:p>
      <w:pPr>
        <w:widowControl w:val="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 xml:space="preserve">    对质疑答复不满意或者未在规定时间内答复的，提出质疑的供应商可以在答复期满后15个工作日内向本项目预算主管单位投诉。</w:t>
      </w:r>
    </w:p>
    <w:p>
      <w:pPr>
        <w:widowControl w:val="0"/>
        <w:jc w:val="both"/>
        <w:rPr>
          <w:rFonts w:ascii="黑体" w:eastAsia="黑体" w:hAnsi="宋体" w:hint="eastAsia"/>
          <w:kern w:val="2"/>
          <w:szCs w:val="22"/>
          <w:lang w:eastAsia="zh-CN"/>
        </w:rPr>
      </w:pPr>
      <w:r>
        <w:rPr>
          <w:rFonts w:ascii="黑体" w:eastAsia="黑体" w:hAnsi="宋体" w:cs="Times New Roman" w:hint="eastAsia"/>
          <w:kern w:val="2"/>
          <w:szCs w:val="22"/>
          <w:lang w:eastAsia="zh-CN"/>
        </w:rPr>
        <w:t>53. 质疑后续处理</w:t>
      </w:r>
    </w:p>
    <w:p>
      <w:pPr>
        <w:widowControl w:val="0"/>
        <w:jc w:val="both"/>
        <w:rPr>
          <w:rFonts w:ascii="宋体" w:eastAsia="宋体" w:hAnsi="宋体" w:hint="eastAsia"/>
          <w:kern w:val="2"/>
          <w:sz w:val="21"/>
          <w:szCs w:val="21"/>
          <w:lang w:eastAsia="zh-CN"/>
        </w:rPr>
      </w:pPr>
      <w:r>
        <w:rPr>
          <w:rFonts w:ascii="宋体" w:eastAsia="宋体" w:hAnsi="宋体" w:cs="Times New Roman" w:hint="eastAsia"/>
          <w:kern w:val="2"/>
          <w:sz w:val="21"/>
          <w:szCs w:val="21"/>
          <w:lang w:eastAsia="zh-CN"/>
        </w:rPr>
        <w:t xml:space="preserve">    53.1供应商质疑不成立，或者成立但未对中标、成交结果构成影响的，继续开展采购活动。</w:t>
      </w:r>
    </w:p>
    <w:p>
      <w:pPr>
        <w:widowControl w:val="0"/>
        <w:jc w:val="center"/>
        <w:rPr>
          <w:rFonts w:ascii="Calibri" w:eastAsia="宋体" w:hAnsi="Calibri"/>
          <w:kern w:val="2"/>
          <w:sz w:val="21"/>
          <w:szCs w:val="22"/>
          <w:lang w:eastAsia="zh-CN"/>
        </w:rPr>
      </w:pPr>
      <w:r>
        <w:rPr>
          <w:rFonts w:ascii="宋体" w:eastAsia="宋体" w:hAnsi="宋体" w:cs="Times New Roman" w:hint="eastAsia"/>
          <w:kern w:val="2"/>
          <w:sz w:val="21"/>
          <w:szCs w:val="21"/>
          <w:lang w:eastAsia="zh-CN"/>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rPr>
          <w:rFonts w:ascii="Calibri" w:eastAsia="宋体" w:hAnsi="Calibri" w:cs="Times New Roman"/>
          <w:kern w:val="2"/>
          <w:sz w:val="21"/>
          <w:szCs w:val="22"/>
          <w:lang w:eastAsia="zh-CN"/>
        </w:rPr>
        <w:t>---- END ----</w:t>
      </w:r>
    </w:p>
    <w:p>
      <w:pPr>
        <w:widowControl w:val="0"/>
        <w:jc w:val="center"/>
        <w:rPr>
          <w:rFonts w:ascii="微软雅黑" w:eastAsia="微软雅黑" w:hAnsi="微软雅黑" w:cs="微软雅黑"/>
          <w:color w:val="333333"/>
          <w:lang w:val="en" w:eastAsia="en"/>
        </w:rPr>
      </w:pPr>
      <w:r>
        <w:rPr>
          <w:rFonts w:eastAsia="宋体"/>
          <w:kern w:val="2"/>
          <w:sz w:val="21"/>
          <w:lang w:eastAsia="zh-CN"/>
        </w:rPr>
        <w:t>---- END ---</w:t>
      </w:r>
      <w:bookmarkEnd w:id="61"/>
    </w:p>
    <w:p>
      <w:pPr>
        <w:sectPr>
          <w:headerReference w:type="default" r:id="rId7"/>
          <w:footerReference w:type="default" r:id="rId8"/>
          <w:pgMar w:top="1440" w:right="1800" w:bottom="1440" w:left="1800" w:header="708" w:footer="708" w:gutter="0"/>
          <w:cols w:num="1" w:space="720"/>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龙华区民治第三幼教集团世纪春城幼儿园班级教玩具采购-A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项目实施方案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售后服务方案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履约评价情况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厂家针对本项目的保证</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LHAZXCG-2025-00039-001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龙华区民治第三幼教集团世纪春城幼儿园班级教玩具采购-A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投标人不符合资格要求，或未提交相应的资格证明资料（详见招标公告投标人资格要求，即申请人的资格要求）：</w:t>
            </w:r>
            <w:r>
              <w:rPr>
                <w:rFonts w:ascii="FangSong" w:eastAsia="FangSong" w:hAnsi="FangSong" w:cs="FangSong"/>
                <w:color w:val="666666"/>
                <w:lang w:val="en" w:eastAsia="en"/>
              </w:rPr>
              <w:br/>
            </w:r>
            <w:r>
              <w:rPr>
                <w:rFonts w:ascii="FangSong" w:eastAsia="FangSong" w:hAnsi="FangSong" w:cs="FangSong"/>
                <w:color w:val="666666"/>
                <w:lang w:val="en" w:eastAsia="en"/>
              </w:rPr>
              <w:t>投标人不符合资格要求，或未提交相应的资格证明资料（详见招标公告投标人资格要求，即申请人的资格要求）</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详见招标文件符合性审查表</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详见招标文件符合性审查表</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项目实施方案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详见招标文件</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技术规格偏离情况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详见招标文件</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售后服务方案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详见招标文件</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商务条款偏离情况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详见招标文件</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详见招标文件</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履约评价情况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详见招标文件</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厂家针对本项目的保证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详见招标文件</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其他部分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详见招标文件</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30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2</w:t>
    </w:r>
    <w:r>
      <w:fldChar w:fldCharType="end"/>
    </w:r>
    <w:r>
      <w:t xml:space="preserve"> -</w:t>
    </w: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r>
      <w:fldChar w:fldCharType="begin"/>
    </w:r>
    <w:r>
      <w:instrText xml:space="preserve"> PAGE   \* MERGEFORMAT </w:instrText>
    </w:r>
    <w:r>
      <w:fldChar w:fldCharType="separate"/>
    </w:r>
    <w:r>
      <w:rPr>
        <w:lang w:val="zh-CN"/>
      </w:rPr>
      <w:t>173</w:t>
    </w:r>
    <w:r>
      <w:rPr>
        <w:lang w:val="zh-CN"/>
      </w:rPr>
      <w:fldChar w:fldCharType="end"/>
    </w:r>
  </w:p>
  <w:p>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top w:val="none" w:sz="0" w:space="0" w:color="auto"/>
        <w:left w:val="none" w:sz="0" w:space="0" w:color="auto"/>
        <w:bottom w:val="none" w:sz="0" w:space="1" w:color="auto"/>
        <w:right w:val="none" w:sz="0" w:space="0" w:color="auto"/>
        <w:between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09221C"/>
    <w:multiLevelType w:val="singleLevel"/>
    <w:tmpl w:val="B609221C"/>
    <w:lvl w:ilvl="0">
      <w:start w:val="1"/>
      <w:numFmt w:val="decimal"/>
      <w:suff w:val="nothing"/>
      <w:lvlText w:val="%1、"/>
      <w:lvlJc w:val="left"/>
    </w:lvl>
  </w:abstractNum>
  <w:abstractNum w:abstractNumId="1">
    <w:nsid w:val="B9358C2E"/>
    <w:multiLevelType w:val="singleLevel"/>
    <w:tmpl w:val="B9358C2E"/>
    <w:lvl w:ilvl="0">
      <w:start w:val="2"/>
      <w:numFmt w:val="decimal"/>
      <w:suff w:val="nothing"/>
      <w:lvlText w:val="%1、"/>
      <w:lvlJc w:val="left"/>
    </w:lvl>
  </w:abstractNum>
  <w:abstractNum w:abstractNumId="2">
    <w:nsid w:val="D0686203"/>
    <w:multiLevelType w:val="singleLevel"/>
    <w:tmpl w:val="D0686203"/>
    <w:lvl w:ilvl="0">
      <w:start w:val="2"/>
      <w:numFmt w:val="decimal"/>
      <w:suff w:val="nothing"/>
      <w:lvlText w:val="%1、"/>
      <w:lvlJc w:val="left"/>
    </w:lvl>
  </w:abstractNum>
  <w:abstractNum w:abstractNumId="3">
    <w:nsid w:val="D502F3CC"/>
    <w:multiLevelType w:val="singleLevel"/>
    <w:tmpl w:val="D502F3CC"/>
    <w:lvl w:ilvl="0">
      <w:start w:val="1"/>
      <w:numFmt w:val="decimal"/>
      <w:suff w:val="nothing"/>
      <w:lvlText w:val="%1、"/>
      <w:lvlJc w:val="left"/>
    </w:lvl>
  </w:abstractNum>
  <w:abstractNum w:abstractNumId="4">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74AC0B6"/>
    <w:multiLevelType w:val="singleLevel"/>
    <w:tmpl w:val="574AC0B6"/>
    <w:lvl w:ilvl="0">
      <w:start w:val="2"/>
      <w:numFmt w:val="chineseCounting"/>
      <w:suff w:val="nothing"/>
      <w:lvlText w:val="%1、"/>
      <w:lvlJc w:val="left"/>
      <w:rPr>
        <w:rFonts w:hint="eastAsia"/>
      </w:rPr>
    </w:lvl>
  </w:abstractNum>
  <w:num w:numId="1">
    <w:abstractNumId w:val="6"/>
  </w:num>
  <w:num w:numId="2">
    <w:abstractNumId w:val="2"/>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uiPriority w:val="99"/>
    <w:unhideWhenUsed/>
    <w:qFormat/>
    <w:pPr>
      <w:widowControl w:val="0"/>
      <w:pBdr>
        <w:bottom w:val="single" w:sz="6" w:space="1" w:color="auto"/>
      </w:pBdr>
      <w:tabs>
        <w:tab w:val="center" w:pos="4153"/>
        <w:tab w:val="right" w:pos="8306"/>
      </w:tabs>
      <w:snapToGrid w:val="0"/>
      <w:jc w:val="center"/>
    </w:pPr>
    <w:rPr>
      <w:rFonts w:ascii="Calibri" w:eastAsia="宋体" w:hAnsi="Calibri"/>
      <w:kern w:val="2"/>
      <w:sz w:val="18"/>
      <w:szCs w:val="18"/>
      <w:lang w:eastAsia="zh-CN"/>
    </w:rPr>
  </w:style>
  <w:style w:type="paragraph" w:styleId="Footer">
    <w:name w:val="footer"/>
    <w:basedOn w:val="Normal"/>
    <w:uiPriority w:val="99"/>
    <w:unhideWhenUsed/>
    <w:qFormat/>
    <w:pPr>
      <w:widowControl w:val="0"/>
      <w:tabs>
        <w:tab w:val="center" w:pos="4153"/>
        <w:tab w:val="right" w:pos="8306"/>
      </w:tabs>
      <w:snapToGrid w:val="0"/>
    </w:pPr>
    <w:rPr>
      <w:rFonts w:ascii="Calibri" w:eastAsia="宋体" w:hAnsi="Calibri"/>
      <w:kern w:val="2"/>
      <w:sz w:val="18"/>
      <w:szCs w:val="18"/>
      <w:lang w:eastAsia="zh-CN"/>
    </w:rPr>
  </w:style>
  <w:style w:type="character" w:styleId="PageNumber">
    <w:name w:val="page number"/>
    <w:basedOn w:val="DefaultParagraphFont"/>
    <w:qFormat/>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uiPriority w:val="99"/>
    <w:unhideWhenUsed/>
    <w:qFormat/>
    <w:pPr>
      <w:widowControl w:val="0"/>
    </w:pPr>
    <w:rPr>
      <w:rFonts w:ascii="Calibri" w:eastAsia="宋体" w:hAnsi="Calibri"/>
      <w:kern w:val="2"/>
      <w:sz w:val="21"/>
      <w:szCs w:val="22"/>
      <w:lang w:eastAsia="zh-CN"/>
    </w:rPr>
  </w:style>
  <w:style w:type="character" w:customStyle="1" w:styleId="font121">
    <w:name w:val="font121"/>
    <w:basedOn w:val="DefaultParagraphFont"/>
    <w:qFormat/>
    <w:rPr>
      <w:rFonts w:ascii="宋体" w:eastAsia="宋体" w:hAnsi="宋体" w:cs="宋体"/>
      <w:color w:val="FF0000"/>
      <w:sz w:val="24"/>
      <w:szCs w:val="24"/>
      <w:u w:val="none"/>
    </w:rPr>
  </w:style>
  <w:style w:type="character" w:customStyle="1" w:styleId="font31">
    <w:name w:val="font31"/>
    <w:basedOn w:val="DefaultParagraphFont"/>
    <w:rPr>
      <w:rFonts w:ascii="宋体" w:eastAsia="宋体" w:hAnsi="宋体" w:cs="宋体"/>
      <w:color w:val="000000"/>
      <w:sz w:val="24"/>
      <w:szCs w:val="24"/>
      <w:u w:val="none"/>
    </w:rPr>
  </w:style>
  <w:style w:type="character" w:customStyle="1" w:styleId="font131">
    <w:name w:val="font131"/>
    <w:basedOn w:val="DefaultParagraphFont"/>
    <w:rPr>
      <w:rFonts w:ascii="宋体" w:eastAsia="宋体" w:hAnsi="宋体" w:cs="宋体"/>
      <w:color w:val="FF0000"/>
      <w:sz w:val="20"/>
      <w:szCs w:val="20"/>
      <w:u w:val="none"/>
    </w:rPr>
  </w:style>
  <w:style w:type="table" w:customStyle="1" w:styleId="1">
    <w:name w:val="网格型1"/>
    <w:basedOn w:val="TableNormal"/>
    <w:uiPriority w:val="39"/>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