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1" w:after="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7"/>
        <w:tblW w:w="5000" w:type="pct"/>
        <w:jc w:val="center"/>
        <w:tblCellSpacing w:w="0" w:type="dxa"/>
        <w:tblLayout w:type="fixed"/>
        <w:tblCellMar>
          <w:top w:w="45" w:type="dxa"/>
          <w:left w:w="45" w:type="dxa"/>
          <w:bottom w:w="45" w:type="dxa"/>
          <w:right w:w="45" w:type="dxa"/>
        </w:tblCellMar>
      </w:tblPr>
      <w:tblGrid>
        <w:gridCol w:w="2881"/>
        <w:gridCol w:w="5522"/>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hint="eastAsia" w:eastAsia="宋体"/>
                <w:kern w:val="2"/>
                <w:sz w:val="30"/>
                <w:szCs w:val="30"/>
                <w:lang w:eastAsia="zh-CN"/>
              </w:rPr>
              <w:t>SZZXCG-2025-00291</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pPr>
              <w:widowControl/>
              <w:jc w:val="left"/>
              <w:rPr>
                <w:rFonts w:eastAsia="宋体"/>
                <w:kern w:val="2"/>
                <w:sz w:val="30"/>
                <w:szCs w:val="30"/>
                <w:lang w:eastAsia="zh-CN"/>
              </w:rPr>
            </w:pPr>
            <w:r>
              <w:rPr>
                <w:rFonts w:hint="eastAsia" w:ascii="宋体" w:hAnsi="宋体" w:eastAsia="宋体"/>
                <w:kern w:val="2"/>
                <w:sz w:val="30"/>
                <w:szCs w:val="30"/>
                <w:lang w:eastAsia="zh-CN"/>
              </w:rPr>
              <w:t>深圳市殡葬服务中心2025-2026年度车辆保险服务项目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hAnsi="宋体" w:eastAsia="宋体" w:cs="宋体"/>
                <w:sz w:val="30"/>
                <w:szCs w:val="30"/>
                <w:lang w:eastAsia="zh-CN"/>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hAnsi="宋体" w:eastAsia="宋体" w:cs="宋体"/>
                <w:sz w:val="30"/>
                <w:szCs w:val="30"/>
                <w:lang w:eastAsia="zh-CN"/>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868"/>
        <w:gridCol w:w="26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填报的“折扣率”不满足"</w:t>
            </w:r>
            <w:r>
              <w:rPr>
                <w:rFonts w:hint="eastAsia" w:ascii="宋体" w:hAnsi="宋体" w:eastAsia="宋体" w:cs="宋体"/>
                <w:b/>
                <w:bCs/>
                <w:color w:val="FF0000"/>
                <w:kern w:val="2"/>
                <w:sz w:val="21"/>
                <w:szCs w:val="21"/>
                <w:lang w:eastAsia="zh-CN"/>
              </w:rPr>
              <w:t>0＜折扣率≤100</w:t>
            </w:r>
            <w:r>
              <w:rPr>
                <w:rFonts w:hint="eastAsia" w:eastAsia="宋体"/>
                <w:kern w:val="2"/>
                <w:sz w:val="21"/>
                <w:lang w:eastAsia="zh-CN"/>
              </w:rPr>
              <w:t>"公式要求的；“折扣率”缺填、漏填或填报了两个或以上“折扣率”；“投标关键信息”开标一览表中填写的投标报价与项目谈判报价表中填写的“折扣率”不一致；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7"/>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vAlign w:val="center"/>
          </w:tcPr>
          <w:p>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pPr>
              <w:widowControl w:val="0"/>
              <w:spacing w:line="324" w:lineRule="auto"/>
              <w:ind w:left="420"/>
              <w:jc w:val="both"/>
              <w:rPr>
                <w:rFonts w:hint="eastAsia"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bl>
    <w:p>
      <w:pPr>
        <w:widowControl w:val="0"/>
        <w:jc w:val="left"/>
        <w:rPr>
          <w:rFonts w:eastAsia="宋体"/>
          <w:kern w:val="2"/>
          <w:sz w:val="21"/>
          <w:lang w:eastAsia="zh-CN"/>
        </w:rPr>
      </w:pPr>
    </w:p>
    <w:tbl>
      <w:tblPr>
        <w:tblStyle w:val="17"/>
        <w:tblpPr w:leftFromText="180" w:rightFromText="180" w:vertAnchor="text" w:horzAnchor="page" w:tblpX="1509" w:tblpY="228"/>
        <w:tblOverlap w:val="never"/>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58"/>
        <w:gridCol w:w="529"/>
        <w:gridCol w:w="1530"/>
        <w:gridCol w:w="750"/>
        <w:gridCol w:w="5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2950" w:type="dxa"/>
            <w:gridSpan w:val="3"/>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5414"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2950" w:type="dxa"/>
            <w:gridSpan w:val="3"/>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5414" w:type="dxa"/>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jc w:val="both"/>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2950" w:type="dxa"/>
            <w:gridSpan w:val="3"/>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5414" w:type="dxa"/>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jc w:val="both"/>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618"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784"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414"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618" w:type="dxa"/>
            <w:tcBorders>
              <w:tl2br w:val="nil"/>
              <w:tr2bl w:val="nil"/>
            </w:tcBorders>
            <w:vAlign w:val="center"/>
          </w:tcPr>
          <w:p>
            <w:pPr>
              <w:widowControl/>
              <w:wordWrap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项目服务方案</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5414" w:type="dxa"/>
            <w:tcBorders>
              <w:tl2br w:val="nil"/>
              <w:tr2bl w:val="nil"/>
            </w:tcBorders>
            <w:shd w:val="clear" w:color="auto" w:fill="auto"/>
            <w:vAlign w:val="center"/>
          </w:tcPr>
          <w:p>
            <w:pPr>
              <w:widowControl/>
              <w:spacing w:beforeAutospacing="0" w:afterAutospacing="0"/>
              <w:ind w:firstLine="422" w:firstLineChars="200"/>
              <w:jc w:val="both"/>
              <w:rPr>
                <w:rFonts w:hint="eastAsia" w:ascii="宋体" w:hAnsi="宋体" w:eastAsia="宋体" w:cs="宋体"/>
                <w:color w:val="000000"/>
                <w:kern w:val="2"/>
                <w:sz w:val="21"/>
                <w:szCs w:val="21"/>
                <w:lang w:eastAsia="zh-CN"/>
              </w:rPr>
            </w:pPr>
            <w:r>
              <w:rPr>
                <w:rFonts w:hint="eastAsia" w:ascii="宋体" w:hAnsi="宋体" w:eastAsia="宋体" w:cs="宋体"/>
                <w:b/>
                <w:bCs/>
                <w:color w:val="000000"/>
                <w:kern w:val="2"/>
                <w:sz w:val="21"/>
                <w:szCs w:val="21"/>
                <w:lang w:eastAsia="zh-CN"/>
              </w:rPr>
              <w:t>一、评审标准</w:t>
            </w:r>
            <w:r>
              <w:rPr>
                <w:rFonts w:hint="eastAsia" w:ascii="宋体" w:hAnsi="宋体" w:eastAsia="宋体" w:cs="宋体"/>
                <w:color w:val="000000"/>
                <w:kern w:val="2"/>
                <w:sz w:val="21"/>
                <w:szCs w:val="21"/>
                <w:lang w:eastAsia="zh-CN"/>
              </w:rPr>
              <w:t>结合本项目特点，对前述服务内容进行完善、补充，提供更加优质、切实可行的优化服务。</w:t>
            </w:r>
          </w:p>
          <w:p>
            <w:pPr>
              <w:widowControl/>
              <w:spacing w:beforeAutospacing="0" w:afterAutospacing="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评委根据投标人所提供的《</w:t>
            </w:r>
            <w:r>
              <w:rPr>
                <w:rFonts w:hint="eastAsia" w:ascii="宋体" w:hAnsi="宋体" w:eastAsia="宋体" w:cs="宋体"/>
                <w:kern w:val="2"/>
                <w:sz w:val="21"/>
                <w:szCs w:val="21"/>
                <w:lang w:eastAsia="zh-CN"/>
              </w:rPr>
              <w:t>项目服务方案</w:t>
            </w:r>
            <w:r>
              <w:rPr>
                <w:rFonts w:hint="eastAsia" w:ascii="宋体" w:hAnsi="宋体" w:eastAsia="宋体" w:cs="宋体"/>
                <w:color w:val="000000"/>
                <w:kern w:val="2"/>
                <w:sz w:val="21"/>
                <w:szCs w:val="21"/>
                <w:lang w:eastAsia="zh-CN"/>
              </w:rPr>
              <w:t>》进行评审，</w:t>
            </w:r>
            <w:r>
              <w:rPr>
                <w:rFonts w:hint="eastAsia" w:ascii="宋体" w:hAnsi="宋体" w:eastAsia="宋体" w:cs="宋体"/>
                <w:kern w:val="2"/>
                <w:sz w:val="21"/>
                <w:szCs w:val="21"/>
                <w:lang w:eastAsia="zh-CN"/>
              </w:rPr>
              <w:t>具体考察以下4点内容：</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1.承保流程简化和承保时效；</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2.保费未及时到账情形下，保障不中断方案；</w:t>
            </w:r>
          </w:p>
          <w:p>
            <w:pPr>
              <w:widowControl/>
              <w:spacing w:beforeAutospacing="0" w:afterAutospacing="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3.理赔资料简化及各环节的服务时效；</w:t>
            </w:r>
          </w:p>
          <w:p>
            <w:pPr>
              <w:widowControl/>
              <w:spacing w:beforeAutospacing="0" w:afterAutospacing="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4.说明服务期内增值内容及服务实施计划；</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每满足1点得15分，满足4点得60分，未满足不得分。</w:t>
            </w:r>
          </w:p>
          <w:p>
            <w:pPr>
              <w:widowControl w:val="0"/>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在此基础上，评审专家根据各投标人的方案内容，按照量化的评审因素指标进一步评审：</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1.评审为优：承保流程完整便捷，时效快捷；</w:t>
            </w:r>
            <w:r>
              <w:rPr>
                <w:rFonts w:hint="eastAsia" w:ascii="宋体" w:hAnsi="宋体" w:eastAsia="宋体" w:cs="宋体"/>
                <w:color w:val="000000"/>
                <w:kern w:val="2"/>
                <w:sz w:val="21"/>
                <w:szCs w:val="21"/>
                <w:lang w:eastAsia="zh-CN"/>
              </w:rPr>
              <w:t>保障不中断方案完善；</w:t>
            </w:r>
            <w:r>
              <w:rPr>
                <w:rFonts w:hint="eastAsia" w:ascii="宋体" w:hAnsi="宋体" w:eastAsia="宋体" w:cs="宋体"/>
                <w:kern w:val="2"/>
                <w:sz w:val="21"/>
                <w:szCs w:val="21"/>
                <w:lang w:eastAsia="zh-CN"/>
              </w:rPr>
              <w:t>理赔单证简化，各环节流畅迅速；增值服务内容丰富，实施计划合理，加50分；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2.评审为良：承保流程较完整便捷，时效较快捷；</w:t>
            </w:r>
            <w:r>
              <w:rPr>
                <w:rFonts w:hint="eastAsia" w:ascii="宋体" w:hAnsi="宋体" w:eastAsia="宋体" w:cs="宋体"/>
                <w:color w:val="000000"/>
                <w:kern w:val="2"/>
                <w:sz w:val="21"/>
                <w:szCs w:val="21"/>
                <w:lang w:eastAsia="zh-CN"/>
              </w:rPr>
              <w:t>保障不中断方案较完善；</w:t>
            </w:r>
            <w:r>
              <w:rPr>
                <w:rFonts w:hint="eastAsia" w:ascii="宋体" w:hAnsi="宋体" w:eastAsia="宋体" w:cs="宋体"/>
                <w:kern w:val="2"/>
                <w:sz w:val="21"/>
                <w:szCs w:val="21"/>
                <w:lang w:eastAsia="zh-CN"/>
              </w:rPr>
              <w:t>理赔单证较简化，各环节较流畅迅速；增值服务内容较丰富，实施计划较合理，加30分；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3.评审为中：承保流程完整便捷度一般，时效性一般；</w:t>
            </w:r>
            <w:r>
              <w:rPr>
                <w:rFonts w:hint="eastAsia" w:ascii="宋体" w:hAnsi="宋体" w:eastAsia="宋体" w:cs="宋体"/>
                <w:color w:val="000000"/>
                <w:kern w:val="2"/>
                <w:sz w:val="21"/>
                <w:szCs w:val="21"/>
                <w:lang w:eastAsia="zh-CN"/>
              </w:rPr>
              <w:t>保障不中断方案一般；</w:t>
            </w:r>
            <w:r>
              <w:rPr>
                <w:rFonts w:hint="eastAsia" w:ascii="宋体" w:hAnsi="宋体" w:eastAsia="宋体" w:cs="宋体"/>
                <w:kern w:val="2"/>
                <w:sz w:val="21"/>
                <w:szCs w:val="21"/>
                <w:lang w:eastAsia="zh-CN"/>
              </w:rPr>
              <w:t>理赔单证简化一般，各环节流畅性一般；增值服务内容数量一般，实施计划合理性一般，加10分；</w:t>
            </w:r>
          </w:p>
          <w:p>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4.评审为差：承保流程缺漏、时效性差；</w:t>
            </w:r>
            <w:r>
              <w:rPr>
                <w:rFonts w:hint="eastAsia" w:ascii="宋体" w:hAnsi="宋体" w:eastAsia="宋体" w:cs="宋体"/>
                <w:color w:val="000000"/>
                <w:kern w:val="2"/>
                <w:sz w:val="21"/>
                <w:szCs w:val="21"/>
                <w:lang w:eastAsia="zh-CN"/>
              </w:rPr>
              <w:t>保障不中断方案不可行或未提供；</w:t>
            </w:r>
            <w:r>
              <w:rPr>
                <w:rFonts w:hint="eastAsia" w:ascii="宋体" w:hAnsi="宋体" w:eastAsia="宋体" w:cs="宋体"/>
                <w:kern w:val="2"/>
                <w:sz w:val="21"/>
                <w:szCs w:val="21"/>
                <w:lang w:eastAsia="zh-CN"/>
              </w:rPr>
              <w:t>理赔单证繁杂，流程反复；增值服务内容少，实施计划不合理，不加分。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618" w:type="dxa"/>
            <w:tcBorders>
              <w:tl2br w:val="nil"/>
              <w:tr2bl w:val="nil"/>
            </w:tcBorders>
            <w:vAlign w:val="center"/>
          </w:tcPr>
          <w:p>
            <w:pPr>
              <w:widowControl/>
              <w:wordWrap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质量保障措施</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5414" w:type="dxa"/>
            <w:tcBorders>
              <w:tl2br w:val="nil"/>
              <w:tr2bl w:val="nil"/>
            </w:tcBorders>
            <w:shd w:val="clear" w:color="auto" w:fill="auto"/>
            <w:vAlign w:val="center"/>
          </w:tcPr>
          <w:p>
            <w:pPr>
              <w:widowControl/>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一、评审标准</w:t>
            </w:r>
          </w:p>
          <w:p>
            <w:pPr>
              <w:widowControl/>
              <w:spacing w:beforeAutospacing="0" w:afterAutospacing="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投标人须结合项目实际情况，并基于保障采购单位保险权益、提升保险服务体验、确保项目平稳良好运作等多方面建立并提供《</w:t>
            </w:r>
            <w:r>
              <w:rPr>
                <w:rFonts w:hint="eastAsia" w:ascii="宋体" w:hAnsi="宋体" w:eastAsia="宋体" w:cs="宋体"/>
                <w:kern w:val="2"/>
                <w:sz w:val="21"/>
                <w:szCs w:val="21"/>
                <w:lang w:eastAsia="zh-CN"/>
              </w:rPr>
              <w:t>质量保障措施</w:t>
            </w:r>
            <w:r>
              <w:rPr>
                <w:rFonts w:hint="eastAsia" w:ascii="宋体" w:hAnsi="宋体" w:eastAsia="宋体" w:cs="宋体"/>
                <w:color w:val="000000"/>
                <w:kern w:val="2"/>
                <w:sz w:val="21"/>
                <w:szCs w:val="21"/>
                <w:lang w:eastAsia="zh-CN"/>
              </w:rPr>
              <w:t>》，评标委员据此评分。</w:t>
            </w:r>
            <w:r>
              <w:rPr>
                <w:rFonts w:hint="eastAsia" w:ascii="宋体" w:hAnsi="宋体" w:eastAsia="宋体" w:cs="宋体"/>
                <w:kern w:val="2"/>
                <w:sz w:val="21"/>
                <w:szCs w:val="21"/>
                <w:lang w:eastAsia="zh-CN"/>
              </w:rPr>
              <w:t>具体考察以下3点内容：</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1.团队职责分工；</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2.服务质量保障措施；</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3.履约验收标准；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每满足1点得15分，最高得45分。</w:t>
            </w:r>
          </w:p>
          <w:p>
            <w:pPr>
              <w:widowControl w:val="0"/>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在此基础上，评审专家根据各投标人的方案内容，按照量化的评审因素指标进一步评审：</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1.评审为优:团队分工明确，服务质量保障措施针对性强，履约验收标准合理的，加55分；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2.评审为良:团队分工较明确，服务质量保障措施针对性较强，履约验收标准较合理的，加30分；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3.评审为中:团队分工安排一般，服务质量保障措施针对性一般，履约验收标准合理程度一般的，加10分；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4.评审为差:团队分工混乱或服务质量保障措施无针对性或履约验收标准不合理的，不加分。</w:t>
            </w:r>
          </w:p>
          <w:p>
            <w:pPr>
              <w:widowControl w:val="0"/>
              <w:ind w:firstLine="420" w:firstLineChars="200"/>
              <w:jc w:val="both"/>
              <w:rPr>
                <w:rFonts w:hint="eastAsia" w:ascii="宋体" w:hAnsi="宋体" w:eastAsia="宋体" w:cs="宋体"/>
                <w:b/>
                <w:color w:val="000000"/>
                <w:kern w:val="2"/>
                <w:sz w:val="21"/>
                <w:szCs w:val="21"/>
                <w:lang w:eastAsia="zh-CN"/>
              </w:rPr>
            </w:pPr>
            <w:r>
              <w:rPr>
                <w:rFonts w:hint="eastAsia" w:ascii="宋体" w:hAnsi="宋体" w:eastAsia="宋体" w:cs="宋体"/>
                <w:kern w:val="2"/>
                <w:sz w:val="21"/>
                <w:szCs w:val="21"/>
                <w:lang w:eastAsia="zh-CN"/>
              </w:rPr>
              <w:t>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618" w:type="dxa"/>
            <w:tcBorders>
              <w:tl2br w:val="nil"/>
              <w:tr2bl w:val="nil"/>
            </w:tcBorders>
            <w:vAlign w:val="center"/>
          </w:tcPr>
          <w:p>
            <w:pPr>
              <w:widowControl/>
              <w:wordWrap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合议赔付方案</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5414" w:type="dxa"/>
            <w:tcBorders>
              <w:tl2br w:val="nil"/>
              <w:tr2bl w:val="nil"/>
            </w:tcBorders>
            <w:shd w:val="clear" w:color="auto" w:fill="auto"/>
            <w:vAlign w:val="center"/>
          </w:tcPr>
          <w:p>
            <w:pPr>
              <w:widowControl/>
              <w:numPr>
                <w:ilvl w:val="0"/>
                <w:numId w:val="1"/>
              </w:numPr>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考察投标人合议赔付方案的以下内容：</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1.明确适用的情形；</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2.针对各类情形提供对应的解决方案；</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3.可用于合议赔付的额度。</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每满足1点得20分，满足3点得60分，未满足不得分；</w:t>
            </w:r>
          </w:p>
          <w:p>
            <w:pPr>
              <w:widowControl/>
              <w:spacing w:beforeAutospacing="0" w:afterAutospacing="0"/>
              <w:ind w:firstLine="422" w:firstLineChars="200"/>
              <w:jc w:val="both"/>
              <w:rPr>
                <w:rFonts w:hint="eastAsia" w:ascii="宋体" w:hAnsi="宋体" w:eastAsia="宋体" w:cs="宋体"/>
                <w:b/>
                <w:bCs/>
                <w:color w:val="000000"/>
                <w:kern w:val="2"/>
                <w:sz w:val="21"/>
                <w:szCs w:val="21"/>
                <w:lang w:eastAsia="zh-CN"/>
              </w:rPr>
            </w:pPr>
            <w:r>
              <w:rPr>
                <w:rFonts w:hint="eastAsia" w:ascii="宋体" w:hAnsi="宋体" w:eastAsia="宋体" w:cs="宋体"/>
                <w:b/>
                <w:bCs/>
                <w:kern w:val="2"/>
                <w:sz w:val="21"/>
                <w:szCs w:val="21"/>
                <w:lang w:eastAsia="zh-CN"/>
              </w:rPr>
              <w:t>在此基础上，评审专家根据各投标人的方案内容，按照量化的评审因素指标进一步评审：</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1.评审为优（合议赔付额度最高，合议赔付无限制性条件，适用情形多样且针对性强，方案内容详实、实用性高）的得40分；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2.评审为良（合议赔付额度较高，合议赔付无限制性条件，适用情形较多样和有针对性，方案内容较详实、实用性较高、针对性较强）的得25分；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3.评审为中（合议赔付额度一般，合议赔付无限制性条件，适用情形一般无针对性，方案内容一般、实用性一般、针对性一般）的得10分；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4.评审为差（未设置合议赔付额度，或合议赔付设置限制性条件）的不得分。</w:t>
            </w:r>
          </w:p>
          <w:p>
            <w:pPr>
              <w:widowControl/>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二、证明文件</w:t>
            </w:r>
          </w:p>
          <w:p>
            <w:pPr>
              <w:widowControl/>
              <w:spacing w:beforeAutospacing="0" w:afterAutospacing="0"/>
              <w:ind w:firstLine="420" w:firstLineChars="200"/>
              <w:jc w:val="both"/>
              <w:rPr>
                <w:rFonts w:hint="eastAsia" w:ascii="宋体" w:hAnsi="宋体" w:eastAsia="宋体" w:cs="宋体"/>
                <w:b/>
                <w:color w:val="000000"/>
                <w:kern w:val="2"/>
                <w:sz w:val="21"/>
                <w:szCs w:val="21"/>
                <w:lang w:eastAsia="zh-CN"/>
              </w:rPr>
            </w:pPr>
            <w:r>
              <w:rPr>
                <w:rFonts w:hint="eastAsia" w:ascii="宋体" w:hAnsi="宋体" w:eastAsia="宋体" w:cs="宋体"/>
                <w:color w:val="000000"/>
                <w:kern w:val="2"/>
                <w:sz w:val="21"/>
                <w:szCs w:val="21"/>
                <w:lang w:eastAsia="zh-CN"/>
              </w:rPr>
              <w:t>投标人需提供《合议赔付方案》（格式自定）作为得分依据，未按要求提供的不得分。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618"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风险综合评价</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5414" w:type="dxa"/>
            <w:tcBorders>
              <w:tl2br w:val="nil"/>
              <w:tr2bl w:val="nil"/>
            </w:tcBorders>
            <w:shd w:val="clear" w:color="auto" w:fill="auto"/>
            <w:vAlign w:val="center"/>
          </w:tcPr>
          <w:p>
            <w:pPr>
              <w:widowControl/>
              <w:numPr>
                <w:ilvl w:val="0"/>
                <w:numId w:val="2"/>
              </w:numPr>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考察投标人（如投标人为分支结构的，则考察投标人的总公司）2024年第一、第二季度风险综合评级情况，并按以下规则进行评分：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1.第一、第二季度风险综合评级均为BBB及以上的，得100分；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2.第一、第二季度风险综合评级其中一个BBB及以上、另一个BB的，得60分；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3.第一、第二季度风险综合评级均为BB的，得30分。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4.其他情况的，不得分；</w:t>
            </w:r>
          </w:p>
          <w:p>
            <w:pPr>
              <w:widowControl/>
              <w:numPr>
                <w:ilvl w:val="0"/>
                <w:numId w:val="2"/>
              </w:numPr>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证明文件</w:t>
            </w:r>
          </w:p>
          <w:p>
            <w:pPr>
              <w:widowControl/>
              <w:spacing w:beforeAutospacing="0" w:afterAutospacing="0"/>
              <w:ind w:firstLine="420" w:firstLineChars="200"/>
              <w:jc w:val="both"/>
              <w:rPr>
                <w:rFonts w:hint="eastAsia"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投标人须提供中国保险行业协会官方网站（网址http://www.iachina.cn）偿付能力报告中的“风险综合评级”截图作为得分依据。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1618" w:type="dxa"/>
            <w:tcBorders>
              <w:tl2br w:val="nil"/>
              <w:tr2bl w:val="nil"/>
            </w:tcBorders>
            <w:vAlign w:val="center"/>
          </w:tcPr>
          <w:p>
            <w:pPr>
              <w:widowControl/>
              <w:wordWrap w:val="0"/>
              <w:jc w:val="both"/>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偿付能力充足率情况</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5414" w:type="dxa"/>
            <w:tcBorders>
              <w:tl2br w:val="nil"/>
              <w:tr2bl w:val="nil"/>
            </w:tcBorders>
            <w:shd w:val="clear" w:color="auto" w:fill="auto"/>
            <w:vAlign w:val="center"/>
          </w:tcPr>
          <w:p>
            <w:pPr>
              <w:widowControl/>
              <w:spacing w:beforeAutospacing="0" w:afterAutospacing="0"/>
              <w:ind w:firstLine="200"/>
              <w:jc w:val="both"/>
              <w:rPr>
                <w:rFonts w:hint="eastAsia" w:ascii="宋体" w:hAnsi="宋体" w:eastAsia="宋体" w:cs="宋体"/>
                <w:color w:val="000000"/>
                <w:kern w:val="2"/>
                <w:sz w:val="21"/>
                <w:szCs w:val="21"/>
                <w:lang w:eastAsia="zh-CN"/>
              </w:rPr>
            </w:pPr>
            <w:r>
              <w:rPr>
                <w:rFonts w:hint="eastAsia" w:ascii="宋体" w:hAnsi="宋体" w:eastAsia="宋体" w:cs="宋体"/>
                <w:b/>
                <w:color w:val="000000"/>
                <w:kern w:val="2"/>
                <w:sz w:val="21"/>
                <w:szCs w:val="21"/>
                <w:lang w:eastAsia="zh-CN"/>
              </w:rPr>
              <w:t>一、评审标准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根据投标人总公司2024年第四季度</w:t>
            </w:r>
            <w:r>
              <w:rPr>
                <w:rFonts w:hint="eastAsia" w:eastAsia="宋体"/>
                <w:kern w:val="2"/>
                <w:lang w:eastAsia="zh-CN"/>
              </w:rPr>
              <w:t>和</w:t>
            </w:r>
            <w:r>
              <w:rPr>
                <w:rFonts w:hint="eastAsia" w:ascii="宋体" w:hAnsi="宋体" w:eastAsia="宋体" w:cs="宋体"/>
                <w:color w:val="000000"/>
                <w:kern w:val="2"/>
                <w:sz w:val="21"/>
                <w:szCs w:val="21"/>
                <w:lang w:eastAsia="zh-CN"/>
              </w:rPr>
              <w:t>2025年第一季度核心偿付能力充足率、综合偿付能力充足率情况，进行评分：</w:t>
            </w:r>
          </w:p>
          <w:p>
            <w:pPr>
              <w:widowControl/>
              <w:spacing w:beforeAutospacing="0" w:afterAutospacing="0"/>
              <w:ind w:firstLine="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（一）核心偿付能力充足率：</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1.两个季度均≥150%的，得50分；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2.一个季度≥150%、另一个季度≥100%的，得40分；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3.两个季度均≥100%的，得30分；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4.一个季度≥100%、另一个季度≥50%的，得20分；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5.两个季度均≥50%的得10分；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6.其余的不得分。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本小项最高得50分。</w:t>
            </w:r>
          </w:p>
          <w:p>
            <w:pPr>
              <w:widowControl/>
              <w:spacing w:beforeAutospacing="0" w:afterAutospacing="0"/>
              <w:ind w:firstLine="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（二）综合偿付能力充足率：</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1.两个季度均≥200%的，得50分；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2.一个季度≥200%、另一个季度≥150%的，得40分；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3.两个季度均≥150%的，得30分；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4.一个季度≥150%、另一个季度≥100%的，得20分；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5.两个季度均≥100%的，得10分。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本小项最高得50分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以上累计100分。</w:t>
            </w:r>
          </w:p>
          <w:p>
            <w:pPr>
              <w:widowControl/>
              <w:spacing w:beforeAutospacing="0" w:afterAutospacing="0"/>
              <w:ind w:firstLine="200"/>
              <w:jc w:val="both"/>
              <w:rPr>
                <w:rFonts w:hint="eastAsia" w:ascii="宋体" w:hAnsi="宋体" w:eastAsia="宋体" w:cs="宋体"/>
                <w:color w:val="000000"/>
                <w:kern w:val="2"/>
                <w:sz w:val="21"/>
                <w:szCs w:val="21"/>
                <w:lang w:eastAsia="zh-CN"/>
              </w:rPr>
            </w:pPr>
            <w:r>
              <w:rPr>
                <w:rFonts w:hint="eastAsia" w:ascii="宋体" w:hAnsi="宋体" w:eastAsia="宋体" w:cs="宋体"/>
                <w:b/>
                <w:bCs/>
                <w:color w:val="000000"/>
                <w:kern w:val="2"/>
                <w:sz w:val="21"/>
                <w:szCs w:val="21"/>
                <w:lang w:eastAsia="zh-CN"/>
              </w:rPr>
              <w:t>二、</w:t>
            </w:r>
            <w:r>
              <w:rPr>
                <w:rFonts w:hint="eastAsia" w:ascii="宋体" w:hAnsi="宋体" w:eastAsia="宋体" w:cs="宋体"/>
                <w:b/>
                <w:color w:val="000000"/>
                <w:kern w:val="2"/>
                <w:sz w:val="21"/>
                <w:szCs w:val="21"/>
                <w:lang w:eastAsia="zh-CN"/>
              </w:rPr>
              <w:t>证明文件</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提供投标人须提供中国保险行业协会官方网站（网址http://www.iachina.cn）“偿付能力报告”截图作为得分依据。</w:t>
            </w:r>
            <w:r>
              <w:rPr>
                <w:rFonts w:hint="eastAsia" w:ascii="宋体" w:hAnsi="宋体" w:eastAsia="宋体" w:cs="宋体"/>
                <w:bCs/>
                <w:kern w:val="2"/>
                <w:sz w:val="21"/>
                <w:szCs w:val="21"/>
                <w:lang w:eastAsia="zh-CN"/>
              </w:rPr>
              <w:t>投标人每季度综合偿付能力和核心偿付能力数值需用红色标注，并明确列明简单算术平均数的计算过程及结果，计算结果四舍五入保留两位小数。</w:t>
            </w:r>
            <w:r>
              <w:rPr>
                <w:rFonts w:hint="eastAsia" w:ascii="宋体" w:hAnsi="宋体" w:eastAsia="宋体" w:cs="宋体"/>
                <w:color w:val="000000"/>
                <w:kern w:val="2"/>
                <w:sz w:val="21"/>
                <w:szCs w:val="21"/>
                <w:lang w:eastAsia="zh-CN"/>
              </w:rPr>
              <w:t>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1618"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违约承诺</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5414" w:type="dxa"/>
            <w:tcBorders>
              <w:tl2br w:val="nil"/>
              <w:tr2bl w:val="nil"/>
            </w:tcBorders>
            <w:shd w:val="clear" w:color="auto" w:fill="auto"/>
            <w:vAlign w:val="center"/>
          </w:tcPr>
          <w:p>
            <w:pPr>
              <w:widowControl/>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一、评审标准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考察投标人自行承诺的未按保险合同约定或招标文件或投标文件内容履约的处罚措施，用以保证项目的服务质量，评委根据投标人提供的《违约承诺》，从以下两个方面进行评分：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1.内部处罚措施；</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2.对采购人（用车单位）弥补措施；</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每满足1点得20分，满足2点得40分，未满足不得分；</w:t>
            </w:r>
          </w:p>
          <w:p>
            <w:pPr>
              <w:widowControl/>
              <w:spacing w:beforeAutospacing="0" w:afterAutospacing="0"/>
              <w:ind w:firstLine="422" w:firstLineChars="200"/>
              <w:jc w:val="both"/>
              <w:rPr>
                <w:rFonts w:hint="eastAsia" w:ascii="宋体" w:hAnsi="宋体" w:eastAsia="宋体" w:cs="宋体"/>
                <w:b/>
                <w:bCs/>
                <w:color w:val="000000"/>
                <w:kern w:val="2"/>
                <w:sz w:val="21"/>
                <w:szCs w:val="21"/>
                <w:lang w:eastAsia="zh-CN"/>
              </w:rPr>
            </w:pPr>
            <w:r>
              <w:rPr>
                <w:rFonts w:hint="eastAsia" w:ascii="宋体" w:hAnsi="宋体" w:eastAsia="宋体" w:cs="宋体"/>
                <w:b/>
                <w:bCs/>
                <w:kern w:val="2"/>
                <w:sz w:val="21"/>
                <w:szCs w:val="21"/>
                <w:lang w:eastAsia="zh-CN"/>
              </w:rPr>
              <w:t>在此基础上，评审专家根据各投标人的方案内容，按照量化的评审因素指标进一步评审：</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1.评审为优：内部处罚措施具有约束力，弥补措施合理有效的，得60分；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2.评审为良：内部处罚措施较有约束力，弥补措施较合理有效的，得40分；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3.评审为中：内部处罚措施约束力一般，弥补措施合理有效性一般的，得20分；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4.评审为差，内部处罚措施约束力差，弥补措施不合理，效率差的，不得分。</w:t>
            </w:r>
          </w:p>
          <w:p>
            <w:pPr>
              <w:widowControl/>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二、证明文件</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投标人需提供《违约承诺》（格式自定）作为得分依据。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1618" w:type="dxa"/>
            <w:tcBorders>
              <w:tl2br w:val="nil"/>
              <w:tr2bl w:val="nil"/>
            </w:tcBorders>
            <w:vAlign w:val="center"/>
          </w:tcPr>
          <w:p>
            <w:pPr>
              <w:widowControl/>
              <w:wordWrap w:val="0"/>
              <w:jc w:val="both"/>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提供服务配套的设备情况</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5414" w:type="dxa"/>
            <w:tcBorders>
              <w:tl2br w:val="nil"/>
              <w:tr2bl w:val="nil"/>
            </w:tcBorders>
            <w:shd w:val="clear" w:color="auto" w:fill="auto"/>
            <w:vAlign w:val="center"/>
          </w:tcPr>
          <w:p>
            <w:pPr>
              <w:widowControl/>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一、评审标准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考察投标人（如投标人为分支机构的，则考察投标人的总公司）</w:t>
            </w:r>
            <w:r>
              <w:rPr>
                <w:rFonts w:hint="eastAsia" w:ascii="宋体" w:hAnsi="宋体" w:eastAsia="宋体" w:cs="宋体"/>
                <w:color w:val="000000"/>
                <w:kern w:val="2"/>
                <w:sz w:val="21"/>
                <w:szCs w:val="21"/>
                <w:lang w:eastAsia="zh-CN"/>
              </w:rPr>
              <w:t xml:space="preserve">的理赔服务车辆情况，分档评分： </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1.理赔服务车辆≥50台，得100分；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2.25台＞理赔服务车辆≥25台，得70分；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3.10台＞理赔服务车辆≥10台，得40分；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4.理赔服务车辆＜20台，不得分。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注：理赔服务车辆包括投标人所有或与第三方签订租赁或合作协议用于理赔服务的车辆。</w:t>
            </w:r>
          </w:p>
          <w:p>
            <w:pPr>
              <w:widowControl/>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二、证明文件</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投标人须提供：</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1.车辆清单；</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2.车辆行驶证扫描件；</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 xml:space="preserve">3.非自有车辆还需提供与第三方签订的协议关键页扫描件。 </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未按要求提供或提供不清晰导致专家无法辨认的，不得分</w:t>
            </w:r>
            <w:r>
              <w:rPr>
                <w:rFonts w:hint="eastAsia" w:ascii="宋体" w:hAnsi="宋体" w:eastAsia="宋体" w:cs="宋体"/>
                <w:b/>
                <w:bCs/>
                <w:color w:val="000000"/>
                <w:kern w:val="2"/>
                <w:sz w:val="21"/>
                <w:szCs w:val="21"/>
                <w:lang w:eastAsia="zh-CN"/>
              </w:rPr>
              <w:t>。如提供虚假信息，一经查实将取消中标资格。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1618" w:type="dxa"/>
            <w:tcBorders>
              <w:tl2br w:val="nil"/>
              <w:tr2bl w:val="nil"/>
            </w:tcBorders>
            <w:vAlign w:val="center"/>
          </w:tcPr>
          <w:p>
            <w:pPr>
              <w:widowControl/>
              <w:wordWrap w:val="0"/>
              <w:jc w:val="both"/>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拟派本项目的对接人情况</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414" w:type="dxa"/>
            <w:tcBorders>
              <w:tl2br w:val="nil"/>
              <w:tr2bl w:val="nil"/>
            </w:tcBorders>
            <w:shd w:val="clear" w:color="auto" w:fill="auto"/>
            <w:vAlign w:val="center"/>
          </w:tcPr>
          <w:p>
            <w:pPr>
              <w:widowControl/>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一、评审标准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考察投标人针对本项目拟安排的项目对接人（仅限一人）须为投标人自有员工，否则本项不得分，在此基础上，按以下标准进行打分：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1学历：具备大专以上学历的得40分，本科学历得40分；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2从业经验：具有5年及以上保险行业从业经验的，得60分。以上累计100分。</w:t>
            </w:r>
          </w:p>
          <w:p>
            <w:pPr>
              <w:widowControl/>
              <w:spacing w:beforeAutospacing="0" w:afterAutospacing="0"/>
              <w:ind w:firstLine="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二、证明文件</w:t>
            </w:r>
          </w:p>
          <w:p>
            <w:pPr>
              <w:widowControl/>
              <w:ind w:firstLine="420" w:firstLineChars="200"/>
              <w:jc w:val="both"/>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社保部门出具的投标企业缴纳近3个月（具体是指2025年4月至2025年6月）任意一个月社保证明文件扫描件，如投标人注册成立时间不足3个月的，可提供承诺函（格式自拟）。如为退休返聘人员则提供劳动合同或返聘协议扫描件；</w:t>
            </w:r>
          </w:p>
          <w:p>
            <w:pPr>
              <w:widowControl/>
              <w:ind w:firstLine="420" w:firstLineChars="20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3.提供从业经验证明：如劳动合同或项目合同（协议）关键页；若合同关键页无法体现服务人员信息，则还需提供其他证明材料或投标人承诺。</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4.以上证明文件均需提供扫描件。未按要求提供或提供不清晰导致评委无法判断的不得分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p>
        </w:tc>
        <w:tc>
          <w:tcPr>
            <w:tcW w:w="1618" w:type="dxa"/>
            <w:tcBorders>
              <w:tl2br w:val="nil"/>
              <w:tr2bl w:val="nil"/>
            </w:tcBorders>
            <w:vAlign w:val="center"/>
          </w:tcPr>
          <w:p>
            <w:pPr>
              <w:widowControl/>
              <w:wordWrap w:val="0"/>
              <w:jc w:val="both"/>
              <w:rPr>
                <w:rFonts w:hint="eastAsia" w:ascii="宋体" w:hAnsi="宋体" w:eastAsia="宋体" w:cs="宋体"/>
                <w:kern w:val="2"/>
                <w:sz w:val="21"/>
                <w:szCs w:val="21"/>
                <w:lang w:eastAsia="zh-CN"/>
              </w:rPr>
            </w:pP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p>
        </w:tc>
        <w:tc>
          <w:tcPr>
            <w:tcW w:w="5414" w:type="dxa"/>
            <w:tcBorders>
              <w:tl2br w:val="nil"/>
              <w:tr2bl w:val="nil"/>
            </w:tcBorders>
            <w:shd w:val="clear" w:color="auto" w:fill="auto"/>
            <w:vAlign w:val="center"/>
          </w:tcPr>
          <w:p>
            <w:pPr>
              <w:widowControl w:val="0"/>
              <w:ind w:firstLine="420" w:firstLineChars="200"/>
              <w:jc w:val="left"/>
              <w:rPr>
                <w:rFonts w:hint="eastAsia" w:ascii="宋体" w:hAnsi="宋体" w:eastAsia="宋体" w:cs="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w:t>
            </w:r>
          </w:p>
        </w:tc>
        <w:tc>
          <w:tcPr>
            <w:tcW w:w="2950" w:type="dxa"/>
            <w:gridSpan w:val="3"/>
            <w:tcBorders>
              <w:tl2br w:val="nil"/>
              <w:tr2bl w:val="nil"/>
            </w:tcBorders>
            <w:vAlign w:val="center"/>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综合实力部分</w:t>
            </w:r>
          </w:p>
        </w:tc>
        <w:tc>
          <w:tcPr>
            <w:tcW w:w="5414" w:type="dxa"/>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8364" w:type="dxa"/>
            <w:gridSpan w:val="4"/>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618"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784"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414"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618"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有效业绩</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414" w:type="dxa"/>
            <w:tcBorders>
              <w:tl2br w:val="nil"/>
              <w:tr2bl w:val="nil"/>
            </w:tcBorders>
            <w:shd w:val="clear" w:color="auto" w:fill="auto"/>
            <w:vAlign w:val="center"/>
          </w:tcPr>
          <w:p>
            <w:pPr>
              <w:widowControl/>
              <w:spacing w:beforeAutospacing="0" w:afterAutospacing="0"/>
              <w:ind w:firstLine="422" w:firstLineChars="200"/>
              <w:jc w:val="both"/>
              <w:rPr>
                <w:rFonts w:hint="eastAsia" w:ascii="宋体" w:hAnsi="宋体" w:eastAsia="宋体" w:cs="宋体"/>
                <w:color w:val="000000"/>
                <w:kern w:val="2"/>
                <w:sz w:val="21"/>
                <w:szCs w:val="21"/>
                <w:lang w:eastAsia="zh-CN"/>
              </w:rPr>
            </w:pPr>
            <w:r>
              <w:rPr>
                <w:rFonts w:hint="eastAsia" w:ascii="宋体" w:hAnsi="宋体" w:eastAsia="宋体" w:cs="宋体"/>
                <w:b/>
                <w:color w:val="000000"/>
                <w:kern w:val="2"/>
                <w:sz w:val="21"/>
                <w:szCs w:val="21"/>
                <w:lang w:eastAsia="zh-CN"/>
              </w:rPr>
              <w:t>一、评审标准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考察投标人自2021年1月1日（含）至投标截止日（以保单保险期限中起保时间为准）承保过的公务车保险业绩，每提供一个得25分，最高为100分。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注：1.同一项目续签合同的不重复计分；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2.公务车：指人大、政协、国家政府机关和事业单位为了执行公务而专门配备的车辆，包括军车，警车，消防车，救护车，抢险救灾车等以及其他一些车辆。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投标人为总公司的，该投标人自身及其下属各分公司的公务车保险项目业绩均予以认可；投标人为分支机构的，仅该投标人自身的公务车保险项目业绩予以认可，提供总公司及其他分公司公务车保险项目业绩均不予认可。</w:t>
            </w:r>
          </w:p>
          <w:p>
            <w:pPr>
              <w:widowControl/>
              <w:spacing w:beforeAutospacing="0" w:afterAutospacing="0"/>
              <w:ind w:firstLine="422" w:firstLineChars="200"/>
              <w:jc w:val="both"/>
              <w:rPr>
                <w:rFonts w:hint="eastAsia"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二、证明文件</w:t>
            </w:r>
          </w:p>
          <w:p>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1.提供合同（或协议）关键页（包括但不限于以下内容：合同双方的名称、合同项目名称/险种、合同双方签字盖章页、合同签订日期）；</w:t>
            </w:r>
          </w:p>
          <w:p>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2.每个业绩提供1份公务车的保单（需体现投保人为项目合同甲方或甲方下属单位、</w:t>
            </w:r>
            <w:r>
              <w:rPr>
                <w:rFonts w:hint="eastAsia" w:ascii="宋体" w:hAnsi="宋体" w:eastAsia="宋体" w:cs="宋体"/>
                <w:kern w:val="2"/>
                <w:sz w:val="21"/>
                <w:szCs w:val="21"/>
                <w:lang w:eastAsia="zh-CN"/>
              </w:rPr>
              <w:t>保险期限等信息</w:t>
            </w:r>
            <w:r>
              <w:rPr>
                <w:rFonts w:hint="eastAsia" w:ascii="宋体" w:hAnsi="宋体" w:eastAsia="宋体" w:cs="宋体"/>
                <w:color w:val="000000"/>
                <w:kern w:val="2"/>
                <w:sz w:val="21"/>
                <w:szCs w:val="21"/>
                <w:lang w:eastAsia="zh-CN"/>
              </w:rPr>
              <w:t>）；</w:t>
            </w:r>
          </w:p>
          <w:p>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3.提供《同类项目业绩清单》；</w:t>
            </w:r>
          </w:p>
          <w:p>
            <w:pPr>
              <w:widowControl/>
              <w:spacing w:beforeAutospacing="0" w:afterAutospacing="0"/>
              <w:ind w:firstLine="420" w:firstLineChars="200"/>
              <w:jc w:val="both"/>
              <w:rPr>
                <w:rFonts w:hint="eastAsia" w:ascii="宋体" w:hAnsi="宋体" w:eastAsia="宋体" w:cs="宋体"/>
                <w:b/>
                <w:color w:val="000000"/>
                <w:kern w:val="2"/>
                <w:sz w:val="21"/>
                <w:szCs w:val="21"/>
                <w:lang w:eastAsia="zh-CN"/>
              </w:rPr>
            </w:pPr>
            <w:r>
              <w:rPr>
                <w:rFonts w:hint="eastAsia" w:ascii="宋体" w:hAnsi="宋体" w:eastAsia="宋体" w:cs="宋体"/>
                <w:color w:val="000000"/>
                <w:kern w:val="2"/>
                <w:sz w:val="21"/>
                <w:szCs w:val="21"/>
                <w:lang w:eastAsia="zh-CN"/>
              </w:rPr>
              <w:t>投标人需同时提供前述3项作为证明材料，如涉及网站截图或照片等证明材料,需提供清晰图片。如未按要求提供证明材料，或所提供的证明材料未能体现上述评分内容的，视为该证明材料无效。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618"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履约评价</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414" w:type="dxa"/>
            <w:tcBorders>
              <w:tl2br w:val="nil"/>
              <w:tr2bl w:val="nil"/>
            </w:tcBorders>
            <w:shd w:val="clear" w:color="auto" w:fill="auto"/>
            <w:vAlign w:val="center"/>
          </w:tcPr>
          <w:p>
            <w:pPr>
              <w:widowControl/>
              <w:spacing w:beforeAutospacing="0" w:afterAutospacing="0"/>
              <w:ind w:firstLine="422" w:firstLineChars="200"/>
              <w:jc w:val="both"/>
              <w:rPr>
                <w:rFonts w:hint="eastAsia" w:ascii="宋体" w:hAnsi="宋体" w:eastAsia="宋体" w:cs="宋体"/>
                <w:color w:val="000000"/>
                <w:kern w:val="2"/>
                <w:sz w:val="21"/>
                <w:szCs w:val="21"/>
                <w:lang w:eastAsia="zh-CN"/>
              </w:rPr>
            </w:pPr>
            <w:r>
              <w:rPr>
                <w:rFonts w:hint="eastAsia" w:ascii="宋体" w:hAnsi="宋体" w:eastAsia="宋体" w:cs="宋体"/>
                <w:b/>
                <w:color w:val="000000"/>
                <w:kern w:val="2"/>
                <w:sz w:val="21"/>
                <w:szCs w:val="21"/>
                <w:lang w:eastAsia="zh-CN"/>
              </w:rPr>
              <w:t>一、评审标准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投标人自2021年1月1日（含）至投标截止日，投标人每提供一个公务车保险项目取得合同甲方出具的履约或服务评价为优或满意或评分为95分或以上的评价结果（非百分制作为评价标准的，按比例换算为百分制后达到95分或以上也予以认可，投标人需自行换算，否则不计分，每提供一个得25分，最高为100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注：1.评价时间为2021年1月1日（含）至投标截止日；2.投保人为同一单位的只计1个，不重复算分（其下属单位或客户内部机构提供的履约评价视为同一单位，应予以认可）。</w:t>
            </w:r>
          </w:p>
          <w:p>
            <w:pPr>
              <w:widowControl/>
              <w:spacing w:beforeAutospacing="0" w:afterAutospacing="0"/>
              <w:ind w:firstLine="422" w:firstLineChars="200"/>
              <w:jc w:val="both"/>
              <w:rPr>
                <w:rFonts w:hint="eastAsia" w:ascii="宋体" w:hAnsi="宋体" w:eastAsia="宋体" w:cs="宋体"/>
                <w:color w:val="000000"/>
                <w:kern w:val="2"/>
                <w:sz w:val="21"/>
                <w:szCs w:val="21"/>
                <w:lang w:eastAsia="zh-CN"/>
              </w:rPr>
            </w:pPr>
            <w:r>
              <w:rPr>
                <w:rFonts w:hint="eastAsia" w:ascii="宋体" w:hAnsi="宋体" w:eastAsia="宋体" w:cs="宋体"/>
                <w:b/>
                <w:bCs/>
                <w:color w:val="000000"/>
                <w:kern w:val="2"/>
                <w:sz w:val="21"/>
                <w:szCs w:val="21"/>
                <w:lang w:eastAsia="zh-CN"/>
              </w:rPr>
              <w:t>二、</w:t>
            </w:r>
            <w:r>
              <w:rPr>
                <w:rFonts w:hint="eastAsia" w:ascii="宋体" w:hAnsi="宋体" w:eastAsia="宋体" w:cs="宋体"/>
                <w:b/>
                <w:color w:val="000000"/>
                <w:kern w:val="2"/>
                <w:sz w:val="21"/>
                <w:szCs w:val="21"/>
                <w:lang w:eastAsia="zh-CN"/>
              </w:rPr>
              <w:t>证明文件</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提供客户（包括采购人或其下属单位）盖章的履约评价证明文件扫描件；未提供或提供的内容不符合要求的，不得分。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618"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投诉量情况</w:t>
            </w:r>
          </w:p>
        </w:tc>
        <w:tc>
          <w:tcPr>
            <w:tcW w:w="784" w:type="dxa"/>
            <w:tcBorders>
              <w:tl2br w:val="nil"/>
              <w:tr2bl w:val="nil"/>
            </w:tcBorders>
            <w:vAlign w:val="center"/>
          </w:tcPr>
          <w:p>
            <w:pPr>
              <w:widowControl/>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414" w:type="dxa"/>
            <w:tcBorders>
              <w:tl2br w:val="nil"/>
              <w:tr2bl w:val="nil"/>
            </w:tcBorders>
            <w:shd w:val="clear" w:color="auto" w:fill="auto"/>
            <w:vAlign w:val="center"/>
          </w:tcPr>
          <w:p>
            <w:pPr>
              <w:widowControl/>
              <w:spacing w:beforeAutospacing="0" w:afterAutospacing="0"/>
              <w:ind w:firstLine="422" w:firstLineChars="200"/>
              <w:jc w:val="both"/>
              <w:rPr>
                <w:rFonts w:hint="eastAsia" w:ascii="宋体" w:hAnsi="宋体" w:eastAsia="宋体" w:cs="宋体"/>
                <w:color w:val="000000"/>
                <w:kern w:val="2"/>
                <w:sz w:val="21"/>
                <w:szCs w:val="21"/>
                <w:lang w:eastAsia="zh-CN"/>
              </w:rPr>
            </w:pPr>
            <w:r>
              <w:rPr>
                <w:rFonts w:hint="eastAsia" w:ascii="宋体" w:hAnsi="宋体" w:eastAsia="宋体" w:cs="宋体"/>
                <w:b/>
                <w:color w:val="000000"/>
                <w:kern w:val="2"/>
                <w:sz w:val="21"/>
                <w:szCs w:val="21"/>
                <w:lang w:eastAsia="zh-CN"/>
              </w:rPr>
              <w:t>一、评审标准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考察投标人总公司2024年上半年亿元保费投诉量（件/亿元）分档评分：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1.亿元保费投诉量在区间[0,0.2]的，得100分；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2.亿元保费投诉量在区间（0.2,0.4]的，得70分；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3.亿元保费投诉量在区间（0.4,0.6]的，得50分；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4.亿元保费投诉量在区间（0.6,0.8]的，得30分；</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5.其他情况的，得10分。</w:t>
            </w:r>
          </w:p>
          <w:p>
            <w:pPr>
              <w:widowControl/>
              <w:spacing w:beforeAutospacing="0" w:afterAutospacing="0"/>
              <w:ind w:firstLine="422" w:firstLineChars="200"/>
              <w:jc w:val="both"/>
              <w:rPr>
                <w:rFonts w:hint="eastAsia" w:ascii="宋体" w:hAnsi="宋体" w:eastAsia="宋体" w:cs="宋体"/>
                <w:color w:val="000000"/>
                <w:kern w:val="2"/>
                <w:sz w:val="21"/>
                <w:szCs w:val="21"/>
                <w:lang w:eastAsia="zh-CN"/>
              </w:rPr>
            </w:pPr>
            <w:r>
              <w:rPr>
                <w:rFonts w:hint="eastAsia" w:ascii="宋体" w:hAnsi="宋体" w:eastAsia="宋体" w:cs="宋体"/>
                <w:b/>
                <w:bCs/>
                <w:color w:val="000000"/>
                <w:kern w:val="2"/>
                <w:sz w:val="21"/>
                <w:szCs w:val="21"/>
                <w:lang w:eastAsia="zh-CN"/>
              </w:rPr>
              <w:t>二、</w:t>
            </w:r>
            <w:r>
              <w:rPr>
                <w:rFonts w:hint="eastAsia" w:ascii="宋体" w:hAnsi="宋体" w:eastAsia="宋体" w:cs="宋体"/>
                <w:b/>
                <w:color w:val="000000"/>
                <w:kern w:val="2"/>
                <w:sz w:val="21"/>
                <w:szCs w:val="21"/>
                <w:lang w:eastAsia="zh-CN"/>
              </w:rPr>
              <w:t>证明文件</w:t>
            </w:r>
          </w:p>
          <w:p>
            <w:pPr>
              <w:widowControl/>
              <w:spacing w:beforeAutospacing="0" w:afterAutospacing="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须提供由国家金融监督管理总局金融消费者权益保护局出具的《关于2024年上半年保险业消费投诉情况的通报》（金消保发〔2024〕8号）及其中的附表1《保险业消费投诉情况统计表（财产保险公司）》的相关截图。</w:t>
            </w:r>
            <w:r>
              <w:rPr>
                <w:rFonts w:hint="eastAsia" w:ascii="宋体" w:hAnsi="宋体" w:eastAsia="宋体" w:cs="宋体"/>
                <w:b/>
                <w:bCs/>
                <w:color w:val="000000"/>
                <w:kern w:val="2"/>
                <w:sz w:val="21"/>
                <w:szCs w:val="21"/>
                <w:lang w:eastAsia="zh-CN"/>
              </w:rPr>
              <w:t>投标人提供的证明材料必须真实，如有虚假需自行承担相应责任。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w:t>
            </w:r>
          </w:p>
        </w:tc>
        <w:tc>
          <w:tcPr>
            <w:tcW w:w="2950" w:type="dxa"/>
            <w:gridSpan w:val="3"/>
            <w:tcBorders>
              <w:tl2br w:val="nil"/>
              <w:tr2bl w:val="nil"/>
            </w:tcBorders>
            <w:vAlign w:val="center"/>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诚信情况</w:t>
            </w:r>
          </w:p>
        </w:tc>
        <w:tc>
          <w:tcPr>
            <w:tcW w:w="5414" w:type="dxa"/>
            <w:tcBorders>
              <w:tl2br w:val="nil"/>
              <w:tr2bl w:val="nil"/>
            </w:tcBorders>
          </w:tcPr>
          <w:p>
            <w:pPr>
              <w:widowControl w:val="0"/>
              <w:wordWrap w:val="0"/>
              <w:adjustRightInd w:val="0"/>
              <w:snapToGrid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8364" w:type="dxa"/>
            <w:gridSpan w:val="4"/>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618"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784"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414" w:type="dxa"/>
            <w:tcBorders>
              <w:tl2br w:val="nil"/>
              <w:tr2bl w:val="nil"/>
            </w:tcBorders>
            <w:shd w:val="clear" w:color="auto" w:fill="E6EFFA"/>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618"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784" w:type="dxa"/>
            <w:tcBorders>
              <w:tl2br w:val="nil"/>
              <w:tr2bl w:val="nil"/>
            </w:tcBorders>
            <w:vAlign w:val="center"/>
          </w:tcPr>
          <w:p>
            <w:pPr>
              <w:widowControl w:val="0"/>
              <w:wordWrap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414" w:type="dxa"/>
            <w:tcBorders>
              <w:tl2br w:val="nil"/>
              <w:tr2bl w:val="nil"/>
            </w:tcBorders>
          </w:tcPr>
          <w:p>
            <w:pPr>
              <w:widowControl w:val="0"/>
              <w:numPr>
                <w:ilvl w:val="0"/>
                <w:numId w:val="3"/>
              </w:numPr>
              <w:wordWrap w:val="0"/>
              <w:adjustRightInd w:val="0"/>
              <w:snapToGrid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评审内容：</w:t>
            </w:r>
          </w:p>
          <w:p>
            <w:pPr>
              <w:widowControl w:val="0"/>
              <w:wordWrap w:val="0"/>
              <w:adjustRightInd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widowControl w:val="0"/>
              <w:wordWrap w:val="0"/>
              <w:adjustRightInd w:val="0"/>
              <w:snapToGrid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pPr>
              <w:widowControl w:val="0"/>
              <w:wordWrap w:val="0"/>
              <w:adjustRightInd w:val="0"/>
              <w:snapToGrid w:val="0"/>
              <w:jc w:val="both"/>
              <w:rPr>
                <w:rFonts w:hint="eastAsia" w:ascii="宋体" w:hAnsi="宋体" w:eastAsia="宋体" w:cs="宋体"/>
                <w:color w:val="FF0000"/>
                <w:kern w:val="2"/>
                <w:sz w:val="21"/>
                <w:szCs w:val="21"/>
                <w:lang w:eastAsia="zh-CN"/>
              </w:rPr>
            </w:pPr>
            <w:r>
              <w:rPr>
                <w:rFonts w:hint="eastAsia" w:ascii="宋体" w:hAnsi="宋体" w:eastAsia="宋体" w:cs="宋体"/>
                <w:kern w:val="2"/>
                <w:sz w:val="21"/>
                <w:szCs w:val="21"/>
                <w:lang w:eastAsia="zh-CN"/>
              </w:rPr>
              <w:t>查询渠道具体包括“信用中国”（www.creditchina.gov.cn）、“中国政府采购网”（www.ccgp.gov.cn）”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widowControl w:val="0"/>
              <w:adjustRightInd w:val="0"/>
              <w:snapToGrid w:val="0"/>
              <w:jc w:val="both"/>
              <w:rPr>
                <w:rFonts w:hint="eastAsia" w:ascii="宋体" w:hAnsi="宋体" w:eastAsia="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jc w:val="both"/>
              <w:rPr>
                <w:rFonts w:hint="eastAsia" w:ascii="宋体" w:hAnsi="宋体" w:eastAsia="宋体" w:cs="宋体"/>
                <w:kern w:val="2"/>
                <w:sz w:val="21"/>
                <w:szCs w:val="21"/>
                <w:lang w:eastAsia="zh-CN"/>
              </w:rPr>
            </w:pPr>
          </w:p>
        </w:tc>
      </w:tr>
    </w:tbl>
    <w:p>
      <w:pPr>
        <w:widowControl w:val="0"/>
        <w:jc w:val="both"/>
        <w:rPr>
          <w:rFonts w:eastAsia="宋体"/>
          <w:kern w:val="2"/>
          <w:sz w:val="21"/>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pPr>
        <w:widowControl w:val="0"/>
        <w:jc w:val="center"/>
        <w:rPr>
          <w:rFonts w:eastAsia="宋体"/>
          <w:b/>
          <w:kern w:val="2"/>
          <w:sz w:val="52"/>
          <w:szCs w:val="52"/>
          <w:lang w:eastAsia="zh-CN"/>
        </w:rPr>
      </w:pPr>
      <w:r>
        <w:rPr>
          <w:rFonts w:hint="eastAsia" w:eastAsia="宋体"/>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pPr>
        <w:widowControl w:val="0"/>
        <w:jc w:val="center"/>
        <w:rPr>
          <w:rFonts w:hint="eastAsia" w:ascii="宋体" w:hAnsi="宋体" w:eastAsia="宋体"/>
          <w:color w:val="FF0000"/>
          <w:kern w:val="2"/>
          <w:sz w:val="21"/>
          <w:szCs w:val="21"/>
          <w:lang w:eastAsia="zh-CN"/>
        </w:rPr>
      </w:pPr>
      <w:r>
        <w:rPr>
          <w:rFonts w:hint="eastAsia" w:eastAsia="宋体"/>
          <w:kern w:val="2"/>
          <w:sz w:val="21"/>
          <w:lang w:eastAsia="zh-CN"/>
        </w:rPr>
        <w:br w:type="page"/>
      </w:r>
      <w:bookmarkStart w:id="1" w:name="_Hlk137453387"/>
      <w:r>
        <w:rPr>
          <w:rFonts w:hint="eastAsia" w:ascii="宋体" w:hAnsi="宋体" w:eastAsia="黑体"/>
          <w:b/>
          <w:bCs/>
          <w:color w:val="FF0000"/>
          <w:kern w:val="44"/>
          <w:sz w:val="28"/>
          <w:szCs w:val="44"/>
          <w:lang w:eastAsia="zh-CN"/>
        </w:rPr>
        <w:t>警示条款</w:t>
      </w:r>
    </w:p>
    <w:p>
      <w:pPr>
        <w:widowControl w:val="0"/>
        <w:ind w:firstLine="400" w:firstLineChars="200"/>
        <w:jc w:val="both"/>
        <w:rPr>
          <w:rFonts w:hint="eastAsia" w:ascii="宋体" w:hAnsi="宋体" w:eastAsia="宋体"/>
          <w:color w:val="FF0000"/>
          <w:kern w:val="2"/>
          <w:sz w:val="20"/>
          <w:szCs w:val="20"/>
          <w:lang w:eastAsia="zh-CN"/>
        </w:rPr>
      </w:pP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二、《深圳经济特区政府采购条例实施细则》第七十五条 </w:t>
      </w:r>
      <w:r>
        <w:rPr>
          <w:rFonts w:hint="eastAsia" w:ascii="宋体" w:hAnsi="宋体" w:eastAsia="宋体"/>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2" w:firstLineChars="200"/>
        <w:jc w:val="both"/>
        <w:rPr>
          <w:rFonts w:eastAsia="宋体"/>
          <w:b/>
          <w:color w:val="FF0000"/>
          <w:kern w:val="2"/>
          <w:sz w:val="21"/>
          <w:lang w:eastAsia="zh-CN"/>
        </w:rPr>
      </w:pPr>
      <w:r>
        <w:rPr>
          <w:rFonts w:hint="eastAsia" w:eastAsia="宋体"/>
          <w:b/>
          <w:color w:val="FF0000"/>
          <w:kern w:val="2"/>
          <w:sz w:val="21"/>
          <w:lang w:eastAsia="zh-CN"/>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eastAsia="宋体"/>
          <w:kern w:val="2"/>
          <w:sz w:val="21"/>
          <w:lang w:eastAsia="zh-CN"/>
        </w:rPr>
      </w:pPr>
      <w:r>
        <w:rPr>
          <w:rFonts w:hint="eastAsia" w:ascii="宋体" w:hAnsi="宋体" w:eastAsia="宋体"/>
          <w:color w:val="FF0000"/>
          <w:kern w:val="2"/>
          <w:sz w:val="20"/>
          <w:szCs w:val="20"/>
          <w:lang w:eastAsia="zh-CN"/>
        </w:rPr>
        <w:t>五、</w:t>
      </w:r>
      <w:r>
        <w:rPr>
          <w:rFonts w:ascii="宋体" w:hAnsi="宋体" w:eastAsia="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eastAsia="宋体"/>
          <w:kern w:val="2"/>
          <w:sz w:val="21"/>
          <w:lang w:eastAsia="zh-CN"/>
        </w:rPr>
        <w:br w:type="textWrapping"/>
      </w:r>
    </w:p>
    <w:bookmarkEnd w:id="1"/>
    <w:p>
      <w:pPr>
        <w:widowControl/>
        <w:jc w:val="left"/>
        <w:rPr>
          <w:rFonts w:hint="eastAsia" w:ascii="宋体" w:hAnsi="宋体" w:eastAsia="黑体"/>
          <w:b/>
          <w:bCs/>
          <w:kern w:val="44"/>
          <w:sz w:val="28"/>
          <w:szCs w:val="44"/>
          <w:lang w:eastAsia="zh-CN"/>
        </w:rPr>
      </w:pPr>
      <w:r>
        <w:rPr>
          <w:rFonts w:eastAsia="宋体"/>
          <w:kern w:val="2"/>
          <w:sz w:val="21"/>
          <w:lang w:eastAsia="zh-CN"/>
        </w:rPr>
        <w:br w:type="page"/>
      </w:r>
    </w:p>
    <w:p>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pPr>
        <w:widowControl w:val="0"/>
        <w:jc w:val="both"/>
        <w:outlineLvl w:val="0"/>
        <w:rPr>
          <w:rFonts w:eastAsia="宋体"/>
          <w:b/>
          <w:kern w:val="2"/>
          <w:lang w:eastAsia="zh-CN"/>
        </w:rPr>
      </w:pPr>
      <w:r>
        <w:rPr>
          <w:rFonts w:hint="eastAsia" w:eastAsia="宋体"/>
          <w:b/>
          <w:kern w:val="2"/>
          <w:lang w:eastAsia="zh-CN"/>
        </w:rPr>
        <w:t>第一册  专用条款</w:t>
      </w:r>
    </w:p>
    <w:p>
      <w:pPr>
        <w:widowControl w:val="0"/>
        <w:jc w:val="both"/>
        <w:rPr>
          <w:rFonts w:eastAsia="宋体"/>
          <w:kern w:val="2"/>
          <w:lang w:eastAsia="zh-CN"/>
        </w:rPr>
      </w:pPr>
      <w:r>
        <w:rPr>
          <w:rFonts w:hint="eastAsia" w:eastAsia="宋体"/>
          <w:kern w:val="2"/>
          <w:lang w:eastAsia="zh-CN"/>
        </w:rPr>
        <w:t xml:space="preserve">          关键信息</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hint="eastAsia" w:eastAsia="宋体"/>
          <w:b/>
          <w:kern w:val="2"/>
          <w:lang w:eastAsia="zh-CN"/>
        </w:rPr>
        <w:t>第二册  通用条款</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spacing w:line="360" w:lineRule="auto"/>
        <w:ind w:firstLine="420" w:firstLineChars="200"/>
        <w:jc w:val="left"/>
        <w:rPr>
          <w:rFonts w:hint="eastAsia" w:ascii="宋体" w:hAnsi="宋体" w:eastAsia="宋体"/>
          <w:kern w:val="2"/>
          <w:sz w:val="21"/>
          <w:szCs w:val="21"/>
          <w:lang w:eastAsia="zh-CN"/>
        </w:rPr>
      </w:pPr>
    </w:p>
    <w:p>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3" w:name="bt其他资料由投标人自定"/>
      <w:bookmarkEnd w:id="3"/>
      <w:bookmarkStart w:id="4" w:name="bt其他资料2"/>
      <w:bookmarkEnd w:id="4"/>
      <w:bookmarkStart w:id="5" w:name="bt合同格式"/>
      <w:bookmarkEnd w:id="5"/>
      <w:bookmarkStart w:id="6" w:name="bt合同条款"/>
      <w:bookmarkEnd w:id="6"/>
      <w:bookmarkStart w:id="7" w:name="bt项目管理班子配备情况"/>
      <w:bookmarkEnd w:id="7"/>
      <w:bookmarkStart w:id="8" w:name="bt投标人情况介绍"/>
      <w:bookmarkEnd w:id="8"/>
      <w:bookmarkStart w:id="9" w:name="bt开标一览表"/>
      <w:bookmarkEnd w:id="9"/>
      <w:bookmarkStart w:id="10" w:name="bt合同条款及格式"/>
      <w:bookmarkEnd w:id="10"/>
      <w:bookmarkStart w:id="11" w:name="bt技术标投标文件格式"/>
      <w:bookmarkEnd w:id="11"/>
      <w:bookmarkStart w:id="12" w:name="bt投标文件签署授权委托书"/>
      <w:bookmarkEnd w:id="12"/>
      <w:bookmarkStart w:id="13" w:name="bt说明"/>
      <w:bookmarkEnd w:id="13"/>
      <w:bookmarkStart w:id="14" w:name="bt投标函"/>
      <w:bookmarkEnd w:id="14"/>
      <w:bookmarkStart w:id="15" w:name="bt本工程承诺书"/>
      <w:bookmarkEnd w:id="15"/>
      <w:bookmarkStart w:id="16" w:name="bt投标报价汇总表"/>
      <w:bookmarkEnd w:id="16"/>
      <w:bookmarkStart w:id="17" w:name="合同格式"/>
      <w:bookmarkEnd w:id="17"/>
      <w:bookmarkStart w:id="18" w:name="bt投标人须知"/>
      <w:bookmarkEnd w:id="18"/>
      <w:bookmarkStart w:id="19" w:name="bt商务标投标文件格式"/>
      <w:bookmarkEnd w:id="19"/>
      <w:r>
        <w:rPr>
          <w:rFonts w:hint="eastAsia" w:ascii="宋体" w:hAnsi="宋体" w:eastAsia="黑体"/>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pPr>
        <w:widowControl w:val="0"/>
        <w:jc w:val="both"/>
        <w:rPr>
          <w:rFonts w:eastAsia="宋体"/>
          <w:kern w:val="2"/>
          <w:sz w:val="21"/>
          <w:lang w:eastAsia="zh-CN"/>
        </w:rPr>
      </w:pPr>
    </w:p>
    <w:p>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0"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8.本项目是（否）专门面向中小企业采购：否；</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不存在不同投标供应商法定代表人、投标授权代表人、项目负责人（如有）、主要技术人员（如有）、投标文件编制人员为同一人、属于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pPr>
        <w:widowControl w:val="0"/>
        <w:spacing w:line="360" w:lineRule="auto"/>
        <w:ind w:firstLine="482" w:firstLineChars="200"/>
        <w:jc w:val="both"/>
        <w:rPr>
          <w:rFonts w:eastAsia="宋体"/>
          <w:b/>
          <w:bCs/>
          <w:kern w:val="2"/>
          <w:lang w:eastAsia="zh-CN"/>
        </w:rPr>
      </w:pPr>
      <w:r>
        <w:rPr>
          <w:rFonts w:hint="eastAsia" w:ascii="宋体" w:hAnsi="宋体" w:eastAsia="宋体" w:cs="宋体"/>
          <w:b/>
          <w:bCs/>
          <w:szCs w:val="21"/>
          <w:lang w:eastAsia="zh-CN"/>
        </w:rPr>
        <w:t>10.</w:t>
      </w:r>
      <w:r>
        <w:rPr>
          <w:rFonts w:hint="eastAsia" w:ascii="宋体" w:hAnsi="宋体" w:eastAsia="宋体" w:cs="宋体"/>
          <w:b/>
          <w:bCs/>
          <w:color w:val="FF0000"/>
          <w:szCs w:val="21"/>
          <w:lang w:eastAsia="zh-CN"/>
        </w:rPr>
        <w:t>须提供由国家金融监督管理总局（现更名国家金融监督管理总局）核发的在有效期内的《保险公司法人许可证》或《经营保险业务许可证》或《保险许可证》扫描件。</w:t>
      </w:r>
    </w:p>
    <w:p>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hint="eastAsia" w:ascii="宋体" w:hAnsi="宋体" w:eastAsia="宋体" w:cs="宋体"/>
          <w:color w:val="FF0000"/>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hint="eastAsia"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1" w:name="_Toc73517639"/>
      <w:bookmarkStart w:id="22" w:name="_Toc73518117"/>
      <w:bookmarkStart w:id="23" w:name="_Toc100052364"/>
      <w:bookmarkStart w:id="24" w:name="_Toc101074876"/>
      <w:bookmarkStart w:id="25" w:name="_Toc73521635"/>
      <w:bookmarkStart w:id="26" w:name="_Toc60560625"/>
      <w:bookmarkStart w:id="27" w:name="_Toc73521547"/>
      <w:bookmarkStart w:id="28" w:name="_Toc60631620"/>
      <w:r>
        <w:rPr>
          <w:rFonts w:hint="eastAsia" w:ascii="宋体" w:hAnsi="宋体" w:eastAsia="宋体"/>
          <w:b/>
          <w:bCs/>
          <w:lang w:eastAsia="zh-CN"/>
        </w:rPr>
        <w:t>一、对通用条款的补充内容</w:t>
      </w:r>
    </w:p>
    <w:bookmarkEnd w:id="21"/>
    <w:bookmarkEnd w:id="22"/>
    <w:bookmarkEnd w:id="23"/>
    <w:bookmarkEnd w:id="24"/>
    <w:bookmarkEnd w:id="25"/>
    <w:bookmarkEnd w:id="26"/>
    <w:bookmarkEnd w:id="27"/>
    <w:bookmarkEnd w:id="28"/>
    <w:tbl>
      <w:tblPr>
        <w:tblStyle w:val="1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cs="宋体"/>
                <w:b/>
                <w:bCs/>
                <w:color w:val="0000FF"/>
                <w:kern w:val="2"/>
                <w:sz w:val="21"/>
                <w:szCs w:val="21"/>
                <w:lang w:eastAsia="zh-CN"/>
              </w:rPr>
              <w:t>深圳市殡葬服务中心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bookmarkStart w:id="29" w:name="_Hlk71664860"/>
            <w:r>
              <w:rPr>
                <w:rFonts w:hint="eastAsia" w:ascii="宋体" w:hAnsi="宋体" w:eastAsia="宋体"/>
                <w:kern w:val="2"/>
                <w:sz w:val="21"/>
                <w:lang w:eastAsia="zh-CN"/>
              </w:rPr>
              <w:t>样品、演示、方案讲解</w:t>
            </w:r>
            <w:bookmarkEnd w:id="29"/>
          </w:p>
        </w:tc>
        <w:tc>
          <w:tcPr>
            <w:tcW w:w="4871" w:type="dxa"/>
            <w:vAlign w:val="center"/>
          </w:tcPr>
          <w:p>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pPr>
        <w:widowControl w:val="0"/>
        <w:spacing w:line="276" w:lineRule="auto"/>
        <w:ind w:firstLine="422" w:firstLineChars="200"/>
        <w:jc w:val="left"/>
        <w:rPr>
          <w:rFonts w:hint="eastAsia" w:ascii="宋体" w:hAnsi="宋体" w:eastAsia="宋体"/>
          <w:b/>
          <w:sz w:val="21"/>
          <w:szCs w:val="20"/>
          <w:lang w:eastAsia="zh-CN"/>
        </w:rPr>
      </w:pPr>
      <w:bookmarkStart w:id="30" w:name="_Hlk72579465"/>
      <w:r>
        <w:rPr>
          <w:rFonts w:hint="eastAsia" w:ascii="宋体" w:hAnsi="宋体" w:eastAsia="宋体"/>
          <w:b/>
          <w:sz w:val="21"/>
          <w:szCs w:val="20"/>
          <w:lang w:eastAsia="zh-CN"/>
        </w:rPr>
        <w:t>1、评标定标信息</w:t>
      </w:r>
    </w:p>
    <w:p>
      <w:pPr>
        <w:widowControl w:val="0"/>
        <w:jc w:val="center"/>
        <w:rPr>
          <w:rFonts w:eastAsia="宋体"/>
          <w:kern w:val="2"/>
          <w:sz w:val="21"/>
          <w:lang w:eastAsia="zh-CN"/>
        </w:rPr>
      </w:pPr>
      <w:r>
        <w:rPr>
          <w:rFonts w:hint="eastAsia" w:eastAsia="宋体"/>
          <w:b/>
          <w:kern w:val="2"/>
          <w:sz w:val="21"/>
          <w:lang w:eastAsia="zh-CN"/>
        </w:rPr>
        <w:t>非评定分离项目</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widowControl w:val="0"/>
              <w:jc w:val="center"/>
              <w:rPr>
                <w:rFonts w:eastAsia="宋体"/>
                <w:kern w:val="2"/>
                <w:sz w:val="21"/>
                <w:lang w:eastAsia="zh-CN"/>
              </w:rPr>
            </w:pPr>
            <w:r>
              <w:rPr>
                <w:rFonts w:hint="eastAsia" w:eastAsia="宋体"/>
                <w:kern w:val="2"/>
                <w:sz w:val="21"/>
                <w:lang w:eastAsia="zh-CN"/>
              </w:rPr>
              <w:t>评标方法</w:t>
            </w:r>
          </w:p>
        </w:tc>
        <w:tc>
          <w:tcPr>
            <w:tcW w:w="5619" w:type="dxa"/>
          </w:tcPr>
          <w:p>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widowControl w:val="0"/>
              <w:jc w:val="center"/>
              <w:rPr>
                <w:rFonts w:eastAsia="宋体"/>
                <w:kern w:val="2"/>
                <w:sz w:val="21"/>
                <w:lang w:eastAsia="zh-CN"/>
              </w:rPr>
            </w:pPr>
            <w:r>
              <w:rPr>
                <w:rFonts w:hint="eastAsia" w:eastAsia="宋体"/>
                <w:kern w:val="2"/>
                <w:sz w:val="21"/>
                <w:lang w:eastAsia="zh-CN"/>
              </w:rPr>
              <w:t>候选中标供应商家数</w:t>
            </w:r>
          </w:p>
        </w:tc>
        <w:tc>
          <w:tcPr>
            <w:tcW w:w="5619" w:type="dxa"/>
          </w:tcPr>
          <w:p>
            <w:pPr>
              <w:widowControl w:val="0"/>
              <w:jc w:val="center"/>
              <w:rPr>
                <w:rFonts w:eastAsia="宋体"/>
                <w:kern w:val="2"/>
                <w:sz w:val="21"/>
                <w:lang w:eastAsia="zh-CN"/>
              </w:rPr>
            </w:pPr>
            <w:r>
              <w:rPr>
                <w:rFonts w:hint="eastAsia" w:eastAsia="宋体"/>
                <w:kern w:val="2"/>
                <w:sz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widowControl w:val="0"/>
              <w:jc w:val="center"/>
              <w:rPr>
                <w:rFonts w:eastAsia="宋体"/>
                <w:kern w:val="2"/>
                <w:sz w:val="21"/>
                <w:lang w:eastAsia="zh-CN"/>
              </w:rPr>
            </w:pPr>
            <w:r>
              <w:rPr>
                <w:rFonts w:hint="eastAsia" w:eastAsia="宋体"/>
                <w:kern w:val="2"/>
                <w:sz w:val="21"/>
                <w:lang w:eastAsia="zh-CN"/>
              </w:rPr>
              <w:t>中标供应商家数</w:t>
            </w:r>
          </w:p>
        </w:tc>
        <w:tc>
          <w:tcPr>
            <w:tcW w:w="5619" w:type="dxa"/>
          </w:tcPr>
          <w:p>
            <w:pPr>
              <w:widowControl w:val="0"/>
              <w:jc w:val="center"/>
              <w:rPr>
                <w:rFonts w:eastAsia="宋体"/>
                <w:kern w:val="2"/>
                <w:sz w:val="21"/>
                <w:lang w:eastAsia="zh-CN"/>
              </w:rPr>
            </w:pPr>
            <w:r>
              <w:rPr>
                <w:rFonts w:hint="eastAsia" w:eastAsia="宋体"/>
                <w:kern w:val="2"/>
                <w:sz w:val="21"/>
                <w:lang w:eastAsia="zh-CN"/>
              </w:rPr>
              <w:t>1</w:t>
            </w:r>
          </w:p>
        </w:tc>
      </w:tr>
    </w:tbl>
    <w:p>
      <w:pPr>
        <w:widowControl w:val="0"/>
        <w:ind w:firstLine="422" w:firstLineChars="200"/>
        <w:jc w:val="both"/>
        <w:rPr>
          <w:rFonts w:hint="eastAsia" w:ascii="宋体" w:hAnsi="宋体" w:eastAsia="宋体"/>
          <w:b/>
          <w:kern w:val="2"/>
          <w:sz w:val="21"/>
          <w:lang w:eastAsia="zh-CN"/>
        </w:rPr>
      </w:pPr>
    </w:p>
    <w:bookmarkEnd w:id="30"/>
    <w:p>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hint="eastAsia" w:eastAsia="宋体"/>
          <w:color w:val="FF0000"/>
          <w:kern w:val="2"/>
          <w:sz w:val="21"/>
          <w:u w:val="single"/>
          <w:lang w:eastAsia="zh-CN"/>
        </w:rPr>
        <w:t>10</w:t>
      </w:r>
      <w:r>
        <w:rPr>
          <w:rFonts w:eastAsia="宋体"/>
          <w:color w:val="FF0000"/>
          <w:kern w:val="2"/>
          <w:sz w:val="21"/>
          <w:u w:val="single"/>
          <w:lang w:eastAsia="zh-CN"/>
        </w:rPr>
        <w:t xml:space="preserve">  %</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pPr>
        <w:widowControl w:val="0"/>
        <w:numPr>
          <w:ilvl w:val="0"/>
          <w:numId w:val="4"/>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w:t>
      </w:r>
      <w:r>
        <w:rPr>
          <w:rFonts w:hint="eastAsia" w:ascii="宋体" w:hAnsi="宋体" w:eastAsia="宋体" w:cs="宋体"/>
          <w:kern w:val="2"/>
          <w:sz w:val="21"/>
          <w:szCs w:val="21"/>
          <w:lang w:eastAsia="zh-CN"/>
        </w:rPr>
        <w:t>政府采购、自行采购</w:t>
      </w:r>
      <w:r>
        <w:rPr>
          <w:rFonts w:ascii="宋体" w:hAnsi="宋体" w:eastAsia="宋体" w:cs="宋体"/>
          <w:kern w:val="2"/>
          <w:sz w:val="21"/>
          <w:szCs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《中小企业声明函》中相关企业所属行业应当与采购标的所属行业相一致。</w:t>
      </w:r>
      <w:r>
        <w:rPr>
          <w:rFonts w:hint="eastAsia" w:eastAsia="宋体"/>
          <w:kern w:val="2"/>
          <w:sz w:val="21"/>
          <w:szCs w:val="21"/>
          <w:lang w:eastAsia="zh-CN"/>
        </w:rPr>
        <w:t>本项目采购标的（服务需求）对应的中小企业划分标准所属行业为</w:t>
      </w:r>
      <w:r>
        <w:rPr>
          <w:rFonts w:eastAsia="宋体"/>
          <w:color w:val="FF0000"/>
          <w:kern w:val="2"/>
          <w:sz w:val="21"/>
          <w:szCs w:val="21"/>
          <w:u w:val="single"/>
          <w:lang w:eastAsia="zh-CN"/>
        </w:rPr>
        <w:t xml:space="preserve">  </w:t>
      </w:r>
      <w:r>
        <w:rPr>
          <w:rFonts w:hint="eastAsia" w:eastAsia="宋体"/>
          <w:b/>
          <w:bCs/>
          <w:color w:val="0000FF"/>
          <w:kern w:val="2"/>
          <w:sz w:val="21"/>
          <w:szCs w:val="21"/>
          <w:u w:val="single"/>
          <w:lang w:eastAsia="zh-CN"/>
        </w:rPr>
        <w:t>其他未列明行业</w:t>
      </w:r>
      <w:r>
        <w:rPr>
          <w:rFonts w:eastAsia="宋体"/>
          <w:color w:val="FF0000"/>
          <w:kern w:val="2"/>
          <w:sz w:val="21"/>
          <w:szCs w:val="21"/>
          <w:u w:val="single"/>
          <w:lang w:eastAsia="zh-CN"/>
        </w:rPr>
        <w:t xml:space="preserve"> </w:t>
      </w:r>
      <w:r>
        <w:rPr>
          <w:rFonts w:hint="eastAsia" w:eastAsia="宋体"/>
          <w:kern w:val="2"/>
          <w:sz w:val="21"/>
          <w:szCs w:val="21"/>
          <w:lang w:eastAsia="zh-CN"/>
        </w:rPr>
        <w:t>。</w:t>
      </w:r>
    </w:p>
    <w:p>
      <w:pPr>
        <w:widowControl w:val="0"/>
        <w:numPr>
          <w:ilvl w:val="0"/>
          <w:numId w:val="4"/>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pPr>
        <w:widowControl w:val="0"/>
        <w:spacing w:line="360" w:lineRule="auto"/>
        <w:ind w:firstLine="422" w:firstLineChars="200"/>
        <w:jc w:val="both"/>
        <w:rPr>
          <w:rFonts w:hint="eastAsia" w:ascii="宋体" w:hAnsi="宋体" w:eastAsia="宋体" w:cs="宋体"/>
          <w:b/>
          <w:bCs/>
          <w:kern w:val="2"/>
          <w:sz w:val="21"/>
          <w:lang w:eastAsia="zh-CN"/>
        </w:rPr>
      </w:pPr>
    </w:p>
    <w:p>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kern w:val="2"/>
          <w:sz w:val="32"/>
          <w:szCs w:val="40"/>
          <w:lang w:eastAsia="zh-CN"/>
        </w:rPr>
      </w:pPr>
    </w:p>
    <w:p>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1" w:name="_Hlk76855768"/>
      <w:bookmarkStart w:id="32" w:name="_Hlk72594729"/>
      <w:r>
        <w:rPr>
          <w:rFonts w:hint="eastAsia" w:eastAsia="宋体"/>
          <w:b/>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r>
    </w:tbl>
    <w:p>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3" w:name="OLE_LINK1"/>
      <w:r>
        <w:rPr>
          <w:rFonts w:hint="eastAsia" w:eastAsia="宋体"/>
          <w:kern w:val="2"/>
          <w:sz w:val="21"/>
          <w:lang w:eastAsia="zh-CN"/>
        </w:rPr>
        <w:t>《付款（缴款）通知书》</w:t>
      </w:r>
      <w:bookmarkEnd w:id="33"/>
      <w:r>
        <w:rPr>
          <w:rFonts w:hint="eastAsia" w:eastAsia="宋体"/>
          <w:kern w:val="2"/>
          <w:sz w:val="21"/>
          <w:lang w:eastAsia="zh-CN"/>
        </w:rPr>
        <w:t>内容为准。</w:t>
      </w:r>
    </w:p>
    <w:p>
      <w:pPr>
        <w:widowControl w:val="0"/>
        <w:spacing w:line="360" w:lineRule="auto"/>
        <w:jc w:val="both"/>
        <w:rPr>
          <w:rFonts w:eastAsia="宋体"/>
          <w:b/>
          <w:bCs/>
          <w:kern w:val="2"/>
          <w:lang w:eastAsia="zh-CN"/>
        </w:rPr>
      </w:pPr>
      <w:r>
        <w:rPr>
          <w:rFonts w:hint="eastAsia" w:eastAsia="宋体"/>
          <w:b/>
          <w:bCs/>
          <w:kern w:val="2"/>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bookmarkStart w:id="34" w:name="_Toc128884461"/>
      <w:r>
        <w:rPr>
          <w:rFonts w:hint="eastAsia" w:ascii="宋体" w:hAnsi="宋体" w:eastAsia="宋体"/>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5269"/>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5378"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894" w:type="dxa"/>
            <w:vAlign w:val="center"/>
          </w:tcPr>
          <w:p>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5378" w:type="dxa"/>
            <w:vAlign w:val="center"/>
          </w:tcPr>
          <w:p>
            <w:pPr>
              <w:widowControl w:val="0"/>
              <w:jc w:val="center"/>
              <w:rPr>
                <w:rFonts w:eastAsia="宋体"/>
                <w:b/>
                <w:bCs/>
                <w:color w:val="FF0000"/>
                <w:kern w:val="2"/>
                <w:sz w:val="21"/>
                <w:szCs w:val="21"/>
                <w:lang w:eastAsia="zh-CN"/>
              </w:rPr>
            </w:pPr>
            <w:r>
              <w:rPr>
                <w:rFonts w:hint="eastAsia" w:ascii="宋体" w:hAnsi="宋体" w:eastAsia="宋体" w:cs="宋体"/>
                <w:bCs/>
                <w:kern w:val="2"/>
                <w:sz w:val="21"/>
                <w:szCs w:val="21"/>
                <w:lang w:eastAsia="zh-CN"/>
              </w:rPr>
              <w:t>深圳市殡葬服务中心2025-2026年度车辆保险服务项目</w:t>
            </w:r>
          </w:p>
        </w:tc>
        <w:tc>
          <w:tcPr>
            <w:tcW w:w="2894" w:type="dxa"/>
            <w:vAlign w:val="center"/>
          </w:tcPr>
          <w:p>
            <w:pPr>
              <w:widowControl w:val="0"/>
              <w:jc w:val="center"/>
              <w:rPr>
                <w:rFonts w:eastAsia="宋体"/>
                <w:bCs/>
                <w:color w:val="FF0000"/>
                <w:kern w:val="2"/>
                <w:sz w:val="21"/>
                <w:szCs w:val="21"/>
                <w:lang w:eastAsia="zh-CN"/>
              </w:rPr>
            </w:pPr>
            <w:r>
              <w:rPr>
                <w:rFonts w:hint="eastAsia" w:ascii="宋体" w:hAnsi="宋体" w:eastAsia="宋体" w:cs="宋体"/>
                <w:bCs/>
                <w:kern w:val="2"/>
                <w:sz w:val="21"/>
                <w:szCs w:val="21"/>
                <w:lang w:eastAsia="zh-CN"/>
              </w:rPr>
              <w:t>250000</w:t>
            </w:r>
          </w:p>
        </w:tc>
      </w:tr>
    </w:tbl>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二、项目概况</w:t>
      </w:r>
    </w:p>
    <w:p>
      <w:pPr>
        <w:widowControl w:val="0"/>
        <w:spacing w:line="360" w:lineRule="auto"/>
        <w:ind w:firstLine="420" w:firstLineChars="200"/>
        <w:jc w:val="left"/>
        <w:rPr>
          <w:rFonts w:hint="eastAsia" w:ascii="宋体" w:hAnsi="宋体" w:eastAsia="宋体"/>
          <w:b/>
          <w:color w:val="FF0000"/>
          <w:kern w:val="2"/>
          <w:sz w:val="21"/>
          <w:szCs w:val="21"/>
          <w:lang w:eastAsia="zh-CN"/>
        </w:rPr>
      </w:pPr>
      <w:r>
        <w:rPr>
          <w:rFonts w:hint="eastAsia" w:ascii="宋体" w:hAnsi="宋体" w:eastAsia="宋体" w:cs="宋体"/>
          <w:bCs/>
          <w:kern w:val="2"/>
          <w:sz w:val="21"/>
          <w:szCs w:val="21"/>
          <w:lang w:eastAsia="zh-CN"/>
        </w:rPr>
        <w:t>目前，深圳市殡葬服务中心2025-2026年度需购买保险的公务车数量约33台。其中，特种专业用车30台，公务用车3台，以实际出单车辆数为准。2025-2026年度支付上限为25万元，服务期内每年度按照深圳市殡葬服务中心实际出单车辆数为准。现通过公开招标确定1家作为中标供应商，为深圳市殡葬服务中心2025-2026年度车辆保险项目提供承保、理赔以及增值服务。</w:t>
      </w:r>
    </w:p>
    <w:p>
      <w:pPr>
        <w:widowControl w:val="0"/>
        <w:ind w:firstLine="480" w:firstLineChars="200"/>
        <w:jc w:val="both"/>
        <w:rPr>
          <w:rFonts w:eastAsia="宋体"/>
          <w:kern w:val="2"/>
          <w:lang w:eastAsia="zh-CN"/>
        </w:rPr>
      </w:pPr>
    </w:p>
    <w:p>
      <w:pPr>
        <w:widowControl w:val="0"/>
        <w:jc w:val="both"/>
        <w:rPr>
          <w:rFonts w:hint="eastAsia" w:ascii="宋体" w:hAnsi="宋体" w:eastAsia="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w:t>
      </w:r>
      <w:bookmarkStart w:id="35" w:name="_Hlk72073432"/>
      <w:r>
        <w:rPr>
          <w:rFonts w:hint="eastAsia" w:ascii="宋体" w:hAnsi="宋体" w:eastAsia="宋体"/>
          <w:b/>
          <w:bCs/>
          <w:lang w:eastAsia="zh-CN"/>
        </w:rPr>
        <w:t>服务需求明细</w:t>
      </w:r>
      <w:bookmarkEnd w:id="35"/>
    </w:p>
    <w:tbl>
      <w:tblPr>
        <w:tblStyle w:val="17"/>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083"/>
        <w:gridCol w:w="842"/>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6170"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85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850"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6170" w:type="dxa"/>
            <w:vAlign w:val="center"/>
          </w:tcPr>
          <w:p>
            <w:pPr>
              <w:widowControl w:val="0"/>
              <w:jc w:val="center"/>
              <w:rPr>
                <w:rFonts w:eastAsia="宋体"/>
                <w:bCs/>
                <w:kern w:val="2"/>
                <w:sz w:val="21"/>
                <w:szCs w:val="21"/>
                <w:lang w:eastAsia="zh-CN"/>
              </w:rPr>
            </w:pPr>
            <w:r>
              <w:rPr>
                <w:rFonts w:hint="eastAsia" w:ascii="宋体" w:hAnsi="宋体" w:eastAsia="宋体" w:cs="宋体"/>
                <w:bCs/>
                <w:kern w:val="2"/>
                <w:sz w:val="21"/>
                <w:szCs w:val="21"/>
                <w:lang w:eastAsia="zh-CN"/>
              </w:rPr>
              <w:t>深圳市殡葬服务中心2025-2026年度车辆保险服务项目</w:t>
            </w:r>
          </w:p>
        </w:tc>
        <w:tc>
          <w:tcPr>
            <w:tcW w:w="851"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850"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r>
    </w:tbl>
    <w:p>
      <w:pPr>
        <w:widowControl w:val="0"/>
        <w:jc w:val="both"/>
        <w:rPr>
          <w:rFonts w:hint="eastAsia" w:ascii="宋体" w:hAnsi="宋体" w:eastAsia="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四、实质性条款</w:t>
      </w:r>
    </w:p>
    <w:bookmarkEnd w:id="34"/>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951" w:type="dxa"/>
          </w:tcPr>
          <w:p>
            <w:pPr>
              <w:widowControl w:val="0"/>
              <w:adjustRightInd w:val="0"/>
              <w:snapToGrid w:val="0"/>
              <w:spacing w:line="360" w:lineRule="auto"/>
              <w:jc w:val="left"/>
              <w:rPr>
                <w:rFonts w:hint="eastAsia" w:ascii="宋体" w:hAnsi="宋体" w:eastAsia="宋体"/>
                <w:sz w:val="21"/>
                <w:szCs w:val="21"/>
                <w:lang w:eastAsia="zh-CN"/>
              </w:rPr>
            </w:pPr>
            <w:r>
              <w:rPr>
                <w:rFonts w:hint="eastAsia" w:hAnsi="宋体" w:eastAsia="宋体"/>
                <w:sz w:val="21"/>
                <w:szCs w:val="21"/>
                <w:lang w:eastAsia="zh-CN"/>
              </w:rPr>
              <w:t>满足本项目标★的条款要求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cs="宋体"/>
                <w:sz w:val="21"/>
                <w:szCs w:val="21"/>
                <w:lang w:eastAsia="zh-CN"/>
              </w:rPr>
              <w:t>2</w:t>
            </w:r>
          </w:p>
        </w:tc>
        <w:tc>
          <w:tcPr>
            <w:tcW w:w="7951" w:type="dxa"/>
          </w:tcPr>
          <w:p>
            <w:pPr>
              <w:widowControl/>
              <w:wordWrap w:val="0"/>
              <w:spacing w:beforeAutospacing="0" w:afterAutospacing="0"/>
              <w:jc w:val="both"/>
              <w:rPr>
                <w:rFonts w:eastAsia="宋体"/>
                <w:color w:val="000000"/>
                <w:kern w:val="2"/>
                <w:lang w:eastAsia="zh-CN"/>
              </w:rPr>
            </w:pPr>
            <w:r>
              <w:rPr>
                <w:rFonts w:hint="eastAsia" w:ascii="宋体" w:hAnsi="宋体" w:eastAsia="宋体" w:cs="宋体"/>
                <w:color w:val="000000"/>
                <w:kern w:val="2"/>
                <w:sz w:val="21"/>
                <w:szCs w:val="21"/>
                <w:lang w:eastAsia="zh-CN"/>
              </w:rPr>
              <w:t>★本项目报价主要针对自主定价系数。根据国家金融监督管理总局（现更名：国家金融监督管理总局）印发的《中国银保监会关于印发实施车险综合改革指导意见的通知》（银保监发〔2020〕41号）及《中国银保监会关于进一步扩大商业车险自主定价系数浮动范围等有关事项的通知》（银保监规〔2022〕23号），自主定价系数调整范围为[0.5,1.5]。投标人报价必须符合国家金融监督管理总局深圳监管局（现更名：国家金融监督管理总局深圳监管局）要求，如有违反自行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cs="宋体"/>
                <w:sz w:val="21"/>
                <w:szCs w:val="21"/>
                <w:lang w:eastAsia="zh-CN"/>
              </w:rPr>
              <w:t>3</w:t>
            </w:r>
          </w:p>
        </w:tc>
        <w:tc>
          <w:tcPr>
            <w:tcW w:w="7951" w:type="dxa"/>
          </w:tcPr>
          <w:p>
            <w:pPr>
              <w:widowControl/>
              <w:wordWrap w:val="0"/>
              <w:spacing w:beforeAutospacing="0" w:afterAutospacing="0"/>
              <w:jc w:val="both"/>
              <w:rPr>
                <w:rFonts w:eastAsia="宋体"/>
                <w:color w:val="000000"/>
                <w:kern w:val="2"/>
                <w:lang w:eastAsia="zh-CN"/>
              </w:rPr>
            </w:pPr>
            <w:r>
              <w:rPr>
                <w:rFonts w:hint="eastAsia" w:ascii="宋体" w:hAnsi="宋体" w:eastAsia="宋体" w:cs="宋体"/>
                <w:color w:val="000000"/>
                <w:kern w:val="2"/>
                <w:sz w:val="21"/>
                <w:szCs w:val="21"/>
                <w:lang w:eastAsia="zh-CN"/>
              </w:rPr>
              <w:t>★针对新能源汽车（非营运客车/非营运货车），投标人须为行业自律最低自主定价系数，合同期内，监管或行业自律对新能源汽车自主定价系数进行调整的，按照调整后的标准予以执行。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cs="宋体"/>
                <w:sz w:val="21"/>
                <w:szCs w:val="21"/>
                <w:lang w:eastAsia="zh-CN"/>
              </w:rPr>
              <w:t>4</w:t>
            </w:r>
          </w:p>
        </w:tc>
        <w:tc>
          <w:tcPr>
            <w:tcW w:w="7951" w:type="dxa"/>
          </w:tcPr>
          <w:p>
            <w:pPr>
              <w:widowControl/>
              <w:wordWrap w:val="0"/>
              <w:spacing w:beforeAutospacing="0" w:afterAutospacing="0"/>
              <w:jc w:val="both"/>
              <w:rPr>
                <w:rFonts w:eastAsia="宋体"/>
                <w:color w:val="000000"/>
                <w:kern w:val="2"/>
                <w:lang w:eastAsia="zh-CN"/>
              </w:rPr>
            </w:pPr>
            <w:r>
              <w:rPr>
                <w:rFonts w:hint="eastAsia" w:ascii="宋体" w:hAnsi="宋体" w:eastAsia="宋体" w:cs="宋体"/>
                <w:color w:val="000000"/>
                <w:kern w:val="2"/>
                <w:sz w:val="21"/>
                <w:szCs w:val="21"/>
                <w:lang w:eastAsia="zh-CN"/>
              </w:rPr>
              <w:t>★服务期内，如有新增车辆投保，投标人须按照中标“折扣率”及报价要求的保费计算公式报价投保。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cs="宋体"/>
                <w:sz w:val="21"/>
                <w:szCs w:val="21"/>
                <w:lang w:eastAsia="zh-CN"/>
              </w:rPr>
              <w:t>5</w:t>
            </w:r>
          </w:p>
        </w:tc>
        <w:tc>
          <w:tcPr>
            <w:tcW w:w="7951" w:type="dxa"/>
          </w:tcPr>
          <w:p>
            <w:pPr>
              <w:widowControl/>
              <w:wordWrap w:val="0"/>
              <w:spacing w:beforeAutospacing="0" w:afterAutospacing="0"/>
              <w:jc w:val="both"/>
              <w:rPr>
                <w:rFonts w:eastAsia="宋体"/>
                <w:color w:val="000000"/>
                <w:kern w:val="2"/>
                <w:lang w:eastAsia="zh-CN"/>
              </w:rPr>
            </w:pPr>
            <w:r>
              <w:rPr>
                <w:rFonts w:hint="eastAsia" w:ascii="宋体" w:hAnsi="宋体" w:eastAsia="宋体" w:cs="宋体"/>
                <w:color w:val="000000"/>
                <w:kern w:val="2"/>
                <w:sz w:val="21"/>
                <w:szCs w:val="21"/>
                <w:lang w:eastAsia="zh-CN"/>
              </w:rPr>
              <w:t xml:space="preserve">★合同期内，如监管部门出台新政策/标准（含保费优惠政策/标准），则中标人应按照新政策/标准（最优保费政策/标准）予以调整并执行。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6</w:t>
            </w:r>
          </w:p>
        </w:tc>
        <w:tc>
          <w:tcPr>
            <w:tcW w:w="7951" w:type="dxa"/>
          </w:tcPr>
          <w:p>
            <w:pPr>
              <w:widowControl/>
              <w:wordWrap w:val="0"/>
              <w:spacing w:beforeAutospacing="0" w:afterAutospacing="0"/>
              <w:jc w:val="both"/>
              <w:rPr>
                <w:rFonts w:eastAsia="宋体"/>
                <w:color w:val="000000"/>
                <w:kern w:val="2"/>
                <w:lang w:eastAsia="zh-CN"/>
              </w:rPr>
            </w:pPr>
            <w:r>
              <w:rPr>
                <w:rFonts w:hint="eastAsia" w:ascii="宋体" w:hAnsi="宋体" w:eastAsia="宋体" w:cs="宋体"/>
                <w:color w:val="000000"/>
                <w:kern w:val="2"/>
                <w:sz w:val="21"/>
                <w:szCs w:val="21"/>
                <w:lang w:eastAsia="zh-CN"/>
              </w:rPr>
              <w:t>★所有特种专业用车和公务车报价以实际出单时为准，出单报价按照行业统一费率标准执行。如中标人实际出单时未按前述要求执行的视为违约，采购人有权追究中标人违约责任。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7</w:t>
            </w:r>
          </w:p>
        </w:tc>
        <w:tc>
          <w:tcPr>
            <w:tcW w:w="7951" w:type="dxa"/>
          </w:tcPr>
          <w:p>
            <w:pPr>
              <w:widowControl/>
              <w:wordWrap w:val="0"/>
              <w:spacing w:beforeAutospacing="0" w:afterAutospacing="0"/>
              <w:jc w:val="both"/>
              <w:rPr>
                <w:rFonts w:eastAsia="宋体"/>
                <w:color w:val="000000"/>
                <w:kern w:val="2"/>
                <w:lang w:eastAsia="zh-CN"/>
              </w:rPr>
            </w:pPr>
            <w:r>
              <w:rPr>
                <w:rFonts w:hint="eastAsia" w:ascii="宋体" w:hAnsi="宋体" w:eastAsia="宋体" w:cs="宋体"/>
                <w:color w:val="000000"/>
                <w:kern w:val="2"/>
                <w:sz w:val="21"/>
                <w:szCs w:val="21"/>
                <w:lang w:eastAsia="zh-CN"/>
              </w:rPr>
              <w:t>★中标人中标后须提供统一保险期限方案，具体投保方案的保障内容以实际出单时投保人确定的为准。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8</w:t>
            </w:r>
          </w:p>
        </w:tc>
        <w:tc>
          <w:tcPr>
            <w:tcW w:w="7951" w:type="dxa"/>
          </w:tcPr>
          <w:p>
            <w:pPr>
              <w:widowControl/>
              <w:wordWrap w:val="0"/>
              <w:spacing w:beforeAutospacing="0" w:afterAutospacing="0"/>
              <w:jc w:val="both"/>
              <w:rPr>
                <w:rFonts w:eastAsia="宋体"/>
                <w:color w:val="000000"/>
                <w:kern w:val="2"/>
                <w:lang w:eastAsia="zh-CN"/>
              </w:rPr>
            </w:pPr>
            <w:r>
              <w:rPr>
                <w:rFonts w:hint="eastAsia" w:ascii="宋体" w:hAnsi="宋体" w:eastAsia="宋体" w:cs="宋体"/>
                <w:color w:val="000000"/>
                <w:kern w:val="2"/>
                <w:sz w:val="21"/>
                <w:szCs w:val="21"/>
                <w:lang w:eastAsia="zh-CN"/>
              </w:rPr>
              <w:t>★为减少矛盾和纠纷，投标人中标后应当设置合议赔付方案，合议赔付包括但不限于以下情形：（1）项目保险责任存在争议的；（2）虽保险责任不存在争议，但案件产生负面社会舆论影响的；（3）维修机构、修理项目、方式和费用等双方存在争议的；（4）警灯，喇叭、警标等车辆新增设备受损情形或倒车镜、灯具单独损坏的；（5）营运车辆提出的误工费赔付；（6）采购人要求的其他情形。投标人应当详细列明合议赔付适用的情形、解决方案及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9</w:t>
            </w:r>
          </w:p>
        </w:tc>
        <w:tc>
          <w:tcPr>
            <w:tcW w:w="7951" w:type="dxa"/>
          </w:tcPr>
          <w:p>
            <w:pPr>
              <w:widowControl/>
              <w:wordWrap w:val="0"/>
              <w:spacing w:beforeAutospacing="0" w:afterAutospacing="0"/>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特殊理赔案件及情形处理机制：针对以下特殊理赔案件及情形，中标人须第一时间通知采购人，并协助采购人处理，在此过程中，中标人应当与采购人保持密切沟通，积极回应采购人提出的诉求，不得无故拖延、拒绝回应、消极对待。</w:t>
            </w:r>
          </w:p>
          <w:p>
            <w:pPr>
              <w:widowControl/>
              <w:wordWrap w:val="0"/>
              <w:spacing w:beforeAutospacing="0" w:afterAutospacing="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（1）重大案件；</w:t>
            </w:r>
          </w:p>
          <w:p>
            <w:pPr>
              <w:widowControl/>
              <w:wordWrap w:val="0"/>
              <w:spacing w:beforeAutospacing="0" w:afterAutospacing="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（2）伤人案件；</w:t>
            </w:r>
          </w:p>
          <w:p>
            <w:pPr>
              <w:widowControl/>
              <w:wordWrap w:val="0"/>
              <w:spacing w:beforeAutospacing="0" w:afterAutospacing="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（3）疑难纠纷案件，包括保险责任、理赔金额存在争议，采购人提出的其他诉求；</w:t>
            </w:r>
          </w:p>
          <w:p>
            <w:pPr>
              <w:widowControl/>
              <w:wordWrap w:val="0"/>
              <w:spacing w:beforeAutospacing="0" w:afterAutospacing="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（4）案件处理时间过长等异常情形；</w:t>
            </w:r>
          </w:p>
          <w:p>
            <w:pPr>
              <w:widowControl/>
              <w:wordWrap w:val="0"/>
              <w:spacing w:beforeAutospacing="0" w:afterAutospacing="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本项将作为合同续签履约考评重点考评项目。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10</w:t>
            </w:r>
          </w:p>
        </w:tc>
        <w:tc>
          <w:tcPr>
            <w:tcW w:w="7951" w:type="dxa"/>
          </w:tcPr>
          <w:p>
            <w:pPr>
              <w:widowControl/>
              <w:wordWrap w:val="0"/>
              <w:spacing w:line="360" w:lineRule="auto"/>
              <w:ind w:firstLine="422" w:firstLineChars="200"/>
              <w:jc w:val="both"/>
              <w:rPr>
                <w:rFonts w:hint="eastAsia" w:ascii="宋体" w:hAnsi="宋体" w:eastAsia="宋体" w:cs="宋体"/>
                <w:kern w:val="2"/>
                <w:sz w:val="21"/>
                <w:szCs w:val="21"/>
                <w:lang w:eastAsia="zh-CN"/>
              </w:rPr>
            </w:pPr>
            <w:r>
              <w:rPr>
                <w:rFonts w:hint="eastAsia" w:ascii="宋体" w:hAnsi="宋体" w:eastAsia="宋体" w:cs="宋体"/>
                <w:b/>
                <w:bCs/>
                <w:color w:val="FF0000"/>
                <w:sz w:val="21"/>
                <w:szCs w:val="21"/>
                <w:lang w:eastAsia="zh-CN"/>
              </w:rPr>
              <w:t>★6.投标人需承诺中标后提供不少于7次单程50公里以内不限车型的免费拖车、送水、送防冻液、搭电、轮胎充气、更换轮胎、车辆脱离困境所需的拖拽及吊车等免费道路救援服务，</w:t>
            </w:r>
            <w:r>
              <w:rPr>
                <w:rFonts w:hint="eastAsia" w:ascii="宋体" w:hAnsi="宋体" w:eastAsia="宋体" w:cs="宋体"/>
                <w:b/>
                <w:bCs/>
                <w:color w:val="FF0000"/>
                <w:kern w:val="2"/>
                <w:sz w:val="21"/>
                <w:szCs w:val="21"/>
                <w:lang w:eastAsia="zh-CN"/>
              </w:rPr>
              <w:t>并在投标文件中自行承诺服务里程及服务次数；</w:t>
            </w:r>
            <w:r>
              <w:rPr>
                <w:rFonts w:hint="eastAsia" w:ascii="宋体" w:hAnsi="宋体" w:eastAsia="宋体" w:cs="宋体"/>
                <w:b/>
                <w:bCs/>
                <w:color w:val="FF0000"/>
                <w:sz w:val="21"/>
                <w:szCs w:val="21"/>
                <w:lang w:eastAsia="zh-CN"/>
              </w:rPr>
              <w:t>（承诺函格式自拟）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11</w:t>
            </w:r>
          </w:p>
        </w:tc>
        <w:tc>
          <w:tcPr>
            <w:tcW w:w="7951" w:type="dxa"/>
          </w:tcPr>
          <w:p>
            <w:pPr>
              <w:widowControl/>
              <w:wordWrap w:val="0"/>
              <w:spacing w:beforeAutospacing="0" w:afterAutospacing="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eastAsia="宋体"/>
                <w:kern w:val="2"/>
                <w:lang w:eastAsia="zh-CN"/>
              </w:rPr>
              <w:t>商务要求</w:t>
            </w:r>
          </w:p>
        </w:tc>
      </w:tr>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五、技术要求</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1.本项目年度（2025-2026年度）财政预算支付上限为25万元（其中特种专业用车30台，公务用车3台）（具体金额以深圳市殡葬服务中心实际出单车辆数为准）；</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2.交强险和车船税实行国家统一交通强制保险条款和标准费率，全国执行统一价格，投标人无须对该部分进行报价，但包含在项目预算中；</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3.商业车险保费＝基准纯风险保费/（1－附加费用率）×无赔款优待系数×交通违法系数×自主定价系数。</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（1）基准纯风险保费参照由中国精算师协会统一制定、颁布并定期更新的《机动车商业保险示范产品基准纯风险保费表（2020版）》执行。</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（2）附加费用率为行业统一，供应商无须对该系数进行报价。</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（3）无赔款优待系数参照中国保险行业协会拟定的《机动车商业保险无赔款优待优化方案（2020版）》（中保协发〔2020〕51号）执行。</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（4）交通违法系数费率调整方案参照中国保险行业协会拟订的费率基准（费率基准编号为F2015103）执行。</w:t>
      </w:r>
    </w:p>
    <w:p>
      <w:pPr>
        <w:widowControl/>
        <w:wordWrap w:val="0"/>
        <w:ind w:firstLine="422" w:firstLineChars="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5）本项目报价主要针对自主定价系数。根据国家金融监督管理总局（现更名：国家金融监督管理总局）印发的《中国银保监会关于印发实施车险综合改革指导意见的通知》（银保监发〔2020〕41号）及《中国银保监会关于进一步扩大商业车险自主定价系数浮动范围等有关事项的通知》（银保监规〔2022〕23号），自主定价系数调整范围为[0.5,1.5]。投标人报价必须符合国家金融监督管理总局深圳监管局（现更名：国家金融监督管理总局深圳监管局）要求，如有违反自行承担相应责任。</w:t>
      </w:r>
    </w:p>
    <w:p>
      <w:pPr>
        <w:widowControl/>
        <w:wordWrap w:val="0"/>
        <w:ind w:firstLine="422" w:firstLineChars="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★（6）针对新能源汽车（非营运客车/非营运货车），投标人须为行业自律最低自主定价系数，合同期内，监管或行业自律对新能源汽车自主定价系数进行调整的，按照调整后的标准予以执行。</w:t>
      </w:r>
    </w:p>
    <w:p>
      <w:pPr>
        <w:widowControl/>
        <w:wordWrap w:val="0"/>
        <w:ind w:firstLine="422" w:firstLineChars="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★（7）服务期内，如有新增车辆投保，投标人须按照中标“折扣率”及报价要求的保费计算公式报价投保。</w:t>
      </w:r>
    </w:p>
    <w:p>
      <w:pPr>
        <w:widowControl/>
        <w:wordWrap w:val="0"/>
        <w:ind w:firstLine="422" w:firstLineChars="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 xml:space="preserve">★（8）合同期内，如监管部门出台新政策/标准（含保费优惠政策/标准），则中标人应按照新政策/标准（最优保费政策/标准）予以调整并执行。 </w:t>
      </w:r>
    </w:p>
    <w:p>
      <w:pPr>
        <w:widowControl/>
        <w:wordWrap w:val="0"/>
        <w:ind w:firstLine="422" w:firstLineChars="20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★2.所有车辆报价以实际出单时为准，出单报价按照行业统一费率标准执行。如中标人实际出单时未按前述要求执行的视为违约，采购人有权追究中标人违约责任。</w:t>
      </w:r>
    </w:p>
    <w:p>
      <w:pPr>
        <w:widowControl/>
        <w:wordWrap w:val="0"/>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二、具体报价要求</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1.根据《中国银保监会关于进一步扩大商业车险自主定价系数浮动范围等有关事项的通知》（银保监规〔2022〕23号），自主定价系数调整范围为[0.5,1.5]。</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2.本项目的基准系数取值为“1.5”，投标人在此基础上报出“折扣率”作为投标报价。</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“折扣率”是唯一的价格分计算依据。</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3.自主定价系数=基准系数（1.5）×“折扣率”。</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投标人应当填写唯一的报价“折扣率”，“折扣率”的取值范围：0＜折扣率≤100.例如，若投标人报出“折扣率”为58.67%，则“自主定价系数”值为0.88，采购人根据“自主定价系数”的值按商业车险保费计算公式得出商业车险保费。</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5.“折扣率”填写要求：</w:t>
      </w:r>
    </w:p>
    <w:p>
      <w:pPr>
        <w:widowControl/>
        <w:wordWrap w:val="0"/>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（1）填写要求：0＜折扣率≤100，未按此要求填写将作投标无效处理；</w:t>
      </w:r>
    </w:p>
    <w:p>
      <w:pPr>
        <w:widowControl/>
        <w:wordWrap w:val="0"/>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（2）填写的“折扣率”采用折扣百分比形式，如供应商报价为九折仅需在投标折扣率一栏填写90，以此类推，如：95、80、78；</w:t>
      </w:r>
    </w:p>
    <w:p>
      <w:pPr>
        <w:widowControl/>
        <w:wordWrap w:val="0"/>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（3）投标人参与投标只允许填报唯一 1 个“折扣率”，不允许填报2个（或以上）的“折扣率”；填报了2个或以上“折扣率”的，其投标将直接作投标无效处理；</w:t>
      </w:r>
    </w:p>
    <w:p>
      <w:pPr>
        <w:widowControl w:val="0"/>
        <w:ind w:firstLine="422" w:firstLineChars="200"/>
        <w:jc w:val="both"/>
        <w:rPr>
          <w:rFonts w:eastAsia="宋体"/>
          <w:kern w:val="2"/>
          <w:sz w:val="21"/>
          <w:lang w:eastAsia="zh-CN"/>
        </w:rPr>
      </w:pPr>
      <w:r>
        <w:rPr>
          <w:rFonts w:hint="eastAsia" w:ascii="宋体" w:hAnsi="宋体" w:eastAsia="宋体" w:cs="宋体"/>
          <w:b/>
          <w:bCs/>
          <w:color w:val="FF0000"/>
          <w:kern w:val="2"/>
          <w:sz w:val="21"/>
          <w:szCs w:val="21"/>
          <w:lang w:eastAsia="zh-CN"/>
        </w:rPr>
        <w:t>（4）此处填写的投标折扣率需与在自行采购系统中填写的一致。最终折扣率报价以供应商在系统中填报的折扣率为准。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62"/>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noWrap/>
            <w:vAlign w:val="center"/>
          </w:tcPr>
          <w:p>
            <w:pPr>
              <w:widowControl w:val="0"/>
              <w:spacing w:line="36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序号</w:t>
            </w:r>
          </w:p>
        </w:tc>
        <w:tc>
          <w:tcPr>
            <w:tcW w:w="1058" w:type="dxa"/>
            <w:noWrap/>
            <w:vAlign w:val="center"/>
          </w:tcPr>
          <w:p>
            <w:pPr>
              <w:widowControl w:val="0"/>
              <w:spacing w:line="36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名称</w:t>
            </w:r>
          </w:p>
        </w:tc>
        <w:tc>
          <w:tcPr>
            <w:tcW w:w="6779" w:type="dxa"/>
            <w:noWrap/>
            <w:vAlign w:val="center"/>
          </w:tcPr>
          <w:p>
            <w:pPr>
              <w:widowControl w:val="0"/>
              <w:spacing w:line="36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noWrap/>
            <w:vAlign w:val="center"/>
          </w:tcPr>
          <w:p>
            <w:pPr>
              <w:widowControl w:val="0"/>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1058" w:type="dxa"/>
            <w:noWrap/>
            <w:vAlign w:val="center"/>
          </w:tcPr>
          <w:p>
            <w:pPr>
              <w:widowControl w:val="0"/>
              <w:spacing w:line="36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服务要求</w:t>
            </w:r>
          </w:p>
        </w:tc>
        <w:tc>
          <w:tcPr>
            <w:tcW w:w="6779" w:type="dxa"/>
            <w:noWrap/>
            <w:vAlign w:val="center"/>
          </w:tcPr>
          <w:p>
            <w:pPr>
              <w:widowControl/>
              <w:wordWrap w:val="0"/>
              <w:spacing w:line="360" w:lineRule="auto"/>
              <w:ind w:firstLine="422" w:firstLineChars="20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服务要求中所有“车辆”“车”等表述均指代采购人投保的汽车。</w:t>
            </w:r>
          </w:p>
          <w:p>
            <w:pPr>
              <w:widowControl/>
              <w:wordWrap w:val="0"/>
              <w:spacing w:line="360" w:lineRule="auto"/>
              <w:ind w:firstLine="422" w:firstLineChars="20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（一）承保服务</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1.须在中标通知书发出7个工作日内，指派服务专员提供服务，负责保险购买、出险定损、理赔、结算等全过程服务；</w:t>
            </w:r>
          </w:p>
          <w:p>
            <w:pPr>
              <w:widowControl/>
              <w:wordWrap w:val="0"/>
              <w:spacing w:line="360" w:lineRule="auto"/>
              <w:ind w:firstLine="420" w:firstLineChars="200"/>
              <w:jc w:val="left"/>
              <w:rPr>
                <w:rFonts w:hint="eastAsia" w:ascii="宋体" w:hAnsi="宋体" w:eastAsia="宋体" w:cs="宋体"/>
                <w:sz w:val="21"/>
                <w:szCs w:val="21"/>
                <w:lang w:eastAsia="zh-CN"/>
              </w:rPr>
            </w:pPr>
            <w:bookmarkStart w:id="104" w:name="_GoBack"/>
            <w:bookmarkEnd w:id="104"/>
            <w:r>
              <w:rPr>
                <w:rFonts w:hint="eastAsia" w:ascii="宋体" w:hAnsi="宋体" w:eastAsia="宋体" w:cs="宋体"/>
                <w:sz w:val="21"/>
                <w:szCs w:val="21"/>
                <w:lang w:val="en-US" w:eastAsia="zh-CN"/>
              </w:rPr>
              <w:t>2.根据车辆投保清单及经采购人确认的保险方案计算保费，由中标人核对后报采购人确认，中标人在保费支付到账后出具保单；并在起保日期7个工作日前将保单送交采购人；</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3.中标人提供7×24小时热线电话，受理采购人咨询、各类事故报案,并在5分钟内完成首次调度；</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4.中标人提供通过线上查询承保理赔数据服务，采购人可通过该系统查询所投保的每辆车的投保、出险、理赔等数据</w:t>
            </w:r>
          </w:p>
          <w:p>
            <w:pPr>
              <w:widowControl/>
              <w:wordWrap w:val="0"/>
              <w:spacing w:line="360" w:lineRule="auto"/>
              <w:ind w:firstLine="422" w:firstLineChars="200"/>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★5.中标人中标后须提供统一保险期限方案，具体投保方案的保障内容以实际出单时投保人确定的为准。</w:t>
            </w:r>
          </w:p>
          <w:p>
            <w:pPr>
              <w:widowControl/>
              <w:wordWrap w:val="0"/>
              <w:spacing w:line="360" w:lineRule="auto"/>
              <w:ind w:firstLine="420" w:firstLineChars="200"/>
              <w:jc w:val="left"/>
              <w:rPr>
                <w:rFonts w:hint="eastAsia" w:ascii="宋体" w:hAnsi="宋体" w:eastAsia="宋体" w:cs="宋体"/>
                <w:kern w:val="2"/>
                <w:sz w:val="21"/>
                <w:szCs w:val="21"/>
                <w:lang w:eastAsia="zh-CN"/>
              </w:rPr>
            </w:pPr>
            <w:r>
              <w:rPr>
                <w:rFonts w:hint="eastAsia" w:ascii="宋体" w:hAnsi="宋体" w:eastAsia="宋体" w:cs="宋体"/>
                <w:sz w:val="21"/>
                <w:szCs w:val="21"/>
                <w:lang w:eastAsia="zh-CN"/>
              </w:rPr>
              <w:t>6.对于采购人的报废车辆，中标人应在收到采购人或其下属单位提供的盖章批改申请书之日起对报废车辆进行退费处理。</w:t>
            </w:r>
          </w:p>
          <w:p>
            <w:pPr>
              <w:widowControl/>
              <w:wordWrap w:val="0"/>
              <w:spacing w:line="360" w:lineRule="auto"/>
              <w:ind w:firstLine="422" w:firstLineChars="20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（二）理赔服务</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中标人须提供全天候24小时查勘定损服务，查勘人员在接到查勘调度任务后，应在10分钟内主动与报案人取得联系，初步了解案件情况，确认具体的出险地点或引导客户进行线上自助理赔操作；经初步判断需进行现场查勘的，立刻调派人员第一时间赶赴现场勘查、优先安排定损人员到修理厂进行定损，深圳市内理赔人员应于30分钟内赶到现场；广东省内其他市县应于2小时内赶到现场或直接委托当地本系统保险机构理赔人员30分钟内赶赴现场；如因恶劣天气、交通阻塞、路途遥远等原因无法按时到达查勘地点的，查勘人员应按照自行承诺的到达时限内主动与报案人沟通，协商变更查勘现场的时间）；</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2.单方纯车损事故，车辆能正常行驶，可通过线上完成查勘；</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3.采购人内部车辆发生碰撞，中标人须承担保险责任，由责任方报案，无责方无须报案；</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4.中标人须允许采购人自主选择维修厂进行事故车辆的维修，事故车的维修工时和配件价格参照相应车型生产商的市场指导价执行；</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5.采购人的事故车辆维修需更换全新零配件的，应按照全新零配件的市场指导价定损、理赔； </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6.投保车辆出险导致全损，赔付金额不低于同款车辆的同期实际价值</w:t>
            </w:r>
            <w:r>
              <w:rPr>
                <w:rFonts w:hint="eastAsia" w:ascii="宋体" w:hAnsi="宋体" w:eastAsia="宋体" w:cs="宋体"/>
                <w:color w:val="000000"/>
                <w:kern w:val="2"/>
                <w:sz w:val="21"/>
                <w:szCs w:val="21"/>
                <w:lang w:eastAsia="zh-CN"/>
              </w:rPr>
              <w:t>且不低于车辆的投保价值</w:t>
            </w:r>
            <w:r>
              <w:rPr>
                <w:rFonts w:hint="eastAsia" w:ascii="宋体" w:hAnsi="宋体" w:eastAsia="宋体" w:cs="宋体"/>
                <w:sz w:val="21"/>
                <w:szCs w:val="21"/>
                <w:lang w:eastAsia="zh-CN"/>
              </w:rPr>
              <w:t>；</w:t>
            </w:r>
          </w:p>
          <w:p>
            <w:pPr>
              <w:widowControl/>
              <w:wordWrap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中标人保证采购人获得优先服务权利，并说明特别针对采购人车辆所安排的交通事故快速处理及保险快速理赔程序，对电子网络化理赔服务做出具体的措施并宣导；用车单位通过修理厂渠道向中标人进行索赔时，中标人也应当按照公务车辆事故进行快速处理；</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8.当发生估计损失超过3万元，且采购人暂时无法提供索赔手续而明显属于保险责任范围之内的案件，投标人须应采购人的要求提供预赔服务；</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9.轻微伤人案件，责任无争议，经中标人查勘认可后，双方现场协商赔付，提供协议调解书及其收据正常赔付，无须报交警；</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10.当发生三者伤人的保险事故，中标人须提供全程保险咨询服务（相关费用包含在总报价中），并指定具有专业处理伤人事故丰富经验的人员作为本项目核损专员，并对事故中的伤者的抢救费进行相应额度的垫付；</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11.发生车上人员及第三者人身伤亡、财产损失等事故，损失金额在3000元以下的案件免现场查勘；</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12.发生事故后，若就赔偿结果无法达成一致，中标人须同意并认可采购人聘请的其他专业机构进行的损失鉴定，产生的鉴定费用由中标人承担；</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13.投标人拟派本项目的查勘理赔车辆不少于20台；</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14.发生保险责任范围内的事故时，采购人责任份额内已确定的损失可由中标人依据保单条款约定计算赔款并直接支付三者；</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b/>
                <w:bCs/>
                <w:color w:val="000000"/>
                <w:sz w:val="21"/>
                <w:szCs w:val="21"/>
                <w:lang w:eastAsia="zh-CN"/>
              </w:rPr>
              <w:t>15.为减少矛盾和纠纷，中标后投标人应当设置合议赔付方案，合议赔付包括但不限于以下情形：（1）项目保险责任存在争议的；（2）虽保险责任不存在争议，但案件产生负面社会舆论影响的；（3）维修机构、修理项目、方式和费用等双方存在争议的；（4）警灯，喇叭、警标等车辆新增设备受损情形或倒车镜、灯具单独损坏的；（5）营运车辆提出的误工费赔付；（6）采购人要求的其他情形。投标人应当详细列明合议赔付适用的情形、解决方案及额度</w:t>
            </w:r>
            <w:r>
              <w:rPr>
                <w:rFonts w:hint="eastAsia" w:ascii="宋体" w:hAnsi="宋体" w:eastAsia="宋体" w:cs="宋体"/>
                <w:sz w:val="21"/>
                <w:szCs w:val="21"/>
                <w:lang w:eastAsia="zh-CN"/>
              </w:rPr>
              <w:t>；</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16.针对采购人少数车辆因特殊情况无法上牌（如特种专业技术用车在交警车管所系统中无法上牌等等）须长期使用临牌的情况，投标人对该类车辆也须视同有牌车辆承保并承担相应保险责任。</w:t>
            </w:r>
          </w:p>
          <w:p>
            <w:pPr>
              <w:widowControl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17.投标人应在中标后中详细列明不同险种不同赔案所需的资料以及赔案定损、结案赔付时限承诺，并明确服务过程未依据服务承诺及时限的保证措施及罚则。具体包括：</w:t>
            </w:r>
          </w:p>
          <w:p>
            <w:pPr>
              <w:widowControl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（1）明确索赔单证：在投标文件中明确各不同险种不同类型案件采购人需提供的索赔资料，所需索赔资料需合情合理合法；</w:t>
            </w:r>
          </w:p>
          <w:p>
            <w:pPr>
              <w:widowControl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（2）采购人提供索赔资料不完整的，中标人应及时一次性告知补充材料、后续理赔流程及相关注意事项等必要信息。</w:t>
            </w:r>
          </w:p>
          <w:p>
            <w:pPr>
              <w:widowControl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明确定损、理赔时间：投标人应在投标文件中明确保险赔案定损、理赔时间。时间起点以采购人提供索赔资料给投标人或公估公司认可并签收的日期为准，时间终点以采购人指定银行账户收到款项的日期为准。</w:t>
            </w:r>
          </w:p>
          <w:p>
            <w:pPr>
              <w:widowControl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上述要求承诺时限不得高于下列要求，如未具体要求的事项，投标人可自行承诺。</w:t>
            </w:r>
          </w:p>
          <w:p>
            <w:pPr>
              <w:widowControl w:val="0"/>
              <w:numPr>
                <w:ilvl w:val="0"/>
                <w:numId w:val="5"/>
              </w:num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一次性告知时限：①仅涉及保险车辆损失的理赔案件在1日内通知；②涉及其他财产损失的理赔案件在3日内通知；③涉及人身伤亡或情形特别复杂的理赔案件在10日内通知；</w:t>
            </w:r>
          </w:p>
          <w:p>
            <w:pPr>
              <w:widowControl w:val="0"/>
              <w:numPr>
                <w:ilvl w:val="0"/>
                <w:numId w:val="5"/>
              </w:num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理赔核定时限（自中标人初次收到索赔申请之时起，至保险公司做出理赔核定之时止；扣除期间自中标人通知到达采购人之日起至采购人按照已通知要求补充提供的有关证明和资料到达中标人之日止）：①仅涉及保险车辆损失的理赔案件在3日内核定；②涉及其他财产损失和人身伤亡的理赔案件在10日内核定；③情形特别复杂的理赔案件在30日内核定；</w:t>
            </w:r>
          </w:p>
          <w:p>
            <w:pPr>
              <w:widowControl w:val="0"/>
              <w:numPr>
                <w:ilvl w:val="0"/>
                <w:numId w:val="5"/>
              </w:num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赔款支付：①对于核定属于保险责任的理赔案件，中标人应依据保险合同与客户协商赔偿金额，并自达成之日起10内赔付，赔款成功支付后，应及时告知采购人；②对于核定属于保险责任，但赔偿金额不能确定的理赔案件，中标人应自收到赔偿请求及有关证明资料之日起60日内，根据已有证明和资料可确定的数额先予以支付。中标人最终确定赔偿保险金的数额后，应支付相应的差额；③对于核定不属于保险责任的理赔案件，保险公司应自核定之日起3日内发出拒赔通知书，并说明理由。</w:t>
            </w:r>
          </w:p>
          <w:p>
            <w:pPr>
              <w:widowControl w:val="0"/>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18.特殊理赔案件及情形处理机制：针对以下特殊理赔案件及情形，中标人须第一时间通知采购人，并协助采购人处理，在此过程中，中标人应当与采购人保持密切沟通，积极回应采购人提出的诉求，不得无故拖延、拒绝回应、消极对待。</w:t>
            </w:r>
            <w:r>
              <w:rPr>
                <w:rFonts w:hint="eastAsia" w:ascii="宋体" w:hAnsi="宋体" w:eastAsia="宋体" w:cs="宋体"/>
                <w:b/>
                <w:bCs/>
                <w:sz w:val="21"/>
                <w:szCs w:val="21"/>
                <w:lang w:eastAsia="zh-CN"/>
              </w:rPr>
              <w:t>。</w:t>
            </w:r>
          </w:p>
          <w:p>
            <w:pPr>
              <w:widowControl w:val="0"/>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（1）重大案件；</w:t>
            </w:r>
          </w:p>
          <w:p>
            <w:pPr>
              <w:widowControl w:val="0"/>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（2）伤人案件；</w:t>
            </w:r>
          </w:p>
          <w:p>
            <w:pPr>
              <w:widowControl w:val="0"/>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（3）疑难纠纷案件，包括保险责任、理赔金额存在争议，采购人提出的其他诉求；</w:t>
            </w:r>
          </w:p>
          <w:p>
            <w:pPr>
              <w:widowControl w:val="0"/>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（4）案件处理时间过长等异常情形；</w:t>
            </w:r>
          </w:p>
          <w:p>
            <w:pPr>
              <w:widowControl w:val="0"/>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本项将作为合同续签履约考评重点考评项目。</w:t>
            </w:r>
          </w:p>
          <w:p>
            <w:pPr>
              <w:widowControl/>
              <w:wordWrap w:val="0"/>
              <w:spacing w:line="360" w:lineRule="auto"/>
              <w:ind w:firstLine="422" w:firstLineChars="20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（三）增值服务</w:t>
            </w:r>
          </w:p>
          <w:p>
            <w:pPr>
              <w:widowControl/>
              <w:wordWrap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须建立专门的项目服务小组，在投标文件中明确岗位职责，建立第一责任人制度。包含项目负责人一名，项目团队人员数量不少于6人。项目团队成员在保险期间内应保持稳定，确因客观原因需进行人员变动的，应提前10日历日书面告知采购人同意并提供替换的服务成员姓名、联系方式等相关信息。服务团队应当提供包括但不限于以下服务：</w:t>
            </w:r>
          </w:p>
          <w:p>
            <w:pPr>
              <w:widowControl/>
              <w:wordWrap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①合同签订后，中标人须立即指派服务专员与采购人完成对接并负责后续的保险购买、出险定损、理赔、结算等全过程服务；</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②中标人须在合同签订后7个工作日内，指定2名理赔专职服务人员处理定损、核赔等相关事宜（注：理赔专职服务人员须为丰富经验及精湛技术的独立核赔人员并按照采购人的安排，专职处理保险理赔事宜，确保事故发生时专职服务人员能够第一时间响应工作安排。专职服务人员如有擅离职守或不能积极响应事故处理工作，造成经济损失的，视为承保公司违约）。</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2.2.中标人须与</w:t>
            </w:r>
            <w:r>
              <w:rPr>
                <w:rFonts w:hint="eastAsia" w:ascii="宋体" w:hAnsi="宋体" w:eastAsia="宋体" w:cs="宋体"/>
                <w:sz w:val="21"/>
                <w:szCs w:val="21"/>
                <w:lang w:val="en-US" w:eastAsia="zh-CN"/>
              </w:rPr>
              <w:t>采购人</w:t>
            </w:r>
            <w:r>
              <w:rPr>
                <w:rFonts w:hint="eastAsia" w:ascii="宋体" w:hAnsi="宋体" w:eastAsia="宋体" w:cs="宋体"/>
                <w:sz w:val="21"/>
                <w:szCs w:val="21"/>
                <w:lang w:eastAsia="zh-CN"/>
              </w:rPr>
              <w:t>共同协商，针对采购人车辆保险项目，印制《客户服务指南》；</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3.为解决保险责任事故相关的法律纠纷，中标人应委派具有处理该类事故丰富法律经验的律师作为本项目专职律师，提供法律援助服务；</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中标人应按照采购人需求为本项目提供培训服务（内容包括但不限于保险方案、事故处理、理赔流程、汽车驾驶技术培训防灾防损、行车安全教育、道路交通安全法、道路交通安全法实施条例等）；如中标人就培训事项另行委托其他单位，其产生的相关费用由中标人自理；</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5.中标人须指定专门服务人员和业务车辆（须提供车辆行驶证及相关合格证明），与本项目</w:t>
            </w:r>
            <w:r>
              <w:rPr>
                <w:rFonts w:hint="eastAsia" w:ascii="宋体" w:hAnsi="宋体" w:eastAsia="宋体" w:cs="宋体"/>
                <w:sz w:val="21"/>
                <w:szCs w:val="21"/>
                <w:lang w:val="en-US" w:eastAsia="zh-CN"/>
              </w:rPr>
              <w:t>采购</w:t>
            </w:r>
            <w:r>
              <w:rPr>
                <w:rFonts w:hint="eastAsia" w:ascii="宋体" w:hAnsi="宋体" w:eastAsia="宋体" w:cs="宋体"/>
                <w:sz w:val="21"/>
                <w:szCs w:val="21"/>
                <w:lang w:eastAsia="zh-CN"/>
              </w:rPr>
              <w:t>人</w:t>
            </w:r>
            <w:r>
              <w:rPr>
                <w:rFonts w:hint="eastAsia" w:ascii="宋体" w:hAnsi="宋体" w:eastAsia="宋体" w:cs="宋体"/>
                <w:sz w:val="21"/>
                <w:szCs w:val="21"/>
                <w:lang w:val="en-US" w:eastAsia="zh-CN"/>
              </w:rPr>
              <w:t>指定人员</w:t>
            </w:r>
            <w:r>
              <w:rPr>
                <w:rFonts w:hint="eastAsia" w:ascii="宋体" w:hAnsi="宋体" w:eastAsia="宋体" w:cs="宋体"/>
                <w:sz w:val="21"/>
                <w:szCs w:val="21"/>
                <w:lang w:eastAsia="zh-CN"/>
              </w:rPr>
              <w:t>共同完成服务及走访工作；</w:t>
            </w:r>
          </w:p>
          <w:p>
            <w:pPr>
              <w:widowControl/>
              <w:wordWrap w:val="0"/>
              <w:spacing w:line="360" w:lineRule="auto"/>
              <w:ind w:firstLine="422" w:firstLineChars="200"/>
              <w:jc w:val="left"/>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★6.投标人需承诺中标后提供不少于7次单程50公里以内不限车型的免费拖车、送水、送防冻液、搭电、轮胎充气、更换轮胎、车辆脱离困境所需的拖拽及吊车等免费道路救援服务，</w:t>
            </w:r>
            <w:r>
              <w:rPr>
                <w:rFonts w:hint="eastAsia" w:ascii="宋体" w:hAnsi="宋体" w:eastAsia="宋体" w:cs="宋体"/>
                <w:b/>
                <w:bCs/>
                <w:color w:val="FF0000"/>
                <w:kern w:val="2"/>
                <w:sz w:val="21"/>
                <w:szCs w:val="21"/>
                <w:lang w:eastAsia="zh-CN"/>
              </w:rPr>
              <w:t>并在投标文件中自行承诺服务里程及服务次数；</w:t>
            </w:r>
            <w:r>
              <w:rPr>
                <w:rFonts w:hint="eastAsia" w:ascii="宋体" w:hAnsi="宋体" w:eastAsia="宋体" w:cs="宋体"/>
                <w:b/>
                <w:bCs/>
                <w:color w:val="FF0000"/>
                <w:sz w:val="21"/>
                <w:szCs w:val="21"/>
                <w:lang w:eastAsia="zh-CN"/>
              </w:rPr>
              <w:t>（承诺函格式自拟）</w:t>
            </w:r>
          </w:p>
          <w:p>
            <w:pPr>
              <w:widowControl/>
              <w:numPr>
                <w:ilvl w:val="0"/>
                <w:numId w:val="6"/>
              </w:numPr>
              <w:wordWrap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应提供定期数据，包括但不限于：①承保数据：每月结束后5个工作日内，根据实际投保情况，按采购人要求及模板，及时汇总当月的承保情况递交采购人；②理赔数据：每月结束后10个工作日内，须按照采购人的要求及模板，及时将理赔情况汇总给采购人。若采购人提出其他数据提取要求的，中标人也应当予以配合。</w:t>
            </w:r>
          </w:p>
          <w:p>
            <w:pPr>
              <w:widowControl/>
              <w:numPr>
                <w:ilvl w:val="0"/>
                <w:numId w:val="0"/>
              </w:numPr>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8.对于在保险服务期内出现的保险服务相关投诉，中标人应在3个工作日内安排人员联系客户，公开、公平、公正处理投诉。</w:t>
            </w:r>
          </w:p>
          <w:p>
            <w:pPr>
              <w:widowControl/>
              <w:wordWrap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9.中标人应为本项目提供保密服务。</w:t>
            </w:r>
          </w:p>
          <w:p>
            <w:pPr>
              <w:widowControl/>
              <w:wordWrap w:val="0"/>
              <w:spacing w:line="360" w:lineRule="auto"/>
              <w:ind w:firstLine="420" w:firstLineChars="200"/>
              <w:jc w:val="left"/>
              <w:rPr>
                <w:rFonts w:hint="eastAsia" w:ascii="宋体" w:hAnsi="宋体" w:eastAsia="宋体" w:cs="宋体"/>
                <w:bCs/>
                <w:kern w:val="2"/>
                <w:sz w:val="21"/>
                <w:szCs w:val="21"/>
                <w:lang w:eastAsia="zh-CN"/>
              </w:rPr>
            </w:pPr>
            <w:r>
              <w:rPr>
                <w:rFonts w:hint="eastAsia" w:ascii="宋体" w:hAnsi="宋体" w:eastAsia="宋体" w:cs="宋体"/>
                <w:sz w:val="21"/>
                <w:szCs w:val="21"/>
                <w:lang w:eastAsia="zh-CN"/>
              </w:rPr>
              <w:t>10.投标人在投标文件中提供的其他增值服务。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noWrap/>
            <w:vAlign w:val="center"/>
          </w:tcPr>
          <w:p>
            <w:pPr>
              <w:widowControl w:val="0"/>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w:t>
            </w:r>
          </w:p>
        </w:tc>
        <w:tc>
          <w:tcPr>
            <w:tcW w:w="1058" w:type="dxa"/>
            <w:noWrap/>
            <w:vAlign w:val="center"/>
          </w:tcPr>
          <w:p>
            <w:pPr>
              <w:widowControl w:val="0"/>
              <w:spacing w:line="36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人员要求</w:t>
            </w:r>
          </w:p>
        </w:tc>
        <w:tc>
          <w:tcPr>
            <w:tcW w:w="6779" w:type="dxa"/>
            <w:noWrap/>
            <w:vAlign w:val="center"/>
          </w:tcPr>
          <w:p>
            <w:pPr>
              <w:widowControl/>
              <w:wordWrap w:val="0"/>
              <w:spacing w:line="360" w:lineRule="auto"/>
              <w:ind w:firstLine="420" w:firstLineChars="200"/>
              <w:jc w:val="left"/>
              <w:rPr>
                <w:rFonts w:hint="eastAsia" w:ascii="宋体" w:hAnsi="宋体" w:eastAsia="宋体" w:cs="宋体"/>
                <w:kern w:val="2"/>
                <w:sz w:val="21"/>
                <w:szCs w:val="21"/>
                <w:lang w:eastAsia="zh-CN"/>
              </w:rPr>
            </w:pPr>
            <w:r>
              <w:rPr>
                <w:rFonts w:hint="eastAsia" w:ascii="宋体" w:hAnsi="宋体" w:eastAsia="宋体" w:cs="宋体"/>
                <w:sz w:val="21"/>
                <w:szCs w:val="21"/>
                <w:lang w:eastAsia="zh-CN"/>
              </w:rPr>
              <w:t>项目团队人员数量不少于6人（含），其中，项目负责人1人，团体成员（不含项目负责人）不少于2人（含）。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noWrap/>
            <w:vAlign w:val="center"/>
          </w:tcPr>
          <w:p>
            <w:pPr>
              <w:widowControl w:val="0"/>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w:t>
            </w:r>
          </w:p>
        </w:tc>
        <w:tc>
          <w:tcPr>
            <w:tcW w:w="1058" w:type="dxa"/>
            <w:noWrap/>
            <w:vAlign w:val="center"/>
          </w:tcPr>
          <w:p>
            <w:pPr>
              <w:widowControl w:val="0"/>
              <w:spacing w:line="36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服务期限</w:t>
            </w:r>
          </w:p>
        </w:tc>
        <w:tc>
          <w:tcPr>
            <w:tcW w:w="6779" w:type="dxa"/>
            <w:noWrap/>
            <w:vAlign w:val="center"/>
          </w:tcPr>
          <w:p>
            <w:pPr>
              <w:widowControl/>
              <w:wordWrap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kern w:val="2"/>
                <w:sz w:val="21"/>
                <w:szCs w:val="21"/>
                <w:lang w:eastAsia="zh-CN"/>
              </w:rPr>
              <w:t>本项目中标服务期限为12个月（自合同签订之日起）。本项目为长期服务类项目，合同期满前，采购人根据中标供应商的履约情况决定是否续签，但合同履行期限最长不超过三十六个月，合同一年一签。如履约服务情况不满意的则不再续约。服务期内当中标人履约不合格、采购人不满意或在履行合同过程中有违反合同以及招投标文件等相关文件的情形时（具体情形在保险合同中进行约定），采购人有权选择与中标人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jc w:val="center"/>
        </w:trPr>
        <w:tc>
          <w:tcPr>
            <w:tcW w:w="663" w:type="dxa"/>
            <w:noWrap/>
            <w:vAlign w:val="center"/>
          </w:tcPr>
          <w:p>
            <w:pPr>
              <w:widowControl w:val="0"/>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p>
        </w:tc>
        <w:tc>
          <w:tcPr>
            <w:tcW w:w="1058" w:type="dxa"/>
            <w:noWrap/>
            <w:vAlign w:val="center"/>
          </w:tcPr>
          <w:p>
            <w:pPr>
              <w:widowControl w:val="0"/>
              <w:spacing w:line="36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保险方案</w:t>
            </w:r>
          </w:p>
        </w:tc>
        <w:tc>
          <w:tcPr>
            <w:tcW w:w="6779" w:type="dxa"/>
            <w:noWrap/>
            <w:vAlign w:val="center"/>
          </w:tcPr>
          <w:p>
            <w:pPr>
              <w:widowControl w:val="0"/>
              <w:spacing w:line="360" w:lineRule="auto"/>
              <w:ind w:firstLine="42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（一）汽车保险</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3150"/>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noWrap/>
                </w:tcPr>
                <w:p>
                  <w:pPr>
                    <w:widowControl w:val="0"/>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2395" w:type="pct"/>
                  <w:noWrap/>
                </w:tcPr>
                <w:p>
                  <w:pPr>
                    <w:widowControl w:val="0"/>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险种</w:t>
                  </w:r>
                </w:p>
              </w:tc>
              <w:tc>
                <w:tcPr>
                  <w:tcW w:w="1843" w:type="pct"/>
                  <w:noWrap/>
                </w:tcPr>
                <w:p>
                  <w:pPr>
                    <w:widowControl w:val="0"/>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pct"/>
                  <w:noWrap/>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395" w:type="pct"/>
                  <w:noWrap/>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交强险</w:t>
                  </w:r>
                </w:p>
              </w:tc>
              <w:tc>
                <w:tcPr>
                  <w:tcW w:w="1843" w:type="pct"/>
                  <w:noWrap/>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按国家规定执行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noWrap/>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395" w:type="pct"/>
                  <w:noWrap/>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车船税</w:t>
                  </w:r>
                </w:p>
              </w:tc>
              <w:tc>
                <w:tcPr>
                  <w:tcW w:w="1843" w:type="pct"/>
                  <w:noWrap/>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按国家规定执行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noWrap/>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4239" w:type="pct"/>
                  <w:gridSpan w:val="2"/>
                  <w:noWrap/>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商业险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395"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机动车损失保险</w:t>
                  </w:r>
                </w:p>
              </w:tc>
              <w:tc>
                <w:tcPr>
                  <w:tcW w:w="1843"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按车辆实际价值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395"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机动车第三者责任保险</w:t>
                  </w:r>
                </w:p>
              </w:tc>
              <w:tc>
                <w:tcPr>
                  <w:tcW w:w="1843"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395"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机动车车上人员责任保险</w:t>
                  </w:r>
                </w:p>
              </w:tc>
              <w:tc>
                <w:tcPr>
                  <w:tcW w:w="1843" w:type="pct"/>
                  <w:noWrap/>
                  <w:vAlign w:val="center"/>
                </w:tcPr>
                <w:p>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司机20万元，乘客20万元/座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widowControl w:val="0"/>
                    <w:spacing w:line="360" w:lineRule="auto"/>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2395" w:type="pct"/>
                </w:tcPr>
                <w:p>
                  <w:pPr>
                    <w:widowControl w:val="0"/>
                    <w:spacing w:line="360" w:lineRule="auto"/>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附加医保外医疗费用责任险（三责）</w:t>
                  </w:r>
                </w:p>
              </w:tc>
              <w:tc>
                <w:tcPr>
                  <w:tcW w:w="1843" w:type="pct"/>
                  <w:vAlign w:val="center"/>
                </w:tcPr>
                <w:p>
                  <w:pPr>
                    <w:widowControl w:val="0"/>
                    <w:spacing w:line="360" w:lineRule="auto"/>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widowControl w:val="0"/>
                    <w:spacing w:line="360" w:lineRule="auto"/>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2395" w:type="pct"/>
                </w:tcPr>
                <w:p>
                  <w:pPr>
                    <w:widowControl w:val="0"/>
                    <w:spacing w:line="360" w:lineRule="auto"/>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附加医保外医疗费用责任险（车上人员）</w:t>
                  </w:r>
                </w:p>
              </w:tc>
              <w:tc>
                <w:tcPr>
                  <w:tcW w:w="1843" w:type="pct"/>
                  <w:vAlign w:val="center"/>
                </w:tcPr>
                <w:p>
                  <w:pPr>
                    <w:widowControl w:val="0"/>
                    <w:spacing w:line="360" w:lineRule="auto"/>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司机20万元，乘客20万元/座</w:t>
                  </w:r>
                </w:p>
              </w:tc>
            </w:tr>
          </w:tbl>
          <w:p>
            <w:pPr>
              <w:widowControl w:val="0"/>
              <w:spacing w:line="360" w:lineRule="auto"/>
              <w:jc w:val="both"/>
              <w:rPr>
                <w:rFonts w:hint="eastAsia" w:ascii="宋体" w:hAnsi="宋体" w:eastAsia="宋体" w:cs="宋体"/>
                <w:kern w:val="2"/>
                <w:sz w:val="21"/>
                <w:szCs w:val="21"/>
                <w:lang w:eastAsia="zh-CN"/>
              </w:rPr>
            </w:pPr>
          </w:p>
          <w:p>
            <w:pPr>
              <w:widowControl w:val="0"/>
              <w:spacing w:line="360" w:lineRule="auto"/>
              <w:ind w:firstLine="0" w:firstLineChars="0"/>
              <w:jc w:val="both"/>
              <w:rPr>
                <w:rFonts w:hint="eastAsia" w:ascii="宋体" w:hAnsi="宋体" w:eastAsia="宋体" w:cs="宋体"/>
                <w:kern w:val="2"/>
                <w:sz w:val="21"/>
                <w:szCs w:val="21"/>
                <w:lang w:eastAsia="zh-CN"/>
              </w:rPr>
            </w:pPr>
          </w:p>
        </w:tc>
      </w:tr>
    </w:tbl>
    <w:p>
      <w:pPr>
        <w:widowControl w:val="0"/>
        <w:jc w:val="both"/>
        <w:rPr>
          <w:rFonts w:hint="eastAsia" w:ascii="宋体" w:hAnsi="宋体" w:eastAsia="宋体"/>
          <w:b/>
          <w:kern w:val="2"/>
          <w:sz w:val="21"/>
          <w:szCs w:val="21"/>
          <w:lang w:eastAsia="zh-CN"/>
        </w:rPr>
      </w:pPr>
    </w:p>
    <w:p>
      <w:pPr>
        <w:widowControl w:val="0"/>
        <w:jc w:val="both"/>
        <w:rPr>
          <w:rFonts w:eastAsia="宋体"/>
          <w:b/>
          <w:kern w:val="2"/>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pPr>
        <w:widowControl w:val="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以下商务条款为合同的组成部分，属于实质性条款。供应商必须满足商务条款中各条款，否则，投标将被否决。</w:t>
      </w:r>
    </w:p>
    <w:tbl>
      <w:tblPr>
        <w:tblStyle w:val="18"/>
        <w:tblW w:w="51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94"/>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55" w:type="dxa"/>
            <w:noWrap/>
            <w:vAlign w:val="center"/>
          </w:tcPr>
          <w:p>
            <w:pPr>
              <w:widowControl/>
              <w:spacing w:line="36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序号</w:t>
            </w:r>
          </w:p>
        </w:tc>
        <w:tc>
          <w:tcPr>
            <w:tcW w:w="1394" w:type="dxa"/>
            <w:noWrap/>
            <w:vAlign w:val="center"/>
          </w:tcPr>
          <w:p>
            <w:pPr>
              <w:widowControl/>
              <w:spacing w:line="36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目录</w:t>
            </w:r>
          </w:p>
        </w:tc>
        <w:tc>
          <w:tcPr>
            <w:tcW w:w="6671" w:type="dxa"/>
            <w:noWrap/>
            <w:vAlign w:val="center"/>
          </w:tcPr>
          <w:p>
            <w:pPr>
              <w:widowControl/>
              <w:spacing w:line="360" w:lineRule="auto"/>
              <w:jc w:val="center"/>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b/>
                <w:kern w:val="2"/>
                <w:sz w:val="21"/>
                <w:szCs w:val="21"/>
                <w:lang w:eastAsia="zh-CN"/>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ign w:val="center"/>
          </w:tcPr>
          <w:p>
            <w:pPr>
              <w:widowControl w:val="0"/>
              <w:spacing w:line="360" w:lineRule="auto"/>
              <w:jc w:val="center"/>
              <w:outlineLvl w:val="0"/>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w:t>
            </w:r>
          </w:p>
        </w:tc>
        <w:tc>
          <w:tcPr>
            <w:tcW w:w="1394" w:type="dxa"/>
            <w:noWrap/>
            <w:vAlign w:val="center"/>
          </w:tcPr>
          <w:p>
            <w:pPr>
              <w:widowControl w:val="0"/>
              <w:spacing w:line="360" w:lineRule="auto"/>
              <w:jc w:val="center"/>
              <w:outlineLvl w:val="0"/>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服务期要求</w:t>
            </w:r>
          </w:p>
        </w:tc>
        <w:tc>
          <w:tcPr>
            <w:tcW w:w="6671" w:type="dxa"/>
            <w:noWrap/>
          </w:tcPr>
          <w:p>
            <w:pPr>
              <w:widowControl/>
              <w:wordWrap w:val="0"/>
              <w:spacing w:line="360" w:lineRule="auto"/>
              <w:ind w:firstLine="420" w:firstLineChars="200"/>
              <w:jc w:val="both"/>
              <w:rPr>
                <w:rFonts w:hint="eastAsia" w:ascii="宋体" w:hAnsi="宋体" w:eastAsia="宋体" w:cs="宋体"/>
                <w:b/>
                <w:kern w:val="2"/>
                <w:sz w:val="21"/>
                <w:szCs w:val="21"/>
                <w:u w:val="single"/>
                <w:lang w:eastAsia="zh-CN"/>
              </w:rPr>
            </w:pPr>
            <w:r>
              <w:rPr>
                <w:rFonts w:hint="eastAsia" w:ascii="宋体" w:hAnsi="宋体" w:eastAsia="宋体" w:cs="宋体"/>
                <w:kern w:val="2"/>
                <w:sz w:val="21"/>
                <w:szCs w:val="21"/>
                <w:lang w:eastAsia="zh-CN"/>
              </w:rPr>
              <w:t>本项目中标服务期限为12个月（自合同签订之日起）。本项目为长期服务类项目，合同期满前，采购人根据中标供应商的履约情况决定是否续签，但合同履行期限最长不超过三十六个月，合同一年一签。如履约服务情况不满意的则不再续约。服务期内当中标人履约不合格、采购人不满意或在履行合同过程中有违反合同以及招投标文件等相关文件的情形时（具体情形在保险合同中进行约定），采购人有权选择与中标人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ign w:val="center"/>
          </w:tcPr>
          <w:p>
            <w:pPr>
              <w:widowControl w:val="0"/>
              <w:spacing w:line="360" w:lineRule="auto"/>
              <w:jc w:val="center"/>
              <w:outlineLvl w:val="0"/>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w:t>
            </w:r>
          </w:p>
        </w:tc>
        <w:tc>
          <w:tcPr>
            <w:tcW w:w="1394" w:type="dxa"/>
            <w:noWrap/>
            <w:vAlign w:val="center"/>
          </w:tcPr>
          <w:p>
            <w:pPr>
              <w:widowControl w:val="0"/>
              <w:spacing w:line="360" w:lineRule="auto"/>
              <w:jc w:val="center"/>
              <w:outlineLvl w:val="0"/>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服务地点</w:t>
            </w:r>
          </w:p>
        </w:tc>
        <w:tc>
          <w:tcPr>
            <w:tcW w:w="6671" w:type="dxa"/>
            <w:noWrap/>
          </w:tcPr>
          <w:p>
            <w:pPr>
              <w:widowControl/>
              <w:wordWrap w:val="0"/>
              <w:spacing w:line="360" w:lineRule="auto"/>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深圳市殡葬服务中心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ign w:val="center"/>
          </w:tcPr>
          <w:p>
            <w:pPr>
              <w:widowControl w:val="0"/>
              <w:spacing w:line="360" w:lineRule="auto"/>
              <w:jc w:val="center"/>
              <w:outlineLvl w:val="0"/>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w:t>
            </w:r>
          </w:p>
        </w:tc>
        <w:tc>
          <w:tcPr>
            <w:tcW w:w="1394" w:type="dxa"/>
            <w:noWrap/>
            <w:vAlign w:val="center"/>
          </w:tcPr>
          <w:p>
            <w:pPr>
              <w:widowControl w:val="0"/>
              <w:spacing w:line="360" w:lineRule="auto"/>
              <w:jc w:val="center"/>
              <w:outlineLvl w:val="0"/>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付款方式</w:t>
            </w:r>
          </w:p>
        </w:tc>
        <w:tc>
          <w:tcPr>
            <w:tcW w:w="6671" w:type="dxa"/>
            <w:noWrap/>
          </w:tcPr>
          <w:p>
            <w:pPr>
              <w:widowControl/>
              <w:wordWrap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根据中标“折扣率”确定“自主定价系数”（自主定价系数=基准系数（1.5）×“折扣率”）的值，并按商业车险保费计算公式得出商业车险保费，结合实际承保车辆数量据实结算。承保公司在车辆到期时间提前至少25 天将盖有承保公司缴费专用章的《缴款通知书》（包含承保车辆明细信息）送交采购人，统计填报的承保情况数据资料准确、完整，无隐瞒。采购人按其财务相关规定向承保公司支付相应保费。承保公司收到采购人所支付保费后，向采购人提供等额的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ign w:val="center"/>
          </w:tcPr>
          <w:p>
            <w:pPr>
              <w:widowControl w:val="0"/>
              <w:spacing w:line="360" w:lineRule="auto"/>
              <w:jc w:val="center"/>
              <w:outlineLvl w:val="0"/>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4</w:t>
            </w:r>
          </w:p>
        </w:tc>
        <w:tc>
          <w:tcPr>
            <w:tcW w:w="1394" w:type="dxa"/>
            <w:noWrap/>
            <w:vAlign w:val="center"/>
          </w:tcPr>
          <w:p>
            <w:pPr>
              <w:widowControl w:val="0"/>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关于验收</w:t>
            </w:r>
          </w:p>
          <w:p>
            <w:pPr>
              <w:widowControl w:val="0"/>
              <w:spacing w:line="360" w:lineRule="auto"/>
              <w:jc w:val="center"/>
              <w:outlineLvl w:val="0"/>
              <w:rPr>
                <w:rFonts w:hint="eastAsia" w:ascii="宋体" w:hAnsi="宋体" w:eastAsia="宋体" w:cs="宋体"/>
                <w:b/>
                <w:bCs/>
                <w:kern w:val="2"/>
                <w:sz w:val="21"/>
                <w:szCs w:val="21"/>
                <w:lang w:eastAsia="zh-CN"/>
              </w:rPr>
            </w:pPr>
          </w:p>
        </w:tc>
        <w:tc>
          <w:tcPr>
            <w:tcW w:w="6671" w:type="dxa"/>
            <w:noWrap/>
          </w:tcPr>
          <w:p>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 xml:space="preserve">4.关于验收 </w:t>
            </w:r>
            <w:r>
              <w:rPr>
                <w:rFonts w:hint="eastAsia" w:ascii="宋体" w:hAnsi="宋体" w:eastAsia="宋体" w:cs="宋体"/>
                <w:kern w:val="2"/>
                <w:sz w:val="21"/>
                <w:szCs w:val="21"/>
                <w:lang w:eastAsia="zh-CN"/>
              </w:rPr>
              <w:t>在保单年度结束前3个月，由采购人对中标供应商根据招投标文件中的条款（包括但不限于中标人在投标文件中提出的承保服务、理赔服务、增值服务等）进行履约评价。如中标供应商履约不合格、采购人不满意或在履行合同过程中有违反合同以及招投标文件等相关文件的情形时（具体情形在保险合同中进行约定），采购人报送主管部门，主管部门根据法规进行处理。</w:t>
            </w:r>
          </w:p>
        </w:tc>
      </w:tr>
    </w:tbl>
    <w:p>
      <w:pPr>
        <w:widowControl w:val="0"/>
        <w:ind w:firstLine="482" w:firstLineChars="200"/>
        <w:jc w:val="both"/>
        <w:rPr>
          <w:rFonts w:hint="eastAsia" w:ascii="宋体" w:hAnsi="宋体" w:eastAsia="宋体"/>
          <w:b/>
          <w:bCs/>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bookmarkStart w:id="36" w:name="_Hlk72167863"/>
      <w:r>
        <w:rPr>
          <w:rFonts w:hint="eastAsia" w:ascii="宋体" w:hAnsi="宋体" w:eastAsia="宋体"/>
          <w:b/>
          <w:bCs/>
          <w:lang w:eastAsia="zh-CN"/>
        </w:rPr>
        <w:t>七、</w:t>
      </w:r>
      <w:bookmarkEnd w:id="36"/>
      <w:r>
        <w:rPr>
          <w:rFonts w:hint="eastAsia" w:ascii="宋体" w:hAnsi="宋体" w:eastAsia="宋体"/>
          <w:b/>
          <w:bCs/>
          <w:lang w:eastAsia="zh-CN"/>
        </w:rPr>
        <w:t>其他重要条款</w:t>
      </w:r>
    </w:p>
    <w:p>
      <w:pPr>
        <w:widowControl w:val="0"/>
        <w:ind w:firstLine="420" w:firstLineChars="200"/>
        <w:jc w:val="both"/>
        <w:rPr>
          <w:rFonts w:eastAsia="宋体"/>
          <w:bCs/>
          <w:kern w:val="2"/>
          <w:sz w:val="21"/>
          <w:szCs w:val="21"/>
          <w:lang w:eastAsia="zh-CN"/>
        </w:rPr>
      </w:pPr>
      <w:bookmarkStart w:id="37"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37"/>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pPr>
        <w:widowControl/>
        <w:jc w:val="left"/>
        <w:rPr>
          <w:rFonts w:hint="eastAsia" w:ascii="宋体" w:hAnsi="宋体" w:eastAsia="宋体"/>
          <w:kern w:val="2"/>
          <w:lang w:eastAsia="zh-CN"/>
        </w:rPr>
      </w:pPr>
    </w:p>
    <w:p>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38" w:name="_Hlk72070784"/>
      <w:r>
        <w:rPr>
          <w:rFonts w:hint="eastAsia" w:eastAsia="宋体"/>
          <w:kern w:val="2"/>
          <w:sz w:val="21"/>
          <w:szCs w:val="21"/>
          <w:lang w:eastAsia="zh-CN"/>
        </w:rPr>
        <w:t>投标函</w:t>
      </w:r>
      <w:bookmarkEnd w:id="38"/>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pPr>
        <w:widowControl w:val="0"/>
        <w:ind w:firstLine="420" w:firstLineChars="200"/>
        <w:jc w:val="both"/>
        <w:rPr>
          <w:rFonts w:eastAsia="宋体"/>
          <w:kern w:val="2"/>
          <w:sz w:val="21"/>
          <w:szCs w:val="21"/>
          <w:lang w:eastAsia="zh-CN"/>
        </w:rPr>
      </w:pPr>
      <w:bookmarkStart w:id="39"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bookmarkEnd w:id="39"/>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w:t>
      </w:r>
      <w:r>
        <w:rPr>
          <w:rFonts w:hint="eastAsia" w:ascii="宋体" w:hAnsi="宋体" w:eastAsia="宋体" w:cs="宋体"/>
          <w:kern w:val="2"/>
          <w:sz w:val="21"/>
          <w:szCs w:val="21"/>
          <w:lang w:eastAsia="zh-CN"/>
        </w:rPr>
        <w:t>项目服务方案</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w:t>
      </w:r>
      <w:r>
        <w:rPr>
          <w:rFonts w:hint="eastAsia" w:ascii="宋体" w:hAnsi="宋体" w:eastAsia="宋体" w:cs="宋体"/>
          <w:kern w:val="2"/>
          <w:sz w:val="21"/>
          <w:szCs w:val="21"/>
          <w:lang w:eastAsia="zh-CN"/>
        </w:rPr>
        <w:t>质量保障措施</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w:t>
      </w:r>
      <w:r>
        <w:rPr>
          <w:rFonts w:hint="eastAsia" w:ascii="宋体" w:hAnsi="宋体" w:eastAsia="宋体" w:cs="宋体"/>
          <w:kern w:val="2"/>
          <w:sz w:val="21"/>
          <w:szCs w:val="21"/>
          <w:lang w:eastAsia="zh-CN"/>
        </w:rPr>
        <w:t>合议赔付方案</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w:t>
      </w:r>
      <w:r>
        <w:rPr>
          <w:rFonts w:hint="eastAsia" w:ascii="宋体" w:hAnsi="宋体" w:eastAsia="宋体" w:cs="宋体"/>
          <w:color w:val="000000"/>
          <w:kern w:val="2"/>
          <w:sz w:val="21"/>
          <w:szCs w:val="21"/>
          <w:lang w:eastAsia="zh-CN"/>
        </w:rPr>
        <w:t>风险综合评价</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w:t>
      </w:r>
      <w:r>
        <w:rPr>
          <w:rFonts w:hint="eastAsia" w:ascii="宋体" w:hAnsi="宋体" w:eastAsia="宋体" w:cs="宋体"/>
          <w:color w:val="000000"/>
          <w:kern w:val="2"/>
          <w:sz w:val="21"/>
          <w:szCs w:val="21"/>
          <w:lang w:eastAsia="zh-CN"/>
        </w:rPr>
        <w:t>偿付能力充足率情况</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w:t>
      </w:r>
      <w:r>
        <w:rPr>
          <w:rFonts w:hint="eastAsia" w:ascii="宋体" w:hAnsi="宋体" w:eastAsia="宋体" w:cs="宋体"/>
          <w:color w:val="000000"/>
          <w:kern w:val="2"/>
          <w:sz w:val="21"/>
          <w:szCs w:val="21"/>
          <w:lang w:eastAsia="zh-CN"/>
        </w:rPr>
        <w:t>违约承诺</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（14）拟</w:t>
      </w:r>
      <w:r>
        <w:rPr>
          <w:rFonts w:hint="eastAsia" w:ascii="宋体" w:hAnsi="宋体" w:eastAsia="宋体" w:cs="宋体"/>
          <w:color w:val="000000"/>
          <w:kern w:val="2"/>
          <w:sz w:val="21"/>
          <w:szCs w:val="21"/>
          <w:lang w:eastAsia="zh-CN"/>
        </w:rPr>
        <w:t>提供服务配套的设备情况</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w:t>
      </w:r>
      <w:r>
        <w:rPr>
          <w:rFonts w:hint="eastAsia" w:ascii="宋体" w:hAnsi="宋体" w:eastAsia="宋体" w:cs="宋体"/>
          <w:color w:val="000000"/>
          <w:kern w:val="2"/>
          <w:sz w:val="21"/>
          <w:szCs w:val="21"/>
          <w:lang w:eastAsia="zh-CN"/>
        </w:rPr>
        <w:t>拟派本项目的对接人情况</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w:t>
      </w:r>
      <w:r>
        <w:rPr>
          <w:rFonts w:hint="eastAsia" w:ascii="宋体" w:hAnsi="宋体" w:eastAsia="宋体" w:cs="宋体"/>
          <w:kern w:val="2"/>
          <w:sz w:val="21"/>
          <w:szCs w:val="21"/>
          <w:lang w:eastAsia="zh-CN"/>
        </w:rPr>
        <w:t>有效业绩</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（17）</w:t>
      </w:r>
      <w:r>
        <w:rPr>
          <w:rFonts w:hint="eastAsia" w:ascii="宋体" w:hAnsi="宋体" w:eastAsia="宋体" w:cs="宋体"/>
          <w:kern w:val="2"/>
          <w:sz w:val="21"/>
          <w:szCs w:val="21"/>
          <w:lang w:eastAsia="zh-CN"/>
        </w:rPr>
        <w:t>履约评价</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（18）</w:t>
      </w:r>
      <w:r>
        <w:rPr>
          <w:rFonts w:hint="eastAsia" w:ascii="宋体" w:hAnsi="宋体" w:eastAsia="宋体" w:cs="宋体"/>
          <w:color w:val="000000"/>
          <w:kern w:val="2"/>
          <w:sz w:val="21"/>
          <w:szCs w:val="21"/>
          <w:lang w:eastAsia="zh-CN"/>
        </w:rPr>
        <w:t>投诉量情况</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（19）投标人认为需要加以说明的其他内容（格式自定）</w:t>
      </w:r>
    </w:p>
    <w:p>
      <w:pPr>
        <w:widowControl w:val="0"/>
        <w:jc w:val="both"/>
        <w:rPr>
          <w:rFonts w:ascii="仿宋_GB2312" w:eastAsia="仿宋_GB2312"/>
          <w:kern w:val="2"/>
          <w:lang w:eastAsia="zh-CN"/>
        </w:rPr>
      </w:pP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pPr>
        <w:widowControl w:val="0"/>
        <w:spacing w:line="360" w:lineRule="auto"/>
        <w:jc w:val="both"/>
        <w:rPr>
          <w:rFonts w:eastAsia="宋体"/>
          <w:b/>
          <w:bCs/>
          <w:kern w:val="2"/>
          <w:lang w:eastAsia="zh-CN"/>
        </w:rPr>
      </w:pPr>
      <w:r>
        <w:rPr>
          <w:rFonts w:hint="eastAsia" w:eastAsia="宋体"/>
          <w:b/>
          <w:bCs/>
          <w:kern w:val="2"/>
          <w:lang w:eastAsia="zh-CN"/>
        </w:rPr>
        <w:br w:type="page"/>
      </w: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pPr>
        <w:widowControl w:val="0"/>
        <w:ind w:firstLine="420" w:firstLineChars="200"/>
        <w:jc w:val="both"/>
        <w:rPr>
          <w:rFonts w:hint="eastAsia" w:ascii="宋体" w:hAnsi="宋体" w:eastAsia="宋体"/>
          <w:kern w:val="2"/>
          <w:sz w:val="21"/>
          <w:szCs w:val="21"/>
          <w:lang w:eastAsia="zh-CN"/>
        </w:rPr>
      </w:pPr>
      <w:bookmarkStart w:id="40"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1" w:name="_Hlk72263588"/>
      <w:r>
        <w:rPr>
          <w:rFonts w:hint="eastAsia" w:eastAsia="宋体"/>
          <w:kern w:val="2"/>
          <w:sz w:val="21"/>
          <w:szCs w:val="21"/>
          <w:lang w:eastAsia="zh-CN"/>
        </w:rPr>
        <w:t>愿意按照招标文件要求承包上述项目并修补其任何缺陷。</w:t>
      </w:r>
      <w:bookmarkEnd w:id="41"/>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40"/>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pPr>
        <w:widowControl w:val="0"/>
        <w:jc w:val="both"/>
        <w:rPr>
          <w:rFonts w:hint="eastAsia" w:ascii="黑体" w:hAnsi="宋体" w:eastAsia="黑体"/>
          <w:kern w:val="2"/>
          <w:sz w:val="21"/>
          <w:lang w:eastAsia="zh-CN"/>
        </w:rPr>
      </w:pPr>
    </w:p>
    <w:p>
      <w:pPr>
        <w:widowControl w:val="0"/>
        <w:jc w:val="both"/>
        <w:rPr>
          <w:rFonts w:hint="eastAsia" w:ascii="黑体" w:hAnsi="宋体" w:eastAsia="黑体"/>
          <w:kern w:val="2"/>
          <w:sz w:val="21"/>
          <w:lang w:eastAsia="zh-CN"/>
        </w:rPr>
      </w:pP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pPr>
        <w:widowControl w:val="0"/>
        <w:jc w:val="both"/>
        <w:rPr>
          <w:rFonts w:hint="eastAsia" w:ascii="宋体" w:hAnsi="宋体" w:eastAsia="宋体"/>
          <w:kern w:val="2"/>
          <w:lang w:eastAsia="zh-CN"/>
        </w:rPr>
      </w:pPr>
    </w:p>
    <w:p>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pPr>
        <w:widowControl w:val="0"/>
        <w:ind w:firstLine="420" w:firstLineChars="200"/>
        <w:jc w:val="both"/>
        <w:rPr>
          <w:rFonts w:hint="eastAsia" w:ascii="宋体" w:hAnsi="宋体" w:eastAsia="宋体"/>
          <w:kern w:val="2"/>
          <w:sz w:val="21"/>
          <w:szCs w:val="21"/>
          <w:lang w:eastAsia="zh-CN"/>
        </w:rPr>
      </w:pPr>
    </w:p>
    <w:p>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1、该部分内容由供应商根据自身实际情况填写，</w:t>
      </w:r>
      <w:r>
        <w:rPr>
          <w:rFonts w:hint="eastAsia" w:ascii="黑体" w:hAnsi="黑体" w:eastAsia="黑体"/>
          <w:color w:val="FF0000"/>
          <w:kern w:val="2"/>
          <w:sz w:val="21"/>
          <w:szCs w:val="21"/>
          <w:lang w:eastAsia="zh-CN"/>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42"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 号</w:t>
      </w:r>
      <w:bookmarkEnd w:id="42"/>
      <w:r>
        <w:rPr>
          <w:rFonts w:hint="eastAsia" w:ascii="黑体" w:hAnsi="黑体" w:eastAsia="黑体"/>
          <w:color w:val="FF0000"/>
          <w:kern w:val="2"/>
          <w:sz w:val="21"/>
          <w:szCs w:val="21"/>
          <w:lang w:eastAsia="zh-CN"/>
        </w:rPr>
        <w:t>，以下简称3</w:t>
      </w:r>
      <w:r>
        <w:rPr>
          <w:rFonts w:ascii="黑体" w:hAnsi="黑体" w:eastAsia="黑体"/>
          <w:color w:val="FF0000"/>
          <w:kern w:val="2"/>
          <w:sz w:val="21"/>
          <w:szCs w:val="21"/>
          <w:lang w:eastAsia="zh-CN"/>
        </w:rPr>
        <w:t>00</w:t>
      </w:r>
      <w:r>
        <w:rPr>
          <w:rFonts w:hint="eastAsia" w:ascii="黑体" w:hAnsi="黑体" w:eastAsia="黑体"/>
          <w:color w:val="FF0000"/>
          <w:kern w:val="2"/>
          <w:sz w:val="21"/>
          <w:szCs w:val="21"/>
          <w:lang w:eastAsia="zh-CN"/>
        </w:rPr>
        <w:t>号文）</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 号）</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第一处，在“单位名称”下划线处应填写采购人名称（深圳公共资源交易中心不是本项目的采购人，而是组织实施机构）；</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 xml:space="preserve">（2）从业人员、资产总额指标以上年度末数据为依据，营业收入指标以上年度累计数据为依据。无上年度数据的新成立企业可不填报。 </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（5）声明是残疾人福利性单位须填写《残疾人福利性单位声明函》的相关内容，具体参照以上《中小企业声明函》填写要求执行。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（6）声明是监狱企业须填写《监狱企业声明函》的三项内容（填写位置的字体已加粗），具体参照以上《中小企业声明函》填写要求执行。</w:t>
      </w:r>
    </w:p>
    <w:p>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bookmarkStart w:id="43"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2、残疾人福利性单位声明函（服务类）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pPr>
        <w:widowControl w:val="0"/>
        <w:spacing w:line="75" w:lineRule="exact"/>
        <w:jc w:val="both"/>
        <w:rPr>
          <w:rFonts w:hint="eastAsia" w:ascii="宋体" w:hAnsi="宋体" w:eastAsia="宋体" w:cs="宋体"/>
          <w:kern w:val="2"/>
          <w:sz w:val="21"/>
          <w:szCs w:val="21"/>
          <w:lang w:eastAsia="zh-CN"/>
        </w:rPr>
      </w:pPr>
    </w:p>
    <w:tbl>
      <w:tblPr>
        <w:tblStyle w:val="3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pPr>
              <w:widowControl w:val="0"/>
              <w:jc w:val="both"/>
              <w:rPr>
                <w:rFonts w:hint="eastAsia" w:ascii="宋体" w:hAnsi="宋体" w:eastAsia="宋体" w:cs="宋体"/>
                <w:kern w:val="2"/>
                <w:sz w:val="21"/>
                <w:szCs w:val="21"/>
                <w:lang w:eastAsia="zh-CN"/>
              </w:rPr>
            </w:pPr>
          </w:p>
        </w:tc>
        <w:tc>
          <w:tcPr>
            <w:tcW w:w="2346" w:type="pct"/>
            <w:gridSpan w:val="3"/>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pPr>
              <w:widowControl w:val="0"/>
              <w:jc w:val="both"/>
              <w:rPr>
                <w:rFonts w:hint="eastAsia" w:ascii="宋体" w:hAnsi="宋体" w:eastAsia="宋体" w:cs="宋体"/>
                <w:kern w:val="2"/>
                <w:sz w:val="21"/>
                <w:szCs w:val="21"/>
                <w:lang w:eastAsia="zh-CN"/>
              </w:rPr>
            </w:pPr>
          </w:p>
        </w:tc>
        <w:tc>
          <w:tcPr>
            <w:tcW w:w="2346" w:type="pct"/>
            <w:gridSpan w:val="3"/>
            <w:vAlign w:val="center"/>
          </w:tcPr>
          <w:p>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pPr>
        <w:widowControl w:val="0"/>
        <w:ind w:left="720" w:hanging="723" w:hangingChars="300"/>
        <w:jc w:val="both"/>
        <w:rPr>
          <w:rFonts w:eastAsia="宋体"/>
          <w:b/>
          <w:kern w:val="2"/>
          <w:lang w:eastAsia="zh-CN"/>
        </w:rPr>
      </w:pPr>
    </w:p>
    <w:p>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四、项目详细报价</w:t>
      </w:r>
    </w:p>
    <w:p>
      <w:pPr>
        <w:widowControl w:val="0"/>
        <w:spacing w:line="360" w:lineRule="auto"/>
        <w:jc w:val="both"/>
        <w:rPr>
          <w:rFonts w:eastAsia="宋体"/>
          <w:kern w:val="2"/>
          <w:lang w:eastAsia="zh-CN"/>
        </w:rPr>
      </w:pPr>
    </w:p>
    <w:p>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7"/>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2832"/>
        <w:gridCol w:w="21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项目名称</w:t>
            </w:r>
          </w:p>
        </w:tc>
        <w:tc>
          <w:tcPr>
            <w:tcW w:w="2625"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eastAsia="宋体"/>
                <w:b/>
                <w:bCs/>
                <w:kern w:val="2"/>
                <w:sz w:val="21"/>
                <w:szCs w:val="21"/>
                <w:lang w:eastAsia="zh-CN"/>
              </w:rPr>
              <w:t>投标报价</w:t>
            </w:r>
            <w:r>
              <w:rPr>
                <w:rFonts w:hint="eastAsia" w:eastAsia="宋体"/>
                <w:b/>
                <w:bCs/>
                <w:color w:val="FF0000"/>
                <w:kern w:val="2"/>
                <w:sz w:val="21"/>
                <w:szCs w:val="21"/>
                <w:lang w:eastAsia="zh-CN"/>
              </w:rPr>
              <w:t>（折扣率）</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u w:val="single"/>
                <w:lang w:eastAsia="zh-CN"/>
              </w:rPr>
            </w:pPr>
            <w:r>
              <w:rPr>
                <w:rFonts w:hint="eastAsia" w:ascii="宋体" w:hAnsi="宋体" w:eastAsia="宋体"/>
                <w:snapToGrid w:val="0"/>
                <w:szCs w:val="21"/>
                <w:u w:val="single"/>
                <w:lang w:eastAsia="zh-CN"/>
              </w:rPr>
              <w:t xml:space="preserve">                 项目</w:t>
            </w:r>
          </w:p>
        </w:tc>
        <w:tc>
          <w:tcPr>
            <w:tcW w:w="2625" w:type="dxa"/>
            <w:tcBorders>
              <w:top w:val="single" w:color="auto" w:sz="4" w:space="0"/>
            </w:tcBorders>
            <w:vAlign w:val="center"/>
          </w:tcPr>
          <w:p>
            <w:pPr>
              <w:widowControl/>
              <w:adjustRightInd w:val="0"/>
              <w:snapToGrid w:val="0"/>
              <w:spacing w:line="300" w:lineRule="auto"/>
              <w:jc w:val="left"/>
              <w:rPr>
                <w:rFonts w:eastAsia="宋体"/>
                <w:kern w:val="2"/>
                <w:sz w:val="21"/>
                <w:lang w:eastAsia="zh-CN"/>
              </w:rPr>
            </w:pPr>
          </w:p>
        </w:tc>
        <w:tc>
          <w:tcPr>
            <w:tcW w:w="2034" w:type="dxa"/>
            <w:tcBorders>
              <w:top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p>
        </w:tc>
      </w:tr>
    </w:tbl>
    <w:p>
      <w:pPr>
        <w:widowControl w:val="0"/>
        <w:jc w:val="both"/>
        <w:rPr>
          <w:rFonts w:hint="eastAsia" w:ascii="宋体" w:hAnsi="宋体" w:eastAsia="宋体"/>
          <w:b/>
          <w:color w:val="FF0000"/>
          <w:sz w:val="21"/>
          <w:szCs w:val="21"/>
          <w:lang w:eastAsia="zh-CN"/>
        </w:rPr>
      </w:pPr>
      <w:r>
        <w:rPr>
          <w:rFonts w:hint="eastAsia" w:ascii="宋体" w:hAnsi="宋体" w:eastAsia="宋体"/>
          <w:b/>
          <w:color w:val="FF0000"/>
          <w:sz w:val="21"/>
          <w:szCs w:val="21"/>
          <w:lang w:eastAsia="zh-CN"/>
        </w:rPr>
        <w:t>报价要求：</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根据国家金融监督管理总局（现更名：国家金融监督管理总局）印发的《中国银保监会关于印发实施车险综合改革指导意见的通知》（银保监发〔2020〕41号）及《中国银保监会关于进一步扩大商业车险自主定价系数浮动范围等有关事项的通知》（银保监规〔2022〕23号），自主定价系数调整范围为[0.5,1.5]。</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2.本项目的基准系数取值为“1.5”，投标人在此基础上报出“折扣率”作为投标报价。</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“折扣率”是唯一的价格分计算依据。</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3.自主定价系数=基准系数（1.5）×“折扣率”</w:t>
      </w:r>
    </w:p>
    <w:p>
      <w:pPr>
        <w:widowControl/>
        <w:wordWrap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投标人应当填写唯一的报价“折扣率”，“折扣率”的取值范围：0＜折扣率≤100.例如，若投标人报出“折扣率”为58.67%，则“自主定价系数”值为0.88，采购人根据“自主定价系数”的值按商业车险保费计算公式得出商业车险保费。</w:t>
      </w:r>
    </w:p>
    <w:p>
      <w:pPr>
        <w:widowControl/>
        <w:wordWrap w:val="0"/>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5.“折扣率”填写要求：</w:t>
      </w:r>
    </w:p>
    <w:p>
      <w:pPr>
        <w:widowControl/>
        <w:spacing w:line="240" w:lineRule="atLeast"/>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（1）填写要求：0＜折扣率≤100，未按此要求填写将作投标无效处理。</w:t>
      </w:r>
    </w:p>
    <w:p>
      <w:pPr>
        <w:widowControl/>
        <w:spacing w:line="240" w:lineRule="atLeast"/>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（2）填写的“折扣率”采用折扣百分比形式，如供应商报价为九折仅需在投标折扣率一栏填写90，以此类推，如：95、80、78；</w:t>
      </w:r>
    </w:p>
    <w:p>
      <w:pPr>
        <w:widowControl/>
        <w:spacing w:line="240" w:lineRule="atLeast"/>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（3）投标人参与投标只允许填报一个“折扣率”，不允许填报2个（或以上）的“折扣率”；填报了2个或以上“折扣率”的，其投标将直接作投标无效处理。</w:t>
      </w:r>
    </w:p>
    <w:p>
      <w:pPr>
        <w:widowControl/>
        <w:spacing w:line="240" w:lineRule="atLeast"/>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（4）此处填写的投标折扣率需与在自行采购系统中填写的一致。最终折扣率报价以供应商在系统中填报的折扣率为准。</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（二）</w:t>
      </w:r>
      <w:bookmarkStart w:id="44" w:name="_Hlk72073235"/>
      <w:r>
        <w:rPr>
          <w:rFonts w:hint="eastAsia" w:eastAsia="宋体"/>
          <w:b/>
          <w:kern w:val="2"/>
          <w:lang w:eastAsia="zh-CN"/>
        </w:rPr>
        <w:t>投标人认为需要涉及的其他内容报价清单</w:t>
      </w:r>
      <w:bookmarkEnd w:id="44"/>
    </w:p>
    <w:p>
      <w:pPr>
        <w:widowControl w:val="0"/>
        <w:jc w:val="both"/>
        <w:rPr>
          <w:rFonts w:eastAsia="宋体"/>
          <w:b/>
          <w:bCs/>
          <w:kern w:val="2"/>
          <w:sz w:val="21"/>
          <w:lang w:eastAsia="zh-CN"/>
        </w:rPr>
      </w:pPr>
    </w:p>
    <w:p>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5" w:name="_Hlk72092499"/>
      <w:r>
        <w:rPr>
          <w:rFonts w:hint="eastAsia" w:ascii="黑体" w:hAnsi="宋体" w:eastAsia="黑体"/>
          <w:bCs/>
          <w:kern w:val="2"/>
          <w:szCs w:val="32"/>
          <w:lang w:eastAsia="zh-CN"/>
        </w:rPr>
        <w:t>法定代表人（负责人）证明书</w:t>
      </w:r>
      <w:bookmarkEnd w:id="45"/>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pPr>
        <w:widowControl w:val="0"/>
        <w:numPr>
          <w:ilvl w:val="0"/>
          <w:numId w:val="7"/>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7"/>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pPr>
        <w:widowControl w:val="0"/>
        <w:numPr>
          <w:ilvl w:val="0"/>
          <w:numId w:val="7"/>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6" w:name="_Hlk72092634"/>
      <w:r>
        <w:rPr>
          <w:rFonts w:hint="eastAsia" w:ascii="黑体" w:hAnsi="宋体" w:eastAsia="黑体"/>
          <w:bCs/>
          <w:lang w:eastAsia="zh-CN"/>
        </w:rPr>
        <w:t>实质性条款响应情况表</w:t>
      </w:r>
      <w:bookmarkEnd w:id="46"/>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bookmarkStart w:id="47" w:name="_Hlk72092651"/>
            <w:r>
              <w:rPr>
                <w:rFonts w:hint="eastAsia" w:ascii="宋体" w:hAnsi="宋体" w:eastAsia="宋体"/>
                <w:sz w:val="21"/>
                <w:szCs w:val="21"/>
                <w:lang w:eastAsia="zh-CN"/>
              </w:rPr>
              <w:t>序号</w:t>
            </w:r>
          </w:p>
        </w:tc>
        <w:tc>
          <w:tcPr>
            <w:tcW w:w="351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tcPr>
          <w:p>
            <w:pPr>
              <w:widowControl w:val="0"/>
              <w:adjustRightInd w:val="0"/>
              <w:snapToGrid w:val="0"/>
              <w:spacing w:line="360" w:lineRule="auto"/>
              <w:jc w:val="left"/>
              <w:rPr>
                <w:rFonts w:hint="eastAsia" w:hAnsi="宋体" w:eastAsia="宋体"/>
                <w:sz w:val="21"/>
                <w:szCs w:val="21"/>
                <w:lang w:eastAsia="zh-CN"/>
              </w:rPr>
            </w:pPr>
            <w:r>
              <w:rPr>
                <w:rFonts w:hint="eastAsia" w:eastAsia="宋体"/>
                <w:kern w:val="2"/>
                <w:sz w:val="21"/>
                <w:lang w:eastAsia="zh-CN"/>
              </w:rPr>
              <w:t>满足本项目标★的条款要求</w:t>
            </w:r>
          </w:p>
        </w:tc>
        <w:tc>
          <w:tcPr>
            <w:tcW w:w="1559" w:type="dxa"/>
          </w:tcPr>
          <w:p>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pPr>
              <w:widowControl w:val="0"/>
              <w:adjustRightInd w:val="0"/>
              <w:snapToGrid w:val="0"/>
              <w:spacing w:line="360" w:lineRule="auto"/>
              <w:jc w:val="both"/>
              <w:rPr>
                <w:rFonts w:hint="eastAsia" w:ascii="宋体" w:hAnsi="宋体" w:eastAsia="宋体"/>
                <w:sz w:val="21"/>
                <w:szCs w:val="21"/>
                <w:lang w:eastAsia="zh-CN"/>
              </w:rPr>
            </w:pPr>
          </w:p>
        </w:tc>
      </w:tr>
    </w:tbl>
    <w:p>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八、项目服务方案（格式自定）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九、质量保障措施（格式自定）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
          <w:bCs/>
          <w:kern w:val="2"/>
          <w:szCs w:val="32"/>
          <w:lang w:eastAsia="zh-CN"/>
        </w:rPr>
      </w:pPr>
      <w:r>
        <w:rPr>
          <w:rFonts w:hint="eastAsia" w:ascii="黑体" w:hAnsi="宋体" w:eastAsia="黑体"/>
          <w:bCs/>
          <w:lang w:eastAsia="zh-CN"/>
        </w:rPr>
        <w:t>十、合议赔付方案（格式自定）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十一、风险综合评价（格式自定）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十二、偿付能力充足率情况（格式自定）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十三、违约承诺（格式自定）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十四、拟提供服务配套的设备情况（格式自定）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十五、拟派本项目的对接人情况（格式自定）</w:t>
      </w:r>
    </w:p>
    <w:p>
      <w:pPr>
        <w:widowControl w:val="0"/>
        <w:jc w:val="both"/>
        <w:rPr>
          <w:rFonts w:hint="eastAsia" w:ascii="宋体" w:hAnsi="宋体" w:eastAsia="宋体" w:cs="宋体"/>
          <w:kern w:val="2"/>
          <w:lang w:eastAsia="zh-CN"/>
        </w:rPr>
      </w:pPr>
      <w:r>
        <w:rPr>
          <w:rFonts w:hint="eastAsia" w:ascii="宋体" w:hAnsi="宋体" w:eastAsia="宋体" w:cs="宋体"/>
          <w:color w:val="FF0000"/>
          <w:kern w:val="2"/>
          <w:lang w:eastAsia="zh-CN"/>
        </w:rPr>
        <w:t>（特别提示：投标人须按本招标文件评标信息中这一评审因素要求，提供证明资料）</w:t>
      </w: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十六、有效业绩（格式自定）</w:t>
      </w:r>
    </w:p>
    <w:p>
      <w:pPr>
        <w:widowControl w:val="0"/>
        <w:jc w:val="both"/>
        <w:rPr>
          <w:rFonts w:eastAsia="宋体"/>
          <w:kern w:val="2"/>
          <w:sz w:val="21"/>
          <w:lang w:eastAsia="zh-CN"/>
        </w:rPr>
      </w:pPr>
      <w:r>
        <w:rPr>
          <w:rFonts w:hint="eastAsia" w:ascii="宋体" w:hAnsi="宋体" w:eastAsia="宋体" w:cs="宋体"/>
          <w:color w:val="FF0000"/>
          <w:kern w:val="2"/>
          <w:lang w:eastAsia="zh-CN"/>
        </w:rPr>
        <w:t>（特别提示：投标人须按本招标文件评标信息中这一评审因素要求，提供证明资料）</w:t>
      </w: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十七、履约评价（格式自定）</w:t>
      </w:r>
    </w:p>
    <w:p>
      <w:pPr>
        <w:widowControl w:val="0"/>
        <w:jc w:val="both"/>
        <w:rPr>
          <w:rFonts w:hint="eastAsia" w:ascii="宋体" w:hAnsi="宋体" w:eastAsia="宋体" w:cs="宋体"/>
          <w:kern w:val="2"/>
          <w:lang w:eastAsia="zh-CN"/>
        </w:rPr>
      </w:pPr>
      <w:r>
        <w:rPr>
          <w:rFonts w:hint="eastAsia" w:ascii="宋体" w:hAnsi="宋体" w:eastAsia="宋体" w:cs="宋体"/>
          <w:color w:val="FF0000"/>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十八、投诉量情况（格式自定）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十九、投标人认为需要加以说明的其他内容（格式自定）</w:t>
      </w:r>
    </w:p>
    <w:p>
      <w:pPr>
        <w:widowControl w:val="0"/>
        <w:spacing w:line="360" w:lineRule="auto"/>
        <w:jc w:val="both"/>
        <w:rPr>
          <w:rFonts w:eastAsia="宋体"/>
          <w:b/>
          <w:bCs/>
          <w:kern w:val="2"/>
          <w:lang w:eastAsia="zh-CN"/>
        </w:rPr>
      </w:pPr>
    </w:p>
    <w:p>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pPr>
        <w:widowControl/>
        <w:jc w:val="center"/>
        <w:rPr>
          <w:rFonts w:hint="eastAsia" w:ascii="黑体" w:hAnsi="宋体" w:eastAsia="黑体"/>
          <w:szCs w:val="20"/>
          <w:lang w:eastAsia="zh-CN"/>
        </w:rPr>
      </w:pPr>
    </w:p>
    <w:p>
      <w:pPr>
        <w:widowControl w:val="0"/>
        <w:ind w:firstLine="420" w:firstLineChars="200"/>
        <w:jc w:val="both"/>
        <w:rPr>
          <w:rFonts w:eastAsia="宋体"/>
          <w:kern w:val="2"/>
          <w:sz w:val="21"/>
          <w:lang w:eastAsia="zh-CN"/>
        </w:rPr>
      </w:pPr>
      <w:r>
        <w:rPr>
          <w:rFonts w:hint="eastAsia" w:eastAsia="宋体"/>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2" w:firstLineChars="200"/>
        <w:jc w:val="both"/>
        <w:rPr>
          <w:rFonts w:eastAsia="宋体"/>
          <w:b/>
          <w:kern w:val="2"/>
          <w:sz w:val="21"/>
          <w:lang w:eastAsia="zh-CN"/>
        </w:rPr>
      </w:pPr>
      <w:r>
        <w:rPr>
          <w:rFonts w:hint="eastAsia" w:eastAsia="宋体"/>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hint="eastAsia" w:eastAsia="宋体"/>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hint="eastAsia" w:eastAsia="宋体"/>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hint="eastAsia" w:eastAsia="宋体"/>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hint="eastAsia" w:eastAsia="宋体"/>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hint="eastAsia" w:eastAsia="宋体"/>
          <w:kern w:val="2"/>
          <w:sz w:val="21"/>
          <w:lang w:eastAsia="zh-CN"/>
        </w:rPr>
        <w:t>（五）其他隐瞒真实情况、提供虚假资料的行为。</w:t>
      </w:r>
    </w:p>
    <w:p>
      <w:pPr>
        <w:widowControl w:val="0"/>
        <w:ind w:firstLine="422" w:firstLineChars="200"/>
        <w:jc w:val="both"/>
        <w:rPr>
          <w:rFonts w:eastAsia="宋体"/>
          <w:b/>
          <w:kern w:val="2"/>
          <w:sz w:val="21"/>
          <w:lang w:eastAsia="zh-CN"/>
        </w:rPr>
      </w:pPr>
      <w:r>
        <w:rPr>
          <w:rFonts w:hint="eastAsia" w:eastAsia="宋体"/>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hint="eastAsia" w:eastAsia="宋体"/>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hint="eastAsia" w:eastAsia="宋体"/>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hint="eastAsia" w:eastAsia="宋体"/>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hint="eastAsia" w:eastAsia="宋体"/>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hint="eastAsia" w:eastAsia="宋体"/>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hint="eastAsia" w:eastAsia="宋体"/>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hint="eastAsia" w:eastAsia="宋体"/>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hint="eastAsia" w:eastAsia="宋体"/>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hint="eastAsia" w:eastAsia="宋体"/>
          <w:kern w:val="2"/>
          <w:sz w:val="21"/>
          <w:lang w:eastAsia="zh-CN"/>
        </w:rPr>
        <w:t>（九）主管部门依照法律、法规认定的其他情形。</w:t>
      </w:r>
    </w:p>
    <w:p>
      <w:pPr>
        <w:widowControl w:val="0"/>
        <w:ind w:firstLine="422" w:firstLineChars="200"/>
        <w:jc w:val="both"/>
        <w:rPr>
          <w:rFonts w:eastAsia="宋体"/>
          <w:b/>
          <w:kern w:val="2"/>
          <w:sz w:val="21"/>
          <w:lang w:eastAsia="zh-CN"/>
        </w:rPr>
      </w:pPr>
      <w:r>
        <w:rPr>
          <w:rFonts w:hint="eastAsia" w:eastAsia="宋体"/>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hint="eastAsia" w:eastAsia="宋体"/>
          <w:kern w:val="2"/>
          <w:sz w:val="21"/>
          <w:lang w:eastAsia="zh-CN"/>
        </w:rPr>
        <w:t>（一）对于从其他主体获取的投标资料，供应商应审慎核查，确保投标资料的真实性。</w:t>
      </w:r>
      <w:r>
        <w:rPr>
          <w:rFonts w:hint="eastAsia" w:eastAsia="宋体"/>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hint="eastAsia" w:eastAsia="宋体"/>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hint="eastAsia" w:eastAsia="宋体"/>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hint="eastAsia" w:eastAsia="宋体"/>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hint="eastAsia" w:eastAsia="宋体"/>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hint="eastAsia" w:eastAsia="宋体"/>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2" w:firstLineChars="200"/>
        <w:jc w:val="both"/>
        <w:rPr>
          <w:rFonts w:eastAsia="宋体"/>
          <w:b/>
          <w:kern w:val="2"/>
          <w:sz w:val="21"/>
          <w:lang w:eastAsia="zh-CN"/>
        </w:rPr>
      </w:pPr>
      <w:r>
        <w:rPr>
          <w:rFonts w:hint="eastAsia" w:eastAsia="宋体"/>
          <w:b/>
          <w:kern w:val="2"/>
          <w:sz w:val="21"/>
          <w:lang w:eastAsia="zh-CN"/>
        </w:rPr>
        <w:t>四、本公司已充分知悉政府采购违法、违规行为的法律后果。</w:t>
      </w:r>
    </w:p>
    <w:p>
      <w:pPr>
        <w:widowControl w:val="0"/>
        <w:ind w:firstLine="420" w:firstLineChars="200"/>
        <w:jc w:val="both"/>
        <w:rPr>
          <w:rFonts w:eastAsia="宋体"/>
          <w:kern w:val="2"/>
          <w:sz w:val="21"/>
          <w:lang w:eastAsia="zh-CN"/>
        </w:rPr>
      </w:pPr>
      <w:r>
        <w:rPr>
          <w:rFonts w:hint="eastAsia" w:eastAsia="宋体"/>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hint="eastAsia" w:eastAsia="宋体"/>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37"/>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bl>
    <w:p>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负责人/投标授权代表签名：</w:t>
      </w:r>
      <w:r>
        <w:rPr>
          <w:rFonts w:hint="eastAsia" w:ascii="宋体" w:hAnsi="宋体" w:eastAsia="宋体"/>
          <w:spacing w:val="-4"/>
          <w:sz w:val="21"/>
          <w:szCs w:val="21"/>
          <w:u w:val="single"/>
          <w:lang w:eastAsia="zh-CN"/>
        </w:rPr>
        <w:t xml:space="preserve">              </w:t>
      </w:r>
    </w:p>
    <w:p>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知悉人（公章）：</w:t>
      </w:r>
      <w:r>
        <w:rPr>
          <w:rFonts w:hint="eastAsia" w:ascii="宋体" w:hAnsi="宋体" w:eastAsia="宋体"/>
          <w:spacing w:val="-4"/>
          <w:sz w:val="21"/>
          <w:szCs w:val="21"/>
          <w:u w:val="single"/>
          <w:lang w:eastAsia="zh-CN"/>
        </w:rPr>
        <w:t xml:space="preserve">              </w:t>
      </w:r>
    </w:p>
    <w:p>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 xml:space="preserve">     日期：</w:t>
      </w:r>
      <w:r>
        <w:rPr>
          <w:rFonts w:hint="eastAsia" w:ascii="宋体" w:hAnsi="宋体" w:eastAsia="宋体"/>
          <w:spacing w:val="-4"/>
          <w:sz w:val="21"/>
          <w:szCs w:val="21"/>
          <w:u w:val="single"/>
          <w:lang w:eastAsia="zh-CN"/>
        </w:rPr>
        <w:t xml:space="preserve">              </w:t>
      </w: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hint="eastAsia" w:ascii="宋体" w:hAnsi="宋体" w:eastAsia="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pPr>
        <w:widowControl w:val="0"/>
        <w:ind w:firstLine="411" w:firstLineChars="196"/>
        <w:jc w:val="both"/>
        <w:rPr>
          <w:rFonts w:eastAsia="宋体"/>
          <w:kern w:val="2"/>
          <w:sz w:val="21"/>
          <w:lang w:eastAsia="zh-CN"/>
        </w:rPr>
      </w:pP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pPr>
        <w:widowControl w:val="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pPr>
        <w:widowControl w:val="0"/>
        <w:ind w:firstLine="420" w:firstLineChars="200"/>
        <w:jc w:val="both"/>
        <w:rPr>
          <w:rFonts w:hint="eastAsia" w:ascii="宋体" w:hAnsi="宋体" w:eastAsia="宋体"/>
          <w:kern w:val="2"/>
          <w:sz w:val="21"/>
          <w:szCs w:val="21"/>
          <w:lang w:eastAsia="zh-CN"/>
        </w:rPr>
      </w:pP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48" w:name="_Hlk72399513"/>
      <w:bookmarkStart w:id="49" w:name="_Hlk72439706"/>
      <w:r>
        <w:rPr>
          <w:rFonts w:hint="eastAsia" w:ascii="Cambria" w:hAnsi="Cambria" w:eastAsia="宋体" w:cstheme="majorBidi"/>
          <w:b/>
          <w:bCs/>
          <w:kern w:val="2"/>
          <w:sz w:val="28"/>
          <w:szCs w:val="28"/>
          <w:lang w:eastAsia="zh-CN"/>
        </w:rPr>
        <w:t>总则</w:t>
      </w:r>
    </w:p>
    <w:bookmarkEnd w:id="48"/>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50" w:name="_Hlk72399729"/>
      <w:r>
        <w:rPr>
          <w:rFonts w:hint="eastAsia" w:ascii="宋体" w:hAnsi="宋体" w:eastAsia="宋体"/>
          <w:kern w:val="2"/>
          <w:sz w:val="21"/>
          <w:szCs w:val="21"/>
          <w:lang w:eastAsia="zh-CN"/>
        </w:rPr>
        <w:t>如有需要，政府集中采购机构可以对通用条款的内容进行补充。</w:t>
      </w:r>
      <w:bookmarkEnd w:id="50"/>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51" w:name="_Hlk72398643"/>
      <w:r>
        <w:rPr>
          <w:rFonts w:hint="eastAsia" w:ascii="黑体" w:hAnsi="宋体" w:eastAsia="黑体"/>
          <w:kern w:val="2"/>
          <w:sz w:val="21"/>
          <w:szCs w:val="21"/>
          <w:lang w:eastAsia="zh-CN"/>
        </w:rPr>
        <w:t>自行采购供应商责任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52"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51"/>
    <w:p>
      <w:pPr>
        <w:widowControl w:val="0"/>
        <w:ind w:firstLine="411" w:firstLineChars="196"/>
        <w:jc w:val="both"/>
        <w:rPr>
          <w:rFonts w:hint="eastAsia" w:ascii="宋体" w:hAnsi="宋体" w:eastAsia="宋体"/>
          <w:kern w:val="2"/>
          <w:sz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53" w:name="_Hlk72399819"/>
      <w:r>
        <w:rPr>
          <w:rFonts w:hint="eastAsia" w:ascii="黑体" w:hAnsi="宋体" w:eastAsia="黑体"/>
          <w:kern w:val="2"/>
          <w:sz w:val="21"/>
          <w:szCs w:val="21"/>
          <w:lang w:eastAsia="zh-CN"/>
        </w:rPr>
        <w:t>招标文件的编制与组成</w:t>
      </w:r>
    </w:p>
    <w:p>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pPr>
        <w:widowControl w:val="0"/>
        <w:jc w:val="both"/>
        <w:rPr>
          <w:rFonts w:hint="eastAsia" w:ascii="宋体" w:hAnsi="宋体" w:eastAsia="宋体"/>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54" w:name="_Hlk72400236"/>
      <w:r>
        <w:rPr>
          <w:rFonts w:hint="eastAsia" w:ascii="黑体" w:hAnsi="宋体" w:eastAsia="黑体"/>
          <w:kern w:val="2"/>
          <w:sz w:val="21"/>
          <w:szCs w:val="21"/>
          <w:lang w:eastAsia="zh-CN"/>
        </w:rPr>
        <w:t>投标文件的语言及度量单位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4"/>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55" w:name="_Hlk72401567"/>
      <w:r>
        <w:rPr>
          <w:rFonts w:hint="eastAsia" w:ascii="黑体" w:hAnsi="宋体" w:eastAsia="黑体"/>
          <w:kern w:val="2"/>
          <w:sz w:val="21"/>
          <w:szCs w:val="21"/>
          <w:lang w:eastAsia="zh-CN"/>
        </w:rPr>
        <w:t>投标文件的组成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5"/>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56" w:name="_Hlk72401735"/>
      <w:r>
        <w:rPr>
          <w:rFonts w:hint="eastAsia" w:ascii="黑体" w:hAnsi="宋体" w:eastAsia="黑体"/>
          <w:kern w:val="2"/>
          <w:sz w:val="21"/>
          <w:szCs w:val="21"/>
          <w:lang w:eastAsia="zh-CN"/>
        </w:rPr>
        <w:t>证明投标文件投标技术方案的合格性和符合招标文件规定的文件要求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6"/>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57" w:name="_Hlk72402034"/>
      <w:r>
        <w:rPr>
          <w:rFonts w:hint="eastAsia" w:ascii="黑体" w:hAnsi="宋体" w:eastAsia="黑体"/>
          <w:kern w:val="2"/>
          <w:sz w:val="21"/>
          <w:szCs w:val="21"/>
          <w:lang w:eastAsia="zh-CN"/>
        </w:rPr>
        <w:t>投标文件其他证明文件的要求</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7"/>
    <w:p>
      <w:pPr>
        <w:widowControl w:val="0"/>
        <w:ind w:firstLine="420" w:firstLineChars="200"/>
        <w:jc w:val="both"/>
        <w:rPr>
          <w:rFonts w:hint="eastAsia" w:ascii="宋体" w:hAnsi="宋体" w:eastAsia="宋体"/>
          <w:kern w:val="2"/>
          <w:sz w:val="21"/>
          <w:szCs w:val="21"/>
          <w:lang w:eastAsia="zh-CN"/>
        </w:rPr>
      </w:pPr>
      <w:bookmarkStart w:id="59"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59"/>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60" w:name="_Hlk72402325"/>
      <w:r>
        <w:rPr>
          <w:rFonts w:hint="eastAsia" w:ascii="黑体" w:hAnsi="宋体" w:eastAsia="黑体"/>
          <w:kern w:val="2"/>
          <w:sz w:val="21"/>
          <w:szCs w:val="21"/>
          <w:lang w:eastAsia="zh-CN"/>
        </w:rPr>
        <w:t xml:space="preserve">关于投标保证金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61"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61"/>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pPr>
        <w:widowControl w:val="0"/>
        <w:ind w:firstLine="420" w:firstLineChars="200"/>
        <w:jc w:val="both"/>
        <w:rPr>
          <w:rFonts w:hint="eastAsia" w:ascii="黑体" w:hAnsi="宋体" w:eastAsia="黑体"/>
          <w:kern w:val="2"/>
          <w:sz w:val="21"/>
          <w:szCs w:val="21"/>
          <w:lang w:eastAsia="zh-CN"/>
        </w:rPr>
      </w:pPr>
      <w:bookmarkStart w:id="62" w:name="_Hlk72405459"/>
      <w:r>
        <w:rPr>
          <w:rFonts w:hint="eastAsia" w:ascii="黑体" w:hAnsi="宋体" w:eastAsia="黑体"/>
          <w:kern w:val="2"/>
          <w:sz w:val="21"/>
          <w:szCs w:val="21"/>
          <w:lang w:eastAsia="zh-CN"/>
        </w:rPr>
        <w:t>24．投标文件的保密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62"/>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pPr>
        <w:widowControl w:val="0"/>
        <w:ind w:firstLine="420" w:firstLineChars="200"/>
        <w:jc w:val="both"/>
        <w:rPr>
          <w:rFonts w:hint="eastAsia" w:ascii="黑体" w:hAnsi="宋体" w:eastAsia="黑体"/>
          <w:kern w:val="2"/>
          <w:sz w:val="21"/>
          <w:szCs w:val="21"/>
          <w:lang w:eastAsia="zh-CN"/>
        </w:rPr>
      </w:pPr>
      <w:bookmarkStart w:id="63"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63"/>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hint="eastAsia" w:ascii="宋体" w:hAnsi="宋体" w:eastAsia="宋体"/>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hint="eastAsia" w:ascii="宋体" w:hAnsi="宋体" w:eastAsia="宋体"/>
          <w:kern w:val="2"/>
          <w:sz w:val="21"/>
          <w:szCs w:val="21"/>
          <w:lang w:eastAsia="zh-CN"/>
        </w:rPr>
      </w:pPr>
      <w:bookmarkStart w:id="64"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4"/>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pPr>
        <w:widowControl w:val="0"/>
        <w:ind w:firstLine="411" w:firstLineChars="196"/>
        <w:jc w:val="both"/>
        <w:rPr>
          <w:rFonts w:hint="eastAsia" w:ascii="宋体" w:hAnsi="宋体" w:eastAsia="宋体"/>
          <w:bCs/>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pPr>
        <w:widowControl w:val="0"/>
        <w:ind w:firstLine="420" w:firstLineChars="200"/>
        <w:jc w:val="both"/>
        <w:rPr>
          <w:rFonts w:hint="eastAsia" w:ascii="宋体" w:hAnsi="宋体" w:eastAsia="宋体"/>
          <w:kern w:val="2"/>
          <w:sz w:val="21"/>
          <w:szCs w:val="21"/>
          <w:lang w:eastAsia="zh-CN"/>
        </w:rPr>
      </w:pPr>
      <w:bookmarkStart w:id="65"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65"/>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hint="eastAsia" w:ascii="黑体" w:hAnsi="宋体" w:eastAsia="黑体"/>
          <w:kern w:val="2"/>
          <w:sz w:val="21"/>
          <w:szCs w:val="21"/>
          <w:lang w:eastAsia="zh-CN"/>
        </w:rPr>
      </w:pPr>
      <w:bookmarkStart w:id="66" w:name="_Toc73521669"/>
      <w:bookmarkStart w:id="67" w:name="_Toc73521581"/>
      <w:bookmarkStart w:id="68" w:name="_Toc73518151"/>
      <w:bookmarkStart w:id="69" w:name="_Toc73517673"/>
      <w:bookmarkStart w:id="70" w:name="_Toc100052400"/>
      <w:r>
        <w:rPr>
          <w:rFonts w:hint="eastAsia" w:ascii="黑体" w:hAnsi="宋体" w:eastAsia="黑体"/>
          <w:kern w:val="2"/>
          <w:sz w:val="21"/>
          <w:szCs w:val="21"/>
          <w:lang w:eastAsia="zh-CN"/>
        </w:rPr>
        <w:t>34．错误的修正</w:t>
      </w:r>
      <w:bookmarkEnd w:id="66"/>
      <w:bookmarkEnd w:id="67"/>
      <w:bookmarkEnd w:id="68"/>
      <w:bookmarkEnd w:id="69"/>
      <w:bookmarkEnd w:id="70"/>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pPr>
        <w:widowControl w:val="0"/>
        <w:ind w:firstLine="420" w:firstLineChars="200"/>
        <w:jc w:val="both"/>
        <w:rPr>
          <w:rFonts w:hint="eastAsia" w:ascii="ˎ̥" w:hAnsi="ˎ̥" w:eastAsia="宋体"/>
          <w:kern w:val="2"/>
          <w:sz w:val="21"/>
          <w:szCs w:val="21"/>
          <w:lang w:eastAsia="zh-CN"/>
        </w:rPr>
      </w:pPr>
      <w:bookmarkStart w:id="71"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71"/>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pPr>
        <w:widowControl w:val="0"/>
        <w:ind w:firstLine="420" w:firstLineChars="200"/>
        <w:jc w:val="both"/>
        <w:rPr>
          <w:rFonts w:hint="eastAsia" w:ascii="宋体" w:hAnsi="宋体" w:eastAsia="宋体"/>
          <w:kern w:val="2"/>
          <w:sz w:val="21"/>
          <w:szCs w:val="21"/>
          <w:lang w:eastAsia="zh-CN"/>
        </w:rPr>
      </w:pPr>
      <w:bookmarkStart w:id="72" w:name="_Hlk73782795"/>
      <w:r>
        <w:rPr>
          <w:rFonts w:hint="eastAsia" w:ascii="宋体" w:hAnsi="宋体" w:eastAsia="宋体"/>
          <w:kern w:val="2"/>
          <w:sz w:val="21"/>
          <w:szCs w:val="21"/>
          <w:lang w:eastAsia="zh-CN"/>
        </w:rPr>
        <w:t>38.1非评定分离项目定标方法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73" w:name="_Hlk73821177"/>
      <w:r>
        <w:rPr>
          <w:rFonts w:hint="eastAsia" w:ascii="ˎ̥" w:hAnsi="ˎ̥" w:eastAsia="宋体"/>
          <w:kern w:val="2"/>
          <w:sz w:val="21"/>
          <w:szCs w:val="21"/>
          <w:lang w:eastAsia="zh-CN"/>
        </w:rPr>
        <w:t>唯一候选中标供应商</w:t>
      </w:r>
      <w:bookmarkEnd w:id="73"/>
      <w:r>
        <w:rPr>
          <w:rFonts w:ascii="ˎ̥" w:hAnsi="ˎ̥" w:eastAsia="宋体"/>
          <w:kern w:val="2"/>
          <w:sz w:val="21"/>
          <w:szCs w:val="21"/>
          <w:lang w:eastAsia="zh-CN"/>
        </w:rPr>
        <w:t>。</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74"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75"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4"/>
      <w:bookmarkEnd w:id="75"/>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2"/>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76"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6"/>
      <w:bookmarkStart w:id="77"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77"/>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78"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8"/>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pPr>
        <w:widowControl w:val="0"/>
        <w:ind w:firstLine="420" w:firstLineChars="200"/>
        <w:jc w:val="both"/>
        <w:rPr>
          <w:rFonts w:hint="eastAsia" w:ascii="宋体" w:hAnsi="宋体" w:eastAsia="宋体"/>
          <w:kern w:val="2"/>
          <w:sz w:val="21"/>
          <w:szCs w:val="21"/>
          <w:lang w:eastAsia="zh-CN"/>
        </w:rPr>
      </w:pPr>
      <w:bookmarkStart w:id="79"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79"/>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（1）由政府集中采购机构重新组织公开招标；</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42.4公开招标失败的采购项目重新组织公开招标，由政府集中采购机构重新按公开招标流程组织采购活动。</w:t>
      </w:r>
    </w:p>
    <w:p>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hint="eastAsia" w:ascii="宋体" w:hAnsi="宋体" w:eastAsia="宋体"/>
          <w:kern w:val="2"/>
          <w:sz w:val="21"/>
          <w:szCs w:val="21"/>
          <w:lang w:eastAsia="zh-CN"/>
        </w:rPr>
      </w:pPr>
    </w:p>
    <w:p>
      <w:pPr>
        <w:widowControl w:val="0"/>
        <w:jc w:val="both"/>
        <w:rPr>
          <w:rFonts w:hint="eastAsia" w:ascii="黑体" w:hAnsi="宋体" w:eastAsia="黑体"/>
          <w:kern w:val="2"/>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80" w:name="_Hlk72439043"/>
      <w:r>
        <w:rPr>
          <w:rFonts w:hint="eastAsia" w:ascii="Cambria" w:hAnsi="Cambria" w:eastAsia="宋体" w:cstheme="majorBidi"/>
          <w:b/>
          <w:bCs/>
          <w:kern w:val="2"/>
          <w:sz w:val="28"/>
          <w:szCs w:val="28"/>
          <w:lang w:eastAsia="zh-CN"/>
        </w:rPr>
        <w:t>合同的授予与备案</w:t>
      </w:r>
      <w:bookmarkEnd w:id="80"/>
    </w:p>
    <w:p>
      <w:pPr>
        <w:widowControl w:val="0"/>
        <w:ind w:firstLine="420" w:firstLineChars="200"/>
        <w:jc w:val="both"/>
        <w:rPr>
          <w:rFonts w:hint="eastAsia" w:ascii="黑体" w:hAnsi="宋体" w:eastAsia="黑体"/>
          <w:kern w:val="2"/>
          <w:sz w:val="21"/>
          <w:szCs w:val="21"/>
          <w:lang w:eastAsia="zh-CN"/>
        </w:rPr>
      </w:pPr>
      <w:bookmarkStart w:id="81" w:name="_Toc100052408"/>
      <w:bookmarkStart w:id="82" w:name="_Toc73521586"/>
      <w:bookmarkStart w:id="83" w:name="_Toc73517679"/>
      <w:bookmarkStart w:id="84" w:name="_Toc73518157"/>
      <w:bookmarkStart w:id="85" w:name="_Toc73521674"/>
      <w:bookmarkStart w:id="86" w:name="_Hlk72439088"/>
      <w:r>
        <w:rPr>
          <w:rFonts w:hint="eastAsia" w:ascii="黑体" w:hAnsi="宋体" w:eastAsia="黑体"/>
          <w:kern w:val="2"/>
          <w:sz w:val="21"/>
          <w:szCs w:val="21"/>
          <w:lang w:eastAsia="zh-CN"/>
        </w:rPr>
        <w:t>43．合同授予标准</w:t>
      </w:r>
      <w:bookmarkEnd w:id="81"/>
      <w:bookmarkEnd w:id="82"/>
      <w:bookmarkEnd w:id="83"/>
      <w:bookmarkEnd w:id="84"/>
      <w:bookmarkEnd w:id="85"/>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pPr>
        <w:widowControl w:val="0"/>
        <w:ind w:firstLine="420" w:firstLineChars="200"/>
        <w:jc w:val="both"/>
        <w:rPr>
          <w:rFonts w:hint="eastAsia" w:ascii="黑体" w:hAnsi="宋体" w:eastAsia="黑体"/>
          <w:kern w:val="2"/>
          <w:sz w:val="21"/>
          <w:szCs w:val="21"/>
          <w:lang w:eastAsia="zh-CN"/>
        </w:rPr>
      </w:pPr>
      <w:bookmarkStart w:id="87" w:name="_Toc73521675"/>
      <w:bookmarkStart w:id="88" w:name="_Toc73521587"/>
      <w:bookmarkStart w:id="89" w:name="_Toc100052409"/>
      <w:bookmarkStart w:id="90" w:name="_Toc73518158"/>
      <w:bookmarkStart w:id="91" w:name="_Toc73517680"/>
      <w:r>
        <w:rPr>
          <w:rFonts w:hint="eastAsia" w:ascii="黑体" w:hAnsi="宋体" w:eastAsia="黑体"/>
          <w:kern w:val="2"/>
          <w:sz w:val="21"/>
          <w:szCs w:val="21"/>
          <w:lang w:eastAsia="zh-CN"/>
        </w:rPr>
        <w:t>44．</w:t>
      </w:r>
      <w:bookmarkEnd w:id="87"/>
      <w:bookmarkEnd w:id="88"/>
      <w:bookmarkEnd w:id="89"/>
      <w:bookmarkEnd w:id="90"/>
      <w:bookmarkEnd w:id="91"/>
      <w:r>
        <w:rPr>
          <w:rFonts w:hint="eastAsia" w:ascii="黑体" w:hAnsi="宋体" w:eastAsia="黑体"/>
          <w:kern w:val="2"/>
          <w:sz w:val="21"/>
          <w:szCs w:val="21"/>
          <w:lang w:eastAsia="zh-CN"/>
        </w:rPr>
        <w:t>接受和拒绝任何或所有投标的权力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hint="eastAsia" w:ascii="黑体" w:hAnsi="宋体" w:eastAsia="黑体"/>
          <w:kern w:val="2"/>
          <w:sz w:val="21"/>
          <w:szCs w:val="21"/>
          <w:lang w:eastAsia="zh-CN"/>
        </w:rPr>
      </w:pPr>
      <w:bookmarkStart w:id="92" w:name="_Toc73517682"/>
      <w:bookmarkStart w:id="93" w:name="_Toc100052410"/>
      <w:bookmarkStart w:id="94" w:name="_Toc73521677"/>
      <w:bookmarkStart w:id="95" w:name="_Toc73521589"/>
      <w:bookmarkStart w:id="96" w:name="_Toc73518160"/>
      <w:r>
        <w:rPr>
          <w:rFonts w:hint="eastAsia" w:ascii="黑体" w:hAnsi="宋体" w:eastAsia="黑体"/>
          <w:kern w:val="2"/>
          <w:sz w:val="21"/>
          <w:szCs w:val="21"/>
          <w:lang w:eastAsia="zh-CN"/>
        </w:rPr>
        <w:t>45．合同的签订</w:t>
      </w:r>
      <w:bookmarkEnd w:id="92"/>
      <w:bookmarkEnd w:id="93"/>
      <w:bookmarkEnd w:id="94"/>
      <w:bookmarkEnd w:id="95"/>
      <w:bookmarkEnd w:id="96"/>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pPr>
        <w:widowControl w:val="0"/>
        <w:ind w:firstLine="420" w:firstLineChars="200"/>
        <w:jc w:val="both"/>
        <w:rPr>
          <w:rFonts w:hint="eastAsia" w:ascii="黑体" w:hAnsi="宋体" w:eastAsia="黑体"/>
          <w:kern w:val="2"/>
          <w:sz w:val="21"/>
          <w:szCs w:val="21"/>
          <w:lang w:eastAsia="zh-CN"/>
        </w:rPr>
      </w:pPr>
      <w:bookmarkStart w:id="97" w:name="_Toc73521678"/>
      <w:bookmarkStart w:id="98" w:name="_Toc73517683"/>
      <w:bookmarkStart w:id="99" w:name="_Toc73518161"/>
      <w:bookmarkStart w:id="100" w:name="_Toc73521590"/>
      <w:bookmarkStart w:id="101" w:name="_Toc100052411"/>
      <w:r>
        <w:rPr>
          <w:rFonts w:hint="eastAsia" w:ascii="黑体" w:hAnsi="宋体" w:eastAsia="黑体"/>
          <w:kern w:val="2"/>
          <w:sz w:val="21"/>
          <w:szCs w:val="21"/>
          <w:lang w:eastAsia="zh-CN"/>
        </w:rPr>
        <w:t>46．履约担保</w:t>
      </w:r>
      <w:bookmarkEnd w:id="97"/>
      <w:bookmarkEnd w:id="98"/>
      <w:bookmarkEnd w:id="99"/>
      <w:bookmarkEnd w:id="100"/>
      <w:bookmarkEnd w:id="101"/>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02"/>
      <w:r>
        <w:rPr>
          <w:rFonts w:hint="eastAsia" w:ascii="宋体" w:hAnsi="宋体" w:eastAsia="宋体"/>
          <w:kern w:val="2"/>
          <w:sz w:val="21"/>
          <w:szCs w:val="21"/>
          <w:lang w:eastAsia="zh-CN"/>
        </w:rPr>
        <w:t>记入供应商诚信档案，予以通报：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pPr>
        <w:widowControl w:val="0"/>
        <w:spacing w:line="360" w:lineRule="auto"/>
        <w:jc w:val="both"/>
        <w:rPr>
          <w:rFonts w:eastAsia="宋体"/>
          <w:b/>
          <w:bCs/>
          <w:kern w:val="2"/>
          <w:lang w:eastAsia="zh-CN"/>
        </w:rPr>
      </w:pPr>
    </w:p>
    <w:bookmarkEnd w:id="86"/>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3" w:name="_Hlk75374941"/>
      <w:r>
        <w:rPr>
          <w:rFonts w:hint="eastAsia" w:ascii="宋体" w:hAnsi="宋体" w:eastAsia="宋体"/>
          <w:kern w:val="2"/>
          <w:sz w:val="21"/>
          <w:szCs w:val="21"/>
          <w:lang w:eastAsia="zh-CN"/>
        </w:rPr>
        <w:t>以联合体形式参与的，质疑应当由组成联合体的所有成员共同提出</w:t>
      </w:r>
      <w:bookmarkEnd w:id="103"/>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49"/>
    </w:p>
    <w:p>
      <w:pPr>
        <w:widowControl w:val="0"/>
        <w:jc w:val="both"/>
        <w:rPr>
          <w:rFonts w:hint="eastAsia" w:ascii="宋体" w:hAnsi="宋体" w:eastAsia="宋体"/>
          <w:kern w:val="2"/>
          <w:sz w:val="21"/>
          <w:szCs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深圳市殡葬服务中心2025-2026年度车辆保险服务项目-A</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项目服务方案</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质量保障措施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合议赔付方案</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风险综合评价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偿付能力充足率情况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拟提供服务配套的设备情况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拟派本项目的对接人情况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有效业绩</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履约评价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投诉量情况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SZZXCG-2025-00291-001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深圳市殡葬服务中心2025-2026年度车辆保险服务项目-A</w:t>
      </w:r>
      <w:r>
        <w:rPr>
          <w:rFonts w:ascii="仿宋" w:hAnsi="仿宋" w:eastAsia="仿宋" w:cs="仿宋"/>
          <w:color w:val="333333"/>
          <w:u w:val="single" w:color="333333"/>
          <w:lang w:val="en" w:eastAsia="en"/>
        </w:rPr>
        <w:br w:type="textWrapping"/>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投标人不符合资格要求，或未提交相应的资格证明资料（详见招标公告投标人资格要求）</w:t>
            </w:r>
          </w:p>
        </w:tc>
      </w:tr>
    </w:tbl>
    <w:p>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填报的“折扣率”不满足0＜折扣率≤100公式要求的；“折扣率”缺填、漏填或填报了两个或以上“折扣率”；“投标关键信息”开标一览表中填写的投标报价与项目谈判报价表中填写的“折扣率”不一致；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项目服务方案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合议赔付方案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风险综合评价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偿付能力充足率情况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提供服务配套的设备情况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拟派本项目的对接人情况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有效业绩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履约评价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投诉量情况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20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t xml:space="preserve">- </w:t>
    </w:r>
    <w:r>
      <w:fldChar w:fldCharType="begin"/>
    </w:r>
    <w:r>
      <w:instrText xml:space="preserve"> PAGE </w:instrText>
    </w:r>
    <w:r>
      <w:fldChar w:fldCharType="separate"/>
    </w:r>
    <w:r>
      <w:t>53</w:t>
    </w:r>
    <w:r>
      <w:fldChar w:fldCharType="end"/>
    </w:r>
    <w: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10</w:t>
    </w:r>
    <w:r>
      <w:rPr>
        <w:rStyle w:val="21"/>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CABC595"/>
    <w:multiLevelType w:val="singleLevel"/>
    <w:tmpl w:val="CCABC595"/>
    <w:lvl w:ilvl="0" w:tentative="0">
      <w:start w:val="1"/>
      <w:numFmt w:val="chineseCounting"/>
      <w:suff w:val="nothing"/>
      <w:lvlText w:val="%1、"/>
      <w:lvlJc w:val="left"/>
      <w:rPr>
        <w:rFonts w:hint="eastAsia"/>
      </w:rPr>
    </w:lvl>
  </w:abstractNum>
  <w:abstractNum w:abstractNumId="3">
    <w:nsid w:val="DA55C48C"/>
    <w:multiLevelType w:val="singleLevel"/>
    <w:tmpl w:val="DA55C48C"/>
    <w:lvl w:ilvl="0" w:tentative="0">
      <w:start w:val="1"/>
      <w:numFmt w:val="decimal"/>
      <w:suff w:val="nothing"/>
      <w:lvlText w:val="（%1）"/>
      <w:lvlJc w:val="left"/>
    </w:lvl>
  </w:abstractNum>
  <w:abstractNum w:abstractNumId="4">
    <w:nsid w:val="00000001"/>
    <w:multiLevelType w:val="singleLevel"/>
    <w:tmpl w:val="00000001"/>
    <w:lvl w:ilvl="0" w:tentative="0">
      <w:start w:val="1"/>
      <w:numFmt w:val="chineseCounting"/>
      <w:suff w:val="nothing"/>
      <w:lvlText w:val="%1、"/>
      <w:lvlJc w:val="left"/>
      <w:rPr>
        <w:rFonts w:hint="eastAsia"/>
      </w:rPr>
    </w:lvl>
  </w:abstractNum>
  <w:abstractNum w:abstractNumId="5">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E31F0E"/>
    <w:multiLevelType w:val="singleLevel"/>
    <w:tmpl w:val="3AE31F0E"/>
    <w:lvl w:ilvl="0" w:tentative="0">
      <w:start w:val="7"/>
      <w:numFmt w:val="decimal"/>
      <w:lvlText w:val="%1."/>
      <w:lvlJc w:val="left"/>
      <w:pPr>
        <w:tabs>
          <w:tab w:val="left" w:pos="312"/>
        </w:tabs>
      </w:pPr>
    </w:lvl>
  </w:abstractNum>
  <w:abstractNum w:abstractNumId="7">
    <w:nsid w:val="6F3FF82B"/>
    <w:multiLevelType w:val="singleLevel"/>
    <w:tmpl w:val="6F3FF82B"/>
    <w:lvl w:ilvl="0" w:tentative="0">
      <w:start w:val="1"/>
      <w:numFmt w:val="chineseCounting"/>
      <w:suff w:val="nothing"/>
      <w:lvlText w:val="（%1）"/>
      <w:lvlJc w:val="left"/>
      <w:rPr>
        <w:rFonts w:hint="eastAsia"/>
      </w:rPr>
    </w:lvl>
  </w:abstractNum>
  <w:num w:numId="1">
    <w:abstractNumId w:val="2"/>
  </w:num>
  <w:num w:numId="2">
    <w:abstractNumId w:val="4"/>
  </w:num>
  <w:num w:numId="3">
    <w:abstractNumId w:val="7"/>
  </w:num>
  <w:num w:numId="4">
    <w:abstractNumId w:val="0"/>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2NmM2M0OThmNzY3ZDkyMmYxZWY4OWFiNGNlNWZhNTMifQ=="/>
  </w:docVars>
  <w:rsids>
    <w:rsidRoot w:val="00A77B3E"/>
    <w:rsid w:val="00A77B3E"/>
    <w:rsid w:val="00CA2A55"/>
    <w:rsid w:val="40886798"/>
    <w:rsid w:val="45042CEF"/>
    <w:rsid w:val="67D776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8"/>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9"/>
    <w:autoRedefine/>
    <w:qFormat/>
    <w:uiPriority w:val="0"/>
    <w:pPr>
      <w:adjustRightInd w:val="0"/>
      <w:jc w:val="center"/>
      <w:textAlignment w:val="baseline"/>
      <w:outlineLvl w:val="1"/>
    </w:pPr>
    <w:rPr>
      <w:kern w:val="0"/>
      <w:sz w:val="24"/>
      <w:szCs w:val="20"/>
    </w:rPr>
  </w:style>
  <w:style w:type="paragraph" w:styleId="3">
    <w:name w:val="heading 3"/>
    <w:basedOn w:val="4"/>
    <w:next w:val="1"/>
    <w:link w:val="27"/>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26"/>
    <w:autoRedefine/>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9">
    <w:name w:val="Default Paragraph Font"/>
    <w:autoRedefine/>
    <w:semiHidden/>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index 8"/>
    <w:basedOn w:val="1"/>
    <w:next w:val="1"/>
    <w:autoRedefine/>
    <w:unhideWhenUsed/>
    <w:qFormat/>
    <w:uiPriority w:val="0"/>
    <w:pPr>
      <w:widowControl w:val="0"/>
      <w:ind w:left="1400" w:leftChars="1400"/>
      <w:jc w:val="both"/>
    </w:pPr>
    <w:rPr>
      <w:rFonts w:eastAsia="宋体"/>
      <w:kern w:val="2"/>
      <w:sz w:val="21"/>
      <w:lang w:eastAsia="zh-CN"/>
    </w:rPr>
  </w:style>
  <w:style w:type="paragraph" w:styleId="7">
    <w:name w:val="Normal Indent"/>
    <w:basedOn w:val="1"/>
    <w:link w:val="34"/>
    <w:autoRedefine/>
    <w:qFormat/>
    <w:uiPriority w:val="0"/>
    <w:pPr>
      <w:widowControl w:val="0"/>
      <w:ind w:firstLine="420"/>
      <w:jc w:val="both"/>
    </w:pPr>
    <w:rPr>
      <w:rFonts w:eastAsia="宋体"/>
      <w:kern w:val="2"/>
      <w:sz w:val="21"/>
      <w:szCs w:val="20"/>
      <w:lang w:eastAsia="zh-CN"/>
    </w:rPr>
  </w:style>
  <w:style w:type="paragraph" w:styleId="8">
    <w:name w:val="Body Text"/>
    <w:basedOn w:val="1"/>
    <w:next w:val="9"/>
    <w:link w:val="31"/>
    <w:autoRedefine/>
    <w:qFormat/>
    <w:uiPriority w:val="0"/>
    <w:pPr>
      <w:widowControl w:val="0"/>
      <w:spacing w:line="360" w:lineRule="auto"/>
      <w:jc w:val="both"/>
    </w:pPr>
    <w:rPr>
      <w:rFonts w:eastAsia="宋体"/>
      <w:b/>
      <w:bCs/>
      <w:kern w:val="2"/>
      <w:lang w:eastAsia="zh-CN"/>
    </w:rPr>
  </w:style>
  <w:style w:type="paragraph" w:styleId="9">
    <w:name w:val="Body Text 2"/>
    <w:basedOn w:val="1"/>
    <w:link w:val="30"/>
    <w:autoRedefine/>
    <w:qFormat/>
    <w:uiPriority w:val="0"/>
    <w:pPr>
      <w:widowControl w:val="0"/>
      <w:spacing w:line="360" w:lineRule="auto"/>
      <w:jc w:val="both"/>
    </w:pPr>
    <w:rPr>
      <w:rFonts w:eastAsia="宋体"/>
      <w:kern w:val="2"/>
      <w:lang w:eastAsia="zh-CN"/>
    </w:rPr>
  </w:style>
  <w:style w:type="paragraph" w:styleId="10">
    <w:name w:val="Body Text Indent"/>
    <w:basedOn w:val="1"/>
    <w:link w:val="33"/>
    <w:autoRedefine/>
    <w:qFormat/>
    <w:uiPriority w:val="0"/>
    <w:pPr>
      <w:widowControl w:val="0"/>
      <w:spacing w:line="360" w:lineRule="auto"/>
      <w:ind w:firstLine="420" w:firstLineChars="200"/>
      <w:jc w:val="both"/>
    </w:pPr>
    <w:rPr>
      <w:rFonts w:eastAsia="宋体"/>
      <w:kern w:val="2"/>
      <w:sz w:val="21"/>
      <w:lang w:eastAsia="zh-CN"/>
    </w:rPr>
  </w:style>
  <w:style w:type="paragraph" w:styleId="11">
    <w:name w:val="Plain Text"/>
    <w:basedOn w:val="1"/>
    <w:next w:val="6"/>
    <w:link w:val="32"/>
    <w:autoRedefine/>
    <w:qFormat/>
    <w:uiPriority w:val="0"/>
    <w:pPr>
      <w:widowControl w:val="0"/>
      <w:jc w:val="both"/>
    </w:pPr>
    <w:rPr>
      <w:rFonts w:ascii="宋体" w:hAnsi="Courier New" w:eastAsia="宋体"/>
      <w:kern w:val="2"/>
      <w:sz w:val="21"/>
      <w:szCs w:val="20"/>
      <w:lang w:eastAsia="zh-CN"/>
    </w:rPr>
  </w:style>
  <w:style w:type="paragraph" w:styleId="12">
    <w:name w:val="footer"/>
    <w:basedOn w:val="1"/>
    <w:link w:val="24"/>
    <w:autoRedefine/>
    <w:qFormat/>
    <w:uiPriority w:val="0"/>
    <w:pPr>
      <w:widowControl w:val="0"/>
      <w:tabs>
        <w:tab w:val="center" w:pos="4153"/>
        <w:tab w:val="right" w:pos="8306"/>
      </w:tabs>
      <w:snapToGrid w:val="0"/>
    </w:pPr>
    <w:rPr>
      <w:rFonts w:eastAsia="宋体"/>
      <w:kern w:val="2"/>
      <w:sz w:val="18"/>
      <w:szCs w:val="18"/>
      <w:lang w:eastAsia="zh-CN"/>
    </w:rPr>
  </w:style>
  <w:style w:type="paragraph" w:styleId="13">
    <w:name w:val="header"/>
    <w:basedOn w:val="1"/>
    <w:link w:val="23"/>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4">
    <w:name w:val="Normal (Web)"/>
    <w:basedOn w:val="1"/>
    <w:link w:val="25"/>
    <w:autoRedefine/>
    <w:qFormat/>
    <w:uiPriority w:val="99"/>
    <w:pPr>
      <w:widowControl w:val="0"/>
      <w:jc w:val="both"/>
    </w:pPr>
    <w:rPr>
      <w:rFonts w:eastAsia="宋体"/>
      <w:kern w:val="2"/>
      <w:lang w:eastAsia="zh-CN"/>
    </w:rPr>
  </w:style>
  <w:style w:type="paragraph" w:styleId="15">
    <w:name w:val="Body Text First Indent 2"/>
    <w:basedOn w:val="10"/>
    <w:next w:val="16"/>
    <w:autoRedefine/>
    <w:qFormat/>
    <w:uiPriority w:val="0"/>
    <w:rPr>
      <w:rFonts w:ascii="Calibri" w:hAnsi="Calibri"/>
    </w:rPr>
  </w:style>
  <w:style w:type="paragraph" w:customStyle="1" w:styleId="16">
    <w:name w:val="xl53"/>
    <w:basedOn w:val="1"/>
    <w:autoRedefine/>
    <w:qFormat/>
    <w:uiPriority w:val="0"/>
    <w:pPr>
      <w:pBdr>
        <w:left w:val="single" w:color="auto" w:sz="8" w:space="0"/>
      </w:pBdr>
      <w:spacing w:before="100" w:beforeAutospacing="1" w:after="100" w:afterAutospacing="1"/>
      <w:jc w:val="center"/>
    </w:pPr>
    <w:rPr>
      <w:rFonts w:ascii="宋体" w:hAnsi="宋体" w:eastAsia="宋体"/>
      <w:sz w:val="21"/>
      <w:lang w:eastAsia="zh-CN"/>
    </w:rPr>
  </w:style>
  <w:style w:type="table" w:styleId="18">
    <w:name w:val="Table Grid"/>
    <w:basedOn w:val="17"/>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page number"/>
    <w:basedOn w:val="19"/>
    <w:autoRedefine/>
    <w:qFormat/>
    <w:uiPriority w:val="0"/>
  </w:style>
  <w:style w:type="character" w:styleId="22">
    <w:name w:val="annotation reference"/>
    <w:basedOn w:val="19"/>
    <w:autoRedefine/>
    <w:qFormat/>
    <w:uiPriority w:val="99"/>
    <w:rPr>
      <w:sz w:val="21"/>
      <w:szCs w:val="21"/>
    </w:rPr>
  </w:style>
  <w:style w:type="character" w:customStyle="1" w:styleId="23">
    <w:name w:val="页眉 字符"/>
    <w:link w:val="13"/>
    <w:autoRedefine/>
    <w:qFormat/>
    <w:uiPriority w:val="99"/>
    <w:rPr>
      <w:rFonts w:eastAsia="宋体"/>
      <w:kern w:val="2"/>
      <w:sz w:val="18"/>
      <w:szCs w:val="18"/>
      <w:lang w:eastAsia="zh-CN"/>
    </w:rPr>
  </w:style>
  <w:style w:type="character" w:customStyle="1" w:styleId="24">
    <w:name w:val="页脚 字符"/>
    <w:link w:val="12"/>
    <w:autoRedefine/>
    <w:qFormat/>
    <w:uiPriority w:val="0"/>
    <w:rPr>
      <w:rFonts w:eastAsia="宋体"/>
      <w:kern w:val="2"/>
      <w:sz w:val="18"/>
      <w:szCs w:val="18"/>
      <w:lang w:eastAsia="zh-CN"/>
    </w:rPr>
  </w:style>
  <w:style w:type="character" w:customStyle="1" w:styleId="25">
    <w:name w:val="普通(网站) 字符"/>
    <w:link w:val="14"/>
    <w:autoRedefine/>
    <w:qFormat/>
    <w:uiPriority w:val="0"/>
    <w:rPr>
      <w:rFonts w:eastAsia="宋体"/>
      <w:kern w:val="2"/>
      <w:sz w:val="24"/>
      <w:szCs w:val="24"/>
    </w:rPr>
  </w:style>
  <w:style w:type="character" w:customStyle="1" w:styleId="26">
    <w:name w:val="标题 4 字符"/>
    <w:link w:val="4"/>
    <w:autoRedefine/>
    <w:qFormat/>
    <w:uiPriority w:val="9"/>
    <w:rPr>
      <w:rFonts w:ascii="Arial" w:hAnsi="Arial" w:eastAsia="黑体"/>
      <w:b/>
      <w:bCs/>
      <w:kern w:val="2"/>
      <w:sz w:val="28"/>
      <w:szCs w:val="28"/>
      <w:lang w:eastAsia="zh-CN"/>
    </w:rPr>
  </w:style>
  <w:style w:type="character" w:customStyle="1" w:styleId="27">
    <w:name w:val="标题 3 字符"/>
    <w:link w:val="3"/>
    <w:autoRedefine/>
    <w:qFormat/>
    <w:uiPriority w:val="9"/>
    <w:rPr>
      <w:rFonts w:ascii="宋体" w:hAnsi="宋体" w:eastAsia="宋体"/>
      <w:b/>
      <w:bCs/>
      <w:kern w:val="2"/>
      <w:sz w:val="28"/>
      <w:szCs w:val="32"/>
      <w:lang w:eastAsia="zh-CN"/>
    </w:rPr>
  </w:style>
  <w:style w:type="character" w:customStyle="1" w:styleId="28">
    <w:name w:val="标题 1 字符"/>
    <w:link w:val="2"/>
    <w:autoRedefine/>
    <w:qFormat/>
    <w:uiPriority w:val="0"/>
    <w:rPr>
      <w:rFonts w:ascii="宋体" w:hAnsi="宋体" w:eastAsia="黑体"/>
      <w:b/>
      <w:bCs/>
      <w:kern w:val="44"/>
      <w:sz w:val="28"/>
      <w:szCs w:val="44"/>
      <w:lang w:eastAsia="zh-CN"/>
    </w:rPr>
  </w:style>
  <w:style w:type="character" w:customStyle="1" w:styleId="29">
    <w:name w:val="标题 2 字符"/>
    <w:link w:val="5"/>
    <w:autoRedefine/>
    <w:qFormat/>
    <w:uiPriority w:val="0"/>
    <w:rPr>
      <w:rFonts w:ascii="宋体" w:hAnsi="宋体" w:eastAsia="宋体"/>
      <w:b/>
      <w:bCs/>
      <w:sz w:val="24"/>
      <w:lang w:eastAsia="zh-CN"/>
    </w:rPr>
  </w:style>
  <w:style w:type="character" w:customStyle="1" w:styleId="30">
    <w:name w:val="正文文本 2 字符"/>
    <w:link w:val="9"/>
    <w:autoRedefine/>
    <w:qFormat/>
    <w:uiPriority w:val="0"/>
    <w:rPr>
      <w:rFonts w:eastAsia="宋体"/>
      <w:kern w:val="2"/>
      <w:sz w:val="24"/>
      <w:szCs w:val="24"/>
      <w:lang w:eastAsia="zh-CN"/>
    </w:rPr>
  </w:style>
  <w:style w:type="character" w:customStyle="1" w:styleId="31">
    <w:name w:val="正文文本 字符"/>
    <w:link w:val="8"/>
    <w:autoRedefine/>
    <w:qFormat/>
    <w:uiPriority w:val="0"/>
    <w:rPr>
      <w:rFonts w:eastAsia="宋体"/>
      <w:b/>
      <w:bCs/>
      <w:kern w:val="2"/>
      <w:sz w:val="24"/>
      <w:szCs w:val="24"/>
      <w:lang w:eastAsia="zh-CN"/>
    </w:rPr>
  </w:style>
  <w:style w:type="character" w:customStyle="1" w:styleId="32">
    <w:name w:val="纯文本 字符"/>
    <w:link w:val="11"/>
    <w:autoRedefine/>
    <w:qFormat/>
    <w:uiPriority w:val="0"/>
    <w:rPr>
      <w:rFonts w:ascii="宋体" w:hAnsi="Courier New" w:eastAsia="宋体"/>
      <w:kern w:val="2"/>
      <w:sz w:val="21"/>
      <w:lang w:eastAsia="zh-CN"/>
    </w:rPr>
  </w:style>
  <w:style w:type="character" w:customStyle="1" w:styleId="33">
    <w:name w:val="正文文本缩进 字符"/>
    <w:link w:val="10"/>
    <w:autoRedefine/>
    <w:qFormat/>
    <w:uiPriority w:val="0"/>
    <w:rPr>
      <w:rFonts w:eastAsia="宋体"/>
      <w:kern w:val="2"/>
      <w:sz w:val="21"/>
      <w:szCs w:val="24"/>
      <w:lang w:eastAsia="zh-CN"/>
    </w:rPr>
  </w:style>
  <w:style w:type="character" w:customStyle="1" w:styleId="34">
    <w:name w:val="正文缩进 字符"/>
    <w:link w:val="7"/>
    <w:autoRedefine/>
    <w:qFormat/>
    <w:uiPriority w:val="0"/>
    <w:rPr>
      <w:rFonts w:eastAsia="宋体"/>
      <w:kern w:val="2"/>
      <w:sz w:val="21"/>
      <w:lang w:eastAsia="zh-CN"/>
    </w:rPr>
  </w:style>
  <w:style w:type="table" w:customStyle="1" w:styleId="35">
    <w:name w:val="Table Normal_0"/>
    <w:autoRedefine/>
    <w:semiHidden/>
    <w:unhideWhenUsed/>
    <w:qFormat/>
    <w:uiPriority w:val="0"/>
    <w:rPr>
      <w:rFonts w:eastAsia="宋体"/>
    </w:rPr>
    <w:tblPr>
      <w:tblCellMar>
        <w:top w:w="0" w:type="dxa"/>
        <w:left w:w="0" w:type="dxa"/>
        <w:bottom w:w="0" w:type="dxa"/>
        <w:right w:w="0" w:type="dxa"/>
      </w:tblCellMar>
    </w:tblPr>
  </w:style>
  <w:style w:type="paragraph" w:customStyle="1" w:styleId="36">
    <w:name w:val="Table Text"/>
    <w:basedOn w:val="1"/>
    <w:autoRedefine/>
    <w:semiHidden/>
    <w:qFormat/>
    <w:uiPriority w:val="0"/>
    <w:pPr>
      <w:widowControl w:val="0"/>
      <w:jc w:val="both"/>
    </w:pPr>
    <w:rPr>
      <w:rFonts w:ascii="微软雅黑" w:hAnsi="微软雅黑" w:eastAsia="微软雅黑" w:cs="微软雅黑"/>
      <w:kern w:val="2"/>
    </w:rPr>
  </w:style>
  <w:style w:type="table" w:customStyle="1" w:styleId="37">
    <w:name w:val="网格型1"/>
    <w:basedOn w:val="17"/>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8">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9">
    <w:name w:val="typo_table"/>
    <w:basedOn w:val="17"/>
    <w:autoRedefine/>
    <w:qFormat/>
    <w:uiPriority w:val="0"/>
  </w:style>
  <w:style w:type="paragraph" w:customStyle="1" w:styleId="40">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41">
    <w:name w:val="base"/>
    <w:basedOn w:val="19"/>
    <w:autoRedefine/>
    <w:uiPriority w:val="0"/>
    <w:rPr>
      <w:rFonts w:ascii="仿宋" w:hAnsi="仿宋" w:eastAsia="仿宋" w:cs="仿宋"/>
      <w:b/>
      <w:bCs/>
      <w:sz w:val="28"/>
      <w:szCs w:val="28"/>
    </w:rPr>
  </w:style>
  <w:style w:type="paragraph" w:customStyle="1" w:styleId="42">
    <w:name w:val="typo_p"/>
    <w:basedOn w:val="1"/>
    <w:qFormat/>
    <w:uiPriority w:val="0"/>
    <w:pPr>
      <w:spacing w:line="432" w:lineRule="atLeast"/>
    </w:pPr>
    <w:rPr>
      <w:rFonts w:ascii="微软雅黑" w:hAnsi="微软雅黑" w:eastAsia="微软雅黑" w:cs="微软雅黑"/>
      <w:color w:val="333333"/>
    </w:rPr>
  </w:style>
  <w:style w:type="character" w:customStyle="1" w:styleId="43">
    <w:name w:val="span"/>
    <w:basedOn w:val="19"/>
    <w:qFormat/>
    <w:uiPriority w:val="0"/>
    <w:rPr>
      <w:rFonts w:ascii="仿宋" w:hAnsi="仿宋" w:eastAsia="仿宋" w:cs="仿宋"/>
    </w:rPr>
  </w:style>
  <w:style w:type="character" w:customStyle="1" w:styleId="44">
    <w:name w:val="underline"/>
    <w:basedOn w:val="19"/>
    <w:autoRedefine/>
    <w:qFormat/>
    <w:uiPriority w:val="0"/>
  </w:style>
  <w:style w:type="paragraph" w:customStyle="1" w:styleId="45">
    <w:name w:val="div"/>
    <w:basedOn w:val="1"/>
    <w:qFormat/>
    <w:uiPriority w:val="0"/>
    <w:pPr>
      <w:keepLines/>
      <w:spacing w:line="432" w:lineRule="atLeast"/>
    </w:pPr>
    <w:rPr>
      <w:rFonts w:ascii="微软雅黑" w:hAnsi="微软雅黑" w:eastAsia="微软雅黑" w:cs="微软雅黑"/>
      <w:color w:val="333333"/>
    </w:rPr>
  </w:style>
  <w:style w:type="character" w:customStyle="1" w:styleId="46">
    <w:name w:val="step-methods_step-item_label"/>
    <w:basedOn w:val="19"/>
    <w:autoRedefine/>
    <w:uiPriority w:val="0"/>
  </w:style>
  <w:style w:type="table" w:customStyle="1" w:styleId="47">
    <w:name w:val="typo_table_0"/>
    <w:basedOn w:val="17"/>
    <w:autoRedefine/>
    <w:qFormat/>
    <w:uiPriority w:val="0"/>
  </w:style>
  <w:style w:type="character" w:customStyle="1" w:styleId="48">
    <w:name w:val="strong"/>
    <w:basedOn w:val="19"/>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59</Pages>
  <Words>0</Words>
  <Characters>0</Characters>
  <Lines>1</Lines>
  <Paragraphs>1</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2025-07-31T09:00:00Z</dcterms:created>
  <dc:creator>PC6</dc:creator>
  <cp:lastModifiedBy>张祖海</cp:lastModifiedBy>
  <dcterms:modified xsi:type="dcterms:W3CDTF">2025-07-31T10:58:54Z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1551EE77851C454CA00A03EDE48ECE2A_12</vt:lpwstr>
  </property>
</Properties>
</file>