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0F4B0235">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19583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3A65E5DB">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DEF09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6EEEFCFC">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A5736B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68B1C1C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937F248">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5E4B3EA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D168E7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015CA757">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05DC58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0B9036FE">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0D16869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3D4F92D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A28CDE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7B3A7ED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05AFF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2C7F4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89CCE2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4D6D0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5C500B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AED40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BD2B92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8C2813F">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2A8BF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76816A2">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35630620">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32"/>
        <w:pBdr>
          <w:top w:val="none" w:color="auto" w:sz="0" w:space="1"/>
          <w:left w:val="none" w:color="auto" w:sz="0" w:space="4"/>
          <w:bottom w:val="none" w:color="auto" w:sz="0" w:space="1"/>
          <w:right w:val="none" w:color="auto" w:sz="0" w:space="4"/>
        </w:pBdr>
        <w:rPr>
          <w:bCs/>
          <w:color w:val="FF0000"/>
          <w:sz w:val="20"/>
          <w:szCs w:val="20"/>
        </w:rPr>
      </w:pPr>
    </w:p>
    <w:p w14:paraId="4E4B1D28">
      <w:pPr>
        <w:pStyle w:val="19"/>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3"/>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3141"/>
        <w:gridCol w:w="6021"/>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02D09E4">
            <w:pPr>
              <w:spacing w:line="29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rPr>
              <w:t>LHAZXCG-2025-00072</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龙华区民治第三幼教集团世纪春城幼儿园物业管理服务采购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服务</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3"/>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8771F">
            <w:pPr>
              <w:rPr>
                <w:szCs w:val="21"/>
              </w:rPr>
            </w:pPr>
            <w:r>
              <w:rPr>
                <w:rFonts w:hint="eastAsia"/>
              </w:rPr>
              <w:t>不得将一个包的内容拆开投标；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hint="eastAsia"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4E6EFC">
            <w:pPr>
              <w:rPr>
                <w:szCs w:val="21"/>
              </w:rPr>
            </w:pPr>
            <w:r>
              <w:rPr>
                <w:rFonts w:hint="eastAsia"/>
              </w:rPr>
              <w:t>对同一项目投标时，不得提供两套以上的投标方案（招标文件另有规定的除外）；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hint="eastAsia"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C7E31">
            <w:pPr>
              <w:rPr>
                <w:szCs w:val="21"/>
              </w:rPr>
            </w:pPr>
            <w:r>
              <w:rPr>
                <w:rFonts w:hint="eastAsia"/>
              </w:rPr>
              <w:t>分项报价或投标总价不得高于相应预算金额（或设定的预算金额下的最高限价）；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hint="eastAsia"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hint="eastAsia"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hint="eastAsia"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8238A95">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hint="eastAsia"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hint="eastAsia"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964588">
            <w:pPr>
              <w:rPr>
                <w:szCs w:val="21"/>
              </w:rPr>
            </w:pPr>
            <w:r>
              <w:rPr>
                <w:rFonts w:hint="eastAsia"/>
              </w:rPr>
              <w:t>投标文件电子文档不得带病毒；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hint="eastAsia"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BFF49D">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C1D3F7">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hint="eastAsia"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9"/>
        <w:jc w:val="center"/>
        <w:outlineLvl w:val="0"/>
        <w:rPr>
          <w:rFonts w:hint="eastAsia" w:ascii="黑体" w:eastAsia="黑体"/>
          <w:sz w:val="40"/>
          <w:szCs w:val="40"/>
        </w:rPr>
      </w:pPr>
      <w:r>
        <w:rPr>
          <w:rFonts w:hint="eastAsia" w:ascii="黑体" w:hAnsi="黑体" w:eastAsia="黑体"/>
          <w:sz w:val="40"/>
          <w:szCs w:val="40"/>
        </w:rPr>
        <w:t>评标信息</w:t>
      </w:r>
    </w:p>
    <w:tbl>
      <w:tblPr>
        <w:tblStyle w:val="23"/>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9"/>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9"/>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2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436"/>
        <w:gridCol w:w="636"/>
        <w:gridCol w:w="1100"/>
        <w:gridCol w:w="1160"/>
        <w:gridCol w:w="5740"/>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56</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rPr>
              <w:t>实施方案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rPr>
              <w:t>9</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EC427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（一）评分内容：</w:t>
            </w:r>
          </w:p>
          <w:p w14:paraId="3A2077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投标人结合本项目实际提供项目实施方案,应包括：</w:t>
            </w:r>
          </w:p>
          <w:p w14:paraId="135CFD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1.整体管理设想及运作规划；</w:t>
            </w:r>
          </w:p>
          <w:p w14:paraId="192A43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2.组织机构、人员配置、培训及管理；</w:t>
            </w:r>
          </w:p>
          <w:p w14:paraId="757EAE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3.提供针对本项目各项服务需求制定各服务模块方案，至少包含校园安全管理方案、环境卫生管理方案。</w:t>
            </w:r>
          </w:p>
          <w:p w14:paraId="5BC487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（二）评分依据：</w:t>
            </w:r>
          </w:p>
          <w:p w14:paraId="268B16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考察投标人以上服务方案，如果全部提供得80分，提供任意二点得40分，提供任意一点得20分，其他情况不得分。在此基础上：</w:t>
            </w:r>
          </w:p>
          <w:p w14:paraId="0B8AFCA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评审为优（项目实施方案思路清晰明确，方案合理可行，满足服务要求，针对性强的），加20分；</w:t>
            </w:r>
          </w:p>
          <w:p w14:paraId="3BC0D0E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评审为良（项目实施方案总体思路比较清晰，方案比较合理可行，可以满足服务要求的），加15分；</w:t>
            </w:r>
          </w:p>
          <w:p w14:paraId="74E038A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评价为中（项目实施方案思路基本清晰，方案基本合理可行，基本可以满足服务要求的），加10分；</w:t>
            </w:r>
          </w:p>
          <w:p w14:paraId="17C5438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kern w:val="0"/>
                <w:sz w:val="21"/>
                <w:szCs w:val="21"/>
              </w:rPr>
              <w:t>评价为差（项目实施方案思路不清晰，方案不完整，不能满足服务需要的），不加分。</w:t>
            </w:r>
          </w:p>
        </w:tc>
      </w:tr>
      <w:tr w14:paraId="3B6A1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565" w:hRule="atLeast"/>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DC80E23">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38A0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F1B6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项目重点难点分析、应对措施及相关的合理化建议</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40B0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52C9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（一）评分内容：</w:t>
            </w:r>
          </w:p>
          <w:p w14:paraId="636601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提供相关重点难点分析应对措施及相关的合理化建议，包括：</w:t>
            </w:r>
          </w:p>
          <w:p w14:paraId="130A5D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1.根据本项目服务特点，提供保洁、安保服务等的相关重点难点分析；</w:t>
            </w:r>
          </w:p>
          <w:p w14:paraId="049C44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2.针对保洁、安保服务等的重难点分析提出应对措施。</w:t>
            </w:r>
          </w:p>
          <w:p w14:paraId="7D6A1C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（二）评分依据：</w:t>
            </w:r>
          </w:p>
          <w:p w14:paraId="3226FE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评审委员会根据招标文件的需求和投标文件的响应情况，进行评价及分档评分：提供两点得80分，提供任意一点得40分，未提供不得分。在此基础上：</w:t>
            </w:r>
          </w:p>
          <w:p w14:paraId="0242962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评审为优（针对本项目重点难点提出4条以上合理化建议的），加20分；</w:t>
            </w:r>
          </w:p>
          <w:p w14:paraId="23DBEBF2">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评审为良（针对本项目重点难点提出3条以上合理化建议的），加10分；</w:t>
            </w:r>
          </w:p>
          <w:p w14:paraId="57753602">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评价为差（针对本项目重点难点提出2条及以下建议或未提供建议的），不加分。</w:t>
            </w:r>
          </w:p>
        </w:tc>
      </w:tr>
      <w:tr w14:paraId="2F01D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073F7D0">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B153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eastAsia="zh-CN"/>
              </w:rPr>
            </w:pPr>
            <w:r>
              <w:rPr>
                <w:rFonts w:hint="eastAsia" w:ascii="宋体" w:hAnsi="宋体" w:eastAsia="宋体" w:cs="宋体"/>
                <w:kern w:val="0"/>
                <w:sz w:val="21"/>
                <w:szCs w:val="21"/>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C27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质量（完成时间、安全、环保）保障措施及方案</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0D9E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rPr>
              <w:t>9</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1E27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（一）评分内容：</w:t>
            </w:r>
          </w:p>
          <w:p w14:paraId="50ACB9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提供本项目质量保障措施及服务流程整体相关应急方案，主要包括：</w:t>
            </w:r>
          </w:p>
          <w:p w14:paraId="35EF71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1.质量保障措施；</w:t>
            </w:r>
          </w:p>
          <w:p w14:paraId="68C67A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2.应急预案；</w:t>
            </w:r>
          </w:p>
          <w:p w14:paraId="13AA1D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3.档案及制度建立。</w:t>
            </w:r>
          </w:p>
          <w:p w14:paraId="753629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（二）评分依据：</w:t>
            </w:r>
          </w:p>
          <w:p w14:paraId="7EF3AE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评审委员会根据招标文件的需求和投标文件的响应情况，进行评价及分档评分：全部提供得80分，提供任意二点得40分，提供任意一点得20分。在此基础上：</w:t>
            </w:r>
          </w:p>
          <w:p w14:paraId="761DE1C0">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评审为优（提供包括火灾、卫生间污水外溢、打架斗殴、偷盗、特殊天气5项应急方案）的加20分；</w:t>
            </w:r>
          </w:p>
          <w:p w14:paraId="6C9D9C5D">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评价为良（提供包括以上5项中任意4项应急方案的）的加15分；</w:t>
            </w:r>
          </w:p>
          <w:p w14:paraId="4AB00DC7">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评价为中（提供包括以上5项中任意3项应急方案的）的加10分；</w:t>
            </w:r>
          </w:p>
          <w:p w14:paraId="632CDA3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评价为差（提供包括以上5项中任意2项及以下应急方案的）不加分。</w:t>
            </w:r>
          </w:p>
        </w:tc>
      </w:tr>
      <w:tr w14:paraId="1C048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BA9AD1">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8DA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76A2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项目完成（服务期满）后的服务承诺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2E11B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CACE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（一）评分内容：</w:t>
            </w:r>
          </w:p>
          <w:p w14:paraId="5130FF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投标人承诺以下全部三项的得100分，否则不得分。</w:t>
            </w:r>
          </w:p>
          <w:p w14:paraId="37E6AB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（1）服务期满后主动离岗； </w:t>
            </w:r>
          </w:p>
          <w:p w14:paraId="757CC9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（2）离岗时与后续服务公司进行交接； </w:t>
            </w:r>
          </w:p>
          <w:p w14:paraId="33F269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（3）服务期满，后续服务公司未到位前仍按原合同服务承诺提供服务。</w:t>
            </w:r>
          </w:p>
          <w:p w14:paraId="385B8E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（二）评分依据：</w:t>
            </w:r>
          </w:p>
          <w:p w14:paraId="68087F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要求提供承诺（格式自定）作为得分依据，未提供承诺或承诺内容不满足要求不得分。</w:t>
            </w:r>
          </w:p>
        </w:tc>
      </w:tr>
      <w:tr w14:paraId="3B2EF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DC0F55">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C717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6010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rPr>
              <w:t>履约承诺</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B885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6A788A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（一）评分内容：</w:t>
            </w:r>
          </w:p>
          <w:p w14:paraId="68CFF3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投标人承诺以下全部三项的得100分，否则不得分。</w:t>
            </w:r>
          </w:p>
          <w:p w14:paraId="170C2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1.人员严格按照招标文件及投标承诺配置；</w:t>
            </w:r>
          </w:p>
          <w:p w14:paraId="5FEBA2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2.服务质量达到招标文件要求；</w:t>
            </w:r>
          </w:p>
          <w:p w14:paraId="3CB01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3.对未能达到的管理要求承担管理责任。</w:t>
            </w:r>
          </w:p>
          <w:p w14:paraId="091E3D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（二）评分依据：</w:t>
            </w:r>
          </w:p>
          <w:p w14:paraId="5B214D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rPr>
              <w:t>要求提供承诺（格式自定）作为得分依据，未提供承诺或承诺内容不满足要求不得分。</w:t>
            </w:r>
          </w:p>
        </w:tc>
      </w:tr>
      <w:tr w14:paraId="44F405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1BC8B87">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61E1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6</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60F4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拟安排的项目主要团队成员（主要技术人员）情况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D5C7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rPr>
            </w:pPr>
            <w:r>
              <w:rPr>
                <w:rFonts w:hint="eastAsia" w:ascii="宋体" w:hAnsi="宋体" w:eastAsia="宋体" w:cs="宋体"/>
                <w:kern w:val="0"/>
                <w:sz w:val="21"/>
                <w:szCs w:val="21"/>
              </w:rPr>
              <w:t>20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7C2701C6">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评分内容：</w:t>
            </w:r>
          </w:p>
          <w:p w14:paraId="0FE0AACC">
            <w:pPr>
              <w:keepNext w:val="0"/>
              <w:keepLines w:val="0"/>
              <w:pageBreakBefore w:val="0"/>
              <w:widowControl w:val="0"/>
              <w:numPr>
                <w:ilvl w:val="255"/>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拟安排项目主要团队成员为投标单位自有员工（以社保为准），否则该人员情况不计分。</w:t>
            </w:r>
          </w:p>
          <w:p w14:paraId="74D37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1.安保主管（2人）：本项最高得70分。</w:t>
            </w:r>
          </w:p>
          <w:p w14:paraId="287294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1.1每提供1人具有管理类或安全类专业本科（或以上）学历得10分，本小项最高得20分；</w:t>
            </w:r>
          </w:p>
          <w:p w14:paraId="0F9FF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1.2每提供1人有退伍军人证的得5分，本小项最高得10分；</w:t>
            </w:r>
          </w:p>
          <w:p w14:paraId="66A387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1.3至少1人具有应急管理部门颁发的安全生产相关培训证书的得10分；</w:t>
            </w:r>
          </w:p>
          <w:p w14:paraId="4285D8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1.4至少1人具有人社部门颁发的应急救援员职业资格证的得15分；</w:t>
            </w:r>
          </w:p>
          <w:p w14:paraId="49D4F8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1.5至少1人具有行政机关或事业单位或第三方社会评价组织（含协会）颁发的救护员证的得15分。</w:t>
            </w:r>
          </w:p>
          <w:p w14:paraId="28CA8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2.其他人员（4人）：本项最高得30分。</w:t>
            </w:r>
          </w:p>
          <w:p w14:paraId="4A246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2.1至少1人具有人社部门（或人社部门备案的第三方机构）颁发的四级/中级（或以上）保洁员职业技能等级证书的得10分；</w:t>
            </w:r>
          </w:p>
          <w:p w14:paraId="6A9A65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2.2至少1人具有人社部门（或人社部门备案的第三方机构）颁发的四级/中级（或以上）有害生物防制员职业技能等级证书的得10分；</w:t>
            </w:r>
          </w:p>
          <w:p w14:paraId="1C8A6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2.3每提供1人具有退伍军人证的得5分，本小项最高得10分。</w:t>
            </w:r>
          </w:p>
          <w:p w14:paraId="4C220B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以上2大项累计得分，最高得100分。</w:t>
            </w:r>
            <w:r>
              <w:rPr>
                <w:rFonts w:hint="eastAsia" w:ascii="宋体" w:hAnsi="宋体" w:eastAsia="宋体" w:cs="宋体"/>
                <w:b/>
                <w:bCs/>
                <w:kern w:val="0"/>
                <w:sz w:val="21"/>
                <w:szCs w:val="21"/>
              </w:rPr>
              <w:t>同一人只能计一次分，</w:t>
            </w:r>
            <w:r>
              <w:rPr>
                <w:rFonts w:hint="eastAsia" w:ascii="宋体" w:hAnsi="宋体" w:eastAsia="宋体" w:cs="宋体"/>
                <w:b/>
                <w:bCs/>
                <w:kern w:val="0"/>
                <w:sz w:val="21"/>
                <w:szCs w:val="21"/>
              </w:rPr>
              <w:t>同一人员同时担任多个岗位的，岗位均作无效处理，不得分。</w:t>
            </w:r>
          </w:p>
          <w:p w14:paraId="4D605E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（二）评分依据：</w:t>
            </w:r>
          </w:p>
          <w:p w14:paraId="7A0E37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自有员工：提供开标日前由投标人为拟投入本项目的团队成员缴交的载有政府部门公章（或专用章）的2025年5-7月其中任意一个月的社保缴交证明材料（已退休返聘人员需提供聘用合同）；社保资料至少显示缴交养老保险信息，未显示该信息的该社保资料则不符合要求，原件备查。如供应商为新成立企业且成立时间不足1个月的，需承诺相关人员为投标人自有员工，承诺函格式自拟并加盖公章。</w:t>
            </w:r>
          </w:p>
          <w:p w14:paraId="47792B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学历证明：提供毕业证书及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14:paraId="747857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职业资格证书（或职业技能等级证书）还需同时提供技能人才评价证书全国联网（http://zscx.osta.org.cn/）查询截图；发证单位为协会的，需同时提供该协会在全国社会组织信用信息公示平台（https://xxgs.chinanpo.mca.gov.cn/）查询结果正常截图；提供的职业技能等级证书的发证单位为人社部门备案第三方机构的，需提供该机构在职业技能等级评价机构公示查询系统（http://pjjg.osta.org.cn/）查询截图。</w:t>
            </w:r>
          </w:p>
          <w:p w14:paraId="14486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rPr>
              <w:t>4.以上资料均要求提供扫描件（或官方网站截图），原件备查。评分中出现无证明资料或专家无法凭所提供资料判断是否得分的情况，一律作不得分处理。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29</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3D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18574B">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E093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1"/>
                <w:szCs w:val="21"/>
                <w:highlight w:val="none"/>
              </w:rPr>
            </w:pPr>
            <w:r>
              <w:rPr>
                <w:rFonts w:cs="Times New Roman" w:asciiTheme="minorEastAsia" w:hAnsiTheme="minorEastAsia"/>
                <w:kern w:val="0"/>
                <w:sz w:val="21"/>
                <w:szCs w:val="21"/>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F3E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cs="Times New Roman" w:asciiTheme="minorEastAsia" w:hAnsiTheme="minorEastAsia"/>
                <w:kern w:val="0"/>
                <w:sz w:val="21"/>
                <w:szCs w:val="21"/>
              </w:rPr>
              <w:t>供应商认证情况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922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cs="Times New Roman" w:asciiTheme="minorEastAsia" w:hAnsiTheme="minorEastAsia"/>
                <w:kern w:val="0"/>
                <w:sz w:val="21"/>
                <w:szCs w:val="21"/>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55B93579">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（一）评分内容：</w:t>
            </w:r>
          </w:p>
          <w:p w14:paraId="7208AEF2">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1.投标人通过质量管理体系认证、客户投诉管理体系认证、安全应急响应管理体系认证、保安服务相关认证、生活垃圾分类相关认证、履约能力达标相关认证共</w:t>
            </w:r>
            <w:r>
              <w:rPr>
                <w:rFonts w:cs="Times New Roman" w:asciiTheme="minorEastAsia" w:hAnsiTheme="minorEastAsia"/>
                <w:kern w:val="0"/>
                <w:sz w:val="21"/>
                <w:szCs w:val="21"/>
              </w:rPr>
              <w:t>6</w:t>
            </w:r>
            <w:r>
              <w:rPr>
                <w:rFonts w:hint="eastAsia" w:cs="Times New Roman" w:asciiTheme="minorEastAsia" w:hAnsiTheme="minorEastAsia"/>
                <w:kern w:val="0"/>
                <w:sz w:val="21"/>
                <w:szCs w:val="21"/>
              </w:rPr>
              <w:t>项认证，每提供1个证书得10分，本小项最高得60分；</w:t>
            </w:r>
          </w:p>
          <w:p w14:paraId="499524ED">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2.投标人具有应急管理部门（或安全生产监督管理部门）监制的安全生产标准化证书的得40分；</w:t>
            </w:r>
          </w:p>
          <w:p w14:paraId="55AB7607">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以</w:t>
            </w:r>
            <w:r>
              <w:rPr>
                <w:rFonts w:cs="Times New Roman" w:asciiTheme="minorEastAsia" w:hAnsiTheme="minorEastAsia"/>
                <w:kern w:val="0"/>
                <w:sz w:val="21"/>
                <w:szCs w:val="21"/>
              </w:rPr>
              <w:t>上</w:t>
            </w:r>
            <w:r>
              <w:rPr>
                <w:rFonts w:hint="eastAsia" w:cs="Times New Roman" w:asciiTheme="minorEastAsia" w:hAnsiTheme="minorEastAsia"/>
                <w:kern w:val="0"/>
                <w:sz w:val="21"/>
                <w:szCs w:val="21"/>
              </w:rPr>
              <w:t>2项累计得分，满分100分。</w:t>
            </w:r>
          </w:p>
          <w:p w14:paraId="178797B5">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（二）评分依据：</w:t>
            </w:r>
          </w:p>
          <w:p w14:paraId="0092CFE9">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cs="Times New Roman" w:asciiTheme="minorEastAsia" w:hAnsiTheme="minorEastAsia"/>
                <w:kern w:val="0"/>
                <w:sz w:val="21"/>
                <w:szCs w:val="21"/>
              </w:rPr>
              <w:t>1.要求提供有效的证书作为得分依据。第</w:t>
            </w:r>
            <w:r>
              <w:rPr>
                <w:rFonts w:hint="eastAsia" w:cs="Times New Roman" w:asciiTheme="minorEastAsia" w:hAnsiTheme="minorEastAsia"/>
                <w:kern w:val="0"/>
                <w:sz w:val="21"/>
                <w:szCs w:val="21"/>
              </w:rPr>
              <w:t>1项认证证书需</w:t>
            </w:r>
            <w:r>
              <w:rPr>
                <w:rFonts w:cs="Times New Roman" w:asciiTheme="minorEastAsia" w:hAnsiTheme="minorEastAsia"/>
                <w:kern w:val="0"/>
                <w:sz w:val="21"/>
                <w:szCs w:val="21"/>
              </w:rPr>
              <w:t>同时提供全国认证认可信息公共服务平台（认e云）查询有效的截图（http：//cx.cnca.cn）。</w:t>
            </w:r>
            <w:r>
              <w:rPr>
                <w:rFonts w:hint="eastAsia" w:cs="Times New Roman" w:asciiTheme="minorEastAsia" w:hAnsiTheme="minorEastAsia"/>
                <w:kern w:val="0"/>
                <w:sz w:val="21"/>
                <w:szCs w:val="21"/>
              </w:rPr>
              <w:t>第2项要求提供发证单位出具的证明材料或官网查询公示。</w:t>
            </w:r>
          </w:p>
          <w:p w14:paraId="73A5B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eastAsiaTheme="minorEastAsia"/>
                <w:kern w:val="2"/>
                <w:sz w:val="21"/>
                <w:szCs w:val="21"/>
                <w:highlight w:val="none"/>
                <w:lang w:val="en-US" w:eastAsia="zh-CN" w:bidi="ar-SA"/>
              </w:rPr>
            </w:pPr>
            <w:r>
              <w:rPr>
                <w:rFonts w:cs="Times New Roman" w:asciiTheme="minorEastAsia" w:hAnsiTheme="minorEastAsia"/>
                <w:kern w:val="0"/>
                <w:sz w:val="21"/>
                <w:szCs w:val="21"/>
              </w:rPr>
              <w:t>2.以上资料均要求提供扫描件（或官方网站截图），原件备查。评分中出现无证明资料或专家无法凭所提供资料判断是否得分的情况，一律作不得分处理。</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1"/>
                <w:szCs w:val="21"/>
                <w:highlight w:val="none"/>
              </w:rPr>
            </w:pPr>
            <w:r>
              <w:rPr>
                <w:rFonts w:hint="eastAsia" w:cs="Times New Roman" w:asciiTheme="minorEastAsia" w:hAnsiTheme="minorEastAsia"/>
                <w:kern w:val="0"/>
                <w:sz w:val="21"/>
                <w:szCs w:val="21"/>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D315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cs="Times New Roman" w:asciiTheme="minorEastAsia" w:hAnsiTheme="minorEastAsia"/>
                <w:kern w:val="0"/>
                <w:sz w:val="21"/>
                <w:szCs w:val="21"/>
              </w:rPr>
              <w:t>供应商同类项目业绩情况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cs="Times New Roman" w:asciiTheme="minorEastAsia" w:hAnsiTheme="minorEastAsia"/>
                <w:kern w:val="0"/>
                <w:sz w:val="21"/>
                <w:szCs w:val="21"/>
              </w:rPr>
              <w:t>4</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8FAD284">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（一）评分内容：</w:t>
            </w:r>
          </w:p>
          <w:p w14:paraId="57505C32">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cs="Times New Roman" w:asciiTheme="minorEastAsia" w:hAnsiTheme="minorEastAsia"/>
                <w:kern w:val="0"/>
                <w:sz w:val="21"/>
                <w:szCs w:val="21"/>
              </w:rPr>
              <w:t>投标人2022年1月1日至本项目投标截止日（以合同签订日期为准）承担过学校</w:t>
            </w:r>
            <w:r>
              <w:rPr>
                <w:rFonts w:hint="eastAsia" w:cs="Times New Roman" w:asciiTheme="minorEastAsia" w:hAnsiTheme="minorEastAsia"/>
                <w:kern w:val="0"/>
                <w:sz w:val="21"/>
                <w:szCs w:val="21"/>
              </w:rPr>
              <w:t>或幼儿园</w:t>
            </w:r>
            <w:r>
              <w:rPr>
                <w:rFonts w:cs="Times New Roman" w:asciiTheme="minorEastAsia" w:hAnsiTheme="minorEastAsia"/>
                <w:kern w:val="0"/>
                <w:sz w:val="21"/>
                <w:szCs w:val="21"/>
              </w:rPr>
              <w:t>物业服务项目业绩情况：合同服务内容至少包含</w:t>
            </w:r>
            <w:r>
              <w:rPr>
                <w:rFonts w:hint="eastAsia" w:cs="Times New Roman" w:asciiTheme="minorEastAsia" w:hAnsiTheme="minorEastAsia"/>
                <w:kern w:val="0"/>
                <w:sz w:val="21"/>
                <w:szCs w:val="21"/>
              </w:rPr>
              <w:t>秩序安全管理、环境卫生管理两</w:t>
            </w:r>
            <w:r>
              <w:rPr>
                <w:rFonts w:cs="Times New Roman" w:asciiTheme="minorEastAsia" w:hAnsiTheme="minorEastAsia"/>
                <w:kern w:val="0"/>
                <w:sz w:val="21"/>
                <w:szCs w:val="21"/>
              </w:rPr>
              <w:t>项内容（服务内容涵盖即可，文字描述可不完全一致）</w:t>
            </w:r>
            <w:r>
              <w:rPr>
                <w:rFonts w:hint="eastAsia" w:cs="Times New Roman" w:asciiTheme="minorEastAsia" w:hAnsiTheme="minorEastAsia"/>
                <w:kern w:val="0"/>
                <w:sz w:val="21"/>
                <w:szCs w:val="21"/>
              </w:rPr>
              <w:t>；</w:t>
            </w:r>
            <w:r>
              <w:rPr>
                <w:rFonts w:cs="Times New Roman" w:asciiTheme="minorEastAsia" w:hAnsiTheme="minorEastAsia"/>
                <w:kern w:val="0"/>
                <w:sz w:val="21"/>
                <w:szCs w:val="21"/>
              </w:rPr>
              <w:t>每提供一个得</w:t>
            </w:r>
            <w:r>
              <w:rPr>
                <w:rFonts w:hint="eastAsia" w:cs="Times New Roman" w:asciiTheme="minorEastAsia" w:hAnsiTheme="minorEastAsia"/>
                <w:kern w:val="0"/>
                <w:sz w:val="21"/>
                <w:szCs w:val="21"/>
              </w:rPr>
              <w:t>25</w:t>
            </w:r>
            <w:r>
              <w:rPr>
                <w:rFonts w:cs="Times New Roman" w:asciiTheme="minorEastAsia" w:hAnsiTheme="minorEastAsia"/>
                <w:kern w:val="0"/>
                <w:sz w:val="21"/>
                <w:szCs w:val="21"/>
              </w:rPr>
              <w:t>分，累计</w:t>
            </w:r>
            <w:r>
              <w:rPr>
                <w:rFonts w:hint="eastAsia" w:cs="Times New Roman" w:asciiTheme="minorEastAsia" w:hAnsiTheme="minorEastAsia"/>
                <w:kern w:val="0"/>
                <w:sz w:val="21"/>
                <w:szCs w:val="21"/>
              </w:rPr>
              <w:t>最</w:t>
            </w:r>
            <w:r>
              <w:rPr>
                <w:rFonts w:cs="Times New Roman" w:asciiTheme="minorEastAsia" w:hAnsiTheme="minorEastAsia"/>
                <w:kern w:val="0"/>
                <w:sz w:val="21"/>
                <w:szCs w:val="21"/>
              </w:rPr>
              <w:t>高得100分。</w:t>
            </w:r>
          </w:p>
          <w:p w14:paraId="2E724B76">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（二）评分依据</w:t>
            </w:r>
            <w:r>
              <w:rPr>
                <w:rFonts w:hint="eastAsia" w:cs="Times New Roman" w:asciiTheme="minorEastAsia" w:hAnsiTheme="minorEastAsia"/>
                <w:b/>
                <w:bCs/>
                <w:kern w:val="0"/>
                <w:sz w:val="21"/>
                <w:szCs w:val="21"/>
              </w:rPr>
              <w:t>：</w:t>
            </w:r>
          </w:p>
          <w:p w14:paraId="44858A44">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cs="Times New Roman" w:asciiTheme="minorEastAsia" w:hAnsiTheme="minorEastAsia"/>
                <w:kern w:val="0"/>
                <w:sz w:val="21"/>
                <w:szCs w:val="21"/>
              </w:rPr>
              <w:t>1.要求提供合同关键信息作为得分依据</w:t>
            </w:r>
            <w:r>
              <w:rPr>
                <w:rFonts w:hint="eastAsia" w:cs="Times New Roman" w:asciiTheme="minorEastAsia" w:hAnsiTheme="minorEastAsia"/>
                <w:kern w:val="0"/>
                <w:sz w:val="21"/>
                <w:szCs w:val="21"/>
              </w:rPr>
              <w:t>（包括但不限于合同首页、服务内容、签订时间、盖章页等）</w:t>
            </w:r>
            <w:r>
              <w:rPr>
                <w:rFonts w:cs="Times New Roman" w:asciiTheme="minorEastAsia" w:hAnsiTheme="minorEastAsia"/>
                <w:kern w:val="0"/>
                <w:sz w:val="21"/>
                <w:szCs w:val="21"/>
              </w:rPr>
              <w:t>。</w:t>
            </w:r>
          </w:p>
          <w:p w14:paraId="49B862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eastAsiaTheme="minorEastAsia"/>
                <w:kern w:val="2"/>
                <w:sz w:val="21"/>
                <w:szCs w:val="21"/>
                <w:highlight w:val="none"/>
                <w:lang w:val="en-US" w:eastAsia="zh-CN" w:bidi="ar-SA"/>
              </w:rPr>
            </w:pPr>
            <w:r>
              <w:rPr>
                <w:rFonts w:hint="eastAsia" w:cs="Times New Roman" w:asciiTheme="minorEastAsia" w:hAnsiTheme="minorEastAsia"/>
                <w:kern w:val="0"/>
                <w:sz w:val="21"/>
                <w:szCs w:val="21"/>
              </w:rPr>
              <w:t>2</w:t>
            </w:r>
            <w:r>
              <w:rPr>
                <w:rFonts w:cs="Times New Roman" w:asciiTheme="minorEastAsia" w:hAnsiTheme="minorEastAsia"/>
                <w:kern w:val="0"/>
                <w:sz w:val="21"/>
                <w:szCs w:val="21"/>
              </w:rPr>
              <w:t>.以上资料均要求提供扫描件，原件备查。评分中出现无证明资料或专家无法凭所提供资料判断是否得分的情况，一律作不得分处理。</w:t>
            </w:r>
          </w:p>
        </w:tc>
      </w:tr>
      <w:tr w14:paraId="277D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730B3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0262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1"/>
                <w:szCs w:val="21"/>
                <w:highlight w:val="none"/>
              </w:rPr>
            </w:pPr>
            <w:r>
              <w:rPr>
                <w:rFonts w:hint="eastAsia" w:cs="Times New Roman" w:asciiTheme="minorEastAsia" w:hAnsiTheme="minorEastAsia"/>
                <w:kern w:val="0"/>
                <w:sz w:val="21"/>
                <w:szCs w:val="21"/>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F3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cs="Times New Roman" w:asciiTheme="minorEastAsia" w:hAnsiTheme="minorEastAsia"/>
                <w:kern w:val="0"/>
                <w:sz w:val="21"/>
                <w:szCs w:val="21"/>
              </w:rPr>
              <w:t>履约评价</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C03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cs="Times New Roman" w:asciiTheme="minorEastAsia" w:hAnsiTheme="minorEastAsia"/>
                <w:kern w:val="0"/>
                <w:sz w:val="21"/>
                <w:szCs w:val="21"/>
              </w:rPr>
              <w:t>4</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42F783A4">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（一）评分内容：</w:t>
            </w:r>
          </w:p>
          <w:p w14:paraId="0A08CF09">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提供以上“供应商同类项目业绩情况”中得分业绩对应的评价结果为优或非常满意</w:t>
            </w:r>
            <w:r>
              <w:rPr>
                <w:rFonts w:hint="eastAsia" w:cs="Times New Roman" w:asciiTheme="minorEastAsia" w:hAnsiTheme="minorEastAsia"/>
                <w:kern w:val="0"/>
                <w:sz w:val="21"/>
                <w:szCs w:val="21"/>
                <w:lang w:eastAsia="zh-CN"/>
              </w:rPr>
              <w:t>（</w:t>
            </w:r>
            <w:r>
              <w:rPr>
                <w:rFonts w:hint="eastAsia" w:cs="Times New Roman" w:asciiTheme="minorEastAsia" w:hAnsiTheme="minorEastAsia"/>
                <w:kern w:val="0"/>
                <w:sz w:val="21"/>
                <w:szCs w:val="21"/>
                <w:lang w:val="en-US" w:eastAsia="zh-CN"/>
              </w:rPr>
              <w:t>或同等最高等级</w:t>
            </w:r>
            <w:r>
              <w:rPr>
                <w:rFonts w:hint="eastAsia" w:cs="Times New Roman" w:asciiTheme="minorEastAsia" w:hAnsiTheme="minorEastAsia"/>
                <w:kern w:val="0"/>
                <w:sz w:val="21"/>
                <w:szCs w:val="21"/>
                <w:lang w:eastAsia="zh-CN"/>
              </w:rPr>
              <w:t>）</w:t>
            </w:r>
            <w:r>
              <w:rPr>
                <w:rFonts w:hint="eastAsia" w:cs="Times New Roman" w:asciiTheme="minorEastAsia" w:hAnsiTheme="minorEastAsia"/>
                <w:kern w:val="0"/>
                <w:sz w:val="21"/>
                <w:szCs w:val="21"/>
              </w:rPr>
              <w:t>履约评价，</w:t>
            </w:r>
            <w:r>
              <w:rPr>
                <w:rFonts w:cs="Times New Roman" w:asciiTheme="minorEastAsia" w:hAnsiTheme="minorEastAsia"/>
                <w:kern w:val="0"/>
                <w:sz w:val="21"/>
                <w:szCs w:val="21"/>
              </w:rPr>
              <w:t>每提供一个得</w:t>
            </w:r>
            <w:r>
              <w:rPr>
                <w:rFonts w:hint="eastAsia" w:cs="Times New Roman" w:asciiTheme="minorEastAsia" w:hAnsiTheme="minorEastAsia"/>
                <w:kern w:val="0"/>
                <w:sz w:val="21"/>
                <w:szCs w:val="21"/>
              </w:rPr>
              <w:t>25</w:t>
            </w:r>
            <w:r>
              <w:rPr>
                <w:rFonts w:cs="Times New Roman" w:asciiTheme="minorEastAsia" w:hAnsiTheme="minorEastAsia"/>
                <w:kern w:val="0"/>
                <w:sz w:val="21"/>
                <w:szCs w:val="21"/>
              </w:rPr>
              <w:t>分，累计</w:t>
            </w:r>
            <w:r>
              <w:rPr>
                <w:rFonts w:hint="eastAsia" w:cs="Times New Roman" w:asciiTheme="minorEastAsia" w:hAnsiTheme="minorEastAsia"/>
                <w:kern w:val="0"/>
                <w:sz w:val="21"/>
                <w:szCs w:val="21"/>
              </w:rPr>
              <w:t>最</w:t>
            </w:r>
            <w:r>
              <w:rPr>
                <w:rFonts w:cs="Times New Roman" w:asciiTheme="minorEastAsia" w:hAnsiTheme="minorEastAsia"/>
                <w:kern w:val="0"/>
                <w:sz w:val="21"/>
                <w:szCs w:val="21"/>
              </w:rPr>
              <w:t>高得100分。</w:t>
            </w:r>
          </w:p>
          <w:p w14:paraId="4EB924C0">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（二）评分依据</w:t>
            </w:r>
            <w:r>
              <w:rPr>
                <w:rFonts w:hint="eastAsia" w:cs="Times New Roman" w:asciiTheme="minorEastAsia" w:hAnsiTheme="minorEastAsia"/>
                <w:b/>
                <w:bCs/>
                <w:kern w:val="0"/>
                <w:sz w:val="21"/>
                <w:szCs w:val="21"/>
              </w:rPr>
              <w:t>：</w:t>
            </w:r>
          </w:p>
          <w:p w14:paraId="18B3EC9C">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cs="Times New Roman" w:asciiTheme="minorEastAsia" w:hAnsiTheme="minorEastAsia"/>
                <w:kern w:val="0"/>
                <w:sz w:val="21"/>
                <w:szCs w:val="21"/>
              </w:rPr>
              <w:t>1.要求</w:t>
            </w:r>
            <w:r>
              <w:rPr>
                <w:rFonts w:hint="eastAsia" w:cs="Times New Roman" w:asciiTheme="minorEastAsia" w:hAnsiTheme="minorEastAsia"/>
                <w:kern w:val="0"/>
                <w:sz w:val="21"/>
                <w:szCs w:val="21"/>
              </w:rPr>
              <w:t>提供项目被服务单位出具的履约评价证明：（1）需加盖合同甲方公章（或甲方业务章或部门章）；（2）履约评价证明的内容</w:t>
            </w:r>
            <w:r>
              <w:rPr>
                <w:rFonts w:hint="eastAsia" w:cs="Times New Roman" w:asciiTheme="minorEastAsia" w:hAnsiTheme="minorEastAsia"/>
                <w:kern w:val="0"/>
                <w:sz w:val="21"/>
                <w:szCs w:val="21"/>
                <w:lang w:val="en-US" w:eastAsia="zh-CN"/>
              </w:rPr>
              <w:t>需</w:t>
            </w:r>
            <w:r>
              <w:rPr>
                <w:rFonts w:hint="eastAsia" w:cs="Times New Roman" w:asciiTheme="minorEastAsia" w:hAnsiTheme="minorEastAsia"/>
                <w:kern w:val="0"/>
                <w:sz w:val="21"/>
                <w:szCs w:val="21"/>
              </w:rPr>
              <w:t>包括但不限于项目名称、履约评价结果、出具证明的签署日期内容；（3）评价结果为优或非常满意</w:t>
            </w:r>
            <w:r>
              <w:rPr>
                <w:rFonts w:hint="eastAsia" w:cs="Times New Roman" w:asciiTheme="minorEastAsia" w:hAnsiTheme="minorEastAsia"/>
                <w:kern w:val="0"/>
                <w:sz w:val="21"/>
                <w:szCs w:val="21"/>
                <w:lang w:val="en-US" w:eastAsia="zh-CN"/>
              </w:rPr>
              <w:t>或同等</w:t>
            </w:r>
            <w:r>
              <w:rPr>
                <w:rFonts w:hint="eastAsia" w:cs="Times New Roman" w:asciiTheme="minorEastAsia" w:hAnsiTheme="minorEastAsia"/>
                <w:kern w:val="0"/>
                <w:sz w:val="21"/>
                <w:szCs w:val="21"/>
              </w:rPr>
              <w:t>最高等级，如提交的证明材料其评价结果没有结论而仅是打分的（如100分、98分、95分、85分等）不计</w:t>
            </w:r>
            <w:bookmarkStart w:id="93" w:name="_GoBack"/>
            <w:bookmarkEnd w:id="93"/>
            <w:r>
              <w:rPr>
                <w:rFonts w:hint="eastAsia" w:cs="Times New Roman" w:asciiTheme="minorEastAsia" w:hAnsiTheme="minorEastAsia"/>
                <w:kern w:val="0"/>
                <w:sz w:val="21"/>
                <w:szCs w:val="21"/>
              </w:rPr>
              <w:t>分。</w:t>
            </w:r>
          </w:p>
          <w:p w14:paraId="79ADE2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eastAsiaTheme="minorEastAsia"/>
                <w:kern w:val="2"/>
                <w:sz w:val="21"/>
                <w:szCs w:val="21"/>
                <w:highlight w:val="none"/>
                <w:lang w:val="en-US" w:eastAsia="zh-CN" w:bidi="ar-SA"/>
              </w:rPr>
            </w:pPr>
            <w:r>
              <w:rPr>
                <w:rFonts w:hint="eastAsia" w:cs="Times New Roman" w:asciiTheme="minorEastAsia" w:hAnsiTheme="minorEastAsia"/>
                <w:kern w:val="0"/>
                <w:sz w:val="21"/>
                <w:szCs w:val="21"/>
              </w:rPr>
              <w:t>2</w:t>
            </w:r>
            <w:r>
              <w:rPr>
                <w:rFonts w:cs="Times New Roman" w:asciiTheme="minorEastAsia" w:hAnsiTheme="minorEastAsia"/>
                <w:kern w:val="0"/>
                <w:sz w:val="21"/>
                <w:szCs w:val="21"/>
              </w:rPr>
              <w:t>.以上资料均要求提供扫描件，原件备查。评分中出现无证明资料或专家无法凭所提供资料判断是否得分的情况，一律作不得分处理。</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63D4236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CD5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1"/>
                <w:szCs w:val="21"/>
                <w:highlight w:val="none"/>
              </w:rPr>
            </w:pPr>
            <w:r>
              <w:rPr>
                <w:rFonts w:cs="Times New Roman" w:asciiTheme="minorEastAsia" w:hAnsiTheme="minorEastAsia"/>
                <w:kern w:val="0"/>
                <w:sz w:val="21"/>
                <w:szCs w:val="21"/>
              </w:rPr>
              <w:t>4</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cs="Times New Roman" w:asciiTheme="minorEastAsia" w:hAnsiTheme="minorEastAsia"/>
                <w:kern w:val="0"/>
                <w:sz w:val="21"/>
                <w:szCs w:val="21"/>
              </w:rPr>
              <w:t>供应商获奖情况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cs="Times New Roman" w:asciiTheme="minorEastAsia" w:hAnsiTheme="minorEastAsia"/>
                <w:kern w:val="0"/>
                <w:sz w:val="21"/>
                <w:szCs w:val="21"/>
              </w:rPr>
              <w:t>8</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16A17980">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（一）评分内容：</w:t>
            </w:r>
          </w:p>
          <w:p w14:paraId="05393C37">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投标人获得过区（县）级或以上政府部门颁发的先进保安组织相关（或物业管理相关或环境卫生相关）荣誉的，每提供1个得50分，</w:t>
            </w:r>
            <w:r>
              <w:rPr>
                <w:rFonts w:cs="Times New Roman" w:asciiTheme="minorEastAsia" w:hAnsiTheme="minorEastAsia"/>
                <w:kern w:val="0"/>
                <w:sz w:val="21"/>
                <w:szCs w:val="21"/>
              </w:rPr>
              <w:t>满分100分。</w:t>
            </w:r>
          </w:p>
          <w:p w14:paraId="014B3878">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cs="Times New Roman" w:asciiTheme="minorEastAsia" w:hAnsiTheme="minorEastAsia"/>
                <w:b/>
                <w:bCs/>
                <w:kern w:val="0"/>
                <w:sz w:val="21"/>
                <w:szCs w:val="21"/>
              </w:rPr>
              <w:t>（二）评分依据：</w:t>
            </w:r>
          </w:p>
          <w:p w14:paraId="5192F5D5">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1.要求提供奖项照片或获奖（荣誉）证书等证明材料作为得分依据。</w:t>
            </w:r>
          </w:p>
          <w:p w14:paraId="43E72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eastAsiaTheme="minorEastAsia"/>
                <w:kern w:val="2"/>
                <w:sz w:val="21"/>
                <w:szCs w:val="21"/>
                <w:highlight w:val="none"/>
                <w:lang w:val="en-US" w:eastAsia="zh-CN" w:bidi="ar-SA"/>
              </w:rPr>
            </w:pPr>
            <w:r>
              <w:rPr>
                <w:rFonts w:hint="eastAsia" w:cs="Times New Roman" w:asciiTheme="minorEastAsia" w:hAnsiTheme="minorEastAsia"/>
                <w:kern w:val="0"/>
                <w:sz w:val="21"/>
                <w:szCs w:val="21"/>
              </w:rPr>
              <w:t>2.以上资料均要求提供扫描件（或官方网站截图），原件备查。评分中出现无证明资料或专家无法凭所提供资料判断是否得分的情况，一律作不得分处理。</w:t>
            </w:r>
          </w:p>
        </w:tc>
      </w:tr>
      <w:tr w14:paraId="0AD53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3D541149">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9E44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1"/>
                <w:szCs w:val="21"/>
                <w:highlight w:val="none"/>
              </w:rPr>
            </w:pPr>
            <w:r>
              <w:rPr>
                <w:rFonts w:cs="Times New Roman" w:asciiTheme="minorEastAsia" w:hAnsiTheme="minorEastAsia"/>
                <w:kern w:val="0"/>
                <w:sz w:val="21"/>
                <w:szCs w:val="21"/>
              </w:rPr>
              <w:t>5</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AEA3F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cs="Times New Roman" w:asciiTheme="minorEastAsia" w:hAnsiTheme="minorEastAsia"/>
                <w:kern w:val="0"/>
                <w:sz w:val="21"/>
                <w:szCs w:val="21"/>
              </w:rPr>
              <w:t>服务网点</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DB7F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cs="Times New Roman" w:asciiTheme="minorEastAsia" w:hAnsiTheme="minorEastAsia"/>
                <w:kern w:val="0"/>
                <w:sz w:val="21"/>
                <w:szCs w:val="21"/>
              </w:rPr>
              <w:t>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14:paraId="28DB6579">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hint="eastAsia" w:cs="Times New Roman" w:asciiTheme="minorEastAsia" w:hAnsiTheme="minorEastAsia"/>
                <w:b/>
                <w:bCs/>
                <w:kern w:val="0"/>
                <w:sz w:val="21"/>
                <w:szCs w:val="21"/>
              </w:rPr>
              <w:t>（一）评分内容：</w:t>
            </w:r>
          </w:p>
          <w:p w14:paraId="5C93A481">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kern w:val="0"/>
                <w:sz w:val="21"/>
                <w:szCs w:val="21"/>
              </w:rPr>
            </w:pPr>
            <w:r>
              <w:rPr>
                <w:rFonts w:hint="eastAsia" w:cs="Times New Roman" w:asciiTheme="minorEastAsia" w:hAnsiTheme="minorEastAsia"/>
                <w:kern w:val="0"/>
                <w:sz w:val="21"/>
                <w:szCs w:val="21"/>
              </w:rPr>
              <w:t>供应商承诺中标后提供本地经营（服务）网点的，得100分。</w:t>
            </w:r>
          </w:p>
          <w:p w14:paraId="31AF641A">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asciiTheme="minorEastAsia" w:hAnsiTheme="minorEastAsia"/>
                <w:b/>
                <w:bCs/>
                <w:kern w:val="0"/>
                <w:sz w:val="21"/>
                <w:szCs w:val="21"/>
              </w:rPr>
            </w:pPr>
            <w:r>
              <w:rPr>
                <w:rFonts w:hint="eastAsia" w:cs="Times New Roman" w:asciiTheme="minorEastAsia" w:hAnsiTheme="minorEastAsia"/>
                <w:b/>
                <w:bCs/>
                <w:kern w:val="0"/>
                <w:sz w:val="21"/>
                <w:szCs w:val="21"/>
              </w:rPr>
              <w:t>（二）评分依据:</w:t>
            </w:r>
          </w:p>
          <w:p w14:paraId="0FF2E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eastAsiaTheme="minorEastAsia"/>
                <w:kern w:val="2"/>
                <w:sz w:val="21"/>
                <w:szCs w:val="21"/>
                <w:highlight w:val="none"/>
                <w:lang w:val="en-US" w:eastAsia="zh-CN" w:bidi="ar-SA"/>
              </w:rPr>
            </w:pPr>
            <w:r>
              <w:rPr>
                <w:rFonts w:hint="eastAsia" w:cs="Times New Roman" w:asciiTheme="minorEastAsia" w:hAnsiTheme="minorEastAsia"/>
                <w:kern w:val="0"/>
                <w:sz w:val="21"/>
                <w:szCs w:val="21"/>
              </w:rPr>
              <w:t>要求提供承诺函（格式自拟）作为得分依据，未按采购文件要求提供承诺函的不得分。</w:t>
            </w:r>
          </w:p>
        </w:tc>
      </w:tr>
      <w:tr w14:paraId="6A033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restart"/>
            <w:tcBorders>
              <w:left w:val="single" w:color="000000" w:sz="8" w:space="0"/>
              <w:right w:val="single" w:color="000000" w:sz="8" w:space="0"/>
            </w:tcBorders>
            <w:shd w:val="clear" w:color="auto" w:fill="FFFFFF" w:themeFill="background1"/>
          </w:tcPr>
          <w:p w14:paraId="72BBC0E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8B791A3">
            <w:pPr>
              <w:wordWrap w:val="0"/>
              <w:jc w:val="center"/>
              <w:rPr>
                <w:rFonts w:hint="eastAsia" w:ascii="宋体" w:hAnsi="宋体"/>
                <w:szCs w:val="21"/>
                <w:highlight w:val="none"/>
              </w:rPr>
            </w:pPr>
            <w:r>
              <w:rPr>
                <w:rFonts w:hint="eastAsia" w:ascii="宋体" w:hAnsi="宋体" w:eastAsia="宋体" w:cs="宋体"/>
                <w:b/>
                <w:bCs/>
                <w:szCs w:val="21"/>
                <w:highlight w:val="none"/>
              </w:rPr>
              <w:t>诚信情况</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6E6A56">
            <w:pPr>
              <w:pStyle w:val="10"/>
              <w:jc w:val="center"/>
              <w:rPr>
                <w:rFonts w:hint="eastAsia" w:ascii="宋体" w:hAnsi="宋体" w:eastAsia="宋体" w:cs="Times New Roman"/>
                <w:szCs w:val="21"/>
                <w:highlight w:val="none"/>
              </w:rPr>
            </w:pPr>
            <w:r>
              <w:rPr>
                <w:rFonts w:hint="eastAsia" w:ascii="宋体" w:hAnsi="宋体" w:eastAsia="宋体" w:cs="Times New Roman"/>
                <w:szCs w:val="21"/>
                <w:highlight w:val="none"/>
              </w:rPr>
              <w:t>5</w:t>
            </w:r>
          </w:p>
        </w:tc>
      </w:tr>
      <w:tr w14:paraId="49DF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65ECB213">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6A9938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0" w:type="auto"/>
            <w:shd w:val="clear" w:color="auto" w:fill="FFFFFF" w:themeFill="background1"/>
            <w:vAlign w:val="center"/>
          </w:tcPr>
          <w:p w14:paraId="7BCB8E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shd w:val="clear" w:color="auto" w:fill="FFFFFF" w:themeFill="background1"/>
            <w:vAlign w:val="center"/>
          </w:tcPr>
          <w:p w14:paraId="4560542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shd w:val="clear" w:color="auto" w:fill="FFFFFF" w:themeFill="background1"/>
            <w:vAlign w:val="center"/>
          </w:tcPr>
          <w:p w14:paraId="6DA4A2E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36AB2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50C2942D">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02332D76">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shd w:val="clear" w:color="auto" w:fill="FFFFFF" w:themeFill="background1"/>
            <w:vAlign w:val="center"/>
          </w:tcPr>
          <w:p w14:paraId="4D98635B">
            <w:pPr>
              <w:wordWrap w:val="0"/>
              <w:jc w:val="center"/>
              <w:rPr>
                <w:rFonts w:hint="eastAsia" w:ascii="宋体" w:hAnsi="宋体" w:eastAsia="宋体" w:cs="宋体"/>
                <w:szCs w:val="21"/>
                <w:highlight w:val="none"/>
              </w:rPr>
            </w:pPr>
            <w:r>
              <w:rPr>
                <w:rFonts w:ascii="宋体" w:hAnsi="宋体"/>
                <w:szCs w:val="21"/>
                <w:highlight w:val="none"/>
              </w:rPr>
              <w:t>诚信情况</w:t>
            </w:r>
          </w:p>
        </w:tc>
        <w:tc>
          <w:tcPr>
            <w:tcW w:w="1160" w:type="dxa"/>
            <w:shd w:val="clear" w:color="auto" w:fill="FFFFFF" w:themeFill="background1"/>
            <w:vAlign w:val="center"/>
          </w:tcPr>
          <w:p w14:paraId="04E73D9C">
            <w:pPr>
              <w:wordWrap w:val="0"/>
              <w:jc w:val="center"/>
              <w:rPr>
                <w:rFonts w:hint="eastAsia" w:ascii="宋体" w:hAnsi="宋体" w:cs="宋体"/>
                <w:szCs w:val="21"/>
                <w:highlight w:val="none"/>
              </w:rPr>
            </w:pPr>
            <w:r>
              <w:rPr>
                <w:rFonts w:hint="eastAsia"/>
                <w:szCs w:val="21"/>
                <w:highlight w:val="none"/>
              </w:rPr>
              <w:t>5</w:t>
            </w:r>
          </w:p>
        </w:tc>
        <w:tc>
          <w:tcPr>
            <w:tcW w:w="5740" w:type="dxa"/>
            <w:shd w:val="clear" w:color="auto" w:fill="FFFFFF" w:themeFill="background1"/>
          </w:tcPr>
          <w:p w14:paraId="141A4B1D">
            <w:pPr>
              <w:keepNext w:val="0"/>
              <w:keepLines w:val="0"/>
              <w:pageBreakBefore w:val="0"/>
              <w:widowControl w:val="0"/>
              <w:kinsoku/>
              <w:wordWrap/>
              <w:overflowPunct/>
              <w:topLinePunct w:val="0"/>
              <w:autoSpaceDE/>
              <w:autoSpaceDN/>
              <w:bidi w:val="0"/>
              <w:adjustRightInd/>
              <w:snapToGrid/>
              <w:spacing w:after="120" w:line="360" w:lineRule="auto"/>
              <w:textAlignment w:val="auto"/>
              <w:rPr>
                <w:b/>
                <w:bCs/>
                <w:szCs w:val="21"/>
                <w:highlight w:val="none"/>
              </w:rPr>
            </w:pPr>
            <w:r>
              <w:rPr>
                <w:rFonts w:hint="eastAsia"/>
                <w:b/>
                <w:bCs/>
                <w:szCs w:val="21"/>
                <w:highlight w:val="none"/>
              </w:rPr>
              <w:t>（一）评分内容：</w:t>
            </w:r>
          </w:p>
          <w:p w14:paraId="500706F1">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77A7EDC">
            <w:pPr>
              <w:keepNext w:val="0"/>
              <w:keepLines w:val="0"/>
              <w:pageBreakBefore w:val="0"/>
              <w:widowControl w:val="0"/>
              <w:kinsoku/>
              <w:wordWrap/>
              <w:overflowPunct/>
              <w:topLinePunct w:val="0"/>
              <w:autoSpaceDE/>
              <w:autoSpaceDN/>
              <w:bidi w:val="0"/>
              <w:adjustRightInd/>
              <w:snapToGrid/>
              <w:spacing w:after="120" w:line="360" w:lineRule="auto"/>
              <w:textAlignment w:val="auto"/>
              <w:rPr>
                <w:b/>
                <w:bCs/>
                <w:szCs w:val="21"/>
                <w:highlight w:val="none"/>
              </w:rPr>
            </w:pPr>
            <w:r>
              <w:rPr>
                <w:rFonts w:hint="eastAsia"/>
                <w:b/>
                <w:bCs/>
                <w:szCs w:val="21"/>
                <w:highlight w:val="none"/>
              </w:rPr>
              <w:t>（二）评分依据：</w:t>
            </w:r>
          </w:p>
          <w:p w14:paraId="4ACC9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ighlight w:val="none"/>
              </w:rPr>
              <w:t>查询渠道：通过“信用中国”（www.creditchina.gov.cn，</w:t>
            </w:r>
            <w:r>
              <w:rPr>
                <w:rFonts w:hint="eastAsia"/>
                <w:b w:val="0"/>
                <w:bCs w:val="0"/>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bl>
    <w:p w14:paraId="03DD4038">
      <w:pPr>
        <w:pStyle w:val="17"/>
        <w:rPr>
          <w:sz w:val="120"/>
          <w:szCs w:val="120"/>
        </w:rPr>
      </w:pPr>
    </w:p>
    <w:p w14:paraId="5AB14343">
      <w:pPr>
        <w:pStyle w:val="17"/>
        <w:rPr>
          <w:sz w:val="120"/>
          <w:szCs w:val="120"/>
        </w:rPr>
      </w:pPr>
    </w:p>
    <w:p w14:paraId="06F9F0A8">
      <w:pPr>
        <w:pStyle w:val="17"/>
        <w:rPr>
          <w:rFonts w:hint="eastAsia"/>
        </w:rPr>
      </w:pPr>
    </w:p>
    <w:p w14:paraId="581299AB">
      <w:pPr>
        <w:rPr>
          <w:rFonts w:hint="eastAsia"/>
          <w:b/>
          <w:sz w:val="120"/>
          <w:szCs w:val="120"/>
        </w:rPr>
      </w:pPr>
      <w:r>
        <w:rPr>
          <w:rFonts w:hint="eastAsia"/>
          <w:b/>
          <w:sz w:val="120"/>
          <w:szCs w:val="120"/>
        </w:rPr>
        <w:br w:type="page"/>
      </w:r>
    </w:p>
    <w:p w14:paraId="626A76D8">
      <w:pPr>
        <w:jc w:val="center"/>
        <w:rPr>
          <w:rFonts w:hint="eastAsia"/>
          <w:b/>
          <w:sz w:val="120"/>
          <w:szCs w:val="120"/>
        </w:rPr>
      </w:pPr>
    </w:p>
    <w:p w14:paraId="1C4E97A9">
      <w:pPr>
        <w:jc w:val="center"/>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（服务类）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4"/>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color w:val="auto"/>
          <w:kern w:val="0"/>
          <w:szCs w:val="21"/>
          <w:highlight w:val="none"/>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Cs w:val="21"/>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Cs w:val="21"/>
        </w:rPr>
        <w:t>的营业执照及其</w:t>
      </w:r>
      <w:r>
        <w:rPr>
          <w:rFonts w:hint="eastAsia" w:ascii="宋体" w:hAnsi="宋体" w:eastAsia="宋体" w:cs="宋体"/>
          <w:szCs w:val="21"/>
        </w:rPr>
        <w:t>出具的载明愿为其参与本项目投标的行为以及履约等行为承担民事责任的加</w:t>
      </w:r>
      <w:r>
        <w:rPr>
          <w:rFonts w:hint="eastAsia" w:ascii="宋体" w:hAnsi="宋体" w:eastAsia="宋体" w:cs="宋体"/>
          <w:color w:val="auto"/>
          <w:szCs w:val="21"/>
          <w:highlight w:val="none"/>
        </w:rPr>
        <w:t>盖总公司公章的授权函）</w:t>
      </w:r>
      <w:r>
        <w:rPr>
          <w:rFonts w:hint="eastAsia" w:ascii="宋体" w:hAnsi="宋体" w:cs="宋体"/>
          <w:color w:val="auto"/>
          <w:szCs w:val="21"/>
          <w:highlight w:val="none"/>
        </w:rPr>
        <w:t>；</w:t>
      </w:r>
    </w:p>
    <w:p w14:paraId="10EBFF6A">
      <w:pPr>
        <w:ind w:firstLine="630" w:firstLineChars="300"/>
        <w:rPr>
          <w:rFonts w:hint="eastAsia" w:ascii="宋体" w:hAnsi="宋体" w:eastAsia="宋体" w:cs="宋体"/>
          <w:color w:val="auto"/>
          <w:szCs w:val="21"/>
          <w:highlight w:val="none"/>
        </w:rPr>
      </w:pPr>
      <w:r>
        <w:rPr>
          <w:rFonts w:hint="eastAsia" w:ascii="宋体" w:hAnsi="宋体" w:cs="宋体"/>
          <w:color w:val="auto"/>
          <w:kern w:val="0"/>
          <w:szCs w:val="21"/>
          <w:highlight w:val="none"/>
        </w:rPr>
        <w:t>2.</w:t>
      </w:r>
      <w:bookmarkStart w:id="0" w:name="OLE_LINK9"/>
      <w:r>
        <w:rPr>
          <w:rFonts w:hint="eastAsia" w:ascii="宋体" w:hAnsi="宋体" w:cs="宋体"/>
          <w:color w:val="auto"/>
          <w:kern w:val="0"/>
          <w:szCs w:val="21"/>
          <w:highlight w:val="none"/>
        </w:rPr>
        <w:t>本项</w:t>
      </w:r>
      <w:bookmarkStart w:id="1" w:name="OLE_LINK8"/>
      <w:r>
        <w:rPr>
          <w:rFonts w:hint="eastAsia" w:ascii="宋体" w:hAnsi="宋体" w:cs="宋体"/>
          <w:color w:val="auto"/>
          <w:kern w:val="0"/>
          <w:szCs w:val="21"/>
          <w:highlight w:val="none"/>
        </w:rPr>
        <w:t>目不接受联合体投标</w:t>
      </w:r>
      <w:bookmarkEnd w:id="1"/>
      <w:r>
        <w:rPr>
          <w:rFonts w:hint="eastAsia" w:ascii="宋体" w:hAnsi="宋体" w:cs="宋体"/>
          <w:color w:val="auto"/>
          <w:kern w:val="0"/>
          <w:szCs w:val="21"/>
          <w:highlight w:val="none"/>
        </w:rPr>
        <w:t>，</w:t>
      </w:r>
      <w:bookmarkStart w:id="2" w:name="OLE_LINK7"/>
      <w:r>
        <w:rPr>
          <w:rFonts w:hint="eastAsia" w:ascii="宋体" w:hAnsi="宋体" w:cs="宋体"/>
          <w:color w:val="auto"/>
          <w:kern w:val="0"/>
          <w:szCs w:val="21"/>
          <w:highlight w:val="none"/>
        </w:rPr>
        <w:t>不接受投标人选用进口产品参与投标，详见招标文件“第三章 用户需求书”</w:t>
      </w:r>
      <w:bookmarkEnd w:id="2"/>
      <w:r>
        <w:rPr>
          <w:rFonts w:hint="eastAsia" w:ascii="宋体" w:hAnsi="宋体" w:cs="宋体"/>
          <w:color w:val="auto"/>
          <w:kern w:val="0"/>
          <w:szCs w:val="21"/>
          <w:highlight w:val="none"/>
        </w:rPr>
        <w:t>；</w:t>
      </w:r>
      <w:bookmarkEnd w:id="0"/>
    </w:p>
    <w:p w14:paraId="5C136764">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参与本项目政府采购活动时不存在被有关部门禁止参与政府采购活动且在有效期内的情况（由供应商在《政府采购投标及履约承诺函》中作出声明）；</w:t>
      </w:r>
    </w:p>
    <w:p w14:paraId="690B670E">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未被列入失信被执行人、重大税收违法案件当事人名单、政府采购严重违法失信行为记录名单（由供应商在《政府采购投标及履约承诺函》中作出声明）；</w:t>
      </w:r>
    </w:p>
    <w:p w14:paraId="62EDBE8D">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6.不存在《深圳市财政局政府采购供应商信用信息管理办法》（深财规〔2023〕3号）列明的严重违法失信行为（由供应商在《政府采购投标及履约承诺函》中作出声明）；</w:t>
      </w:r>
    </w:p>
    <w:p w14:paraId="429CC173">
      <w:pPr>
        <w:ind w:firstLine="630" w:firstLineChars="3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7.为采购项目提供整体设计、规范编制或者项目管理、监理、检测等服务的供应商，不得再参加该采购项目的其他采购活动（由供应商在《政府采购投标及履约承诺函》中作出声明）；</w:t>
      </w:r>
    </w:p>
    <w:p w14:paraId="55877C37">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77FC80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67C54ADC">
      <w:pPr>
        <w:ind w:firstLine="420" w:firstLineChars="200"/>
        <w:rPr>
          <w:rFonts w:hint="default" w:eastAsiaTheme="minorEastAsia"/>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C21EB8F">
      <w:pPr>
        <w:pStyle w:val="2"/>
        <w:rPr>
          <w:rFonts w:hint="default" w:asciiTheme="minorHAnsi" w:hAnsiTheme="minorHAnsi" w:eastAsiaTheme="minorEastAsia" w:cstheme="minorBidi"/>
          <w:sz w:val="24"/>
          <w:szCs w:val="22"/>
          <w:lang w:val="en-US" w:eastAsia="zh-CN"/>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100052364"/>
      <w:bookmarkStart w:id="5" w:name="_Toc73518117"/>
      <w:bookmarkStart w:id="6" w:name="_Toc60560625"/>
      <w:bookmarkStart w:id="7" w:name="_Toc73517639"/>
      <w:bookmarkStart w:id="8" w:name="_Toc73521635"/>
      <w:bookmarkStart w:id="9" w:name="_Toc101074876"/>
      <w:bookmarkStart w:id="10" w:name="_Toc73521547"/>
      <w:bookmarkStart w:id="11" w:name="_Toc60631620"/>
      <w:r>
        <w:rPr>
          <w:rFonts w:hint="eastAsia" w:ascii="宋体" w:hAnsi="宋体" w:eastAsia="宋体" w:cs="Times New Roman"/>
          <w:b/>
          <w:bCs/>
          <w:kern w:val="0"/>
          <w:sz w:val="24"/>
          <w:szCs w:val="24"/>
        </w:rPr>
        <w:t>一、对通用条款的补充内容</w:t>
      </w:r>
    </w:p>
    <w:tbl>
      <w:tblPr>
        <w:tblStyle w:val="23"/>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深圳市龙华区民治第三幼教集团世纪春城幼儿园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rPr>
              <w:t>踏勘现场</w:t>
            </w:r>
          </w:p>
        </w:tc>
        <w:tc>
          <w:tcPr>
            <w:tcW w:w="6795" w:type="dxa"/>
            <w:vAlign w:val="center"/>
          </w:tcPr>
          <w:p w14:paraId="13123FB2">
            <w:pPr>
              <w:jc w:val="left"/>
              <w:rPr>
                <w:rFonts w:ascii="Arial" w:hAnsi="Arial" w:cs="Times New Roman"/>
                <w:szCs w:val="24"/>
              </w:rPr>
            </w:pPr>
            <w:r>
              <w:rPr>
                <w:rFonts w:hint="eastAsia" w:ascii="Arial" w:hAnsi="Arial" w:eastAsia="宋体" w:cs="Times New Roman"/>
                <w:szCs w:val="24"/>
              </w:rPr>
              <w:t>不组织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ascii="Arial" w:hAnsi="Arial" w:eastAsia="宋体" w:cs="Times New Roman"/>
                <w:szCs w:val="24"/>
              </w:rPr>
            </w:pPr>
            <w:r>
              <w:rPr>
                <w:rFonts w:hint="eastAsia" w:ascii="Arial" w:hAnsi="Arial" w:eastAsia="宋体" w:cs="Times New Roman"/>
                <w:szCs w:val="24"/>
              </w:rPr>
              <w:t>不组织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rPr>
            </w:pPr>
            <w:r>
              <w:rPr>
                <w:rFonts w:hint="eastAsia" w:ascii="宋体" w:hAnsi="宋体"/>
              </w:rPr>
              <w:t>样品、现场演示、方案讲解</w:t>
            </w:r>
          </w:p>
        </w:tc>
        <w:tc>
          <w:tcPr>
            <w:tcW w:w="6795" w:type="dxa"/>
            <w:vAlign w:val="center"/>
          </w:tcPr>
          <w:p w14:paraId="7B86E8D3">
            <w:pPr>
              <w:jc w:val="left"/>
              <w:rPr>
                <w:rFonts w:hint="eastAsia" w:ascii="宋体" w:hAnsi="宋体"/>
              </w:rPr>
            </w:pPr>
            <w:r>
              <w:rPr>
                <w:rFonts w:hint="eastAsia" w:ascii="宋体" w:hAnsi="宋体"/>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7BFEED7F">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（1）专门面向中小企业采购的项目，不再执行价格扣除比例。</w:t>
      </w:r>
    </w:p>
    <w:p w14:paraId="7EFBD4F8">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（2）非专门面向中小企业采购的项目，应执行价格扣除比例：供应商提供的服务全部由优惠主体承接，则对其投标总价给予</w:t>
      </w:r>
      <w:r>
        <w:rPr>
          <w:rFonts w:hint="eastAsia" w:asciiTheme="minorEastAsia" w:hAnsiTheme="minorEastAsia" w:cstheme="minorEastAsia"/>
          <w:szCs w:val="21"/>
          <w:u w:val="single"/>
        </w:rPr>
        <w:t xml:space="preserve"> </w:t>
      </w:r>
      <w:r>
        <w:rPr>
          <w:rFonts w:hint="eastAsia" w:asciiTheme="minorEastAsia" w:hAnsiTheme="minorEastAsia" w:cstheme="minorEastAsia"/>
          <w:color w:val="FF0000"/>
          <w:szCs w:val="21"/>
          <w:highlight w:val="yellow"/>
          <w:u w:val="single"/>
        </w:rPr>
        <w:t>10%</w:t>
      </w:r>
      <w:r>
        <w:rPr>
          <w:rFonts w:hint="eastAsia" w:asciiTheme="minorEastAsia" w:hAnsiTheme="minorEastAsia" w:cstheme="minorEastAsia"/>
          <w:szCs w:val="21"/>
        </w:rPr>
        <w:t>的扣除，用扣除后的价格参与评审。满足多项优惠政策的企业，不重复享受多项价格扣除政策。</w:t>
      </w:r>
    </w:p>
    <w:p w14:paraId="62BE5F8C">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3BEF5D4">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Theme="minorEastAsia" w:hAnsiTheme="minorEastAsia" w:cstheme="minorEastAsia"/>
          <w:color w:val="FF0000"/>
          <w:szCs w:val="21"/>
        </w:rPr>
        <w:t>《中小企业声明函》中相关企业（服务承接商）所属行业应当与采购标的所属行业相一致，标的所属行业以招标文件第一册第三章用户需求书“服务需求明细”的“标的所属行业”一栏为准</w:t>
      </w:r>
      <w:r>
        <w:rPr>
          <w:rFonts w:hint="eastAsia" w:asciiTheme="minorEastAsia" w:hAnsiTheme="minorEastAsia" w:cstheme="minorEastAsia"/>
          <w:szCs w:val="21"/>
        </w:rPr>
        <w:t>。</w:t>
      </w:r>
    </w:p>
    <w:p w14:paraId="33709052">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7F75E037">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b/>
          <w:color w:val="FF0000"/>
        </w:rPr>
        <w:t>本项目类型为服务采购：</w:t>
      </w:r>
    </w:p>
    <w:p w14:paraId="2EE7AC99">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4150BFD">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14:paraId="52AF1FC6">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14:paraId="168F74B6">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14:paraId="4C3FA7A1">
            <w:pPr>
              <w:widowControl/>
              <w:spacing w:line="360" w:lineRule="auto"/>
              <w:jc w:val="center"/>
              <w:rPr>
                <w:rFonts w:hint="eastAsia" w:ascii="宋体" w:hAnsi="宋体"/>
                <w:color w:val="FF0000"/>
                <w:szCs w:val="21"/>
              </w:rPr>
            </w:pPr>
            <w:r>
              <w:rPr>
                <w:rFonts w:hint="eastAsia"/>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14:paraId="6F0C0E05">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16F12740">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750A3D4A">
            <w:pPr>
              <w:widowControl/>
              <w:spacing w:line="360" w:lineRule="auto"/>
              <w:jc w:val="center"/>
              <w:rPr>
                <w:rFonts w:hint="eastAsia" w:ascii="宋体" w:hAnsi="宋体"/>
                <w:color w:val="FF0000"/>
                <w:szCs w:val="21"/>
              </w:rPr>
            </w:pPr>
            <w:r>
              <w:rPr>
                <w:rFonts w:hint="eastAsia"/>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14:paraId="7EA64F9B">
            <w:pPr>
              <w:widowControl/>
              <w:spacing w:line="360" w:lineRule="auto"/>
              <w:jc w:val="center"/>
              <w:rPr>
                <w:rFonts w:hint="eastAsia" w:ascii="宋体" w:hAnsi="宋体"/>
                <w:color w:val="FF0000"/>
                <w:szCs w:val="21"/>
              </w:rPr>
            </w:pPr>
            <w:r>
              <w:rPr>
                <w:rFonts w:hint="eastAsia"/>
              </w:rPr>
              <w:t>1.1%</w:t>
            </w:r>
          </w:p>
        </w:tc>
        <w:tc>
          <w:tcPr>
            <w:tcW w:w="1799" w:type="dxa"/>
            <w:vAlign w:val="center"/>
          </w:tcPr>
          <w:p w14:paraId="07147FDB">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1F34F700">
            <w:pPr>
              <w:widowControl/>
              <w:spacing w:line="360" w:lineRule="auto"/>
              <w:jc w:val="center"/>
              <w:rPr>
                <w:rFonts w:hint="eastAsia" w:ascii="宋体" w:hAnsi="宋体"/>
                <w:color w:val="FF0000"/>
                <w:szCs w:val="21"/>
              </w:rPr>
            </w:pPr>
            <w:r>
              <w:rPr>
                <w:rFonts w:hint="eastAsia"/>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14:paraId="5BBC6A31">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3BF41B0E">
            <w:pPr>
              <w:widowControl/>
              <w:spacing w:line="360" w:lineRule="auto"/>
              <w:jc w:val="center"/>
              <w:rPr>
                <w:rFonts w:hint="eastAsia" w:ascii="宋体" w:hAnsi="宋体"/>
                <w:color w:val="FF0000"/>
                <w:szCs w:val="21"/>
              </w:rPr>
            </w:pPr>
            <w:r>
              <w:rPr>
                <w:rFonts w:hint="eastAsia"/>
              </w:rPr>
              <w:t>0.45%</w:t>
            </w:r>
          </w:p>
        </w:tc>
        <w:tc>
          <w:tcPr>
            <w:tcW w:w="1799" w:type="dxa"/>
            <w:vAlign w:val="center"/>
          </w:tcPr>
          <w:p w14:paraId="7606C624">
            <w:pPr>
              <w:widowControl/>
              <w:spacing w:line="360" w:lineRule="auto"/>
              <w:jc w:val="center"/>
              <w:rPr>
                <w:rFonts w:hint="eastAsia" w:ascii="宋体" w:hAnsi="宋体"/>
                <w:color w:val="FF0000"/>
                <w:szCs w:val="21"/>
              </w:rPr>
            </w:pPr>
            <w:r>
              <w:rPr>
                <w:rFonts w:hint="eastAsia"/>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14:paraId="1BE05306">
            <w:pPr>
              <w:widowControl/>
              <w:spacing w:line="360" w:lineRule="auto"/>
              <w:jc w:val="center"/>
              <w:rPr>
                <w:rFonts w:hint="eastAsia" w:ascii="宋体" w:hAnsi="宋体"/>
                <w:color w:val="FF0000"/>
                <w:szCs w:val="21"/>
              </w:rPr>
            </w:pPr>
            <w:r>
              <w:rPr>
                <w:rFonts w:hint="eastAsia"/>
              </w:rPr>
              <w:t>0.5%</w:t>
            </w:r>
          </w:p>
        </w:tc>
        <w:tc>
          <w:tcPr>
            <w:tcW w:w="1799" w:type="dxa"/>
            <w:vAlign w:val="center"/>
          </w:tcPr>
          <w:p w14:paraId="08ADF3D4">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3DC4E427">
            <w:pPr>
              <w:widowControl/>
              <w:spacing w:line="360" w:lineRule="auto"/>
              <w:jc w:val="center"/>
              <w:rPr>
                <w:rFonts w:hint="eastAsia" w:ascii="宋体" w:hAnsi="宋体"/>
                <w:color w:val="FF0000"/>
                <w:szCs w:val="21"/>
              </w:rPr>
            </w:pPr>
            <w:r>
              <w:rPr>
                <w:rFonts w:hint="eastAsia"/>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14:paraId="0386D928">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04A4B7FA">
            <w:pPr>
              <w:widowControl/>
              <w:spacing w:line="360" w:lineRule="auto"/>
              <w:jc w:val="center"/>
              <w:rPr>
                <w:rFonts w:hint="eastAsia" w:ascii="宋体" w:hAnsi="宋体"/>
                <w:color w:val="FF0000"/>
                <w:szCs w:val="21"/>
              </w:rPr>
            </w:pPr>
            <w:r>
              <w:rPr>
                <w:rFonts w:hint="eastAsia"/>
              </w:rPr>
              <w:t>0.1%</w:t>
            </w:r>
          </w:p>
        </w:tc>
        <w:tc>
          <w:tcPr>
            <w:tcW w:w="1799" w:type="dxa"/>
            <w:vAlign w:val="center"/>
          </w:tcPr>
          <w:p w14:paraId="11F174A2">
            <w:pPr>
              <w:widowControl/>
              <w:spacing w:line="360" w:lineRule="auto"/>
              <w:jc w:val="center"/>
              <w:rPr>
                <w:rFonts w:hint="eastAsia" w:ascii="宋体" w:hAnsi="宋体"/>
                <w:color w:val="FF0000"/>
                <w:szCs w:val="21"/>
              </w:rPr>
            </w:pPr>
            <w:r>
              <w:rPr>
                <w:rFonts w:hint="eastAsia"/>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14:paraId="7EEE4413">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25405812">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73BF6908">
            <w:pPr>
              <w:widowControl/>
              <w:spacing w:line="360" w:lineRule="auto"/>
              <w:jc w:val="center"/>
              <w:rPr>
                <w:rFonts w:hint="eastAsia" w:ascii="宋体" w:hAnsi="宋体"/>
                <w:color w:val="FF0000"/>
                <w:szCs w:val="21"/>
              </w:rPr>
            </w:pPr>
            <w:r>
              <w:rPr>
                <w:rFonts w:hint="eastAsia"/>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14:paraId="216133AA">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2B82A36">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82DC7BD">
            <w:pPr>
              <w:widowControl/>
              <w:spacing w:line="360" w:lineRule="auto"/>
              <w:jc w:val="center"/>
              <w:rPr>
                <w:rFonts w:hint="eastAsia" w:ascii="宋体" w:hAnsi="宋体"/>
                <w:color w:val="FF0000"/>
                <w:szCs w:val="21"/>
              </w:rPr>
            </w:pPr>
            <w:r>
              <w:rPr>
                <w:rFonts w:hint="eastAsia"/>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14:paraId="632CD209">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7DD4340F">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4099C8CD">
            <w:pPr>
              <w:widowControl/>
              <w:spacing w:line="360" w:lineRule="auto"/>
              <w:jc w:val="center"/>
              <w:rPr>
                <w:rFonts w:hint="eastAsia" w:ascii="宋体" w:hAnsi="宋体"/>
                <w:color w:val="FF0000"/>
                <w:szCs w:val="21"/>
              </w:rPr>
            </w:pPr>
            <w:r>
              <w:rPr>
                <w:rFonts w:hint="eastAsia"/>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14:paraId="03479B16">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09CC6F9D">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657F7294">
            <w:pPr>
              <w:widowControl/>
              <w:spacing w:line="360" w:lineRule="auto"/>
              <w:jc w:val="center"/>
              <w:rPr>
                <w:rFonts w:hint="eastAsia" w:ascii="宋体" w:hAnsi="宋体"/>
                <w:color w:val="FF0000"/>
                <w:szCs w:val="21"/>
              </w:rPr>
            </w:pPr>
            <w:r>
              <w:rPr>
                <w:rFonts w:hint="eastAsia"/>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14:paraId="350E8264">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490C303A">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7ED3AD63">
            <w:pPr>
              <w:widowControl/>
              <w:spacing w:line="360" w:lineRule="auto"/>
              <w:jc w:val="center"/>
              <w:rPr>
                <w:rFonts w:hint="eastAsia" w:ascii="宋体" w:hAnsi="宋体"/>
                <w:color w:val="FF0000"/>
                <w:szCs w:val="21"/>
              </w:rPr>
            </w:pPr>
            <w:r>
              <w:rPr>
                <w:rFonts w:hint="eastAsia"/>
              </w:rPr>
              <w:t>0.004%</w:t>
            </w:r>
          </w:p>
        </w:tc>
      </w:tr>
    </w:tbl>
    <w:p w14:paraId="599691B1">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4E48BEF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606BC418">
      <w:pPr>
        <w:ind w:firstLine="420" w:firstLineChars="200"/>
      </w:pPr>
    </w:p>
    <w:p w14:paraId="24CB329F">
      <w:pPr>
        <w:ind w:firstLine="420" w:firstLineChars="200"/>
      </w:pPr>
      <w:r>
        <w:rPr>
          <w:rFonts w:hint="eastAsia"/>
        </w:rPr>
        <w:t>如某货物采购项目，中标（成交）金额为600万元，总共交纳的代理服务费的具体计算过程如下：</w:t>
      </w:r>
    </w:p>
    <w:p w14:paraId="0E6D94B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3"/>
        <w:tblW w:w="8931" w:type="dxa"/>
        <w:jc w:val="center"/>
        <w:tblLayout w:type="fixed"/>
        <w:tblCellMar>
          <w:top w:w="15" w:type="dxa"/>
          <w:left w:w="15" w:type="dxa"/>
          <w:bottom w:w="15" w:type="dxa"/>
          <w:right w:w="15" w:type="dxa"/>
        </w:tblCellMar>
      </w:tblPr>
      <w:tblGrid>
        <w:gridCol w:w="710"/>
        <w:gridCol w:w="2323"/>
        <w:gridCol w:w="4119"/>
        <w:gridCol w:w="1779"/>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LHAZXCG-2025-00072</w:t>
            </w:r>
          </w:p>
        </w:tc>
        <w:tc>
          <w:tcPr>
            <w:tcW w:w="4119" w:type="dxa"/>
            <w:tcBorders>
              <w:top w:val="single" w:color="000000" w:sz="4" w:space="0"/>
              <w:left w:val="single" w:color="000000" w:sz="4" w:space="0"/>
              <w:right w:val="single" w:color="000000" w:sz="4" w:space="0"/>
            </w:tcBorders>
            <w:vAlign w:val="center"/>
          </w:tcPr>
          <w:p w14:paraId="19B1A379">
            <w:pPr>
              <w:jc w:val="center"/>
              <w:rPr>
                <w:rFonts w:eastAsia="宋体"/>
              </w:rPr>
            </w:pPr>
            <w:r>
              <w:rPr>
                <w:rFonts w:hint="eastAsia" w:eastAsia="宋体"/>
              </w:rPr>
              <w:t>龙华区民治第三幼教集团世纪春城幼儿园物业管理服务采购</w:t>
            </w:r>
          </w:p>
        </w:tc>
        <w:tc>
          <w:tcPr>
            <w:tcW w:w="1779"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458400</w:t>
            </w:r>
            <w:r>
              <w:rPr>
                <w:rFonts w:hint="default" w:asciiTheme="minorEastAsia" w:hAnsiTheme="minorEastAsia" w:eastAsiaTheme="minorEastAsia"/>
                <w:sz w:val="24"/>
                <w:szCs w:val="24"/>
                <w:lang w:val="en-US" w:eastAsia="zh-CN"/>
              </w:rPr>
              <w:t>.00</w:t>
            </w:r>
          </w:p>
        </w:tc>
      </w:tr>
      <w:tr w14:paraId="060069AB">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w:t>
      </w:r>
      <w:r>
        <w:rPr>
          <w:rFonts w:hint="eastAsia" w:ascii="Arial" w:hAnsi="Arial" w:eastAsia="宋体" w:cs="Times New Roman"/>
          <w:b/>
          <w:color w:val="FF0000"/>
          <w:sz w:val="24"/>
          <w:szCs w:val="24"/>
          <w:lang w:val="en-US" w:eastAsia="zh-CN"/>
        </w:rPr>
        <w:t>458400</w:t>
      </w:r>
      <w:r>
        <w:rPr>
          <w:rFonts w:hint="eastAsia" w:ascii="Arial" w:hAnsi="Arial" w:eastAsia="宋体" w:cs="Times New Roman"/>
          <w:b/>
          <w:color w:val="FF0000"/>
          <w:sz w:val="24"/>
          <w:szCs w:val="24"/>
        </w:rPr>
        <w:t>.00元，投标报价超出控制金额将作投标无效处理。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color w:val="auto"/>
          <w:sz w:val="32"/>
          <w:szCs w:val="32"/>
        </w:rPr>
      </w:pPr>
      <w:r>
        <w:rPr>
          <w:rFonts w:hint="eastAsia" w:ascii="Arial" w:hAnsi="Arial" w:eastAsia="宋体" w:cs="Times New Roman"/>
          <w:b/>
          <w:color w:val="auto"/>
          <w:sz w:val="32"/>
          <w:szCs w:val="32"/>
        </w:rPr>
        <w:t>二、</w:t>
      </w:r>
      <w:r>
        <w:rPr>
          <w:rFonts w:hint="eastAsia" w:ascii="Arial" w:hAnsi="Arial" w:eastAsia="宋体" w:cs="Times New Roman"/>
          <w:b/>
          <w:color w:val="auto"/>
          <w:sz w:val="32"/>
          <w:szCs w:val="32"/>
          <w:lang w:eastAsia="zh-CN"/>
        </w:rPr>
        <w:t>服务内容</w:t>
      </w:r>
    </w:p>
    <w:p w14:paraId="3EEA1BF0">
      <w:pPr>
        <w:adjustRightInd w:val="0"/>
        <w:spacing w:before="156" w:beforeLines="50" w:after="156" w:afterLines="50" w:line="360" w:lineRule="auto"/>
        <w:textAlignment w:val="baseline"/>
        <w:outlineLvl w:val="3"/>
        <w:rPr>
          <w:rFonts w:ascii="宋体" w:hAnsi="宋体" w:cs="宋体"/>
        </w:rPr>
      </w:pPr>
      <w:r>
        <w:rPr>
          <w:rFonts w:hint="eastAsia" w:ascii="宋体" w:hAnsi="宋体"/>
          <w:b/>
          <w:bCs/>
          <w:kern w:val="0"/>
          <w:sz w:val="24"/>
        </w:rPr>
        <w:t>（一）技术要求</w:t>
      </w:r>
    </w:p>
    <w:p w14:paraId="12284445">
      <w:pPr>
        <w:topLinePunct/>
        <w:spacing w:line="360" w:lineRule="auto"/>
        <w:ind w:firstLine="422" w:firstLineChars="200"/>
        <w:rPr>
          <w:rFonts w:ascii="宋体" w:hAnsi="宋体" w:cs="宋体"/>
          <w:b/>
          <w:bCs/>
        </w:rPr>
      </w:pPr>
      <w:r>
        <w:rPr>
          <w:rFonts w:hint="eastAsia" w:ascii="宋体" w:hAnsi="宋体" w:cs="宋体"/>
          <w:b/>
          <w:bCs/>
        </w:rPr>
        <w:t>1</w:t>
      </w:r>
      <w:r>
        <w:rPr>
          <w:rFonts w:ascii="宋体" w:hAnsi="宋体" w:cs="宋体"/>
          <w:b/>
          <w:bCs/>
        </w:rPr>
        <w:t>、环境卫生管理要求</w:t>
      </w:r>
    </w:p>
    <w:p w14:paraId="4878545D">
      <w:pPr>
        <w:topLinePunct/>
        <w:spacing w:line="360" w:lineRule="auto"/>
        <w:ind w:firstLine="420" w:firstLineChars="200"/>
        <w:rPr>
          <w:rFonts w:ascii="宋体" w:hAnsi="宋体" w:cs="宋体"/>
        </w:rPr>
      </w:pPr>
      <w:r>
        <w:rPr>
          <w:rFonts w:ascii="宋体" w:hAnsi="宋体" w:cs="宋体"/>
        </w:rPr>
        <w:t>(1)清洁卫生实行一体化管理，有专业清洁队伍，管理制度完善。</w:t>
      </w:r>
    </w:p>
    <w:p w14:paraId="39655C5E">
      <w:pPr>
        <w:topLinePunct/>
        <w:spacing w:line="360" w:lineRule="auto"/>
        <w:ind w:firstLine="420" w:firstLineChars="200"/>
        <w:rPr>
          <w:rFonts w:ascii="宋体" w:hAnsi="宋体" w:cs="宋体"/>
        </w:rPr>
      </w:pPr>
      <w:r>
        <w:rPr>
          <w:rFonts w:ascii="宋体" w:hAnsi="宋体" w:cs="宋体"/>
        </w:rPr>
        <w:t>(2)负责做好校门前及红线图以内所有的地面、绿化带、建筑物的墙面及附属物、门窗、室内区域(不含学生宿舍房间内、教室内、教师宿舍房间内)所有设施及用具的卫生保洁与管理。</w:t>
      </w:r>
    </w:p>
    <w:p w14:paraId="37A93F7F">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rPr>
        <w:t>3</w:t>
      </w:r>
      <w:r>
        <w:rPr>
          <w:rFonts w:ascii="宋体" w:hAnsi="宋体" w:cs="宋体"/>
        </w:rPr>
        <w:t>)负责承担学校教师卫生间的洗水液、纸巾(此类物品由学校购置)的放置与管理。</w:t>
      </w:r>
    </w:p>
    <w:p w14:paraId="3884A78A">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rPr>
        <w:t>4</w:t>
      </w:r>
      <w:r>
        <w:rPr>
          <w:rFonts w:ascii="宋体" w:hAnsi="宋体" w:cs="宋体"/>
        </w:rPr>
        <w:t>)学校区域内的教学楼、办公楼等建筑物公共部位以及绿地、道路、操场等空地的清洁每天不少于二次。</w:t>
      </w:r>
    </w:p>
    <w:p w14:paraId="5628BF01">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rPr>
        <w:t>5</w:t>
      </w:r>
      <w:r>
        <w:rPr>
          <w:rFonts w:ascii="宋体" w:hAnsi="宋体" w:cs="宋体"/>
        </w:rPr>
        <w:t>)</w:t>
      </w:r>
      <w:r>
        <w:rPr>
          <w:rFonts w:hint="eastAsia" w:ascii="宋体" w:hAnsi="宋体" w:cs="宋体"/>
        </w:rPr>
        <w:t>具备地面清洁、清洗相关设备，</w:t>
      </w:r>
      <w:r>
        <w:rPr>
          <w:rFonts w:ascii="宋体" w:hAnsi="宋体" w:cs="宋体"/>
        </w:rPr>
        <w:t>电梯轿厢、操作板、地面等清洁保养每天不少于二次。</w:t>
      </w:r>
    </w:p>
    <w:p w14:paraId="00FE7D0E">
      <w:pPr>
        <w:topLinePunct/>
        <w:spacing w:line="360" w:lineRule="auto"/>
        <w:ind w:firstLine="420" w:firstLineChars="200"/>
        <w:rPr>
          <w:rFonts w:ascii="宋体" w:hAnsi="宋体" w:cs="宋体"/>
        </w:rPr>
      </w:pPr>
      <w:r>
        <w:rPr>
          <w:rFonts w:hint="eastAsia" w:ascii="宋体" w:hAnsi="宋体" w:cs="宋体"/>
        </w:rPr>
        <w:t>（6）</w:t>
      </w:r>
      <w:r>
        <w:rPr>
          <w:rFonts w:ascii="宋体" w:hAnsi="宋体" w:cs="宋体"/>
        </w:rPr>
        <w:t>负责学校电扇的清洗</w:t>
      </w:r>
      <w:r>
        <w:rPr>
          <w:rFonts w:hint="eastAsia" w:ascii="宋体" w:hAnsi="宋体" w:cs="宋体"/>
        </w:rPr>
        <w:t>、</w:t>
      </w:r>
      <w:r>
        <w:rPr>
          <w:rFonts w:ascii="宋体" w:hAnsi="宋体" w:cs="宋体"/>
        </w:rPr>
        <w:t>空调</w:t>
      </w:r>
      <w:r>
        <w:rPr>
          <w:rFonts w:hint="eastAsia" w:ascii="宋体" w:hAnsi="宋体" w:cs="宋体"/>
        </w:rPr>
        <w:t>室内机表面及过滤网定期清洁，空调主机、中央空调主机等涉及专业拆洗、维护保养和高空作业的内容，由校方自主聘请具有专业资质的维保公司开展。</w:t>
      </w:r>
    </w:p>
    <w:p w14:paraId="44551532">
      <w:pPr>
        <w:spacing w:line="360" w:lineRule="auto"/>
        <w:ind w:firstLine="420" w:firstLineChars="200"/>
        <w:rPr>
          <w:rFonts w:ascii="宋体" w:hAnsi="宋体"/>
        </w:rPr>
      </w:pPr>
      <w:r>
        <w:rPr>
          <w:rFonts w:hint="eastAsia" w:ascii="宋体" w:hAnsi="宋体"/>
        </w:rPr>
        <w:t>（7）定期开展除“四害”等卫生消杀工作，严格按照上级有关部门规定进行定期的防疫消杀工作，在流行性传染病高发期或爆发期以及春夏孽蚊滋生季节要严格按校方或上级有关部门要求组织消杀。中标单位使用防治有害生物的药物必需符合爱卫办及国家有关部门的规定，并确保安全和效果。</w:t>
      </w:r>
    </w:p>
    <w:p w14:paraId="36053868">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rPr>
        <w:t>8</w:t>
      </w:r>
      <w:r>
        <w:rPr>
          <w:rFonts w:ascii="宋体" w:hAnsi="宋体" w:cs="宋体"/>
        </w:rPr>
        <w:t>)清洁卫生作业质量标准：</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2"/>
        <w:gridCol w:w="630"/>
        <w:gridCol w:w="1072"/>
        <w:gridCol w:w="1704"/>
        <w:gridCol w:w="1548"/>
        <w:gridCol w:w="1856"/>
        <w:gridCol w:w="1800"/>
      </w:tblGrid>
      <w:tr w14:paraId="36F4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restart"/>
            <w:vAlign w:val="center"/>
          </w:tcPr>
          <w:p w14:paraId="290CA010">
            <w:pPr>
              <w:topLinePunct/>
              <w:jc w:val="center"/>
              <w:rPr>
                <w:rFonts w:ascii="宋体" w:hAnsi="宋体" w:cs="宋体"/>
                <w:kern w:val="0"/>
                <w:sz w:val="20"/>
                <w:szCs w:val="20"/>
              </w:rPr>
            </w:pPr>
            <w:r>
              <w:rPr>
                <w:rFonts w:ascii="宋体" w:hAnsi="宋体" w:cs="宋体"/>
                <w:kern w:val="0"/>
                <w:sz w:val="20"/>
                <w:szCs w:val="20"/>
              </w:rPr>
              <w:t>场所</w:t>
            </w:r>
          </w:p>
        </w:tc>
        <w:tc>
          <w:tcPr>
            <w:tcW w:w="937" w:type="pct"/>
            <w:gridSpan w:val="2"/>
            <w:vMerge w:val="restart"/>
            <w:vAlign w:val="center"/>
          </w:tcPr>
          <w:p w14:paraId="1AD73479">
            <w:pPr>
              <w:topLinePunct/>
              <w:jc w:val="center"/>
              <w:rPr>
                <w:rFonts w:ascii="宋体" w:hAnsi="宋体" w:cs="宋体"/>
                <w:kern w:val="0"/>
                <w:sz w:val="20"/>
                <w:szCs w:val="20"/>
              </w:rPr>
            </w:pPr>
            <w:r>
              <w:rPr>
                <w:rFonts w:ascii="宋体" w:hAnsi="宋体" w:cs="宋体"/>
                <w:kern w:val="0"/>
                <w:sz w:val="20"/>
                <w:szCs w:val="20"/>
              </w:rPr>
              <w:t>清洁项目</w:t>
            </w:r>
          </w:p>
        </w:tc>
        <w:tc>
          <w:tcPr>
            <w:tcW w:w="2812" w:type="pct"/>
            <w:gridSpan w:val="3"/>
            <w:vAlign w:val="center"/>
          </w:tcPr>
          <w:p w14:paraId="689A7A28">
            <w:pPr>
              <w:topLinePunct/>
              <w:jc w:val="center"/>
              <w:rPr>
                <w:rFonts w:ascii="宋体" w:hAnsi="宋体" w:cs="宋体"/>
                <w:kern w:val="0"/>
                <w:sz w:val="20"/>
                <w:szCs w:val="20"/>
              </w:rPr>
            </w:pPr>
            <w:r>
              <w:rPr>
                <w:rFonts w:ascii="宋体" w:hAnsi="宋体" w:cs="宋体"/>
                <w:kern w:val="0"/>
                <w:sz w:val="20"/>
                <w:szCs w:val="20"/>
              </w:rPr>
              <w:t>清洁内容</w:t>
            </w:r>
          </w:p>
        </w:tc>
        <w:tc>
          <w:tcPr>
            <w:tcW w:w="991" w:type="pct"/>
            <w:vMerge w:val="restart"/>
            <w:vAlign w:val="center"/>
          </w:tcPr>
          <w:p w14:paraId="13BAD431">
            <w:pPr>
              <w:topLinePunct/>
              <w:jc w:val="center"/>
              <w:rPr>
                <w:rFonts w:ascii="宋体" w:hAnsi="宋体" w:cs="宋体"/>
                <w:kern w:val="0"/>
                <w:sz w:val="20"/>
                <w:szCs w:val="20"/>
              </w:rPr>
            </w:pPr>
            <w:r>
              <w:rPr>
                <w:rFonts w:ascii="宋体" w:hAnsi="宋体" w:cs="宋体"/>
                <w:kern w:val="0"/>
                <w:sz w:val="20"/>
                <w:szCs w:val="20"/>
              </w:rPr>
              <w:t>质量标准</w:t>
            </w:r>
          </w:p>
        </w:tc>
      </w:tr>
      <w:tr w14:paraId="1AAB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63EB0570">
            <w:pPr>
              <w:topLinePunct/>
              <w:jc w:val="center"/>
              <w:rPr>
                <w:rFonts w:ascii="宋体" w:hAnsi="宋体" w:cs="宋体"/>
                <w:kern w:val="0"/>
                <w:sz w:val="20"/>
                <w:szCs w:val="20"/>
              </w:rPr>
            </w:pPr>
          </w:p>
        </w:tc>
        <w:tc>
          <w:tcPr>
            <w:tcW w:w="937" w:type="pct"/>
            <w:gridSpan w:val="2"/>
            <w:vMerge w:val="continue"/>
            <w:vAlign w:val="center"/>
          </w:tcPr>
          <w:p w14:paraId="5A2F4F22">
            <w:pPr>
              <w:topLinePunct/>
              <w:jc w:val="center"/>
              <w:rPr>
                <w:rFonts w:ascii="宋体" w:hAnsi="宋体" w:cs="Arial"/>
                <w:kern w:val="0"/>
                <w:sz w:val="20"/>
                <w:szCs w:val="20"/>
              </w:rPr>
            </w:pPr>
          </w:p>
        </w:tc>
        <w:tc>
          <w:tcPr>
            <w:tcW w:w="938" w:type="pct"/>
            <w:vAlign w:val="center"/>
          </w:tcPr>
          <w:p w14:paraId="35D302B5">
            <w:pPr>
              <w:topLinePunct/>
              <w:jc w:val="center"/>
              <w:rPr>
                <w:rFonts w:ascii="宋体" w:hAnsi="宋体" w:cs="宋体"/>
                <w:kern w:val="0"/>
                <w:sz w:val="20"/>
                <w:szCs w:val="20"/>
              </w:rPr>
            </w:pPr>
            <w:r>
              <w:rPr>
                <w:rFonts w:ascii="宋体" w:hAnsi="宋体" w:cs="宋体"/>
                <w:kern w:val="0"/>
                <w:sz w:val="20"/>
                <w:szCs w:val="20"/>
              </w:rPr>
              <w:t>每日</w:t>
            </w:r>
          </w:p>
        </w:tc>
        <w:tc>
          <w:tcPr>
            <w:tcW w:w="852" w:type="pct"/>
            <w:vAlign w:val="center"/>
          </w:tcPr>
          <w:p w14:paraId="3161643E">
            <w:pPr>
              <w:topLinePunct/>
              <w:jc w:val="center"/>
              <w:rPr>
                <w:rFonts w:ascii="宋体" w:hAnsi="宋体" w:cs="宋体"/>
                <w:kern w:val="0"/>
                <w:sz w:val="20"/>
                <w:szCs w:val="20"/>
              </w:rPr>
            </w:pPr>
            <w:r>
              <w:rPr>
                <w:rFonts w:ascii="宋体" w:hAnsi="宋体" w:cs="宋体"/>
                <w:kern w:val="0"/>
                <w:sz w:val="20"/>
                <w:szCs w:val="20"/>
              </w:rPr>
              <w:t>每周</w:t>
            </w:r>
          </w:p>
        </w:tc>
        <w:tc>
          <w:tcPr>
            <w:tcW w:w="1022" w:type="pct"/>
            <w:vAlign w:val="center"/>
          </w:tcPr>
          <w:p w14:paraId="46DB5ACE">
            <w:pPr>
              <w:topLinePunct/>
              <w:jc w:val="center"/>
              <w:rPr>
                <w:rFonts w:ascii="宋体" w:hAnsi="宋体" w:cs="宋体"/>
                <w:kern w:val="0"/>
                <w:sz w:val="20"/>
                <w:szCs w:val="20"/>
              </w:rPr>
            </w:pPr>
            <w:r>
              <w:rPr>
                <w:rFonts w:ascii="宋体" w:hAnsi="宋体" w:cs="宋体"/>
                <w:kern w:val="0"/>
                <w:sz w:val="20"/>
                <w:szCs w:val="20"/>
              </w:rPr>
              <w:t>每月</w:t>
            </w:r>
          </w:p>
        </w:tc>
        <w:tc>
          <w:tcPr>
            <w:tcW w:w="991" w:type="pct"/>
            <w:vMerge w:val="continue"/>
            <w:vAlign w:val="center"/>
          </w:tcPr>
          <w:p w14:paraId="28487194">
            <w:pPr>
              <w:topLinePunct/>
              <w:jc w:val="center"/>
              <w:rPr>
                <w:rFonts w:ascii="宋体" w:hAnsi="宋体" w:cs="Arial"/>
                <w:kern w:val="0"/>
                <w:sz w:val="20"/>
                <w:szCs w:val="20"/>
              </w:rPr>
            </w:pPr>
          </w:p>
        </w:tc>
      </w:tr>
      <w:tr w14:paraId="6F83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restart"/>
            <w:vAlign w:val="center"/>
          </w:tcPr>
          <w:p w14:paraId="4125D9CF">
            <w:pPr>
              <w:topLinePunct/>
              <w:jc w:val="center"/>
              <w:rPr>
                <w:rFonts w:ascii="宋体" w:hAnsi="宋体" w:cs="宋体"/>
                <w:kern w:val="0"/>
                <w:sz w:val="20"/>
                <w:szCs w:val="20"/>
              </w:rPr>
            </w:pPr>
            <w:r>
              <w:rPr>
                <w:rFonts w:ascii="宋体" w:hAnsi="宋体" w:cs="宋体"/>
                <w:kern w:val="0"/>
                <w:sz w:val="20"/>
                <w:szCs w:val="20"/>
              </w:rPr>
              <w:t>楼层公共部分</w:t>
            </w:r>
          </w:p>
        </w:tc>
        <w:tc>
          <w:tcPr>
            <w:tcW w:w="937" w:type="pct"/>
            <w:gridSpan w:val="2"/>
            <w:vAlign w:val="center"/>
          </w:tcPr>
          <w:p w14:paraId="29BCCD1E">
            <w:pPr>
              <w:topLinePunct/>
              <w:jc w:val="center"/>
              <w:rPr>
                <w:rFonts w:ascii="宋体" w:hAnsi="宋体" w:cs="宋体"/>
                <w:kern w:val="0"/>
                <w:sz w:val="20"/>
                <w:szCs w:val="20"/>
              </w:rPr>
            </w:pPr>
            <w:r>
              <w:rPr>
                <w:rFonts w:ascii="宋体" w:hAnsi="宋体" w:cs="宋体"/>
                <w:kern w:val="0"/>
                <w:sz w:val="20"/>
                <w:szCs w:val="20"/>
              </w:rPr>
              <w:t>地面</w:t>
            </w:r>
          </w:p>
        </w:tc>
        <w:tc>
          <w:tcPr>
            <w:tcW w:w="938" w:type="pct"/>
            <w:vAlign w:val="center"/>
          </w:tcPr>
          <w:p w14:paraId="16AA7646">
            <w:pPr>
              <w:topLinePunct/>
              <w:jc w:val="center"/>
              <w:rPr>
                <w:rFonts w:ascii="宋体" w:hAnsi="宋体" w:cs="宋体"/>
                <w:kern w:val="0"/>
                <w:sz w:val="20"/>
                <w:szCs w:val="20"/>
              </w:rPr>
            </w:pPr>
            <w:r>
              <w:rPr>
                <w:rFonts w:ascii="宋体" w:hAnsi="宋体" w:cs="宋体"/>
                <w:kern w:val="0"/>
                <w:sz w:val="20"/>
                <w:szCs w:val="20"/>
              </w:rPr>
              <w:t>配合清洁剂湿拖一次，随时保洁</w:t>
            </w:r>
          </w:p>
        </w:tc>
        <w:tc>
          <w:tcPr>
            <w:tcW w:w="852" w:type="pct"/>
            <w:vAlign w:val="center"/>
          </w:tcPr>
          <w:p w14:paraId="719BAE83">
            <w:pPr>
              <w:topLinePunct/>
              <w:jc w:val="center"/>
              <w:rPr>
                <w:rFonts w:ascii="宋体" w:hAnsi="宋体" w:cs="Arial"/>
                <w:kern w:val="0"/>
                <w:sz w:val="20"/>
                <w:szCs w:val="20"/>
              </w:rPr>
            </w:pPr>
          </w:p>
        </w:tc>
        <w:tc>
          <w:tcPr>
            <w:tcW w:w="1022" w:type="pct"/>
            <w:vAlign w:val="center"/>
          </w:tcPr>
          <w:p w14:paraId="032CB293">
            <w:pPr>
              <w:topLinePunct/>
              <w:jc w:val="center"/>
              <w:rPr>
                <w:rFonts w:ascii="宋体" w:hAnsi="宋体" w:cs="宋体"/>
                <w:kern w:val="0"/>
                <w:sz w:val="20"/>
                <w:szCs w:val="20"/>
              </w:rPr>
            </w:pPr>
            <w:r>
              <w:rPr>
                <w:rFonts w:ascii="宋体" w:hAnsi="宋体" w:cs="宋体"/>
                <w:kern w:val="0"/>
                <w:sz w:val="20"/>
                <w:szCs w:val="20"/>
              </w:rPr>
              <w:t>清洗一次</w:t>
            </w:r>
          </w:p>
        </w:tc>
        <w:tc>
          <w:tcPr>
            <w:tcW w:w="991" w:type="pct"/>
            <w:vAlign w:val="center"/>
          </w:tcPr>
          <w:p w14:paraId="62A86AA1">
            <w:pPr>
              <w:topLinePunct/>
              <w:jc w:val="center"/>
              <w:rPr>
                <w:rFonts w:ascii="宋体" w:hAnsi="宋体" w:cs="宋体"/>
                <w:kern w:val="0"/>
                <w:sz w:val="20"/>
                <w:szCs w:val="20"/>
              </w:rPr>
            </w:pPr>
            <w:r>
              <w:rPr>
                <w:rFonts w:ascii="宋体" w:hAnsi="宋体" w:cs="宋体"/>
                <w:kern w:val="0"/>
                <w:sz w:val="20"/>
                <w:szCs w:val="20"/>
              </w:rPr>
              <w:t>无灰尘、无污渍、地面光洁</w:t>
            </w:r>
          </w:p>
        </w:tc>
      </w:tr>
      <w:tr w14:paraId="3C2A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382DAD5D">
            <w:pPr>
              <w:topLinePunct/>
              <w:jc w:val="center"/>
              <w:rPr>
                <w:rFonts w:ascii="宋体" w:hAnsi="宋体" w:cs="Arial"/>
                <w:kern w:val="0"/>
                <w:sz w:val="20"/>
                <w:szCs w:val="20"/>
              </w:rPr>
            </w:pPr>
          </w:p>
        </w:tc>
        <w:tc>
          <w:tcPr>
            <w:tcW w:w="937" w:type="pct"/>
            <w:gridSpan w:val="2"/>
            <w:vAlign w:val="center"/>
          </w:tcPr>
          <w:p w14:paraId="25FA5DEE">
            <w:pPr>
              <w:topLinePunct/>
              <w:jc w:val="center"/>
              <w:rPr>
                <w:rFonts w:ascii="宋体" w:hAnsi="宋体" w:cs="宋体"/>
                <w:kern w:val="0"/>
                <w:sz w:val="20"/>
                <w:szCs w:val="20"/>
              </w:rPr>
            </w:pPr>
            <w:r>
              <w:rPr>
                <w:rFonts w:ascii="宋体" w:hAnsi="宋体" w:cs="宋体"/>
                <w:kern w:val="0"/>
                <w:sz w:val="20"/>
                <w:szCs w:val="20"/>
              </w:rPr>
              <w:t>墙面</w:t>
            </w:r>
          </w:p>
        </w:tc>
        <w:tc>
          <w:tcPr>
            <w:tcW w:w="938" w:type="pct"/>
            <w:vAlign w:val="center"/>
          </w:tcPr>
          <w:p w14:paraId="08960B4E">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7F4C4BF7">
            <w:pPr>
              <w:topLinePunct/>
              <w:jc w:val="center"/>
              <w:rPr>
                <w:rFonts w:ascii="宋体" w:hAnsi="宋体" w:cs="Arial"/>
                <w:kern w:val="0"/>
                <w:sz w:val="20"/>
                <w:szCs w:val="20"/>
              </w:rPr>
            </w:pPr>
          </w:p>
        </w:tc>
        <w:tc>
          <w:tcPr>
            <w:tcW w:w="1022" w:type="pct"/>
            <w:vAlign w:val="center"/>
          </w:tcPr>
          <w:p w14:paraId="58DB0E37">
            <w:pPr>
              <w:topLinePunct/>
              <w:jc w:val="center"/>
              <w:rPr>
                <w:rFonts w:ascii="宋体" w:hAnsi="宋体" w:cs="宋体"/>
                <w:kern w:val="0"/>
                <w:sz w:val="20"/>
                <w:szCs w:val="20"/>
              </w:rPr>
            </w:pPr>
            <w:r>
              <w:rPr>
                <w:rFonts w:ascii="宋体" w:hAnsi="宋体" w:cs="宋体"/>
                <w:kern w:val="0"/>
                <w:sz w:val="20"/>
                <w:szCs w:val="20"/>
              </w:rPr>
              <w:t>除尘一次</w:t>
            </w:r>
          </w:p>
        </w:tc>
        <w:tc>
          <w:tcPr>
            <w:tcW w:w="991" w:type="pct"/>
            <w:vAlign w:val="center"/>
          </w:tcPr>
          <w:p w14:paraId="2749A616">
            <w:pPr>
              <w:topLinePunct/>
              <w:jc w:val="center"/>
              <w:rPr>
                <w:rFonts w:ascii="宋体" w:hAnsi="宋体" w:cs="宋体"/>
                <w:kern w:val="0"/>
                <w:sz w:val="20"/>
                <w:szCs w:val="20"/>
              </w:rPr>
            </w:pPr>
            <w:r>
              <w:rPr>
                <w:rFonts w:ascii="宋体" w:hAnsi="宋体" w:cs="宋体"/>
                <w:kern w:val="0"/>
                <w:sz w:val="20"/>
                <w:szCs w:val="20"/>
              </w:rPr>
              <w:t>无灰尘、无污渍、表面光洁</w:t>
            </w:r>
          </w:p>
        </w:tc>
      </w:tr>
      <w:tr w14:paraId="6A49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1C8EC1C5">
            <w:pPr>
              <w:topLinePunct/>
              <w:jc w:val="center"/>
              <w:rPr>
                <w:rFonts w:ascii="宋体" w:hAnsi="宋体" w:cs="Arial"/>
                <w:kern w:val="0"/>
                <w:sz w:val="20"/>
                <w:szCs w:val="20"/>
              </w:rPr>
            </w:pPr>
          </w:p>
        </w:tc>
        <w:tc>
          <w:tcPr>
            <w:tcW w:w="937" w:type="pct"/>
            <w:gridSpan w:val="2"/>
            <w:vAlign w:val="center"/>
          </w:tcPr>
          <w:p w14:paraId="72982C15">
            <w:pPr>
              <w:topLinePunct/>
              <w:jc w:val="center"/>
              <w:rPr>
                <w:rFonts w:ascii="宋体" w:hAnsi="宋体" w:cs="宋体"/>
                <w:kern w:val="0"/>
                <w:sz w:val="20"/>
                <w:szCs w:val="20"/>
              </w:rPr>
            </w:pPr>
            <w:r>
              <w:rPr>
                <w:rFonts w:ascii="宋体" w:hAnsi="宋体" w:cs="宋体"/>
                <w:kern w:val="0"/>
                <w:sz w:val="20"/>
                <w:szCs w:val="20"/>
              </w:rPr>
              <w:t>消防楼梯</w:t>
            </w:r>
          </w:p>
        </w:tc>
        <w:tc>
          <w:tcPr>
            <w:tcW w:w="938" w:type="pct"/>
            <w:vAlign w:val="center"/>
          </w:tcPr>
          <w:p w14:paraId="242315AE">
            <w:pPr>
              <w:topLinePunct/>
              <w:jc w:val="center"/>
              <w:rPr>
                <w:rFonts w:ascii="宋体" w:hAnsi="宋体" w:cs="宋体"/>
                <w:kern w:val="0"/>
                <w:sz w:val="20"/>
                <w:szCs w:val="20"/>
              </w:rPr>
            </w:pPr>
            <w:r>
              <w:rPr>
                <w:rFonts w:ascii="宋体" w:hAnsi="宋体" w:cs="宋体"/>
                <w:kern w:val="0"/>
                <w:sz w:val="20"/>
                <w:szCs w:val="20"/>
              </w:rPr>
              <w:t>清扫、湿拖一次，</w:t>
            </w:r>
          </w:p>
          <w:p w14:paraId="67C2A3BE">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770C7594">
            <w:pPr>
              <w:topLinePunct/>
              <w:jc w:val="center"/>
              <w:rPr>
                <w:rFonts w:ascii="宋体" w:hAnsi="宋体" w:cs="Arial"/>
                <w:kern w:val="0"/>
                <w:sz w:val="20"/>
                <w:szCs w:val="20"/>
              </w:rPr>
            </w:pPr>
          </w:p>
        </w:tc>
        <w:tc>
          <w:tcPr>
            <w:tcW w:w="1022" w:type="pct"/>
            <w:vAlign w:val="center"/>
          </w:tcPr>
          <w:p w14:paraId="1F5DDCDF">
            <w:pPr>
              <w:topLinePunct/>
              <w:jc w:val="center"/>
              <w:rPr>
                <w:rFonts w:ascii="宋体" w:hAnsi="宋体" w:cs="宋体"/>
                <w:kern w:val="0"/>
                <w:sz w:val="20"/>
                <w:szCs w:val="20"/>
              </w:rPr>
            </w:pPr>
            <w:r>
              <w:rPr>
                <w:rFonts w:ascii="宋体" w:hAnsi="宋体" w:cs="宋体"/>
                <w:kern w:val="0"/>
                <w:sz w:val="20"/>
                <w:szCs w:val="20"/>
              </w:rPr>
              <w:t>清洗一次</w:t>
            </w:r>
          </w:p>
        </w:tc>
        <w:tc>
          <w:tcPr>
            <w:tcW w:w="991" w:type="pct"/>
            <w:vAlign w:val="center"/>
          </w:tcPr>
          <w:p w14:paraId="428488F1">
            <w:pPr>
              <w:topLinePunct/>
              <w:jc w:val="center"/>
              <w:rPr>
                <w:rFonts w:ascii="宋体" w:hAnsi="宋体" w:cs="宋体"/>
                <w:kern w:val="0"/>
                <w:sz w:val="20"/>
                <w:szCs w:val="20"/>
              </w:rPr>
            </w:pPr>
            <w:r>
              <w:rPr>
                <w:rFonts w:ascii="宋体" w:hAnsi="宋体" w:cs="宋体"/>
                <w:kern w:val="0"/>
                <w:sz w:val="20"/>
                <w:szCs w:val="20"/>
              </w:rPr>
              <w:t>无灰尘、无污渍、表面光洁</w:t>
            </w:r>
          </w:p>
        </w:tc>
      </w:tr>
      <w:tr w14:paraId="6829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72A28750">
            <w:pPr>
              <w:topLinePunct/>
              <w:jc w:val="center"/>
              <w:rPr>
                <w:rFonts w:ascii="宋体" w:hAnsi="宋体" w:cs="Arial"/>
                <w:kern w:val="0"/>
                <w:sz w:val="20"/>
                <w:szCs w:val="20"/>
              </w:rPr>
            </w:pPr>
          </w:p>
        </w:tc>
        <w:tc>
          <w:tcPr>
            <w:tcW w:w="937" w:type="pct"/>
            <w:gridSpan w:val="2"/>
            <w:vAlign w:val="center"/>
          </w:tcPr>
          <w:p w14:paraId="4506ABDD">
            <w:pPr>
              <w:topLinePunct/>
              <w:jc w:val="center"/>
              <w:rPr>
                <w:rFonts w:ascii="宋体" w:hAnsi="宋体" w:cs="宋体"/>
                <w:kern w:val="0"/>
                <w:sz w:val="20"/>
                <w:szCs w:val="20"/>
              </w:rPr>
            </w:pPr>
            <w:r>
              <w:rPr>
                <w:rFonts w:ascii="宋体" w:hAnsi="宋体" w:cs="宋体"/>
                <w:kern w:val="0"/>
                <w:sz w:val="20"/>
                <w:szCs w:val="20"/>
              </w:rPr>
              <w:t>楼梯扶手</w:t>
            </w:r>
          </w:p>
        </w:tc>
        <w:tc>
          <w:tcPr>
            <w:tcW w:w="938" w:type="pct"/>
            <w:vAlign w:val="center"/>
          </w:tcPr>
          <w:p w14:paraId="1ABA2DB9">
            <w:pPr>
              <w:topLinePunct/>
              <w:jc w:val="center"/>
              <w:rPr>
                <w:rFonts w:ascii="宋体" w:hAnsi="宋体" w:cs="宋体"/>
                <w:kern w:val="0"/>
                <w:sz w:val="20"/>
                <w:szCs w:val="20"/>
              </w:rPr>
            </w:pPr>
            <w:r>
              <w:rPr>
                <w:rFonts w:ascii="宋体" w:hAnsi="宋体" w:cs="宋体"/>
                <w:kern w:val="0"/>
                <w:sz w:val="20"/>
                <w:szCs w:val="20"/>
              </w:rPr>
              <w:t>清抹一次，保洁</w:t>
            </w:r>
          </w:p>
        </w:tc>
        <w:tc>
          <w:tcPr>
            <w:tcW w:w="852" w:type="pct"/>
            <w:vAlign w:val="center"/>
          </w:tcPr>
          <w:p w14:paraId="0BFE7005">
            <w:pPr>
              <w:topLinePunct/>
              <w:jc w:val="center"/>
              <w:rPr>
                <w:rFonts w:ascii="宋体" w:hAnsi="宋体" w:cs="Arial"/>
                <w:kern w:val="0"/>
                <w:sz w:val="20"/>
                <w:szCs w:val="20"/>
              </w:rPr>
            </w:pPr>
          </w:p>
        </w:tc>
        <w:tc>
          <w:tcPr>
            <w:tcW w:w="1022" w:type="pct"/>
            <w:vAlign w:val="center"/>
          </w:tcPr>
          <w:p w14:paraId="56B98CC0">
            <w:pPr>
              <w:topLinePunct/>
              <w:jc w:val="center"/>
              <w:rPr>
                <w:rFonts w:ascii="宋体" w:hAnsi="宋体" w:cs="Arial"/>
                <w:kern w:val="0"/>
                <w:sz w:val="20"/>
                <w:szCs w:val="20"/>
              </w:rPr>
            </w:pPr>
          </w:p>
        </w:tc>
        <w:tc>
          <w:tcPr>
            <w:tcW w:w="991" w:type="pct"/>
            <w:vAlign w:val="center"/>
          </w:tcPr>
          <w:p w14:paraId="0F79BEF5">
            <w:pPr>
              <w:topLinePunct/>
              <w:jc w:val="center"/>
              <w:rPr>
                <w:rFonts w:ascii="宋体" w:hAnsi="宋体" w:cs="宋体"/>
                <w:kern w:val="0"/>
                <w:sz w:val="20"/>
                <w:szCs w:val="20"/>
              </w:rPr>
            </w:pPr>
            <w:r>
              <w:rPr>
                <w:rFonts w:ascii="宋体" w:hAnsi="宋体" w:cs="宋体"/>
                <w:kern w:val="0"/>
                <w:sz w:val="20"/>
                <w:szCs w:val="20"/>
              </w:rPr>
              <w:t>无灰尘、无污渍</w:t>
            </w:r>
          </w:p>
        </w:tc>
      </w:tr>
      <w:tr w14:paraId="4D4B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7A873264">
            <w:pPr>
              <w:topLinePunct/>
              <w:jc w:val="center"/>
              <w:rPr>
                <w:rFonts w:ascii="宋体" w:hAnsi="宋体" w:cs="Arial"/>
                <w:kern w:val="0"/>
                <w:sz w:val="20"/>
                <w:szCs w:val="20"/>
              </w:rPr>
            </w:pPr>
          </w:p>
        </w:tc>
        <w:tc>
          <w:tcPr>
            <w:tcW w:w="937" w:type="pct"/>
            <w:gridSpan w:val="2"/>
            <w:vAlign w:val="center"/>
          </w:tcPr>
          <w:p w14:paraId="6A8360C5">
            <w:pPr>
              <w:topLinePunct/>
              <w:jc w:val="center"/>
              <w:rPr>
                <w:rFonts w:ascii="宋体" w:hAnsi="宋体" w:cs="宋体"/>
                <w:kern w:val="0"/>
                <w:sz w:val="20"/>
                <w:szCs w:val="20"/>
              </w:rPr>
            </w:pPr>
            <w:r>
              <w:rPr>
                <w:rFonts w:ascii="宋体" w:hAnsi="宋体" w:cs="宋体"/>
                <w:kern w:val="0"/>
                <w:sz w:val="20"/>
                <w:szCs w:val="20"/>
              </w:rPr>
              <w:t>楼梯栏杆</w:t>
            </w:r>
          </w:p>
        </w:tc>
        <w:tc>
          <w:tcPr>
            <w:tcW w:w="938" w:type="pct"/>
            <w:vAlign w:val="center"/>
          </w:tcPr>
          <w:p w14:paraId="729E371A">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3885157C">
            <w:pPr>
              <w:topLinePunct/>
              <w:jc w:val="center"/>
              <w:rPr>
                <w:rFonts w:ascii="宋体" w:hAnsi="宋体" w:cs="宋体"/>
                <w:kern w:val="0"/>
                <w:sz w:val="20"/>
                <w:szCs w:val="20"/>
              </w:rPr>
            </w:pPr>
            <w:r>
              <w:rPr>
                <w:rFonts w:ascii="宋体" w:hAnsi="宋体" w:cs="宋体"/>
                <w:kern w:val="0"/>
                <w:sz w:val="20"/>
                <w:szCs w:val="20"/>
              </w:rPr>
              <w:t>清抹两次</w:t>
            </w:r>
          </w:p>
        </w:tc>
        <w:tc>
          <w:tcPr>
            <w:tcW w:w="1022" w:type="pct"/>
            <w:vAlign w:val="center"/>
          </w:tcPr>
          <w:p w14:paraId="01DFE88C">
            <w:pPr>
              <w:topLinePunct/>
              <w:jc w:val="center"/>
              <w:rPr>
                <w:rFonts w:ascii="宋体" w:hAnsi="宋体" w:cs="Arial"/>
                <w:kern w:val="0"/>
                <w:sz w:val="20"/>
                <w:szCs w:val="20"/>
              </w:rPr>
            </w:pPr>
          </w:p>
        </w:tc>
        <w:tc>
          <w:tcPr>
            <w:tcW w:w="991" w:type="pct"/>
            <w:vAlign w:val="center"/>
          </w:tcPr>
          <w:p w14:paraId="2F932E62">
            <w:pPr>
              <w:topLinePunct/>
              <w:jc w:val="center"/>
              <w:rPr>
                <w:rFonts w:ascii="宋体" w:hAnsi="宋体" w:cs="宋体"/>
                <w:kern w:val="0"/>
                <w:sz w:val="20"/>
                <w:szCs w:val="20"/>
              </w:rPr>
            </w:pPr>
            <w:r>
              <w:rPr>
                <w:rFonts w:ascii="宋体" w:hAnsi="宋体" w:cs="宋体"/>
                <w:kern w:val="0"/>
                <w:sz w:val="20"/>
                <w:szCs w:val="20"/>
              </w:rPr>
              <w:t>无灰尘、无污渍</w:t>
            </w:r>
          </w:p>
        </w:tc>
      </w:tr>
      <w:tr w14:paraId="78E4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56FDF0BF">
            <w:pPr>
              <w:topLinePunct/>
              <w:jc w:val="center"/>
              <w:rPr>
                <w:rFonts w:ascii="宋体" w:hAnsi="宋体" w:cs="Arial"/>
                <w:kern w:val="0"/>
                <w:sz w:val="20"/>
                <w:szCs w:val="20"/>
              </w:rPr>
            </w:pPr>
          </w:p>
        </w:tc>
        <w:tc>
          <w:tcPr>
            <w:tcW w:w="347" w:type="pct"/>
            <w:vMerge w:val="restart"/>
            <w:vAlign w:val="center"/>
          </w:tcPr>
          <w:p w14:paraId="65B733C7">
            <w:pPr>
              <w:topLinePunct/>
              <w:jc w:val="center"/>
              <w:rPr>
                <w:rFonts w:ascii="宋体" w:hAnsi="宋体" w:cs="宋体"/>
                <w:kern w:val="0"/>
                <w:sz w:val="20"/>
                <w:szCs w:val="20"/>
              </w:rPr>
            </w:pPr>
            <w:r>
              <w:rPr>
                <w:rFonts w:ascii="宋体" w:hAnsi="宋体" w:cs="宋体"/>
                <w:kern w:val="0"/>
                <w:sz w:val="20"/>
                <w:szCs w:val="20"/>
              </w:rPr>
              <w:t>门窗</w:t>
            </w:r>
          </w:p>
        </w:tc>
        <w:tc>
          <w:tcPr>
            <w:tcW w:w="590" w:type="pct"/>
            <w:vAlign w:val="center"/>
          </w:tcPr>
          <w:p w14:paraId="5A56EF18">
            <w:pPr>
              <w:topLinePunct/>
              <w:jc w:val="center"/>
              <w:rPr>
                <w:rFonts w:ascii="宋体" w:hAnsi="宋体" w:cs="宋体"/>
                <w:kern w:val="0"/>
                <w:sz w:val="20"/>
                <w:szCs w:val="20"/>
              </w:rPr>
            </w:pPr>
            <w:r>
              <w:rPr>
                <w:rFonts w:ascii="宋体" w:hAnsi="宋体" w:cs="宋体"/>
                <w:kern w:val="0"/>
                <w:sz w:val="20"/>
                <w:szCs w:val="20"/>
              </w:rPr>
              <w:t>门、门框</w:t>
            </w:r>
          </w:p>
        </w:tc>
        <w:tc>
          <w:tcPr>
            <w:tcW w:w="938" w:type="pct"/>
            <w:vAlign w:val="center"/>
          </w:tcPr>
          <w:p w14:paraId="38CAD914">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786DDF82">
            <w:pPr>
              <w:topLinePunct/>
              <w:jc w:val="center"/>
              <w:rPr>
                <w:rFonts w:ascii="宋体" w:hAnsi="宋体" w:cs="宋体"/>
                <w:kern w:val="0"/>
                <w:sz w:val="20"/>
                <w:szCs w:val="20"/>
              </w:rPr>
            </w:pPr>
            <w:r>
              <w:rPr>
                <w:rFonts w:ascii="宋体" w:hAnsi="宋体" w:cs="宋体"/>
                <w:kern w:val="0"/>
                <w:sz w:val="20"/>
                <w:szCs w:val="20"/>
              </w:rPr>
              <w:t>配合清洁剂擦抹</w:t>
            </w:r>
          </w:p>
          <w:p w14:paraId="5B0B72A2">
            <w:pPr>
              <w:topLinePunct/>
              <w:jc w:val="center"/>
              <w:rPr>
                <w:rFonts w:ascii="宋体" w:hAnsi="宋体" w:cs="宋体"/>
                <w:kern w:val="0"/>
                <w:sz w:val="20"/>
                <w:szCs w:val="20"/>
              </w:rPr>
            </w:pPr>
            <w:r>
              <w:rPr>
                <w:rFonts w:ascii="宋体" w:hAnsi="宋体" w:cs="宋体"/>
                <w:kern w:val="0"/>
                <w:sz w:val="20"/>
                <w:szCs w:val="20"/>
              </w:rPr>
              <w:t>一次</w:t>
            </w:r>
          </w:p>
        </w:tc>
        <w:tc>
          <w:tcPr>
            <w:tcW w:w="1022" w:type="pct"/>
            <w:vAlign w:val="center"/>
          </w:tcPr>
          <w:p w14:paraId="37C358FB">
            <w:pPr>
              <w:topLinePunct/>
              <w:jc w:val="center"/>
              <w:rPr>
                <w:rFonts w:ascii="宋体" w:hAnsi="宋体" w:cs="Arial"/>
                <w:kern w:val="0"/>
                <w:sz w:val="20"/>
                <w:szCs w:val="20"/>
              </w:rPr>
            </w:pPr>
          </w:p>
        </w:tc>
        <w:tc>
          <w:tcPr>
            <w:tcW w:w="991" w:type="pct"/>
            <w:vAlign w:val="center"/>
          </w:tcPr>
          <w:p w14:paraId="0DB3875D">
            <w:pPr>
              <w:topLinePunct/>
              <w:jc w:val="center"/>
              <w:rPr>
                <w:rFonts w:ascii="宋体" w:hAnsi="宋体" w:cs="宋体"/>
                <w:kern w:val="0"/>
                <w:sz w:val="20"/>
                <w:szCs w:val="20"/>
              </w:rPr>
            </w:pPr>
            <w:r>
              <w:rPr>
                <w:rFonts w:ascii="宋体" w:hAnsi="宋体" w:cs="宋体"/>
                <w:kern w:val="0"/>
                <w:sz w:val="20"/>
                <w:szCs w:val="20"/>
              </w:rPr>
              <w:t>无灰尘、无污渍、无手印</w:t>
            </w:r>
          </w:p>
        </w:tc>
      </w:tr>
      <w:tr w14:paraId="0523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0DE5D1B0">
            <w:pPr>
              <w:topLinePunct/>
              <w:jc w:val="center"/>
              <w:rPr>
                <w:rFonts w:ascii="宋体" w:hAnsi="宋体" w:cs="Arial"/>
                <w:kern w:val="0"/>
                <w:sz w:val="20"/>
                <w:szCs w:val="20"/>
              </w:rPr>
            </w:pPr>
          </w:p>
        </w:tc>
        <w:tc>
          <w:tcPr>
            <w:tcW w:w="347" w:type="pct"/>
            <w:vMerge w:val="continue"/>
            <w:vAlign w:val="center"/>
          </w:tcPr>
          <w:p w14:paraId="47DD9871">
            <w:pPr>
              <w:topLinePunct/>
              <w:jc w:val="center"/>
              <w:rPr>
                <w:rFonts w:ascii="宋体" w:hAnsi="宋体" w:cs="Arial"/>
                <w:kern w:val="0"/>
                <w:sz w:val="20"/>
                <w:szCs w:val="20"/>
              </w:rPr>
            </w:pPr>
          </w:p>
        </w:tc>
        <w:tc>
          <w:tcPr>
            <w:tcW w:w="590" w:type="pct"/>
            <w:vAlign w:val="center"/>
          </w:tcPr>
          <w:p w14:paraId="0A3649B8">
            <w:pPr>
              <w:topLinePunct/>
              <w:jc w:val="center"/>
              <w:rPr>
                <w:rFonts w:ascii="宋体" w:hAnsi="宋体" w:cs="宋体"/>
                <w:kern w:val="0"/>
                <w:sz w:val="20"/>
                <w:szCs w:val="20"/>
              </w:rPr>
            </w:pPr>
            <w:r>
              <w:rPr>
                <w:rFonts w:ascii="宋体" w:hAnsi="宋体" w:cs="宋体"/>
                <w:kern w:val="0"/>
                <w:sz w:val="20"/>
                <w:szCs w:val="20"/>
              </w:rPr>
              <w:t>窗、窗台</w:t>
            </w:r>
          </w:p>
        </w:tc>
        <w:tc>
          <w:tcPr>
            <w:tcW w:w="938" w:type="pct"/>
            <w:vAlign w:val="center"/>
          </w:tcPr>
          <w:p w14:paraId="18002A0C">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5D5286B1">
            <w:pPr>
              <w:topLinePunct/>
              <w:jc w:val="center"/>
              <w:rPr>
                <w:rFonts w:ascii="宋体" w:hAnsi="宋体" w:cs="宋体"/>
                <w:kern w:val="0"/>
                <w:sz w:val="20"/>
                <w:szCs w:val="20"/>
              </w:rPr>
            </w:pPr>
            <w:r>
              <w:rPr>
                <w:rFonts w:ascii="宋体" w:hAnsi="宋体" w:cs="宋体"/>
                <w:kern w:val="0"/>
                <w:sz w:val="20"/>
                <w:szCs w:val="20"/>
              </w:rPr>
              <w:t>配合清洁剂擦抹一次</w:t>
            </w:r>
          </w:p>
        </w:tc>
        <w:tc>
          <w:tcPr>
            <w:tcW w:w="1022" w:type="pct"/>
            <w:vAlign w:val="center"/>
          </w:tcPr>
          <w:p w14:paraId="327AC47A">
            <w:pPr>
              <w:tabs>
                <w:tab w:val="left" w:pos="225"/>
              </w:tabs>
              <w:topLinePunct/>
              <w:jc w:val="center"/>
              <w:rPr>
                <w:rFonts w:ascii="宋体" w:hAnsi="宋体" w:cs="宋体"/>
                <w:kern w:val="0"/>
                <w:sz w:val="20"/>
                <w:szCs w:val="20"/>
              </w:rPr>
            </w:pPr>
            <w:r>
              <w:rPr>
                <w:rFonts w:ascii="宋体" w:hAnsi="宋体" w:cs="宋体"/>
                <w:kern w:val="0"/>
                <w:sz w:val="20"/>
                <w:szCs w:val="20"/>
              </w:rPr>
              <w:t>窗帘布</w:t>
            </w:r>
            <w:r>
              <w:rPr>
                <w:rFonts w:hint="eastAsia" w:ascii="宋体" w:hAnsi="宋体" w:cs="宋体"/>
                <w:kern w:val="0"/>
                <w:sz w:val="20"/>
                <w:szCs w:val="20"/>
              </w:rPr>
              <w:t>、门帘布</w:t>
            </w:r>
            <w:r>
              <w:rPr>
                <w:rFonts w:ascii="宋体" w:hAnsi="宋体" w:cs="宋体"/>
                <w:kern w:val="0"/>
                <w:sz w:val="20"/>
                <w:szCs w:val="20"/>
              </w:rPr>
              <w:t>每学期清洗1次(仅限于教室</w:t>
            </w:r>
            <w:r>
              <w:rPr>
                <w:rFonts w:hint="eastAsia" w:ascii="宋体" w:hAnsi="宋体" w:cs="宋体"/>
                <w:kern w:val="0"/>
                <w:sz w:val="20"/>
                <w:szCs w:val="20"/>
              </w:rPr>
              <w:t>、</w:t>
            </w:r>
            <w:r>
              <w:rPr>
                <w:rFonts w:ascii="宋体" w:hAnsi="宋体" w:cs="宋体"/>
                <w:kern w:val="0"/>
                <w:sz w:val="20"/>
                <w:szCs w:val="20"/>
              </w:rPr>
              <w:t>办公室</w:t>
            </w:r>
            <w:r>
              <w:rPr>
                <w:rFonts w:hint="eastAsia" w:ascii="宋体" w:hAnsi="宋体" w:cs="宋体"/>
                <w:kern w:val="0"/>
                <w:sz w:val="20"/>
                <w:szCs w:val="20"/>
              </w:rPr>
              <w:t>、教学楼厕所门帘</w:t>
            </w:r>
            <w:r>
              <w:rPr>
                <w:rFonts w:ascii="宋体" w:hAnsi="宋体" w:cs="宋体"/>
                <w:kern w:val="0"/>
                <w:sz w:val="20"/>
                <w:szCs w:val="20"/>
              </w:rPr>
              <w:t>)</w:t>
            </w:r>
          </w:p>
        </w:tc>
        <w:tc>
          <w:tcPr>
            <w:tcW w:w="991" w:type="pct"/>
            <w:vAlign w:val="center"/>
          </w:tcPr>
          <w:p w14:paraId="5B2C7607">
            <w:pPr>
              <w:topLinePunct/>
              <w:jc w:val="center"/>
              <w:rPr>
                <w:rFonts w:ascii="宋体" w:hAnsi="宋体" w:cs="宋体"/>
                <w:kern w:val="0"/>
                <w:sz w:val="20"/>
                <w:szCs w:val="20"/>
              </w:rPr>
            </w:pPr>
            <w:r>
              <w:rPr>
                <w:rFonts w:ascii="宋体" w:hAnsi="宋体" w:cs="宋体"/>
                <w:kern w:val="0"/>
                <w:sz w:val="20"/>
                <w:szCs w:val="20"/>
              </w:rPr>
              <w:t>无灰尘、无污渍、无手印</w:t>
            </w:r>
          </w:p>
        </w:tc>
      </w:tr>
      <w:tr w14:paraId="75AC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66649134">
            <w:pPr>
              <w:topLinePunct/>
              <w:jc w:val="center"/>
              <w:rPr>
                <w:rFonts w:ascii="宋体" w:hAnsi="宋体" w:cs="Arial"/>
                <w:kern w:val="0"/>
                <w:sz w:val="20"/>
                <w:szCs w:val="20"/>
              </w:rPr>
            </w:pPr>
          </w:p>
        </w:tc>
        <w:tc>
          <w:tcPr>
            <w:tcW w:w="347" w:type="pct"/>
            <w:vMerge w:val="continue"/>
            <w:vAlign w:val="center"/>
          </w:tcPr>
          <w:p w14:paraId="789F32ED">
            <w:pPr>
              <w:topLinePunct/>
              <w:jc w:val="center"/>
              <w:rPr>
                <w:rFonts w:ascii="宋体" w:hAnsi="宋体" w:cs="Arial"/>
                <w:kern w:val="0"/>
                <w:sz w:val="20"/>
                <w:szCs w:val="20"/>
              </w:rPr>
            </w:pPr>
          </w:p>
        </w:tc>
        <w:tc>
          <w:tcPr>
            <w:tcW w:w="590" w:type="pct"/>
            <w:vAlign w:val="center"/>
          </w:tcPr>
          <w:p w14:paraId="0D59798F">
            <w:pPr>
              <w:topLinePunct/>
              <w:jc w:val="center"/>
              <w:rPr>
                <w:rFonts w:ascii="宋体" w:hAnsi="宋体" w:cs="宋体"/>
                <w:kern w:val="0"/>
                <w:sz w:val="20"/>
                <w:szCs w:val="20"/>
              </w:rPr>
            </w:pPr>
            <w:r>
              <w:rPr>
                <w:rFonts w:ascii="宋体" w:hAnsi="宋体" w:cs="宋体"/>
                <w:kern w:val="0"/>
                <w:sz w:val="20"/>
                <w:szCs w:val="20"/>
              </w:rPr>
              <w:t>门窗玻璃</w:t>
            </w:r>
          </w:p>
        </w:tc>
        <w:tc>
          <w:tcPr>
            <w:tcW w:w="938" w:type="pct"/>
            <w:vAlign w:val="center"/>
          </w:tcPr>
          <w:p w14:paraId="0F6F4CE6">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4E2A3968">
            <w:pPr>
              <w:topLinePunct/>
              <w:jc w:val="center"/>
              <w:rPr>
                <w:rFonts w:ascii="宋体" w:hAnsi="宋体" w:cs="Arial"/>
                <w:kern w:val="0"/>
                <w:sz w:val="20"/>
                <w:szCs w:val="20"/>
              </w:rPr>
            </w:pPr>
          </w:p>
        </w:tc>
        <w:tc>
          <w:tcPr>
            <w:tcW w:w="1022" w:type="pct"/>
            <w:vAlign w:val="center"/>
          </w:tcPr>
          <w:p w14:paraId="116D24DE">
            <w:pPr>
              <w:topLinePunct/>
              <w:jc w:val="center"/>
              <w:rPr>
                <w:rFonts w:ascii="宋体" w:hAnsi="宋体" w:cs="宋体"/>
                <w:kern w:val="0"/>
                <w:sz w:val="20"/>
                <w:szCs w:val="20"/>
              </w:rPr>
            </w:pPr>
            <w:r>
              <w:rPr>
                <w:rFonts w:ascii="宋体" w:hAnsi="宋体" w:cs="宋体"/>
                <w:kern w:val="0"/>
                <w:sz w:val="20"/>
                <w:szCs w:val="20"/>
              </w:rPr>
              <w:t>配合清洁剂</w:t>
            </w:r>
          </w:p>
          <w:p w14:paraId="3A1521D7">
            <w:pPr>
              <w:topLinePunct/>
              <w:jc w:val="center"/>
              <w:rPr>
                <w:rFonts w:ascii="宋体" w:hAnsi="宋体" w:cs="宋体"/>
                <w:kern w:val="0"/>
                <w:sz w:val="20"/>
                <w:szCs w:val="20"/>
              </w:rPr>
            </w:pPr>
            <w:r>
              <w:rPr>
                <w:rFonts w:ascii="宋体" w:hAnsi="宋体" w:cs="宋体"/>
                <w:kern w:val="0"/>
                <w:sz w:val="20"/>
                <w:szCs w:val="20"/>
              </w:rPr>
              <w:t>擦抹一次</w:t>
            </w:r>
          </w:p>
        </w:tc>
        <w:tc>
          <w:tcPr>
            <w:tcW w:w="991" w:type="pct"/>
            <w:vAlign w:val="center"/>
          </w:tcPr>
          <w:p w14:paraId="33CB3233">
            <w:pPr>
              <w:topLinePunct/>
              <w:jc w:val="center"/>
              <w:rPr>
                <w:rFonts w:ascii="宋体" w:hAnsi="宋体" w:cs="宋体"/>
                <w:kern w:val="0"/>
                <w:sz w:val="20"/>
                <w:szCs w:val="20"/>
              </w:rPr>
            </w:pPr>
            <w:r>
              <w:rPr>
                <w:rFonts w:ascii="宋体" w:hAnsi="宋体" w:cs="宋体"/>
                <w:kern w:val="0"/>
                <w:sz w:val="20"/>
                <w:szCs w:val="20"/>
              </w:rPr>
              <w:t>无灰尘、无污渍、无手印</w:t>
            </w:r>
          </w:p>
        </w:tc>
      </w:tr>
      <w:tr w14:paraId="1AEC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07D8204F">
            <w:pPr>
              <w:topLinePunct/>
              <w:jc w:val="center"/>
              <w:rPr>
                <w:rFonts w:ascii="宋体" w:hAnsi="宋体" w:cs="Arial"/>
                <w:kern w:val="0"/>
                <w:sz w:val="20"/>
                <w:szCs w:val="20"/>
              </w:rPr>
            </w:pPr>
          </w:p>
        </w:tc>
        <w:tc>
          <w:tcPr>
            <w:tcW w:w="937" w:type="pct"/>
            <w:gridSpan w:val="2"/>
            <w:vAlign w:val="center"/>
          </w:tcPr>
          <w:p w14:paraId="5E1BC1ED">
            <w:pPr>
              <w:topLinePunct/>
              <w:jc w:val="center"/>
              <w:rPr>
                <w:rFonts w:ascii="宋体" w:hAnsi="宋体" w:cs="宋体"/>
                <w:kern w:val="0"/>
                <w:sz w:val="20"/>
                <w:szCs w:val="20"/>
              </w:rPr>
            </w:pPr>
            <w:r>
              <w:rPr>
                <w:rFonts w:ascii="宋体" w:hAnsi="宋体" w:cs="宋体"/>
                <w:kern w:val="0"/>
                <w:sz w:val="20"/>
                <w:szCs w:val="20"/>
              </w:rPr>
              <w:t>信报箱</w:t>
            </w:r>
          </w:p>
        </w:tc>
        <w:tc>
          <w:tcPr>
            <w:tcW w:w="938" w:type="pct"/>
            <w:vAlign w:val="center"/>
          </w:tcPr>
          <w:p w14:paraId="51704597">
            <w:pPr>
              <w:topLinePunct/>
              <w:jc w:val="center"/>
              <w:rPr>
                <w:rFonts w:ascii="宋体" w:hAnsi="宋体" w:cs="宋体"/>
                <w:kern w:val="0"/>
                <w:sz w:val="20"/>
                <w:szCs w:val="20"/>
              </w:rPr>
            </w:pPr>
            <w:r>
              <w:rPr>
                <w:rFonts w:ascii="宋体" w:hAnsi="宋体" w:cs="宋体"/>
                <w:kern w:val="0"/>
                <w:sz w:val="20"/>
                <w:szCs w:val="20"/>
              </w:rPr>
              <w:t>擦抹一次，保洁</w:t>
            </w:r>
          </w:p>
        </w:tc>
        <w:tc>
          <w:tcPr>
            <w:tcW w:w="852" w:type="pct"/>
            <w:vAlign w:val="center"/>
          </w:tcPr>
          <w:p w14:paraId="1316B8BF">
            <w:pPr>
              <w:topLinePunct/>
              <w:jc w:val="center"/>
              <w:rPr>
                <w:rFonts w:ascii="宋体" w:hAnsi="宋体" w:cs="Arial"/>
                <w:kern w:val="0"/>
                <w:sz w:val="20"/>
                <w:szCs w:val="20"/>
              </w:rPr>
            </w:pPr>
          </w:p>
        </w:tc>
        <w:tc>
          <w:tcPr>
            <w:tcW w:w="1022" w:type="pct"/>
            <w:vAlign w:val="center"/>
          </w:tcPr>
          <w:p w14:paraId="31813F31">
            <w:pPr>
              <w:topLinePunct/>
              <w:jc w:val="center"/>
              <w:rPr>
                <w:rFonts w:ascii="宋体" w:hAnsi="宋体" w:cs="Arial"/>
                <w:kern w:val="0"/>
                <w:sz w:val="20"/>
                <w:szCs w:val="20"/>
              </w:rPr>
            </w:pPr>
          </w:p>
        </w:tc>
        <w:tc>
          <w:tcPr>
            <w:tcW w:w="991" w:type="pct"/>
            <w:vAlign w:val="center"/>
          </w:tcPr>
          <w:p w14:paraId="6E816A41">
            <w:pPr>
              <w:topLinePunct/>
              <w:jc w:val="center"/>
              <w:rPr>
                <w:rFonts w:ascii="宋体" w:hAnsi="宋体" w:cs="宋体"/>
                <w:kern w:val="0"/>
                <w:sz w:val="20"/>
                <w:szCs w:val="20"/>
              </w:rPr>
            </w:pPr>
            <w:r>
              <w:rPr>
                <w:rFonts w:ascii="宋体" w:hAnsi="宋体" w:cs="宋体"/>
                <w:kern w:val="0"/>
                <w:sz w:val="20"/>
                <w:szCs w:val="20"/>
              </w:rPr>
              <w:t>无灰尘、无污渍、无手印</w:t>
            </w:r>
          </w:p>
        </w:tc>
      </w:tr>
      <w:tr w14:paraId="01EA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344C59E7">
            <w:pPr>
              <w:topLinePunct/>
              <w:jc w:val="center"/>
              <w:rPr>
                <w:rFonts w:ascii="宋体" w:hAnsi="宋体" w:cs="Arial"/>
                <w:kern w:val="0"/>
                <w:sz w:val="20"/>
                <w:szCs w:val="20"/>
              </w:rPr>
            </w:pPr>
          </w:p>
        </w:tc>
        <w:tc>
          <w:tcPr>
            <w:tcW w:w="937" w:type="pct"/>
            <w:gridSpan w:val="2"/>
            <w:vAlign w:val="center"/>
          </w:tcPr>
          <w:p w14:paraId="682BB441">
            <w:pPr>
              <w:topLinePunct/>
              <w:jc w:val="center"/>
              <w:rPr>
                <w:rFonts w:ascii="宋体" w:hAnsi="宋体" w:cs="宋体"/>
                <w:kern w:val="0"/>
                <w:sz w:val="20"/>
                <w:szCs w:val="20"/>
              </w:rPr>
            </w:pPr>
            <w:r>
              <w:rPr>
                <w:rFonts w:ascii="宋体" w:hAnsi="宋体" w:cs="宋体"/>
                <w:kern w:val="0"/>
                <w:sz w:val="20"/>
                <w:szCs w:val="20"/>
              </w:rPr>
              <w:t>墙面低处设施</w:t>
            </w:r>
          </w:p>
        </w:tc>
        <w:tc>
          <w:tcPr>
            <w:tcW w:w="938" w:type="pct"/>
            <w:vAlign w:val="center"/>
          </w:tcPr>
          <w:p w14:paraId="425ADBB6">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50F4CA65">
            <w:pPr>
              <w:topLinePunct/>
              <w:jc w:val="center"/>
              <w:rPr>
                <w:rFonts w:ascii="宋体" w:hAnsi="宋体" w:cs="宋体"/>
                <w:kern w:val="0"/>
                <w:sz w:val="20"/>
                <w:szCs w:val="20"/>
              </w:rPr>
            </w:pPr>
            <w:r>
              <w:rPr>
                <w:rFonts w:ascii="宋体" w:hAnsi="宋体" w:cs="宋体"/>
                <w:kern w:val="0"/>
                <w:sz w:val="20"/>
                <w:szCs w:val="20"/>
              </w:rPr>
              <w:t>大清抹一次</w:t>
            </w:r>
          </w:p>
        </w:tc>
        <w:tc>
          <w:tcPr>
            <w:tcW w:w="1022" w:type="pct"/>
            <w:vAlign w:val="center"/>
          </w:tcPr>
          <w:p w14:paraId="24A4189C">
            <w:pPr>
              <w:topLinePunct/>
              <w:jc w:val="center"/>
              <w:rPr>
                <w:rFonts w:ascii="宋体" w:hAnsi="宋体" w:cs="Arial"/>
                <w:kern w:val="0"/>
                <w:sz w:val="20"/>
                <w:szCs w:val="20"/>
              </w:rPr>
            </w:pPr>
          </w:p>
        </w:tc>
        <w:tc>
          <w:tcPr>
            <w:tcW w:w="991" w:type="pct"/>
            <w:vAlign w:val="center"/>
          </w:tcPr>
          <w:p w14:paraId="3D58ECDC">
            <w:pPr>
              <w:topLinePunct/>
              <w:jc w:val="center"/>
              <w:rPr>
                <w:rFonts w:ascii="宋体" w:hAnsi="宋体" w:cs="宋体"/>
                <w:kern w:val="0"/>
                <w:sz w:val="20"/>
                <w:szCs w:val="20"/>
              </w:rPr>
            </w:pPr>
            <w:r>
              <w:rPr>
                <w:rFonts w:ascii="宋体" w:hAnsi="宋体" w:cs="宋体"/>
                <w:kern w:val="0"/>
                <w:sz w:val="20"/>
                <w:szCs w:val="20"/>
              </w:rPr>
              <w:t>无灰尘、无污渍</w:t>
            </w:r>
          </w:p>
        </w:tc>
      </w:tr>
      <w:tr w14:paraId="7A94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11527EDF">
            <w:pPr>
              <w:topLinePunct/>
              <w:jc w:val="center"/>
              <w:rPr>
                <w:rFonts w:ascii="宋体" w:hAnsi="宋体" w:cs="Arial"/>
                <w:kern w:val="0"/>
                <w:sz w:val="20"/>
                <w:szCs w:val="20"/>
              </w:rPr>
            </w:pPr>
          </w:p>
        </w:tc>
        <w:tc>
          <w:tcPr>
            <w:tcW w:w="937" w:type="pct"/>
            <w:gridSpan w:val="2"/>
            <w:vAlign w:val="center"/>
          </w:tcPr>
          <w:p w14:paraId="2E813296">
            <w:pPr>
              <w:topLinePunct/>
              <w:jc w:val="center"/>
              <w:rPr>
                <w:rFonts w:ascii="宋体" w:hAnsi="宋体" w:cs="宋体"/>
                <w:kern w:val="0"/>
                <w:sz w:val="20"/>
                <w:szCs w:val="20"/>
              </w:rPr>
            </w:pPr>
            <w:r>
              <w:rPr>
                <w:rFonts w:ascii="宋体" w:hAnsi="宋体" w:cs="宋体"/>
                <w:kern w:val="0"/>
                <w:sz w:val="20"/>
                <w:szCs w:val="20"/>
              </w:rPr>
              <w:t>墙面高处设施，天花及天花设施</w:t>
            </w:r>
          </w:p>
        </w:tc>
        <w:tc>
          <w:tcPr>
            <w:tcW w:w="938" w:type="pct"/>
            <w:vAlign w:val="center"/>
          </w:tcPr>
          <w:p w14:paraId="2556CE91">
            <w:pPr>
              <w:topLinePunct/>
              <w:jc w:val="center"/>
              <w:rPr>
                <w:rFonts w:ascii="宋体" w:hAnsi="宋体" w:cs="Arial"/>
                <w:kern w:val="0"/>
                <w:sz w:val="20"/>
                <w:szCs w:val="20"/>
              </w:rPr>
            </w:pPr>
          </w:p>
        </w:tc>
        <w:tc>
          <w:tcPr>
            <w:tcW w:w="852" w:type="pct"/>
            <w:vAlign w:val="center"/>
          </w:tcPr>
          <w:p w14:paraId="358B30FA">
            <w:pPr>
              <w:topLinePunct/>
              <w:jc w:val="center"/>
              <w:rPr>
                <w:rFonts w:ascii="宋体" w:hAnsi="宋体" w:cs="Arial"/>
                <w:kern w:val="0"/>
                <w:sz w:val="20"/>
                <w:szCs w:val="20"/>
              </w:rPr>
            </w:pPr>
          </w:p>
        </w:tc>
        <w:tc>
          <w:tcPr>
            <w:tcW w:w="1022" w:type="pct"/>
            <w:vAlign w:val="center"/>
          </w:tcPr>
          <w:p w14:paraId="792A883A">
            <w:pPr>
              <w:topLinePunct/>
              <w:jc w:val="center"/>
              <w:rPr>
                <w:rFonts w:ascii="宋体" w:hAnsi="宋体" w:cs="宋体"/>
                <w:kern w:val="0"/>
                <w:sz w:val="20"/>
                <w:szCs w:val="20"/>
              </w:rPr>
            </w:pPr>
            <w:r>
              <w:rPr>
                <w:rFonts w:ascii="宋体" w:hAnsi="宋体" w:cs="宋体"/>
                <w:kern w:val="0"/>
                <w:sz w:val="20"/>
                <w:szCs w:val="20"/>
              </w:rPr>
              <w:t>大清抹一次，天花每季除尘一次</w:t>
            </w:r>
          </w:p>
        </w:tc>
        <w:tc>
          <w:tcPr>
            <w:tcW w:w="991" w:type="pct"/>
            <w:vAlign w:val="center"/>
          </w:tcPr>
          <w:p w14:paraId="35E87673">
            <w:pPr>
              <w:topLinePunct/>
              <w:jc w:val="center"/>
              <w:rPr>
                <w:rFonts w:ascii="宋体" w:hAnsi="宋体" w:cs="宋体"/>
                <w:kern w:val="0"/>
                <w:sz w:val="20"/>
                <w:szCs w:val="20"/>
              </w:rPr>
            </w:pPr>
            <w:r>
              <w:rPr>
                <w:rFonts w:ascii="宋体" w:hAnsi="宋体" w:cs="宋体"/>
                <w:kern w:val="0"/>
                <w:sz w:val="20"/>
                <w:szCs w:val="20"/>
              </w:rPr>
              <w:t>无灰尘、无污渍</w:t>
            </w:r>
          </w:p>
        </w:tc>
      </w:tr>
      <w:tr w14:paraId="2EAC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614C2C12">
            <w:pPr>
              <w:topLinePunct/>
              <w:jc w:val="center"/>
              <w:rPr>
                <w:rFonts w:ascii="宋体" w:hAnsi="宋体" w:cs="Arial"/>
                <w:kern w:val="0"/>
                <w:sz w:val="20"/>
                <w:szCs w:val="20"/>
              </w:rPr>
            </w:pPr>
          </w:p>
        </w:tc>
        <w:tc>
          <w:tcPr>
            <w:tcW w:w="937" w:type="pct"/>
            <w:gridSpan w:val="2"/>
            <w:vAlign w:val="center"/>
          </w:tcPr>
          <w:p w14:paraId="4AFEE36B">
            <w:pPr>
              <w:topLinePunct/>
              <w:jc w:val="center"/>
              <w:rPr>
                <w:rFonts w:ascii="宋体" w:hAnsi="宋体" w:cs="宋体"/>
                <w:kern w:val="0"/>
                <w:sz w:val="20"/>
                <w:szCs w:val="20"/>
              </w:rPr>
            </w:pPr>
            <w:r>
              <w:rPr>
                <w:rFonts w:ascii="宋体" w:hAnsi="宋体" w:cs="宋体"/>
                <w:kern w:val="0"/>
                <w:sz w:val="20"/>
                <w:szCs w:val="20"/>
              </w:rPr>
              <w:t>垃圾箱、垃圾桶</w:t>
            </w:r>
          </w:p>
        </w:tc>
        <w:tc>
          <w:tcPr>
            <w:tcW w:w="938" w:type="pct"/>
            <w:vAlign w:val="center"/>
          </w:tcPr>
          <w:p w14:paraId="2CB976B7">
            <w:pPr>
              <w:topLinePunct/>
              <w:jc w:val="center"/>
              <w:rPr>
                <w:rFonts w:ascii="宋体" w:hAnsi="宋体" w:cs="宋体"/>
                <w:kern w:val="0"/>
                <w:sz w:val="20"/>
                <w:szCs w:val="20"/>
              </w:rPr>
            </w:pPr>
            <w:r>
              <w:rPr>
                <w:rFonts w:ascii="宋体" w:hAnsi="宋体" w:cs="宋体"/>
                <w:kern w:val="0"/>
                <w:sz w:val="20"/>
                <w:szCs w:val="20"/>
              </w:rPr>
              <w:t>清理二次，清抹一次</w:t>
            </w:r>
          </w:p>
        </w:tc>
        <w:tc>
          <w:tcPr>
            <w:tcW w:w="852" w:type="pct"/>
            <w:vAlign w:val="center"/>
          </w:tcPr>
          <w:p w14:paraId="0F979D25">
            <w:pPr>
              <w:topLinePunct/>
              <w:jc w:val="center"/>
              <w:rPr>
                <w:rFonts w:ascii="宋体" w:hAnsi="宋体" w:cs="宋体"/>
                <w:kern w:val="0"/>
                <w:sz w:val="20"/>
                <w:szCs w:val="20"/>
              </w:rPr>
            </w:pPr>
            <w:r>
              <w:rPr>
                <w:rFonts w:ascii="宋体" w:hAnsi="宋体" w:cs="宋体"/>
                <w:kern w:val="0"/>
                <w:sz w:val="20"/>
                <w:szCs w:val="20"/>
              </w:rPr>
              <w:t>全面清洁一次</w:t>
            </w:r>
          </w:p>
        </w:tc>
        <w:tc>
          <w:tcPr>
            <w:tcW w:w="1022" w:type="pct"/>
            <w:vAlign w:val="center"/>
          </w:tcPr>
          <w:p w14:paraId="6F1717E5">
            <w:pPr>
              <w:topLinePunct/>
              <w:jc w:val="center"/>
              <w:rPr>
                <w:rFonts w:ascii="宋体" w:hAnsi="宋体" w:cs="Arial"/>
                <w:kern w:val="0"/>
                <w:sz w:val="20"/>
                <w:szCs w:val="20"/>
              </w:rPr>
            </w:pPr>
          </w:p>
        </w:tc>
        <w:tc>
          <w:tcPr>
            <w:tcW w:w="991" w:type="pct"/>
            <w:vAlign w:val="center"/>
          </w:tcPr>
          <w:p w14:paraId="7A772E6A">
            <w:pPr>
              <w:topLinePunct/>
              <w:jc w:val="center"/>
              <w:rPr>
                <w:rFonts w:ascii="宋体" w:hAnsi="宋体" w:cs="宋体"/>
                <w:kern w:val="0"/>
                <w:sz w:val="20"/>
                <w:szCs w:val="20"/>
              </w:rPr>
            </w:pPr>
            <w:r>
              <w:rPr>
                <w:rFonts w:ascii="宋体" w:hAnsi="宋体" w:cs="宋体"/>
                <w:kern w:val="0"/>
                <w:sz w:val="20"/>
                <w:szCs w:val="20"/>
              </w:rPr>
              <w:t>无异味、无污渍</w:t>
            </w:r>
          </w:p>
        </w:tc>
      </w:tr>
      <w:tr w14:paraId="01A3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58502C65">
            <w:pPr>
              <w:topLinePunct/>
              <w:jc w:val="center"/>
              <w:rPr>
                <w:rFonts w:ascii="宋体" w:hAnsi="宋体" w:cs="Arial"/>
                <w:kern w:val="0"/>
                <w:sz w:val="20"/>
                <w:szCs w:val="20"/>
              </w:rPr>
            </w:pPr>
          </w:p>
        </w:tc>
        <w:tc>
          <w:tcPr>
            <w:tcW w:w="937" w:type="pct"/>
            <w:gridSpan w:val="2"/>
            <w:vAlign w:val="center"/>
          </w:tcPr>
          <w:p w14:paraId="2C40650F">
            <w:pPr>
              <w:topLinePunct/>
              <w:jc w:val="center"/>
              <w:rPr>
                <w:rFonts w:ascii="宋体" w:hAnsi="宋体" w:cs="宋体"/>
                <w:kern w:val="0"/>
                <w:sz w:val="20"/>
                <w:szCs w:val="20"/>
              </w:rPr>
            </w:pPr>
            <w:r>
              <w:rPr>
                <w:rFonts w:ascii="宋体" w:hAnsi="宋体" w:cs="宋体"/>
                <w:kern w:val="0"/>
                <w:sz w:val="20"/>
                <w:szCs w:val="20"/>
              </w:rPr>
              <w:t>屋面、天台</w:t>
            </w:r>
          </w:p>
        </w:tc>
        <w:tc>
          <w:tcPr>
            <w:tcW w:w="938" w:type="pct"/>
            <w:vAlign w:val="center"/>
          </w:tcPr>
          <w:p w14:paraId="12FEE077">
            <w:pPr>
              <w:topLinePunct/>
              <w:jc w:val="center"/>
              <w:rPr>
                <w:rFonts w:ascii="宋体" w:hAnsi="宋体" w:cs="Arial"/>
                <w:kern w:val="0"/>
                <w:sz w:val="20"/>
                <w:szCs w:val="20"/>
              </w:rPr>
            </w:pPr>
          </w:p>
        </w:tc>
        <w:tc>
          <w:tcPr>
            <w:tcW w:w="852" w:type="pct"/>
            <w:vAlign w:val="center"/>
          </w:tcPr>
          <w:p w14:paraId="7B1264D6">
            <w:pPr>
              <w:topLinePunct/>
              <w:jc w:val="center"/>
              <w:rPr>
                <w:rFonts w:ascii="宋体" w:hAnsi="宋体" w:cs="宋体"/>
                <w:kern w:val="0"/>
                <w:sz w:val="20"/>
                <w:szCs w:val="20"/>
              </w:rPr>
            </w:pPr>
            <w:r>
              <w:rPr>
                <w:rFonts w:ascii="宋体" w:hAnsi="宋体" w:cs="宋体"/>
                <w:kern w:val="0"/>
                <w:sz w:val="20"/>
                <w:szCs w:val="20"/>
              </w:rPr>
              <w:t>清扫二次</w:t>
            </w:r>
          </w:p>
        </w:tc>
        <w:tc>
          <w:tcPr>
            <w:tcW w:w="1022" w:type="pct"/>
            <w:vAlign w:val="center"/>
          </w:tcPr>
          <w:p w14:paraId="0417AF81">
            <w:pPr>
              <w:topLinePunct/>
              <w:jc w:val="center"/>
              <w:rPr>
                <w:rFonts w:ascii="宋体" w:hAnsi="宋体" w:cs="宋体"/>
                <w:kern w:val="0"/>
                <w:sz w:val="20"/>
                <w:szCs w:val="20"/>
              </w:rPr>
            </w:pPr>
            <w:r>
              <w:rPr>
                <w:rFonts w:ascii="宋体" w:hAnsi="宋体" w:cs="宋体"/>
                <w:kern w:val="0"/>
                <w:sz w:val="20"/>
                <w:szCs w:val="20"/>
              </w:rPr>
              <w:t>清洗一次</w:t>
            </w:r>
          </w:p>
        </w:tc>
        <w:tc>
          <w:tcPr>
            <w:tcW w:w="991" w:type="pct"/>
            <w:vAlign w:val="center"/>
          </w:tcPr>
          <w:p w14:paraId="17D33AB9">
            <w:pPr>
              <w:topLinePunct/>
              <w:jc w:val="center"/>
              <w:rPr>
                <w:rFonts w:ascii="宋体" w:hAnsi="宋体" w:cs="宋体"/>
                <w:kern w:val="0"/>
                <w:sz w:val="20"/>
                <w:szCs w:val="20"/>
              </w:rPr>
            </w:pPr>
            <w:r>
              <w:rPr>
                <w:rFonts w:ascii="宋体" w:hAnsi="宋体" w:cs="宋体"/>
                <w:kern w:val="0"/>
                <w:sz w:val="20"/>
                <w:szCs w:val="20"/>
              </w:rPr>
              <w:t>无杂物、无污渍</w:t>
            </w:r>
          </w:p>
        </w:tc>
      </w:tr>
      <w:tr w14:paraId="366E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restart"/>
            <w:vAlign w:val="center"/>
          </w:tcPr>
          <w:p w14:paraId="017C3EE4">
            <w:pPr>
              <w:topLinePunct/>
              <w:jc w:val="center"/>
              <w:rPr>
                <w:rFonts w:ascii="宋体" w:hAnsi="宋体" w:cs="宋体"/>
                <w:kern w:val="0"/>
                <w:sz w:val="20"/>
                <w:szCs w:val="20"/>
              </w:rPr>
            </w:pPr>
            <w:r>
              <w:rPr>
                <w:rFonts w:ascii="宋体" w:hAnsi="宋体" w:cs="宋体"/>
                <w:kern w:val="0"/>
                <w:sz w:val="20"/>
                <w:szCs w:val="20"/>
              </w:rPr>
              <w:t>行政办公室</w:t>
            </w:r>
          </w:p>
        </w:tc>
        <w:tc>
          <w:tcPr>
            <w:tcW w:w="937" w:type="pct"/>
            <w:gridSpan w:val="2"/>
            <w:vAlign w:val="center"/>
          </w:tcPr>
          <w:p w14:paraId="1F2D5F61">
            <w:pPr>
              <w:topLinePunct/>
              <w:jc w:val="center"/>
              <w:rPr>
                <w:rFonts w:ascii="宋体" w:hAnsi="宋体" w:cs="宋体"/>
                <w:kern w:val="0"/>
                <w:sz w:val="20"/>
                <w:szCs w:val="20"/>
              </w:rPr>
            </w:pPr>
            <w:r>
              <w:rPr>
                <w:rFonts w:ascii="宋体" w:hAnsi="宋体" w:cs="宋体"/>
                <w:kern w:val="0"/>
                <w:sz w:val="20"/>
                <w:szCs w:val="20"/>
              </w:rPr>
              <w:t>地面</w:t>
            </w:r>
          </w:p>
        </w:tc>
        <w:tc>
          <w:tcPr>
            <w:tcW w:w="938" w:type="pct"/>
            <w:vAlign w:val="center"/>
          </w:tcPr>
          <w:p w14:paraId="775683DD">
            <w:pPr>
              <w:topLinePunct/>
              <w:jc w:val="center"/>
              <w:rPr>
                <w:rFonts w:ascii="宋体" w:hAnsi="宋体" w:cs="宋体"/>
                <w:kern w:val="0"/>
                <w:sz w:val="20"/>
                <w:szCs w:val="20"/>
              </w:rPr>
            </w:pPr>
            <w:r>
              <w:rPr>
                <w:rFonts w:ascii="宋体" w:hAnsi="宋体" w:cs="宋体"/>
                <w:kern w:val="0"/>
                <w:sz w:val="20"/>
                <w:szCs w:val="20"/>
              </w:rPr>
              <w:t>配合清洁剂湿拖</w:t>
            </w:r>
          </w:p>
          <w:p w14:paraId="399D7D1D">
            <w:pPr>
              <w:topLinePunct/>
              <w:jc w:val="center"/>
              <w:rPr>
                <w:rFonts w:ascii="宋体" w:hAnsi="宋体" w:cs="宋体"/>
                <w:kern w:val="0"/>
                <w:sz w:val="20"/>
                <w:szCs w:val="20"/>
              </w:rPr>
            </w:pPr>
            <w:r>
              <w:rPr>
                <w:rFonts w:ascii="宋体" w:hAnsi="宋体" w:cs="宋体"/>
                <w:kern w:val="0"/>
                <w:sz w:val="20"/>
                <w:szCs w:val="20"/>
              </w:rPr>
              <w:t>一次</w:t>
            </w:r>
          </w:p>
        </w:tc>
        <w:tc>
          <w:tcPr>
            <w:tcW w:w="852" w:type="pct"/>
            <w:vAlign w:val="center"/>
          </w:tcPr>
          <w:p w14:paraId="78AF747A">
            <w:pPr>
              <w:topLinePunct/>
              <w:jc w:val="center"/>
              <w:rPr>
                <w:rFonts w:ascii="宋体" w:hAnsi="宋体" w:cs="Arial"/>
                <w:kern w:val="0"/>
                <w:sz w:val="20"/>
                <w:szCs w:val="20"/>
              </w:rPr>
            </w:pPr>
          </w:p>
        </w:tc>
        <w:tc>
          <w:tcPr>
            <w:tcW w:w="1022" w:type="pct"/>
            <w:vAlign w:val="center"/>
          </w:tcPr>
          <w:p w14:paraId="771BD23D">
            <w:pPr>
              <w:topLinePunct/>
              <w:jc w:val="center"/>
              <w:rPr>
                <w:rFonts w:ascii="宋体" w:hAnsi="宋体" w:cs="Arial"/>
                <w:kern w:val="0"/>
                <w:sz w:val="20"/>
                <w:szCs w:val="20"/>
              </w:rPr>
            </w:pPr>
          </w:p>
          <w:p w14:paraId="58E77AFF">
            <w:pPr>
              <w:topLinePunct/>
              <w:jc w:val="center"/>
              <w:rPr>
                <w:rFonts w:ascii="宋体" w:hAnsi="宋体" w:cs="宋体"/>
                <w:kern w:val="0"/>
                <w:sz w:val="20"/>
                <w:szCs w:val="20"/>
              </w:rPr>
            </w:pPr>
            <w:r>
              <w:rPr>
                <w:rFonts w:ascii="宋体" w:hAnsi="宋体" w:cs="宋体"/>
                <w:kern w:val="0"/>
                <w:sz w:val="20"/>
                <w:szCs w:val="20"/>
              </w:rPr>
              <w:t>清洗一次</w:t>
            </w:r>
          </w:p>
        </w:tc>
        <w:tc>
          <w:tcPr>
            <w:tcW w:w="991" w:type="pct"/>
            <w:vAlign w:val="center"/>
          </w:tcPr>
          <w:p w14:paraId="70696CD6">
            <w:pPr>
              <w:topLinePunct/>
              <w:jc w:val="center"/>
              <w:rPr>
                <w:rFonts w:ascii="宋体" w:hAnsi="宋体" w:cs="宋体"/>
                <w:kern w:val="0"/>
                <w:sz w:val="20"/>
                <w:szCs w:val="20"/>
              </w:rPr>
            </w:pPr>
            <w:r>
              <w:rPr>
                <w:rFonts w:ascii="宋体" w:hAnsi="宋体" w:cs="宋体"/>
                <w:kern w:val="0"/>
                <w:sz w:val="20"/>
                <w:szCs w:val="20"/>
              </w:rPr>
              <w:t>无灰尘、无污渍、</w:t>
            </w:r>
          </w:p>
          <w:p w14:paraId="50F90ED0">
            <w:pPr>
              <w:topLinePunct/>
              <w:jc w:val="center"/>
              <w:rPr>
                <w:rFonts w:ascii="宋体" w:hAnsi="宋体" w:cs="宋体"/>
                <w:kern w:val="0"/>
                <w:sz w:val="20"/>
                <w:szCs w:val="20"/>
              </w:rPr>
            </w:pPr>
            <w:r>
              <w:rPr>
                <w:rFonts w:ascii="宋体" w:hAnsi="宋体" w:cs="宋体"/>
                <w:kern w:val="0"/>
                <w:sz w:val="20"/>
                <w:szCs w:val="20"/>
              </w:rPr>
              <w:t>地面光洁</w:t>
            </w:r>
          </w:p>
        </w:tc>
      </w:tr>
      <w:tr w14:paraId="4EDE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19D085B9">
            <w:pPr>
              <w:topLinePunct/>
              <w:jc w:val="center"/>
              <w:rPr>
                <w:rFonts w:ascii="宋体" w:hAnsi="宋体" w:cs="Arial"/>
                <w:kern w:val="0"/>
                <w:sz w:val="20"/>
                <w:szCs w:val="20"/>
              </w:rPr>
            </w:pPr>
          </w:p>
        </w:tc>
        <w:tc>
          <w:tcPr>
            <w:tcW w:w="937" w:type="pct"/>
            <w:gridSpan w:val="2"/>
            <w:vAlign w:val="center"/>
          </w:tcPr>
          <w:p w14:paraId="6B9D39E8">
            <w:pPr>
              <w:topLinePunct/>
              <w:jc w:val="center"/>
              <w:rPr>
                <w:rFonts w:ascii="宋体" w:hAnsi="宋体" w:cs="宋体"/>
                <w:kern w:val="0"/>
                <w:sz w:val="20"/>
                <w:szCs w:val="20"/>
              </w:rPr>
            </w:pPr>
            <w:r>
              <w:rPr>
                <w:rFonts w:ascii="宋体" w:hAnsi="宋体" w:cs="宋体"/>
                <w:kern w:val="0"/>
                <w:sz w:val="20"/>
                <w:szCs w:val="20"/>
              </w:rPr>
              <w:t>桌椅台面</w:t>
            </w:r>
          </w:p>
        </w:tc>
        <w:tc>
          <w:tcPr>
            <w:tcW w:w="938" w:type="pct"/>
            <w:vAlign w:val="center"/>
          </w:tcPr>
          <w:p w14:paraId="537DDB1A">
            <w:pPr>
              <w:topLinePunct/>
              <w:jc w:val="center"/>
              <w:rPr>
                <w:rFonts w:ascii="宋体" w:hAnsi="宋体" w:cs="宋体"/>
                <w:kern w:val="0"/>
                <w:sz w:val="20"/>
                <w:szCs w:val="20"/>
              </w:rPr>
            </w:pPr>
            <w:r>
              <w:rPr>
                <w:rFonts w:ascii="宋体" w:hAnsi="宋体" w:cs="宋体"/>
                <w:kern w:val="0"/>
                <w:sz w:val="20"/>
                <w:szCs w:val="20"/>
              </w:rPr>
              <w:t>清抹一次</w:t>
            </w:r>
          </w:p>
        </w:tc>
        <w:tc>
          <w:tcPr>
            <w:tcW w:w="852" w:type="pct"/>
            <w:vAlign w:val="center"/>
          </w:tcPr>
          <w:p w14:paraId="17604E04">
            <w:pPr>
              <w:topLinePunct/>
              <w:jc w:val="center"/>
              <w:rPr>
                <w:rFonts w:ascii="宋体" w:hAnsi="宋体" w:cs="宋体"/>
                <w:kern w:val="0"/>
                <w:sz w:val="20"/>
                <w:szCs w:val="20"/>
              </w:rPr>
            </w:pPr>
            <w:r>
              <w:rPr>
                <w:rFonts w:ascii="宋体" w:hAnsi="宋体" w:cs="宋体"/>
                <w:kern w:val="0"/>
                <w:sz w:val="20"/>
                <w:szCs w:val="20"/>
              </w:rPr>
              <w:t>用洁而亮清抹一</w:t>
            </w:r>
          </w:p>
          <w:p w14:paraId="7DD95CF7">
            <w:pPr>
              <w:topLinePunct/>
              <w:jc w:val="center"/>
              <w:rPr>
                <w:rFonts w:ascii="宋体" w:hAnsi="宋体" w:cs="宋体"/>
                <w:kern w:val="0"/>
                <w:sz w:val="20"/>
                <w:szCs w:val="20"/>
              </w:rPr>
            </w:pPr>
            <w:r>
              <w:rPr>
                <w:rFonts w:ascii="宋体" w:hAnsi="宋体" w:cs="宋体"/>
                <w:kern w:val="0"/>
                <w:sz w:val="20"/>
                <w:szCs w:val="20"/>
              </w:rPr>
              <w:t>次</w:t>
            </w:r>
          </w:p>
        </w:tc>
        <w:tc>
          <w:tcPr>
            <w:tcW w:w="1022" w:type="pct"/>
            <w:vAlign w:val="center"/>
          </w:tcPr>
          <w:p w14:paraId="62DDB194">
            <w:pPr>
              <w:topLinePunct/>
              <w:jc w:val="center"/>
              <w:rPr>
                <w:rFonts w:ascii="宋体" w:hAnsi="宋体" w:cs="Arial"/>
                <w:kern w:val="0"/>
                <w:sz w:val="20"/>
                <w:szCs w:val="20"/>
              </w:rPr>
            </w:pPr>
          </w:p>
        </w:tc>
        <w:tc>
          <w:tcPr>
            <w:tcW w:w="991" w:type="pct"/>
            <w:vAlign w:val="center"/>
          </w:tcPr>
          <w:p w14:paraId="521F5334">
            <w:pPr>
              <w:topLinePunct/>
              <w:jc w:val="center"/>
              <w:rPr>
                <w:rFonts w:ascii="宋体" w:hAnsi="宋体" w:cs="宋体"/>
                <w:kern w:val="0"/>
                <w:sz w:val="20"/>
                <w:szCs w:val="20"/>
              </w:rPr>
            </w:pPr>
            <w:r>
              <w:rPr>
                <w:rFonts w:ascii="宋体" w:hAnsi="宋体" w:cs="宋体"/>
                <w:kern w:val="0"/>
                <w:sz w:val="20"/>
                <w:szCs w:val="20"/>
              </w:rPr>
              <w:t>无灰尘、无污渍、表面光洁</w:t>
            </w:r>
          </w:p>
        </w:tc>
      </w:tr>
      <w:tr w14:paraId="4D94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32919FDC">
            <w:pPr>
              <w:topLinePunct/>
              <w:jc w:val="center"/>
              <w:rPr>
                <w:rFonts w:ascii="宋体" w:hAnsi="宋体" w:cs="Arial"/>
                <w:kern w:val="0"/>
                <w:sz w:val="20"/>
                <w:szCs w:val="20"/>
              </w:rPr>
            </w:pPr>
          </w:p>
        </w:tc>
        <w:tc>
          <w:tcPr>
            <w:tcW w:w="937" w:type="pct"/>
            <w:gridSpan w:val="2"/>
            <w:vAlign w:val="center"/>
          </w:tcPr>
          <w:p w14:paraId="1AC19CFE">
            <w:pPr>
              <w:topLinePunct/>
              <w:jc w:val="center"/>
              <w:rPr>
                <w:rFonts w:ascii="宋体" w:hAnsi="宋体" w:cs="宋体"/>
                <w:kern w:val="0"/>
                <w:sz w:val="20"/>
                <w:szCs w:val="20"/>
              </w:rPr>
            </w:pPr>
            <w:r>
              <w:rPr>
                <w:rFonts w:ascii="宋体" w:hAnsi="宋体" w:cs="宋体"/>
                <w:kern w:val="0"/>
                <w:sz w:val="20"/>
                <w:szCs w:val="20"/>
              </w:rPr>
              <w:t>沙发、茶几</w:t>
            </w:r>
          </w:p>
        </w:tc>
        <w:tc>
          <w:tcPr>
            <w:tcW w:w="938" w:type="pct"/>
            <w:vAlign w:val="center"/>
          </w:tcPr>
          <w:p w14:paraId="659CD3D5">
            <w:pPr>
              <w:topLinePunct/>
              <w:jc w:val="center"/>
              <w:rPr>
                <w:rFonts w:ascii="宋体" w:hAnsi="宋体" w:cs="宋体"/>
                <w:kern w:val="0"/>
                <w:sz w:val="20"/>
                <w:szCs w:val="20"/>
              </w:rPr>
            </w:pPr>
            <w:r>
              <w:rPr>
                <w:rFonts w:ascii="宋体" w:hAnsi="宋体" w:cs="宋体"/>
                <w:kern w:val="0"/>
                <w:sz w:val="20"/>
                <w:szCs w:val="20"/>
              </w:rPr>
              <w:t>清抹一次</w:t>
            </w:r>
          </w:p>
        </w:tc>
        <w:tc>
          <w:tcPr>
            <w:tcW w:w="852" w:type="pct"/>
            <w:vAlign w:val="center"/>
          </w:tcPr>
          <w:p w14:paraId="533DF76E">
            <w:pPr>
              <w:topLinePunct/>
              <w:jc w:val="center"/>
              <w:rPr>
                <w:rFonts w:ascii="宋体" w:hAnsi="宋体" w:cs="Arial"/>
                <w:kern w:val="0"/>
                <w:sz w:val="20"/>
                <w:szCs w:val="20"/>
              </w:rPr>
            </w:pPr>
          </w:p>
        </w:tc>
        <w:tc>
          <w:tcPr>
            <w:tcW w:w="1022" w:type="pct"/>
            <w:vAlign w:val="center"/>
          </w:tcPr>
          <w:p w14:paraId="63F9D009">
            <w:pPr>
              <w:topLinePunct/>
              <w:jc w:val="center"/>
              <w:rPr>
                <w:rFonts w:ascii="宋体" w:hAnsi="宋体" w:cs="宋体"/>
                <w:kern w:val="0"/>
                <w:sz w:val="20"/>
                <w:szCs w:val="20"/>
              </w:rPr>
            </w:pPr>
            <w:r>
              <w:rPr>
                <w:rFonts w:ascii="宋体" w:hAnsi="宋体" w:cs="宋体"/>
                <w:kern w:val="0"/>
                <w:sz w:val="20"/>
                <w:szCs w:val="20"/>
              </w:rPr>
              <w:t>打碧丽珠一次</w:t>
            </w:r>
          </w:p>
        </w:tc>
        <w:tc>
          <w:tcPr>
            <w:tcW w:w="991" w:type="pct"/>
            <w:vAlign w:val="center"/>
          </w:tcPr>
          <w:p w14:paraId="7F010009">
            <w:pPr>
              <w:topLinePunct/>
              <w:jc w:val="center"/>
              <w:rPr>
                <w:rFonts w:ascii="宋体" w:hAnsi="宋体" w:cs="宋体"/>
                <w:kern w:val="0"/>
                <w:sz w:val="20"/>
                <w:szCs w:val="20"/>
              </w:rPr>
            </w:pPr>
            <w:r>
              <w:rPr>
                <w:rFonts w:ascii="宋体" w:hAnsi="宋体" w:cs="宋体"/>
                <w:kern w:val="0"/>
                <w:sz w:val="20"/>
                <w:szCs w:val="20"/>
              </w:rPr>
              <w:t>无灰尘、无污渍、表面光洁</w:t>
            </w:r>
          </w:p>
        </w:tc>
      </w:tr>
      <w:tr w14:paraId="1E21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037F7123">
            <w:pPr>
              <w:topLinePunct/>
              <w:jc w:val="center"/>
              <w:rPr>
                <w:rFonts w:ascii="宋体" w:hAnsi="宋体" w:cs="Arial"/>
                <w:kern w:val="0"/>
                <w:sz w:val="20"/>
                <w:szCs w:val="20"/>
              </w:rPr>
            </w:pPr>
          </w:p>
        </w:tc>
        <w:tc>
          <w:tcPr>
            <w:tcW w:w="937" w:type="pct"/>
            <w:gridSpan w:val="2"/>
            <w:vAlign w:val="center"/>
          </w:tcPr>
          <w:p w14:paraId="02515B9A">
            <w:pPr>
              <w:topLinePunct/>
              <w:jc w:val="center"/>
              <w:rPr>
                <w:rFonts w:ascii="宋体" w:hAnsi="宋体" w:cs="宋体"/>
                <w:kern w:val="0"/>
                <w:sz w:val="20"/>
                <w:szCs w:val="20"/>
              </w:rPr>
            </w:pPr>
            <w:r>
              <w:rPr>
                <w:rFonts w:ascii="宋体" w:hAnsi="宋体" w:cs="宋体"/>
                <w:kern w:val="0"/>
                <w:sz w:val="20"/>
                <w:szCs w:val="20"/>
              </w:rPr>
              <w:t>墙面低处设施、</w:t>
            </w:r>
          </w:p>
          <w:p w14:paraId="721D7181">
            <w:pPr>
              <w:topLinePunct/>
              <w:jc w:val="center"/>
              <w:rPr>
                <w:rFonts w:ascii="宋体" w:hAnsi="宋体" w:cs="宋体"/>
                <w:kern w:val="0"/>
                <w:sz w:val="20"/>
                <w:szCs w:val="20"/>
              </w:rPr>
            </w:pPr>
            <w:r>
              <w:rPr>
                <w:rFonts w:ascii="宋体" w:hAnsi="宋体" w:cs="宋体"/>
                <w:kern w:val="0"/>
                <w:sz w:val="20"/>
                <w:szCs w:val="20"/>
              </w:rPr>
              <w:t>门窗</w:t>
            </w:r>
          </w:p>
        </w:tc>
        <w:tc>
          <w:tcPr>
            <w:tcW w:w="938" w:type="pct"/>
            <w:vAlign w:val="center"/>
          </w:tcPr>
          <w:p w14:paraId="58191D59">
            <w:pPr>
              <w:topLinePunct/>
              <w:jc w:val="center"/>
              <w:rPr>
                <w:rFonts w:ascii="宋体" w:hAnsi="宋体" w:cs="Arial"/>
                <w:kern w:val="0"/>
                <w:sz w:val="20"/>
                <w:szCs w:val="20"/>
              </w:rPr>
            </w:pPr>
          </w:p>
        </w:tc>
        <w:tc>
          <w:tcPr>
            <w:tcW w:w="852" w:type="pct"/>
            <w:vAlign w:val="center"/>
          </w:tcPr>
          <w:p w14:paraId="228892D4">
            <w:pPr>
              <w:topLinePunct/>
              <w:jc w:val="center"/>
              <w:rPr>
                <w:rFonts w:ascii="宋体" w:hAnsi="宋体" w:cs="宋体"/>
                <w:kern w:val="0"/>
                <w:sz w:val="20"/>
                <w:szCs w:val="20"/>
              </w:rPr>
            </w:pPr>
            <w:r>
              <w:rPr>
                <w:rFonts w:ascii="宋体" w:hAnsi="宋体" w:cs="宋体"/>
                <w:kern w:val="0"/>
                <w:sz w:val="20"/>
                <w:szCs w:val="20"/>
              </w:rPr>
              <w:t>大清抹一次</w:t>
            </w:r>
          </w:p>
        </w:tc>
        <w:tc>
          <w:tcPr>
            <w:tcW w:w="1022" w:type="pct"/>
            <w:vAlign w:val="center"/>
          </w:tcPr>
          <w:p w14:paraId="69FAE93B">
            <w:pPr>
              <w:topLinePunct/>
              <w:jc w:val="center"/>
              <w:rPr>
                <w:rFonts w:ascii="宋体" w:hAnsi="宋体" w:cs="Arial"/>
                <w:kern w:val="0"/>
                <w:sz w:val="20"/>
                <w:szCs w:val="20"/>
              </w:rPr>
            </w:pPr>
          </w:p>
        </w:tc>
        <w:tc>
          <w:tcPr>
            <w:tcW w:w="991" w:type="pct"/>
            <w:vAlign w:val="center"/>
          </w:tcPr>
          <w:p w14:paraId="43FD4C7E">
            <w:pPr>
              <w:topLinePunct/>
              <w:jc w:val="center"/>
              <w:rPr>
                <w:rFonts w:ascii="宋体" w:hAnsi="宋体" w:cs="宋体"/>
                <w:kern w:val="0"/>
                <w:sz w:val="20"/>
                <w:szCs w:val="20"/>
              </w:rPr>
            </w:pPr>
            <w:r>
              <w:rPr>
                <w:rFonts w:ascii="宋体" w:hAnsi="宋体" w:cs="宋体"/>
                <w:kern w:val="0"/>
                <w:sz w:val="20"/>
                <w:szCs w:val="20"/>
              </w:rPr>
              <w:t>无灰尘、无污渍</w:t>
            </w:r>
          </w:p>
        </w:tc>
      </w:tr>
      <w:tr w14:paraId="7B0FA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647309D2">
            <w:pPr>
              <w:topLinePunct/>
              <w:jc w:val="center"/>
              <w:rPr>
                <w:rFonts w:ascii="宋体" w:hAnsi="宋体" w:cs="Arial"/>
                <w:kern w:val="0"/>
                <w:sz w:val="20"/>
                <w:szCs w:val="20"/>
              </w:rPr>
            </w:pPr>
          </w:p>
        </w:tc>
        <w:tc>
          <w:tcPr>
            <w:tcW w:w="937" w:type="pct"/>
            <w:gridSpan w:val="2"/>
            <w:vAlign w:val="center"/>
          </w:tcPr>
          <w:p w14:paraId="2649AA5C">
            <w:pPr>
              <w:topLinePunct/>
              <w:jc w:val="center"/>
              <w:rPr>
                <w:rFonts w:ascii="宋体" w:hAnsi="宋体" w:cs="宋体"/>
                <w:kern w:val="0"/>
                <w:sz w:val="20"/>
                <w:szCs w:val="20"/>
              </w:rPr>
            </w:pPr>
            <w:r>
              <w:rPr>
                <w:rFonts w:ascii="宋体" w:hAnsi="宋体" w:cs="宋体"/>
                <w:kern w:val="0"/>
                <w:sz w:val="20"/>
                <w:szCs w:val="20"/>
              </w:rPr>
              <w:t>墙面高处设施、天花及天花设</w:t>
            </w:r>
          </w:p>
          <w:p w14:paraId="6C6688F5">
            <w:pPr>
              <w:topLinePunct/>
              <w:jc w:val="center"/>
              <w:rPr>
                <w:rFonts w:ascii="宋体" w:hAnsi="宋体" w:cs="宋体"/>
                <w:kern w:val="0"/>
                <w:sz w:val="20"/>
                <w:szCs w:val="20"/>
              </w:rPr>
            </w:pPr>
            <w:r>
              <w:rPr>
                <w:rFonts w:ascii="宋体" w:hAnsi="宋体" w:cs="宋体"/>
                <w:kern w:val="0"/>
                <w:sz w:val="20"/>
                <w:szCs w:val="20"/>
              </w:rPr>
              <w:t>施</w:t>
            </w:r>
          </w:p>
        </w:tc>
        <w:tc>
          <w:tcPr>
            <w:tcW w:w="938" w:type="pct"/>
            <w:vAlign w:val="center"/>
          </w:tcPr>
          <w:p w14:paraId="776A56C0">
            <w:pPr>
              <w:topLinePunct/>
              <w:jc w:val="center"/>
              <w:rPr>
                <w:rFonts w:ascii="宋体" w:hAnsi="宋体" w:cs="Arial"/>
                <w:kern w:val="0"/>
                <w:sz w:val="20"/>
                <w:szCs w:val="20"/>
              </w:rPr>
            </w:pPr>
          </w:p>
        </w:tc>
        <w:tc>
          <w:tcPr>
            <w:tcW w:w="852" w:type="pct"/>
            <w:vAlign w:val="center"/>
          </w:tcPr>
          <w:p w14:paraId="3DC7CEE0">
            <w:pPr>
              <w:topLinePunct/>
              <w:jc w:val="center"/>
              <w:rPr>
                <w:rFonts w:ascii="宋体" w:hAnsi="宋体" w:cs="Arial"/>
                <w:kern w:val="0"/>
                <w:sz w:val="20"/>
                <w:szCs w:val="20"/>
              </w:rPr>
            </w:pPr>
          </w:p>
        </w:tc>
        <w:tc>
          <w:tcPr>
            <w:tcW w:w="1022" w:type="pct"/>
            <w:vAlign w:val="center"/>
          </w:tcPr>
          <w:p w14:paraId="01204178">
            <w:pPr>
              <w:topLinePunct/>
              <w:jc w:val="center"/>
              <w:rPr>
                <w:rFonts w:ascii="宋体" w:hAnsi="宋体" w:cs="宋体"/>
                <w:kern w:val="0"/>
                <w:sz w:val="20"/>
                <w:szCs w:val="20"/>
              </w:rPr>
            </w:pPr>
            <w:r>
              <w:rPr>
                <w:rFonts w:ascii="宋体" w:hAnsi="宋体" w:cs="宋体"/>
                <w:kern w:val="0"/>
                <w:sz w:val="20"/>
                <w:szCs w:val="20"/>
              </w:rPr>
              <w:t>大清抹一次，天花每季除尘一次</w:t>
            </w:r>
          </w:p>
        </w:tc>
        <w:tc>
          <w:tcPr>
            <w:tcW w:w="991" w:type="pct"/>
            <w:vAlign w:val="center"/>
          </w:tcPr>
          <w:p w14:paraId="52EF1265">
            <w:pPr>
              <w:topLinePunct/>
              <w:jc w:val="center"/>
              <w:rPr>
                <w:rFonts w:ascii="宋体" w:hAnsi="宋体" w:cs="宋体"/>
                <w:kern w:val="0"/>
                <w:sz w:val="20"/>
                <w:szCs w:val="20"/>
              </w:rPr>
            </w:pPr>
            <w:r>
              <w:rPr>
                <w:rFonts w:ascii="宋体" w:hAnsi="宋体" w:cs="宋体"/>
                <w:kern w:val="0"/>
                <w:sz w:val="20"/>
                <w:szCs w:val="20"/>
              </w:rPr>
              <w:t>无灰尘、无污渍</w:t>
            </w:r>
          </w:p>
        </w:tc>
      </w:tr>
      <w:tr w14:paraId="3FA1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2563A0DC">
            <w:pPr>
              <w:topLinePunct/>
              <w:jc w:val="center"/>
              <w:rPr>
                <w:rFonts w:ascii="宋体" w:hAnsi="宋体" w:cs="Arial"/>
                <w:kern w:val="0"/>
                <w:sz w:val="20"/>
                <w:szCs w:val="20"/>
              </w:rPr>
            </w:pPr>
          </w:p>
        </w:tc>
        <w:tc>
          <w:tcPr>
            <w:tcW w:w="937" w:type="pct"/>
            <w:gridSpan w:val="2"/>
            <w:vAlign w:val="center"/>
          </w:tcPr>
          <w:p w14:paraId="729D1A9B">
            <w:pPr>
              <w:topLinePunct/>
              <w:jc w:val="center"/>
              <w:rPr>
                <w:rFonts w:ascii="宋体" w:hAnsi="宋体" w:cs="宋体"/>
                <w:kern w:val="0"/>
                <w:sz w:val="20"/>
                <w:szCs w:val="20"/>
              </w:rPr>
            </w:pPr>
            <w:r>
              <w:rPr>
                <w:rFonts w:ascii="宋体" w:hAnsi="宋体" w:cs="宋体"/>
                <w:kern w:val="0"/>
                <w:sz w:val="20"/>
                <w:szCs w:val="20"/>
              </w:rPr>
              <w:t>垃圾处理</w:t>
            </w:r>
          </w:p>
        </w:tc>
        <w:tc>
          <w:tcPr>
            <w:tcW w:w="938" w:type="pct"/>
            <w:vAlign w:val="center"/>
          </w:tcPr>
          <w:p w14:paraId="1D7589CF">
            <w:pPr>
              <w:topLinePunct/>
              <w:jc w:val="center"/>
              <w:rPr>
                <w:rFonts w:ascii="宋体" w:hAnsi="宋体" w:cs="宋体"/>
                <w:kern w:val="0"/>
                <w:sz w:val="20"/>
                <w:szCs w:val="20"/>
              </w:rPr>
            </w:pPr>
            <w:r>
              <w:rPr>
                <w:rFonts w:ascii="宋体" w:hAnsi="宋体" w:cs="宋体"/>
                <w:kern w:val="0"/>
                <w:sz w:val="20"/>
                <w:szCs w:val="20"/>
              </w:rPr>
              <w:t>一天一次</w:t>
            </w:r>
          </w:p>
        </w:tc>
        <w:tc>
          <w:tcPr>
            <w:tcW w:w="852" w:type="pct"/>
            <w:vAlign w:val="center"/>
          </w:tcPr>
          <w:p w14:paraId="48644835">
            <w:pPr>
              <w:topLinePunct/>
              <w:jc w:val="center"/>
              <w:rPr>
                <w:rFonts w:ascii="宋体" w:hAnsi="宋体" w:cs="Arial"/>
                <w:kern w:val="0"/>
                <w:sz w:val="20"/>
                <w:szCs w:val="20"/>
              </w:rPr>
            </w:pPr>
          </w:p>
        </w:tc>
        <w:tc>
          <w:tcPr>
            <w:tcW w:w="1022" w:type="pct"/>
            <w:vAlign w:val="center"/>
          </w:tcPr>
          <w:p w14:paraId="562EDCC5">
            <w:pPr>
              <w:topLinePunct/>
              <w:jc w:val="center"/>
              <w:rPr>
                <w:rFonts w:ascii="宋体" w:hAnsi="宋体" w:cs="Arial"/>
                <w:kern w:val="0"/>
                <w:sz w:val="20"/>
                <w:szCs w:val="20"/>
              </w:rPr>
            </w:pPr>
          </w:p>
        </w:tc>
        <w:tc>
          <w:tcPr>
            <w:tcW w:w="991" w:type="pct"/>
            <w:vAlign w:val="center"/>
          </w:tcPr>
          <w:p w14:paraId="04C897A4">
            <w:pPr>
              <w:topLinePunct/>
              <w:jc w:val="center"/>
              <w:rPr>
                <w:rFonts w:ascii="宋体" w:hAnsi="宋体" w:cs="宋体"/>
                <w:kern w:val="0"/>
                <w:sz w:val="20"/>
                <w:szCs w:val="20"/>
              </w:rPr>
            </w:pPr>
            <w:r>
              <w:rPr>
                <w:rFonts w:ascii="宋体" w:hAnsi="宋体" w:cs="宋体"/>
                <w:kern w:val="0"/>
                <w:sz w:val="20"/>
                <w:szCs w:val="20"/>
              </w:rPr>
              <w:t>无溢出垃圾</w:t>
            </w:r>
          </w:p>
        </w:tc>
      </w:tr>
      <w:tr w14:paraId="0454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restart"/>
            <w:vAlign w:val="center"/>
          </w:tcPr>
          <w:p w14:paraId="47A4C8FE">
            <w:pPr>
              <w:topLinePunct/>
              <w:jc w:val="center"/>
              <w:rPr>
                <w:rFonts w:ascii="宋体" w:hAnsi="宋体" w:cs="宋体"/>
                <w:kern w:val="0"/>
                <w:sz w:val="20"/>
                <w:szCs w:val="20"/>
              </w:rPr>
            </w:pPr>
            <w:r>
              <w:rPr>
                <w:rFonts w:ascii="宋体" w:hAnsi="宋体" w:cs="宋体"/>
                <w:kern w:val="0"/>
                <w:sz w:val="20"/>
                <w:szCs w:val="20"/>
              </w:rPr>
              <w:t>外围部分</w:t>
            </w:r>
          </w:p>
        </w:tc>
        <w:tc>
          <w:tcPr>
            <w:tcW w:w="937" w:type="pct"/>
            <w:gridSpan w:val="2"/>
            <w:vAlign w:val="center"/>
          </w:tcPr>
          <w:p w14:paraId="758D62FD">
            <w:pPr>
              <w:topLinePunct/>
              <w:jc w:val="center"/>
              <w:rPr>
                <w:rFonts w:ascii="宋体" w:hAnsi="宋体" w:cs="宋体"/>
                <w:kern w:val="0"/>
                <w:sz w:val="20"/>
                <w:szCs w:val="20"/>
              </w:rPr>
            </w:pPr>
            <w:r>
              <w:rPr>
                <w:rFonts w:ascii="宋体" w:hAnsi="宋体" w:cs="宋体"/>
                <w:kern w:val="0"/>
                <w:sz w:val="20"/>
                <w:szCs w:val="20"/>
              </w:rPr>
              <w:t>路面、停车场、</w:t>
            </w:r>
          </w:p>
          <w:p w14:paraId="31265C67">
            <w:pPr>
              <w:topLinePunct/>
              <w:jc w:val="center"/>
              <w:rPr>
                <w:rFonts w:ascii="宋体" w:hAnsi="宋体" w:cs="宋体"/>
                <w:kern w:val="0"/>
                <w:sz w:val="20"/>
                <w:szCs w:val="20"/>
              </w:rPr>
            </w:pPr>
            <w:r>
              <w:rPr>
                <w:rFonts w:ascii="宋体" w:hAnsi="宋体" w:cs="宋体"/>
                <w:kern w:val="0"/>
                <w:sz w:val="20"/>
                <w:szCs w:val="20"/>
              </w:rPr>
              <w:t>大门</w:t>
            </w:r>
          </w:p>
        </w:tc>
        <w:tc>
          <w:tcPr>
            <w:tcW w:w="938" w:type="pct"/>
            <w:vAlign w:val="center"/>
          </w:tcPr>
          <w:p w14:paraId="6854597B">
            <w:pPr>
              <w:topLinePunct/>
              <w:jc w:val="center"/>
              <w:rPr>
                <w:rFonts w:ascii="宋体" w:hAnsi="宋体" w:cs="宋体"/>
                <w:kern w:val="0"/>
                <w:sz w:val="20"/>
                <w:szCs w:val="20"/>
              </w:rPr>
            </w:pPr>
            <w:r>
              <w:rPr>
                <w:rFonts w:ascii="宋体" w:hAnsi="宋体" w:cs="宋体"/>
                <w:kern w:val="0"/>
                <w:sz w:val="20"/>
                <w:szCs w:val="20"/>
              </w:rPr>
              <w:t>清扫一次、随时保洁</w:t>
            </w:r>
          </w:p>
        </w:tc>
        <w:tc>
          <w:tcPr>
            <w:tcW w:w="852" w:type="pct"/>
            <w:vAlign w:val="center"/>
          </w:tcPr>
          <w:p w14:paraId="398A9A52">
            <w:pPr>
              <w:topLinePunct/>
              <w:jc w:val="center"/>
              <w:rPr>
                <w:rFonts w:ascii="宋体" w:hAnsi="宋体" w:cs="Arial"/>
                <w:kern w:val="0"/>
                <w:sz w:val="20"/>
                <w:szCs w:val="20"/>
              </w:rPr>
            </w:pPr>
          </w:p>
        </w:tc>
        <w:tc>
          <w:tcPr>
            <w:tcW w:w="1022" w:type="pct"/>
            <w:vAlign w:val="center"/>
          </w:tcPr>
          <w:p w14:paraId="7B50DAEC">
            <w:pPr>
              <w:topLinePunct/>
              <w:jc w:val="center"/>
              <w:rPr>
                <w:rFonts w:ascii="宋体" w:hAnsi="宋体" w:cs="宋体"/>
                <w:kern w:val="0"/>
                <w:sz w:val="20"/>
                <w:szCs w:val="20"/>
              </w:rPr>
            </w:pPr>
            <w:r>
              <w:rPr>
                <w:rFonts w:ascii="宋体" w:hAnsi="宋体" w:cs="宋体"/>
                <w:kern w:val="0"/>
                <w:sz w:val="20"/>
                <w:szCs w:val="20"/>
              </w:rPr>
              <w:t>冲洗一次</w:t>
            </w:r>
          </w:p>
        </w:tc>
        <w:tc>
          <w:tcPr>
            <w:tcW w:w="991" w:type="pct"/>
            <w:vAlign w:val="center"/>
          </w:tcPr>
          <w:p w14:paraId="5DB8FC90">
            <w:pPr>
              <w:topLinePunct/>
              <w:jc w:val="center"/>
              <w:rPr>
                <w:rFonts w:ascii="宋体" w:hAnsi="宋体" w:cs="宋体"/>
                <w:kern w:val="0"/>
                <w:sz w:val="20"/>
                <w:szCs w:val="20"/>
              </w:rPr>
            </w:pPr>
            <w:r>
              <w:rPr>
                <w:rFonts w:ascii="宋体" w:hAnsi="宋体" w:cs="宋体"/>
                <w:kern w:val="0"/>
                <w:sz w:val="20"/>
                <w:szCs w:val="20"/>
              </w:rPr>
              <w:t>无垃圾、无杂物</w:t>
            </w:r>
          </w:p>
        </w:tc>
      </w:tr>
      <w:tr w14:paraId="412F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037ADF1F">
            <w:pPr>
              <w:topLinePunct/>
              <w:jc w:val="center"/>
              <w:rPr>
                <w:rFonts w:ascii="宋体" w:hAnsi="宋体" w:cs="Arial"/>
                <w:kern w:val="0"/>
                <w:sz w:val="20"/>
                <w:szCs w:val="20"/>
              </w:rPr>
            </w:pPr>
          </w:p>
        </w:tc>
        <w:tc>
          <w:tcPr>
            <w:tcW w:w="937" w:type="pct"/>
            <w:gridSpan w:val="2"/>
            <w:vAlign w:val="center"/>
          </w:tcPr>
          <w:p w14:paraId="731DE5CE">
            <w:pPr>
              <w:topLinePunct/>
              <w:jc w:val="center"/>
              <w:rPr>
                <w:rFonts w:ascii="宋体" w:hAnsi="宋体" w:cs="宋体"/>
                <w:kern w:val="0"/>
                <w:sz w:val="20"/>
                <w:szCs w:val="20"/>
              </w:rPr>
            </w:pPr>
            <w:r>
              <w:rPr>
                <w:rFonts w:ascii="宋体" w:hAnsi="宋体" w:cs="宋体"/>
                <w:kern w:val="0"/>
                <w:sz w:val="20"/>
                <w:szCs w:val="20"/>
              </w:rPr>
              <w:t>绿化带</w:t>
            </w:r>
          </w:p>
        </w:tc>
        <w:tc>
          <w:tcPr>
            <w:tcW w:w="938" w:type="pct"/>
            <w:vAlign w:val="center"/>
          </w:tcPr>
          <w:p w14:paraId="5C829AC8">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4F6C69D5">
            <w:pPr>
              <w:topLinePunct/>
              <w:jc w:val="center"/>
              <w:rPr>
                <w:rFonts w:ascii="宋体" w:hAnsi="宋体" w:cs="宋体"/>
                <w:kern w:val="0"/>
                <w:sz w:val="20"/>
                <w:szCs w:val="20"/>
              </w:rPr>
            </w:pPr>
            <w:r>
              <w:rPr>
                <w:rFonts w:ascii="宋体" w:hAnsi="宋体" w:cs="宋体"/>
                <w:kern w:val="0"/>
                <w:sz w:val="20"/>
                <w:szCs w:val="20"/>
              </w:rPr>
              <w:t>仔细清拣一次</w:t>
            </w:r>
          </w:p>
        </w:tc>
        <w:tc>
          <w:tcPr>
            <w:tcW w:w="1022" w:type="pct"/>
            <w:vAlign w:val="center"/>
          </w:tcPr>
          <w:p w14:paraId="2126E43A">
            <w:pPr>
              <w:topLinePunct/>
              <w:jc w:val="center"/>
              <w:rPr>
                <w:rFonts w:ascii="宋体" w:hAnsi="宋体" w:cs="Arial"/>
                <w:kern w:val="0"/>
                <w:sz w:val="20"/>
                <w:szCs w:val="20"/>
              </w:rPr>
            </w:pPr>
          </w:p>
        </w:tc>
        <w:tc>
          <w:tcPr>
            <w:tcW w:w="991" w:type="pct"/>
            <w:vAlign w:val="center"/>
          </w:tcPr>
          <w:p w14:paraId="48ADF9F9">
            <w:pPr>
              <w:topLinePunct/>
              <w:jc w:val="center"/>
              <w:rPr>
                <w:rFonts w:ascii="宋体" w:hAnsi="宋体" w:cs="宋体"/>
                <w:kern w:val="0"/>
                <w:sz w:val="20"/>
                <w:szCs w:val="20"/>
              </w:rPr>
            </w:pPr>
            <w:r>
              <w:rPr>
                <w:rFonts w:ascii="宋体" w:hAnsi="宋体" w:cs="宋体"/>
                <w:kern w:val="0"/>
                <w:sz w:val="20"/>
                <w:szCs w:val="20"/>
              </w:rPr>
              <w:t>保持植物干净</w:t>
            </w:r>
          </w:p>
        </w:tc>
      </w:tr>
      <w:tr w14:paraId="7B2A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3BB4914B">
            <w:pPr>
              <w:topLinePunct/>
              <w:jc w:val="center"/>
              <w:rPr>
                <w:rFonts w:ascii="宋体" w:hAnsi="宋体" w:cs="Arial"/>
                <w:kern w:val="0"/>
                <w:sz w:val="20"/>
                <w:szCs w:val="20"/>
              </w:rPr>
            </w:pPr>
          </w:p>
        </w:tc>
        <w:tc>
          <w:tcPr>
            <w:tcW w:w="937" w:type="pct"/>
            <w:gridSpan w:val="2"/>
            <w:vAlign w:val="center"/>
          </w:tcPr>
          <w:p w14:paraId="0F5B35EA">
            <w:pPr>
              <w:topLinePunct/>
              <w:jc w:val="center"/>
              <w:rPr>
                <w:rFonts w:ascii="宋体" w:hAnsi="宋体" w:cs="宋体"/>
                <w:kern w:val="0"/>
                <w:sz w:val="20"/>
                <w:szCs w:val="20"/>
              </w:rPr>
            </w:pPr>
            <w:r>
              <w:rPr>
                <w:rFonts w:ascii="宋体" w:hAnsi="宋体" w:cs="宋体"/>
                <w:kern w:val="0"/>
                <w:sz w:val="20"/>
                <w:szCs w:val="20"/>
              </w:rPr>
              <w:t>标牌、宣传栏</w:t>
            </w:r>
          </w:p>
        </w:tc>
        <w:tc>
          <w:tcPr>
            <w:tcW w:w="938" w:type="pct"/>
            <w:vAlign w:val="center"/>
          </w:tcPr>
          <w:p w14:paraId="0DF9C018">
            <w:pPr>
              <w:topLinePunct/>
              <w:jc w:val="center"/>
              <w:rPr>
                <w:rFonts w:ascii="宋体" w:hAnsi="宋体" w:cs="宋体"/>
                <w:kern w:val="0"/>
                <w:sz w:val="20"/>
                <w:szCs w:val="20"/>
              </w:rPr>
            </w:pPr>
            <w:r>
              <w:rPr>
                <w:rFonts w:ascii="宋体" w:hAnsi="宋体" w:cs="宋体"/>
                <w:kern w:val="0"/>
                <w:sz w:val="20"/>
                <w:szCs w:val="20"/>
              </w:rPr>
              <w:t>清抹一次</w:t>
            </w:r>
          </w:p>
        </w:tc>
        <w:tc>
          <w:tcPr>
            <w:tcW w:w="852" w:type="pct"/>
            <w:vAlign w:val="center"/>
          </w:tcPr>
          <w:p w14:paraId="58305A24">
            <w:pPr>
              <w:topLinePunct/>
              <w:jc w:val="center"/>
              <w:rPr>
                <w:rFonts w:ascii="宋体" w:hAnsi="宋体" w:cs="Arial"/>
                <w:kern w:val="0"/>
                <w:sz w:val="20"/>
                <w:szCs w:val="20"/>
              </w:rPr>
            </w:pPr>
          </w:p>
        </w:tc>
        <w:tc>
          <w:tcPr>
            <w:tcW w:w="1022" w:type="pct"/>
            <w:vAlign w:val="center"/>
          </w:tcPr>
          <w:p w14:paraId="0C1241DC">
            <w:pPr>
              <w:topLinePunct/>
              <w:jc w:val="center"/>
              <w:rPr>
                <w:rFonts w:ascii="宋体" w:hAnsi="宋体" w:cs="Arial"/>
                <w:kern w:val="0"/>
                <w:sz w:val="20"/>
                <w:szCs w:val="20"/>
              </w:rPr>
            </w:pPr>
          </w:p>
        </w:tc>
        <w:tc>
          <w:tcPr>
            <w:tcW w:w="991" w:type="pct"/>
            <w:vAlign w:val="center"/>
          </w:tcPr>
          <w:p w14:paraId="3A926298">
            <w:pPr>
              <w:topLinePunct/>
              <w:jc w:val="center"/>
              <w:rPr>
                <w:rFonts w:ascii="宋体" w:hAnsi="宋体" w:cs="宋体"/>
                <w:kern w:val="0"/>
                <w:sz w:val="20"/>
                <w:szCs w:val="20"/>
              </w:rPr>
            </w:pPr>
            <w:r>
              <w:rPr>
                <w:rFonts w:ascii="宋体" w:hAnsi="宋体" w:cs="宋体"/>
                <w:kern w:val="0"/>
                <w:sz w:val="20"/>
                <w:szCs w:val="20"/>
              </w:rPr>
              <w:t>无灰尘、无污渍</w:t>
            </w:r>
          </w:p>
        </w:tc>
      </w:tr>
      <w:tr w14:paraId="7518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07024B1D">
            <w:pPr>
              <w:topLinePunct/>
              <w:jc w:val="center"/>
              <w:rPr>
                <w:rFonts w:ascii="宋体" w:hAnsi="宋体" w:cs="Arial"/>
                <w:kern w:val="0"/>
                <w:sz w:val="20"/>
                <w:szCs w:val="20"/>
              </w:rPr>
            </w:pPr>
          </w:p>
        </w:tc>
        <w:tc>
          <w:tcPr>
            <w:tcW w:w="937" w:type="pct"/>
            <w:gridSpan w:val="2"/>
            <w:vAlign w:val="center"/>
          </w:tcPr>
          <w:p w14:paraId="623FE196">
            <w:pPr>
              <w:topLinePunct/>
              <w:jc w:val="center"/>
              <w:rPr>
                <w:rFonts w:ascii="宋体" w:hAnsi="宋体" w:cs="宋体"/>
                <w:kern w:val="0"/>
                <w:sz w:val="20"/>
                <w:szCs w:val="20"/>
              </w:rPr>
            </w:pPr>
            <w:r>
              <w:rPr>
                <w:rFonts w:ascii="宋体" w:hAnsi="宋体" w:cs="宋体"/>
                <w:kern w:val="0"/>
                <w:sz w:val="20"/>
                <w:szCs w:val="20"/>
              </w:rPr>
              <w:t>路灯、射灯</w:t>
            </w:r>
          </w:p>
        </w:tc>
        <w:tc>
          <w:tcPr>
            <w:tcW w:w="938" w:type="pct"/>
            <w:vAlign w:val="center"/>
          </w:tcPr>
          <w:p w14:paraId="5F0199E2">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18C20CCD">
            <w:pPr>
              <w:topLinePunct/>
              <w:jc w:val="center"/>
              <w:rPr>
                <w:rFonts w:ascii="宋体" w:hAnsi="宋体" w:cs="Arial"/>
                <w:kern w:val="0"/>
                <w:sz w:val="20"/>
                <w:szCs w:val="20"/>
              </w:rPr>
            </w:pPr>
          </w:p>
        </w:tc>
        <w:tc>
          <w:tcPr>
            <w:tcW w:w="1022" w:type="pct"/>
            <w:vAlign w:val="center"/>
          </w:tcPr>
          <w:p w14:paraId="2B2DD7F9">
            <w:pPr>
              <w:topLinePunct/>
              <w:jc w:val="center"/>
              <w:rPr>
                <w:rFonts w:ascii="宋体" w:hAnsi="宋体" w:cs="宋体"/>
                <w:kern w:val="0"/>
                <w:sz w:val="20"/>
                <w:szCs w:val="20"/>
              </w:rPr>
            </w:pPr>
            <w:r>
              <w:rPr>
                <w:rFonts w:ascii="宋体" w:hAnsi="宋体" w:cs="宋体"/>
                <w:kern w:val="0"/>
                <w:sz w:val="20"/>
                <w:szCs w:val="20"/>
              </w:rPr>
              <w:t>大清抹一次</w:t>
            </w:r>
          </w:p>
        </w:tc>
        <w:tc>
          <w:tcPr>
            <w:tcW w:w="991" w:type="pct"/>
            <w:vAlign w:val="center"/>
          </w:tcPr>
          <w:p w14:paraId="3D570D1E">
            <w:pPr>
              <w:topLinePunct/>
              <w:jc w:val="center"/>
              <w:rPr>
                <w:rFonts w:ascii="宋体" w:hAnsi="宋体" w:cs="宋体"/>
                <w:kern w:val="0"/>
                <w:sz w:val="20"/>
                <w:szCs w:val="20"/>
              </w:rPr>
            </w:pPr>
            <w:r>
              <w:rPr>
                <w:rFonts w:ascii="宋体" w:hAnsi="宋体" w:cs="宋体"/>
                <w:kern w:val="0"/>
                <w:sz w:val="20"/>
                <w:szCs w:val="20"/>
              </w:rPr>
              <w:t>无灰尘、无污渍</w:t>
            </w:r>
          </w:p>
        </w:tc>
      </w:tr>
      <w:tr w14:paraId="3DD1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4D232EF1">
            <w:pPr>
              <w:topLinePunct/>
              <w:jc w:val="center"/>
              <w:rPr>
                <w:rFonts w:ascii="宋体" w:hAnsi="宋体" w:cs="Arial"/>
                <w:kern w:val="0"/>
                <w:sz w:val="20"/>
                <w:szCs w:val="20"/>
              </w:rPr>
            </w:pPr>
          </w:p>
        </w:tc>
        <w:tc>
          <w:tcPr>
            <w:tcW w:w="937" w:type="pct"/>
            <w:gridSpan w:val="2"/>
            <w:vAlign w:val="center"/>
          </w:tcPr>
          <w:p w14:paraId="11F83AA7">
            <w:pPr>
              <w:topLinePunct/>
              <w:jc w:val="center"/>
              <w:rPr>
                <w:rFonts w:ascii="宋体" w:hAnsi="宋体" w:cs="宋体"/>
                <w:kern w:val="0"/>
                <w:sz w:val="20"/>
                <w:szCs w:val="20"/>
              </w:rPr>
            </w:pPr>
            <w:r>
              <w:rPr>
                <w:rFonts w:ascii="宋体" w:hAnsi="宋体" w:cs="宋体"/>
                <w:kern w:val="0"/>
                <w:sz w:val="20"/>
                <w:szCs w:val="20"/>
              </w:rPr>
              <w:t>雨水井、明沟、</w:t>
            </w:r>
          </w:p>
          <w:p w14:paraId="17988A2B">
            <w:pPr>
              <w:topLinePunct/>
              <w:jc w:val="center"/>
              <w:rPr>
                <w:rFonts w:ascii="宋体" w:hAnsi="宋体" w:cs="宋体"/>
                <w:kern w:val="0"/>
                <w:sz w:val="20"/>
                <w:szCs w:val="20"/>
              </w:rPr>
            </w:pPr>
            <w:r>
              <w:rPr>
                <w:rFonts w:ascii="宋体" w:hAnsi="宋体" w:cs="宋体"/>
                <w:kern w:val="0"/>
                <w:sz w:val="20"/>
                <w:szCs w:val="20"/>
              </w:rPr>
              <w:t>地漏</w:t>
            </w:r>
          </w:p>
        </w:tc>
        <w:tc>
          <w:tcPr>
            <w:tcW w:w="938" w:type="pct"/>
            <w:vAlign w:val="center"/>
          </w:tcPr>
          <w:p w14:paraId="3DD76658">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06BE6404">
            <w:pPr>
              <w:topLinePunct/>
              <w:jc w:val="center"/>
              <w:rPr>
                <w:rFonts w:ascii="宋体" w:hAnsi="宋体" w:cs="Arial"/>
                <w:kern w:val="0"/>
                <w:sz w:val="20"/>
                <w:szCs w:val="20"/>
              </w:rPr>
            </w:pPr>
          </w:p>
        </w:tc>
        <w:tc>
          <w:tcPr>
            <w:tcW w:w="1022" w:type="pct"/>
            <w:vAlign w:val="center"/>
          </w:tcPr>
          <w:p w14:paraId="785520AB">
            <w:pPr>
              <w:topLinePunct/>
              <w:jc w:val="center"/>
              <w:rPr>
                <w:rFonts w:ascii="宋体" w:hAnsi="宋体" w:cs="宋体"/>
                <w:kern w:val="0"/>
                <w:sz w:val="20"/>
                <w:szCs w:val="20"/>
              </w:rPr>
            </w:pPr>
            <w:r>
              <w:rPr>
                <w:rFonts w:ascii="宋体" w:hAnsi="宋体" w:cs="宋体"/>
                <w:kern w:val="0"/>
                <w:sz w:val="20"/>
                <w:szCs w:val="20"/>
              </w:rPr>
              <w:t>清掏一次</w:t>
            </w:r>
          </w:p>
        </w:tc>
        <w:tc>
          <w:tcPr>
            <w:tcW w:w="991" w:type="pct"/>
            <w:vAlign w:val="center"/>
          </w:tcPr>
          <w:p w14:paraId="357D58C0">
            <w:pPr>
              <w:topLinePunct/>
              <w:jc w:val="center"/>
              <w:rPr>
                <w:rFonts w:ascii="宋体" w:hAnsi="宋体" w:cs="宋体"/>
                <w:kern w:val="0"/>
                <w:sz w:val="20"/>
                <w:szCs w:val="20"/>
              </w:rPr>
            </w:pPr>
            <w:r>
              <w:rPr>
                <w:rFonts w:ascii="宋体" w:hAnsi="宋体" w:cs="宋体"/>
                <w:kern w:val="0"/>
                <w:sz w:val="20"/>
                <w:szCs w:val="20"/>
              </w:rPr>
              <w:t>畅通、无积水、无杂物</w:t>
            </w:r>
          </w:p>
        </w:tc>
      </w:tr>
      <w:tr w14:paraId="15C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67B77021">
            <w:pPr>
              <w:topLinePunct/>
              <w:jc w:val="center"/>
              <w:rPr>
                <w:rFonts w:ascii="宋体" w:hAnsi="宋体" w:cs="Arial"/>
                <w:kern w:val="0"/>
                <w:sz w:val="20"/>
                <w:szCs w:val="20"/>
              </w:rPr>
            </w:pPr>
          </w:p>
        </w:tc>
        <w:tc>
          <w:tcPr>
            <w:tcW w:w="937" w:type="pct"/>
            <w:gridSpan w:val="2"/>
            <w:vAlign w:val="center"/>
          </w:tcPr>
          <w:p w14:paraId="51FE2ED5">
            <w:pPr>
              <w:topLinePunct/>
              <w:jc w:val="center"/>
              <w:rPr>
                <w:rFonts w:ascii="宋体" w:hAnsi="宋体" w:cs="宋体"/>
                <w:kern w:val="0"/>
                <w:sz w:val="20"/>
                <w:szCs w:val="20"/>
              </w:rPr>
            </w:pPr>
            <w:r>
              <w:rPr>
                <w:rFonts w:ascii="宋体" w:hAnsi="宋体" w:cs="宋体"/>
                <w:kern w:val="0"/>
                <w:sz w:val="20"/>
                <w:szCs w:val="20"/>
              </w:rPr>
              <w:t>消防设施及其他设施</w:t>
            </w:r>
          </w:p>
        </w:tc>
        <w:tc>
          <w:tcPr>
            <w:tcW w:w="938" w:type="pct"/>
            <w:vAlign w:val="center"/>
          </w:tcPr>
          <w:p w14:paraId="0A7EEBBA">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41B60CD4">
            <w:pPr>
              <w:topLinePunct/>
              <w:jc w:val="center"/>
              <w:rPr>
                <w:rFonts w:ascii="宋体" w:hAnsi="宋体" w:cs="Arial"/>
                <w:kern w:val="0"/>
                <w:sz w:val="20"/>
                <w:szCs w:val="20"/>
              </w:rPr>
            </w:pPr>
          </w:p>
        </w:tc>
        <w:tc>
          <w:tcPr>
            <w:tcW w:w="1022" w:type="pct"/>
            <w:vAlign w:val="center"/>
          </w:tcPr>
          <w:p w14:paraId="59E66683">
            <w:pPr>
              <w:topLinePunct/>
              <w:jc w:val="center"/>
              <w:rPr>
                <w:rFonts w:ascii="宋体" w:hAnsi="宋体" w:cs="宋体"/>
                <w:kern w:val="0"/>
                <w:sz w:val="20"/>
                <w:szCs w:val="20"/>
              </w:rPr>
            </w:pPr>
            <w:r>
              <w:rPr>
                <w:rFonts w:ascii="宋体" w:hAnsi="宋体" w:cs="宋体"/>
                <w:kern w:val="0"/>
                <w:sz w:val="20"/>
                <w:szCs w:val="20"/>
              </w:rPr>
              <w:t>全面清洁一次</w:t>
            </w:r>
          </w:p>
        </w:tc>
        <w:tc>
          <w:tcPr>
            <w:tcW w:w="991" w:type="pct"/>
            <w:vAlign w:val="center"/>
          </w:tcPr>
          <w:p w14:paraId="62D66806">
            <w:pPr>
              <w:topLinePunct/>
              <w:jc w:val="center"/>
              <w:rPr>
                <w:rFonts w:ascii="宋体" w:hAnsi="宋体" w:cs="宋体"/>
                <w:kern w:val="0"/>
                <w:sz w:val="20"/>
                <w:szCs w:val="20"/>
              </w:rPr>
            </w:pPr>
            <w:r>
              <w:rPr>
                <w:rFonts w:ascii="宋体" w:hAnsi="宋体" w:cs="宋体"/>
                <w:kern w:val="0"/>
                <w:sz w:val="20"/>
                <w:szCs w:val="20"/>
              </w:rPr>
              <w:t>无灰尘、无污渍</w:t>
            </w:r>
          </w:p>
        </w:tc>
      </w:tr>
      <w:tr w14:paraId="4988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101B2A26">
            <w:pPr>
              <w:topLinePunct/>
              <w:jc w:val="center"/>
              <w:rPr>
                <w:rFonts w:ascii="宋体" w:hAnsi="宋体" w:cs="Arial"/>
                <w:kern w:val="0"/>
                <w:sz w:val="20"/>
                <w:szCs w:val="20"/>
              </w:rPr>
            </w:pPr>
          </w:p>
        </w:tc>
        <w:tc>
          <w:tcPr>
            <w:tcW w:w="937" w:type="pct"/>
            <w:gridSpan w:val="2"/>
            <w:vAlign w:val="center"/>
          </w:tcPr>
          <w:p w14:paraId="0A3F4689">
            <w:pPr>
              <w:topLinePunct/>
              <w:jc w:val="center"/>
              <w:rPr>
                <w:rFonts w:ascii="宋体" w:hAnsi="宋体" w:cs="宋体"/>
                <w:kern w:val="0"/>
                <w:sz w:val="20"/>
                <w:szCs w:val="20"/>
              </w:rPr>
            </w:pPr>
            <w:r>
              <w:rPr>
                <w:rFonts w:ascii="宋体" w:hAnsi="宋体" w:cs="宋体"/>
                <w:kern w:val="0"/>
                <w:sz w:val="20"/>
                <w:szCs w:val="20"/>
              </w:rPr>
              <w:t>垃圾桶、垃圾箱</w:t>
            </w:r>
          </w:p>
        </w:tc>
        <w:tc>
          <w:tcPr>
            <w:tcW w:w="938" w:type="pct"/>
            <w:vAlign w:val="center"/>
          </w:tcPr>
          <w:p w14:paraId="610EBD9A">
            <w:pPr>
              <w:topLinePunct/>
              <w:jc w:val="center"/>
              <w:rPr>
                <w:rFonts w:ascii="宋体" w:hAnsi="宋体" w:cs="宋体"/>
                <w:kern w:val="0"/>
                <w:sz w:val="20"/>
                <w:szCs w:val="20"/>
              </w:rPr>
            </w:pPr>
            <w:r>
              <w:rPr>
                <w:rFonts w:ascii="宋体" w:hAnsi="宋体" w:cs="宋体"/>
                <w:kern w:val="0"/>
                <w:sz w:val="20"/>
                <w:szCs w:val="20"/>
              </w:rPr>
              <w:t>更换垃圾袋一次，及时清抹箱体</w:t>
            </w:r>
          </w:p>
        </w:tc>
        <w:tc>
          <w:tcPr>
            <w:tcW w:w="852" w:type="pct"/>
            <w:vAlign w:val="center"/>
          </w:tcPr>
          <w:p w14:paraId="55A89087">
            <w:pPr>
              <w:topLinePunct/>
              <w:jc w:val="center"/>
              <w:rPr>
                <w:rFonts w:ascii="宋体" w:hAnsi="宋体" w:cs="宋体"/>
                <w:kern w:val="0"/>
                <w:sz w:val="20"/>
                <w:szCs w:val="20"/>
              </w:rPr>
            </w:pPr>
            <w:r>
              <w:rPr>
                <w:rFonts w:ascii="宋体" w:hAnsi="宋体" w:cs="宋体"/>
                <w:kern w:val="0"/>
                <w:sz w:val="20"/>
                <w:szCs w:val="20"/>
              </w:rPr>
              <w:t>全面清洁一次</w:t>
            </w:r>
          </w:p>
        </w:tc>
        <w:tc>
          <w:tcPr>
            <w:tcW w:w="1022" w:type="pct"/>
            <w:vAlign w:val="center"/>
          </w:tcPr>
          <w:p w14:paraId="3446879A">
            <w:pPr>
              <w:topLinePunct/>
              <w:jc w:val="center"/>
              <w:rPr>
                <w:rFonts w:ascii="宋体" w:hAnsi="宋体" w:cs="Arial"/>
                <w:kern w:val="0"/>
                <w:sz w:val="20"/>
                <w:szCs w:val="20"/>
              </w:rPr>
            </w:pPr>
          </w:p>
        </w:tc>
        <w:tc>
          <w:tcPr>
            <w:tcW w:w="991" w:type="pct"/>
            <w:vAlign w:val="center"/>
          </w:tcPr>
          <w:p w14:paraId="520A1DAA">
            <w:pPr>
              <w:topLinePunct/>
              <w:jc w:val="center"/>
              <w:rPr>
                <w:rFonts w:ascii="宋体" w:hAnsi="宋体" w:cs="宋体"/>
                <w:kern w:val="0"/>
                <w:sz w:val="20"/>
                <w:szCs w:val="20"/>
              </w:rPr>
            </w:pPr>
            <w:r>
              <w:rPr>
                <w:rFonts w:ascii="宋体" w:hAnsi="宋体" w:cs="宋体"/>
                <w:kern w:val="0"/>
                <w:sz w:val="20"/>
                <w:szCs w:val="20"/>
              </w:rPr>
              <w:t>无异味、无溢出垃圾</w:t>
            </w:r>
          </w:p>
        </w:tc>
      </w:tr>
      <w:tr w14:paraId="348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restart"/>
            <w:vAlign w:val="center"/>
          </w:tcPr>
          <w:p w14:paraId="3699CC42">
            <w:pPr>
              <w:topLinePunct/>
              <w:jc w:val="center"/>
              <w:rPr>
                <w:rFonts w:ascii="宋体" w:hAnsi="宋体" w:cs="宋体"/>
                <w:kern w:val="0"/>
                <w:sz w:val="20"/>
                <w:szCs w:val="20"/>
              </w:rPr>
            </w:pPr>
            <w:r>
              <w:rPr>
                <w:rFonts w:ascii="宋体" w:hAnsi="宋体" w:cs="宋体"/>
                <w:kern w:val="0"/>
                <w:sz w:val="20"/>
                <w:szCs w:val="20"/>
              </w:rPr>
              <w:t>公共卫生间</w:t>
            </w:r>
          </w:p>
        </w:tc>
        <w:tc>
          <w:tcPr>
            <w:tcW w:w="937" w:type="pct"/>
            <w:gridSpan w:val="2"/>
            <w:vAlign w:val="center"/>
          </w:tcPr>
          <w:p w14:paraId="3AC67544">
            <w:pPr>
              <w:topLinePunct/>
              <w:jc w:val="center"/>
              <w:rPr>
                <w:rFonts w:ascii="宋体" w:hAnsi="宋体" w:cs="宋体"/>
                <w:kern w:val="0"/>
                <w:sz w:val="20"/>
                <w:szCs w:val="20"/>
              </w:rPr>
            </w:pPr>
            <w:r>
              <w:rPr>
                <w:rFonts w:ascii="宋体" w:hAnsi="宋体" w:cs="宋体"/>
                <w:kern w:val="0"/>
                <w:sz w:val="20"/>
                <w:szCs w:val="20"/>
              </w:rPr>
              <w:t>磁砖墙面、隔板</w:t>
            </w:r>
          </w:p>
        </w:tc>
        <w:tc>
          <w:tcPr>
            <w:tcW w:w="938" w:type="pct"/>
            <w:vAlign w:val="center"/>
          </w:tcPr>
          <w:p w14:paraId="0044B3EB">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2D8C8F9D">
            <w:pPr>
              <w:topLinePunct/>
              <w:jc w:val="center"/>
              <w:rPr>
                <w:rFonts w:ascii="宋体" w:hAnsi="宋体" w:cs="宋体"/>
                <w:kern w:val="0"/>
                <w:sz w:val="20"/>
                <w:szCs w:val="20"/>
              </w:rPr>
            </w:pPr>
            <w:r>
              <w:rPr>
                <w:rFonts w:ascii="宋体" w:hAnsi="宋体" w:cs="宋体"/>
                <w:kern w:val="0"/>
                <w:sz w:val="20"/>
                <w:szCs w:val="20"/>
              </w:rPr>
              <w:t>清抹一次</w:t>
            </w:r>
          </w:p>
        </w:tc>
        <w:tc>
          <w:tcPr>
            <w:tcW w:w="1022" w:type="pct"/>
            <w:vAlign w:val="center"/>
          </w:tcPr>
          <w:p w14:paraId="2F6421F4">
            <w:pPr>
              <w:topLinePunct/>
              <w:jc w:val="center"/>
              <w:rPr>
                <w:rFonts w:ascii="宋体" w:hAnsi="宋体" w:cs="Arial"/>
                <w:kern w:val="0"/>
                <w:sz w:val="20"/>
                <w:szCs w:val="20"/>
              </w:rPr>
            </w:pPr>
          </w:p>
        </w:tc>
        <w:tc>
          <w:tcPr>
            <w:tcW w:w="991" w:type="pct"/>
            <w:vAlign w:val="center"/>
          </w:tcPr>
          <w:p w14:paraId="7B11B0E3">
            <w:pPr>
              <w:topLinePunct/>
              <w:jc w:val="center"/>
              <w:rPr>
                <w:rFonts w:ascii="宋体" w:hAnsi="宋体" w:cs="宋体"/>
                <w:kern w:val="0"/>
                <w:sz w:val="20"/>
                <w:szCs w:val="20"/>
              </w:rPr>
            </w:pPr>
            <w:r>
              <w:rPr>
                <w:rFonts w:ascii="宋体" w:hAnsi="宋体" w:cs="宋体"/>
                <w:kern w:val="0"/>
                <w:sz w:val="20"/>
                <w:szCs w:val="20"/>
              </w:rPr>
              <w:t>无灰尘、无污渍</w:t>
            </w:r>
          </w:p>
        </w:tc>
      </w:tr>
      <w:tr w14:paraId="5D8D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1ED234EC">
            <w:pPr>
              <w:topLinePunct/>
              <w:jc w:val="center"/>
              <w:rPr>
                <w:rFonts w:ascii="宋体" w:hAnsi="宋体" w:cs="Arial"/>
                <w:kern w:val="0"/>
                <w:sz w:val="20"/>
                <w:szCs w:val="20"/>
              </w:rPr>
            </w:pPr>
          </w:p>
        </w:tc>
        <w:tc>
          <w:tcPr>
            <w:tcW w:w="937" w:type="pct"/>
            <w:gridSpan w:val="2"/>
            <w:vAlign w:val="center"/>
          </w:tcPr>
          <w:p w14:paraId="4433D81A">
            <w:pPr>
              <w:topLinePunct/>
              <w:jc w:val="center"/>
              <w:rPr>
                <w:rFonts w:ascii="宋体" w:hAnsi="宋体" w:cs="宋体"/>
                <w:kern w:val="0"/>
                <w:sz w:val="20"/>
                <w:szCs w:val="20"/>
              </w:rPr>
            </w:pPr>
            <w:r>
              <w:rPr>
                <w:rFonts w:ascii="宋体" w:hAnsi="宋体" w:cs="宋体"/>
                <w:kern w:val="0"/>
                <w:sz w:val="20"/>
                <w:szCs w:val="20"/>
              </w:rPr>
              <w:t>地面</w:t>
            </w:r>
          </w:p>
        </w:tc>
        <w:tc>
          <w:tcPr>
            <w:tcW w:w="938" w:type="pct"/>
            <w:vAlign w:val="center"/>
          </w:tcPr>
          <w:p w14:paraId="4395061E">
            <w:pPr>
              <w:topLinePunct/>
              <w:jc w:val="center"/>
              <w:rPr>
                <w:rFonts w:ascii="宋体" w:hAnsi="宋体" w:cs="宋体"/>
                <w:kern w:val="0"/>
                <w:sz w:val="20"/>
                <w:szCs w:val="20"/>
              </w:rPr>
            </w:pPr>
            <w:r>
              <w:rPr>
                <w:rFonts w:ascii="宋体" w:hAnsi="宋体" w:cs="宋体"/>
                <w:kern w:val="0"/>
                <w:sz w:val="20"/>
                <w:szCs w:val="20"/>
              </w:rPr>
              <w:t>拖抹数次，保持干净</w:t>
            </w:r>
          </w:p>
        </w:tc>
        <w:tc>
          <w:tcPr>
            <w:tcW w:w="852" w:type="pct"/>
            <w:vAlign w:val="center"/>
          </w:tcPr>
          <w:p w14:paraId="14363C22">
            <w:pPr>
              <w:topLinePunct/>
              <w:jc w:val="center"/>
              <w:rPr>
                <w:rFonts w:ascii="宋体" w:hAnsi="宋体" w:cs="宋体"/>
                <w:kern w:val="0"/>
                <w:sz w:val="20"/>
                <w:szCs w:val="20"/>
              </w:rPr>
            </w:pPr>
            <w:r>
              <w:rPr>
                <w:rFonts w:ascii="宋体" w:hAnsi="宋体" w:cs="宋体"/>
                <w:kern w:val="0"/>
                <w:sz w:val="20"/>
                <w:szCs w:val="20"/>
              </w:rPr>
              <w:t>用洁厕灵清洗一次</w:t>
            </w:r>
          </w:p>
        </w:tc>
        <w:tc>
          <w:tcPr>
            <w:tcW w:w="1022" w:type="pct"/>
            <w:vAlign w:val="center"/>
          </w:tcPr>
          <w:p w14:paraId="37857CDC">
            <w:pPr>
              <w:topLinePunct/>
              <w:jc w:val="center"/>
              <w:rPr>
                <w:rFonts w:ascii="宋体" w:hAnsi="宋体" w:cs="Arial"/>
                <w:kern w:val="0"/>
                <w:sz w:val="20"/>
                <w:szCs w:val="20"/>
              </w:rPr>
            </w:pPr>
          </w:p>
        </w:tc>
        <w:tc>
          <w:tcPr>
            <w:tcW w:w="991" w:type="pct"/>
            <w:vAlign w:val="center"/>
          </w:tcPr>
          <w:p w14:paraId="7443B8F2">
            <w:pPr>
              <w:topLinePunct/>
              <w:jc w:val="center"/>
              <w:rPr>
                <w:rFonts w:ascii="宋体" w:hAnsi="宋体" w:cs="宋体"/>
                <w:kern w:val="0"/>
                <w:sz w:val="20"/>
                <w:szCs w:val="20"/>
              </w:rPr>
            </w:pPr>
            <w:r>
              <w:rPr>
                <w:rFonts w:ascii="宋体" w:hAnsi="宋体" w:cs="宋体"/>
                <w:kern w:val="0"/>
                <w:sz w:val="20"/>
                <w:szCs w:val="20"/>
              </w:rPr>
              <w:t>无污渍、无垃圾、无异味</w:t>
            </w:r>
          </w:p>
        </w:tc>
      </w:tr>
      <w:tr w14:paraId="62F5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248919BB">
            <w:pPr>
              <w:topLinePunct/>
              <w:jc w:val="center"/>
              <w:rPr>
                <w:rFonts w:ascii="宋体" w:hAnsi="宋体" w:cs="Arial"/>
                <w:kern w:val="0"/>
                <w:sz w:val="20"/>
                <w:szCs w:val="20"/>
              </w:rPr>
            </w:pPr>
          </w:p>
        </w:tc>
        <w:tc>
          <w:tcPr>
            <w:tcW w:w="937" w:type="pct"/>
            <w:gridSpan w:val="2"/>
            <w:vAlign w:val="center"/>
          </w:tcPr>
          <w:p w14:paraId="0CEFAF92">
            <w:pPr>
              <w:topLinePunct/>
              <w:jc w:val="center"/>
              <w:rPr>
                <w:rFonts w:ascii="宋体" w:hAnsi="宋体" w:cs="宋体"/>
                <w:kern w:val="0"/>
                <w:sz w:val="20"/>
                <w:szCs w:val="20"/>
              </w:rPr>
            </w:pPr>
            <w:r>
              <w:rPr>
                <w:rFonts w:ascii="宋体" w:hAnsi="宋体" w:cs="宋体"/>
                <w:kern w:val="0"/>
                <w:sz w:val="20"/>
                <w:szCs w:val="20"/>
              </w:rPr>
              <w:t>小便池、坐厕、洗手盆</w:t>
            </w:r>
          </w:p>
        </w:tc>
        <w:tc>
          <w:tcPr>
            <w:tcW w:w="938" w:type="pct"/>
            <w:vAlign w:val="center"/>
          </w:tcPr>
          <w:p w14:paraId="63F3502F">
            <w:pPr>
              <w:topLinePunct/>
              <w:jc w:val="center"/>
              <w:rPr>
                <w:rFonts w:ascii="宋体" w:hAnsi="宋体" w:cs="宋体"/>
                <w:kern w:val="0"/>
                <w:sz w:val="20"/>
                <w:szCs w:val="20"/>
              </w:rPr>
            </w:pPr>
            <w:r>
              <w:rPr>
                <w:rFonts w:ascii="宋体" w:hAnsi="宋体" w:cs="宋体"/>
                <w:kern w:val="0"/>
                <w:sz w:val="20"/>
                <w:szCs w:val="20"/>
              </w:rPr>
              <w:t>用强力除渍剂去尿垢黄斑等，用清洁剂清洗干净，随时保洁</w:t>
            </w:r>
          </w:p>
        </w:tc>
        <w:tc>
          <w:tcPr>
            <w:tcW w:w="852" w:type="pct"/>
            <w:vAlign w:val="center"/>
          </w:tcPr>
          <w:p w14:paraId="1888047B">
            <w:pPr>
              <w:topLinePunct/>
              <w:jc w:val="center"/>
              <w:rPr>
                <w:rFonts w:ascii="宋体" w:hAnsi="宋体" w:cs="宋体"/>
                <w:kern w:val="0"/>
                <w:sz w:val="20"/>
                <w:szCs w:val="20"/>
              </w:rPr>
            </w:pPr>
            <w:r>
              <w:rPr>
                <w:rFonts w:ascii="宋体" w:hAnsi="宋体" w:cs="宋体"/>
                <w:kern w:val="0"/>
                <w:sz w:val="20"/>
                <w:szCs w:val="20"/>
              </w:rPr>
              <w:t>用消毒水消毒一次</w:t>
            </w:r>
          </w:p>
        </w:tc>
        <w:tc>
          <w:tcPr>
            <w:tcW w:w="1022" w:type="pct"/>
            <w:vAlign w:val="center"/>
          </w:tcPr>
          <w:p w14:paraId="1875D7FB">
            <w:pPr>
              <w:topLinePunct/>
              <w:jc w:val="center"/>
              <w:rPr>
                <w:rFonts w:ascii="宋体" w:hAnsi="宋体" w:cs="Arial"/>
                <w:kern w:val="0"/>
                <w:sz w:val="20"/>
                <w:szCs w:val="20"/>
              </w:rPr>
            </w:pPr>
          </w:p>
        </w:tc>
        <w:tc>
          <w:tcPr>
            <w:tcW w:w="991" w:type="pct"/>
            <w:vAlign w:val="center"/>
          </w:tcPr>
          <w:p w14:paraId="161001F4">
            <w:pPr>
              <w:topLinePunct/>
              <w:jc w:val="center"/>
              <w:rPr>
                <w:rFonts w:ascii="宋体" w:hAnsi="宋体" w:cs="宋体"/>
                <w:kern w:val="0"/>
                <w:sz w:val="20"/>
                <w:szCs w:val="20"/>
              </w:rPr>
            </w:pPr>
            <w:r>
              <w:rPr>
                <w:rFonts w:ascii="宋体" w:hAnsi="宋体" w:cs="宋体"/>
                <w:kern w:val="0"/>
                <w:sz w:val="20"/>
                <w:szCs w:val="20"/>
              </w:rPr>
              <w:t>无污渍、无垃圾、无异味、无黄锈</w:t>
            </w:r>
          </w:p>
        </w:tc>
      </w:tr>
      <w:tr w14:paraId="7880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1E86CF87">
            <w:pPr>
              <w:topLinePunct/>
              <w:jc w:val="center"/>
              <w:rPr>
                <w:rFonts w:ascii="宋体" w:hAnsi="宋体" w:cs="Arial"/>
                <w:kern w:val="0"/>
                <w:sz w:val="20"/>
                <w:szCs w:val="20"/>
              </w:rPr>
            </w:pPr>
          </w:p>
        </w:tc>
        <w:tc>
          <w:tcPr>
            <w:tcW w:w="937" w:type="pct"/>
            <w:gridSpan w:val="2"/>
            <w:vAlign w:val="center"/>
          </w:tcPr>
          <w:p w14:paraId="4B1E8A35">
            <w:pPr>
              <w:topLinePunct/>
              <w:jc w:val="center"/>
              <w:rPr>
                <w:rFonts w:ascii="宋体" w:hAnsi="宋体" w:cs="宋体"/>
                <w:kern w:val="0"/>
                <w:sz w:val="20"/>
                <w:szCs w:val="20"/>
              </w:rPr>
            </w:pPr>
            <w:r>
              <w:rPr>
                <w:rFonts w:ascii="宋体" w:hAnsi="宋体" w:cs="宋体"/>
                <w:kern w:val="0"/>
                <w:sz w:val="20"/>
                <w:szCs w:val="20"/>
              </w:rPr>
              <w:t>灯饰</w:t>
            </w:r>
          </w:p>
        </w:tc>
        <w:tc>
          <w:tcPr>
            <w:tcW w:w="938" w:type="pct"/>
            <w:vAlign w:val="center"/>
          </w:tcPr>
          <w:p w14:paraId="044022F9">
            <w:pPr>
              <w:topLinePunct/>
              <w:jc w:val="center"/>
              <w:rPr>
                <w:rFonts w:ascii="宋体" w:hAnsi="宋体" w:cs="宋体"/>
                <w:kern w:val="0"/>
                <w:sz w:val="20"/>
                <w:szCs w:val="20"/>
              </w:rPr>
            </w:pPr>
            <w:r>
              <w:rPr>
                <w:rFonts w:ascii="宋体" w:hAnsi="宋体" w:cs="宋体"/>
                <w:kern w:val="0"/>
                <w:sz w:val="20"/>
                <w:szCs w:val="20"/>
              </w:rPr>
              <w:t>保洁</w:t>
            </w:r>
          </w:p>
        </w:tc>
        <w:tc>
          <w:tcPr>
            <w:tcW w:w="852" w:type="pct"/>
            <w:vAlign w:val="center"/>
          </w:tcPr>
          <w:p w14:paraId="56367015">
            <w:pPr>
              <w:topLinePunct/>
              <w:jc w:val="center"/>
              <w:rPr>
                <w:rFonts w:ascii="宋体" w:hAnsi="宋体" w:cs="Arial"/>
                <w:kern w:val="0"/>
                <w:sz w:val="20"/>
                <w:szCs w:val="20"/>
              </w:rPr>
            </w:pPr>
          </w:p>
        </w:tc>
        <w:tc>
          <w:tcPr>
            <w:tcW w:w="1022" w:type="pct"/>
            <w:vAlign w:val="center"/>
          </w:tcPr>
          <w:p w14:paraId="297F67E2">
            <w:pPr>
              <w:topLinePunct/>
              <w:jc w:val="center"/>
              <w:rPr>
                <w:rFonts w:ascii="宋体" w:hAnsi="宋体" w:cs="宋体"/>
                <w:kern w:val="0"/>
                <w:sz w:val="20"/>
                <w:szCs w:val="20"/>
              </w:rPr>
            </w:pPr>
            <w:r>
              <w:rPr>
                <w:rFonts w:ascii="宋体" w:hAnsi="宋体" w:cs="宋体"/>
                <w:kern w:val="0"/>
                <w:sz w:val="20"/>
                <w:szCs w:val="20"/>
              </w:rPr>
              <w:t>清抹一次</w:t>
            </w:r>
          </w:p>
        </w:tc>
        <w:tc>
          <w:tcPr>
            <w:tcW w:w="991" w:type="pct"/>
            <w:vAlign w:val="center"/>
          </w:tcPr>
          <w:p w14:paraId="5EBCDE94">
            <w:pPr>
              <w:topLinePunct/>
              <w:jc w:val="center"/>
              <w:rPr>
                <w:rFonts w:ascii="宋体" w:hAnsi="宋体" w:cs="宋体"/>
                <w:kern w:val="0"/>
                <w:sz w:val="20"/>
                <w:szCs w:val="20"/>
              </w:rPr>
            </w:pPr>
            <w:r>
              <w:rPr>
                <w:rFonts w:ascii="宋体" w:hAnsi="宋体" w:cs="宋体"/>
                <w:kern w:val="0"/>
                <w:sz w:val="20"/>
                <w:szCs w:val="20"/>
              </w:rPr>
              <w:t>无灰尘、无污渍</w:t>
            </w:r>
          </w:p>
        </w:tc>
      </w:tr>
      <w:tr w14:paraId="467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7B0EC0C8">
            <w:pPr>
              <w:topLinePunct/>
              <w:jc w:val="center"/>
              <w:rPr>
                <w:rFonts w:ascii="宋体" w:hAnsi="宋体" w:cs="Arial"/>
                <w:kern w:val="0"/>
                <w:sz w:val="20"/>
                <w:szCs w:val="20"/>
              </w:rPr>
            </w:pPr>
          </w:p>
        </w:tc>
        <w:tc>
          <w:tcPr>
            <w:tcW w:w="937" w:type="pct"/>
            <w:gridSpan w:val="2"/>
            <w:vAlign w:val="center"/>
          </w:tcPr>
          <w:p w14:paraId="1281FFD0">
            <w:pPr>
              <w:topLinePunct/>
              <w:jc w:val="center"/>
              <w:rPr>
                <w:rFonts w:ascii="宋体" w:hAnsi="宋体" w:cs="宋体"/>
                <w:kern w:val="0"/>
                <w:sz w:val="20"/>
                <w:szCs w:val="20"/>
              </w:rPr>
            </w:pPr>
            <w:r>
              <w:rPr>
                <w:rFonts w:ascii="宋体" w:hAnsi="宋体" w:cs="宋体"/>
                <w:kern w:val="0"/>
                <w:sz w:val="20"/>
                <w:szCs w:val="20"/>
              </w:rPr>
              <w:t>镜面</w:t>
            </w:r>
          </w:p>
        </w:tc>
        <w:tc>
          <w:tcPr>
            <w:tcW w:w="938" w:type="pct"/>
            <w:vAlign w:val="center"/>
          </w:tcPr>
          <w:p w14:paraId="5640C268">
            <w:pPr>
              <w:topLinePunct/>
              <w:jc w:val="center"/>
              <w:rPr>
                <w:rFonts w:ascii="宋体" w:hAnsi="宋体" w:cs="宋体"/>
                <w:kern w:val="0"/>
                <w:sz w:val="20"/>
                <w:szCs w:val="20"/>
              </w:rPr>
            </w:pPr>
            <w:r>
              <w:rPr>
                <w:rFonts w:ascii="宋体" w:hAnsi="宋体" w:cs="宋体"/>
                <w:kern w:val="0"/>
                <w:sz w:val="20"/>
                <w:szCs w:val="20"/>
              </w:rPr>
              <w:t>清抹一次，保洁</w:t>
            </w:r>
          </w:p>
        </w:tc>
        <w:tc>
          <w:tcPr>
            <w:tcW w:w="852" w:type="pct"/>
            <w:vAlign w:val="center"/>
          </w:tcPr>
          <w:p w14:paraId="3E42C469">
            <w:pPr>
              <w:topLinePunct/>
              <w:jc w:val="center"/>
              <w:rPr>
                <w:rFonts w:ascii="宋体" w:hAnsi="宋体" w:cs="Arial"/>
                <w:kern w:val="0"/>
                <w:sz w:val="20"/>
                <w:szCs w:val="20"/>
              </w:rPr>
            </w:pPr>
          </w:p>
        </w:tc>
        <w:tc>
          <w:tcPr>
            <w:tcW w:w="1022" w:type="pct"/>
            <w:vAlign w:val="center"/>
          </w:tcPr>
          <w:p w14:paraId="306BAB2E">
            <w:pPr>
              <w:topLinePunct/>
              <w:jc w:val="center"/>
              <w:rPr>
                <w:rFonts w:ascii="宋体" w:hAnsi="宋体" w:cs="Arial"/>
                <w:kern w:val="0"/>
                <w:sz w:val="20"/>
                <w:szCs w:val="20"/>
              </w:rPr>
            </w:pPr>
          </w:p>
        </w:tc>
        <w:tc>
          <w:tcPr>
            <w:tcW w:w="991" w:type="pct"/>
            <w:vAlign w:val="center"/>
          </w:tcPr>
          <w:p w14:paraId="11054D54">
            <w:pPr>
              <w:topLinePunct/>
              <w:jc w:val="center"/>
              <w:rPr>
                <w:rFonts w:ascii="宋体" w:hAnsi="宋体" w:cs="宋体"/>
                <w:kern w:val="0"/>
                <w:sz w:val="20"/>
                <w:szCs w:val="20"/>
              </w:rPr>
            </w:pPr>
            <w:r>
              <w:rPr>
                <w:rFonts w:ascii="宋体" w:hAnsi="宋体" w:cs="宋体"/>
                <w:kern w:val="0"/>
                <w:sz w:val="20"/>
                <w:szCs w:val="20"/>
              </w:rPr>
              <w:t>无灰尘、无污渍</w:t>
            </w:r>
          </w:p>
        </w:tc>
      </w:tr>
      <w:tr w14:paraId="6391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068F19CF">
            <w:pPr>
              <w:topLinePunct/>
              <w:jc w:val="center"/>
              <w:rPr>
                <w:rFonts w:ascii="宋体" w:hAnsi="宋体" w:cs="Arial"/>
                <w:kern w:val="0"/>
                <w:sz w:val="20"/>
                <w:szCs w:val="20"/>
              </w:rPr>
            </w:pPr>
          </w:p>
        </w:tc>
        <w:tc>
          <w:tcPr>
            <w:tcW w:w="937" w:type="pct"/>
            <w:gridSpan w:val="2"/>
            <w:vAlign w:val="center"/>
          </w:tcPr>
          <w:p w14:paraId="6CFA2908">
            <w:pPr>
              <w:topLinePunct/>
              <w:jc w:val="center"/>
              <w:rPr>
                <w:rFonts w:ascii="宋体" w:hAnsi="宋体" w:cs="宋体"/>
                <w:kern w:val="0"/>
                <w:sz w:val="20"/>
                <w:szCs w:val="20"/>
              </w:rPr>
            </w:pPr>
            <w:r>
              <w:rPr>
                <w:rFonts w:ascii="宋体" w:hAnsi="宋体" w:cs="宋体"/>
                <w:kern w:val="0"/>
                <w:sz w:val="20"/>
                <w:szCs w:val="20"/>
              </w:rPr>
              <w:t>垃圾篓</w:t>
            </w:r>
          </w:p>
        </w:tc>
        <w:tc>
          <w:tcPr>
            <w:tcW w:w="938" w:type="pct"/>
            <w:vAlign w:val="center"/>
          </w:tcPr>
          <w:p w14:paraId="78EC8EEB">
            <w:pPr>
              <w:topLinePunct/>
              <w:jc w:val="center"/>
              <w:rPr>
                <w:rFonts w:ascii="宋体" w:hAnsi="宋体" w:cs="宋体"/>
                <w:kern w:val="0"/>
                <w:sz w:val="20"/>
                <w:szCs w:val="20"/>
              </w:rPr>
            </w:pPr>
            <w:r>
              <w:rPr>
                <w:rFonts w:ascii="宋体" w:hAnsi="宋体" w:cs="宋体"/>
                <w:kern w:val="0"/>
                <w:sz w:val="20"/>
                <w:szCs w:val="20"/>
              </w:rPr>
              <w:t>清倒二次</w:t>
            </w:r>
          </w:p>
        </w:tc>
        <w:tc>
          <w:tcPr>
            <w:tcW w:w="852" w:type="pct"/>
            <w:vAlign w:val="center"/>
          </w:tcPr>
          <w:p w14:paraId="7976CA7F">
            <w:pPr>
              <w:topLinePunct/>
              <w:jc w:val="center"/>
              <w:rPr>
                <w:rFonts w:ascii="宋体" w:hAnsi="宋体" w:cs="Arial"/>
                <w:kern w:val="0"/>
                <w:sz w:val="20"/>
                <w:szCs w:val="20"/>
              </w:rPr>
            </w:pPr>
          </w:p>
        </w:tc>
        <w:tc>
          <w:tcPr>
            <w:tcW w:w="1022" w:type="pct"/>
            <w:vAlign w:val="center"/>
          </w:tcPr>
          <w:p w14:paraId="2B9F8A77">
            <w:pPr>
              <w:topLinePunct/>
              <w:jc w:val="center"/>
              <w:rPr>
                <w:rFonts w:ascii="宋体" w:hAnsi="宋体" w:cs="Arial"/>
                <w:kern w:val="0"/>
                <w:sz w:val="20"/>
                <w:szCs w:val="20"/>
              </w:rPr>
            </w:pPr>
          </w:p>
        </w:tc>
        <w:tc>
          <w:tcPr>
            <w:tcW w:w="991" w:type="pct"/>
            <w:vAlign w:val="center"/>
          </w:tcPr>
          <w:p w14:paraId="16524920">
            <w:pPr>
              <w:topLinePunct/>
              <w:jc w:val="center"/>
              <w:rPr>
                <w:rFonts w:ascii="宋体" w:hAnsi="宋体" w:cs="宋体"/>
                <w:kern w:val="0"/>
                <w:sz w:val="20"/>
                <w:szCs w:val="20"/>
              </w:rPr>
            </w:pPr>
            <w:r>
              <w:rPr>
                <w:rFonts w:ascii="宋体" w:hAnsi="宋体" w:cs="宋体"/>
                <w:kern w:val="0"/>
                <w:sz w:val="20"/>
                <w:szCs w:val="20"/>
              </w:rPr>
              <w:t>无异味、无溢出垃圾</w:t>
            </w:r>
          </w:p>
        </w:tc>
      </w:tr>
      <w:tr w14:paraId="45D1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260" w:type="pct"/>
            <w:vMerge w:val="continue"/>
            <w:vAlign w:val="center"/>
          </w:tcPr>
          <w:p w14:paraId="25CA4C46">
            <w:pPr>
              <w:topLinePunct/>
              <w:jc w:val="center"/>
              <w:rPr>
                <w:rFonts w:ascii="宋体" w:hAnsi="宋体" w:cs="Arial"/>
                <w:kern w:val="0"/>
                <w:sz w:val="20"/>
                <w:szCs w:val="20"/>
              </w:rPr>
            </w:pPr>
          </w:p>
        </w:tc>
        <w:tc>
          <w:tcPr>
            <w:tcW w:w="937" w:type="pct"/>
            <w:gridSpan w:val="2"/>
            <w:vAlign w:val="center"/>
          </w:tcPr>
          <w:p w14:paraId="01DF05B7">
            <w:pPr>
              <w:topLinePunct/>
              <w:jc w:val="center"/>
              <w:rPr>
                <w:rFonts w:ascii="宋体" w:hAnsi="宋体" w:cs="宋体"/>
                <w:kern w:val="0"/>
                <w:sz w:val="20"/>
                <w:szCs w:val="20"/>
              </w:rPr>
            </w:pPr>
            <w:r>
              <w:rPr>
                <w:rFonts w:ascii="宋体" w:hAnsi="宋体" w:cs="宋体"/>
                <w:kern w:val="0"/>
                <w:sz w:val="20"/>
                <w:szCs w:val="20"/>
              </w:rPr>
              <w:t>卫生间下水</w:t>
            </w:r>
          </w:p>
        </w:tc>
        <w:tc>
          <w:tcPr>
            <w:tcW w:w="938" w:type="pct"/>
            <w:vAlign w:val="center"/>
          </w:tcPr>
          <w:p w14:paraId="2622C482">
            <w:pPr>
              <w:topLinePunct/>
              <w:jc w:val="center"/>
              <w:rPr>
                <w:rFonts w:ascii="宋体" w:hAnsi="宋体" w:cs="宋体"/>
                <w:kern w:val="0"/>
                <w:sz w:val="20"/>
                <w:szCs w:val="20"/>
              </w:rPr>
            </w:pPr>
            <w:r>
              <w:rPr>
                <w:rFonts w:ascii="宋体" w:hAnsi="宋体" w:cs="宋体"/>
                <w:kern w:val="0"/>
                <w:sz w:val="20"/>
                <w:szCs w:val="20"/>
              </w:rPr>
              <w:t>堵塞后用疏通机</w:t>
            </w:r>
          </w:p>
          <w:p w14:paraId="18EDEAAE">
            <w:pPr>
              <w:topLinePunct/>
              <w:jc w:val="center"/>
              <w:rPr>
                <w:rFonts w:ascii="宋体" w:hAnsi="宋体" w:cs="宋体"/>
                <w:kern w:val="0"/>
                <w:sz w:val="20"/>
                <w:szCs w:val="20"/>
              </w:rPr>
            </w:pPr>
            <w:r>
              <w:rPr>
                <w:rFonts w:ascii="宋体" w:hAnsi="宋体" w:cs="宋体"/>
                <w:kern w:val="0"/>
                <w:sz w:val="20"/>
                <w:szCs w:val="20"/>
              </w:rPr>
              <w:t>疏通</w:t>
            </w:r>
          </w:p>
        </w:tc>
        <w:tc>
          <w:tcPr>
            <w:tcW w:w="852" w:type="pct"/>
            <w:vAlign w:val="center"/>
          </w:tcPr>
          <w:p w14:paraId="3BC17B23">
            <w:pPr>
              <w:topLinePunct/>
              <w:jc w:val="center"/>
              <w:rPr>
                <w:rFonts w:ascii="宋体" w:hAnsi="宋体" w:cs="Arial"/>
                <w:kern w:val="0"/>
                <w:sz w:val="20"/>
                <w:szCs w:val="20"/>
              </w:rPr>
            </w:pPr>
          </w:p>
        </w:tc>
        <w:tc>
          <w:tcPr>
            <w:tcW w:w="1022" w:type="pct"/>
            <w:vAlign w:val="center"/>
          </w:tcPr>
          <w:p w14:paraId="4353FF5D">
            <w:pPr>
              <w:topLinePunct/>
              <w:jc w:val="center"/>
              <w:rPr>
                <w:rFonts w:ascii="宋体" w:hAnsi="宋体" w:cs="Arial"/>
                <w:kern w:val="0"/>
                <w:sz w:val="20"/>
                <w:szCs w:val="20"/>
              </w:rPr>
            </w:pPr>
          </w:p>
        </w:tc>
        <w:tc>
          <w:tcPr>
            <w:tcW w:w="991" w:type="pct"/>
            <w:vAlign w:val="center"/>
          </w:tcPr>
          <w:p w14:paraId="65F937BF">
            <w:pPr>
              <w:topLinePunct/>
              <w:jc w:val="center"/>
              <w:rPr>
                <w:rFonts w:ascii="宋体" w:hAnsi="宋体" w:cs="宋体"/>
                <w:kern w:val="0"/>
                <w:sz w:val="20"/>
                <w:szCs w:val="20"/>
              </w:rPr>
            </w:pPr>
            <w:r>
              <w:rPr>
                <w:rFonts w:ascii="宋体" w:hAnsi="宋体" w:cs="宋体"/>
                <w:kern w:val="0"/>
                <w:sz w:val="20"/>
                <w:szCs w:val="20"/>
              </w:rPr>
              <w:t>下水畅通</w:t>
            </w:r>
          </w:p>
        </w:tc>
      </w:tr>
    </w:tbl>
    <w:p w14:paraId="03078755">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rPr>
        <w:t>9</w:t>
      </w:r>
      <w:r>
        <w:rPr>
          <w:rFonts w:ascii="宋体" w:hAnsi="宋体" w:cs="宋体"/>
        </w:rPr>
        <w:t>)</w:t>
      </w:r>
      <w:r>
        <w:rPr>
          <w:rFonts w:hint="eastAsia" w:ascii="宋体" w:hAnsi="宋体" w:cs="宋体"/>
        </w:rPr>
        <w:t>消杀服务工作</w:t>
      </w:r>
      <w:r>
        <w:rPr>
          <w:rFonts w:ascii="宋体" w:hAnsi="宋体" w:cs="宋体"/>
        </w:rPr>
        <w:t>标准：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57"/>
        <w:gridCol w:w="8015"/>
      </w:tblGrid>
      <w:tr w14:paraId="3FC1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6A41926">
            <w:pPr>
              <w:jc w:val="center"/>
              <w:rPr>
                <w:rFonts w:asciiTheme="minorEastAsia" w:hAnsiTheme="minorEastAsia"/>
              </w:rPr>
            </w:pPr>
            <w:r>
              <w:rPr>
                <w:rFonts w:hint="eastAsia" w:asciiTheme="minorEastAsia" w:hAnsiTheme="minorEastAsia"/>
              </w:rPr>
              <w:t>消杀</w:t>
            </w: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41265F01">
            <w:pPr>
              <w:jc w:val="center"/>
              <w:rPr>
                <w:rFonts w:asciiTheme="minorEastAsia" w:hAnsiTheme="minorEastAsia"/>
              </w:rPr>
            </w:pPr>
            <w:r>
              <w:rPr>
                <w:rFonts w:hint="eastAsia" w:asciiTheme="minorEastAsia" w:hAnsiTheme="minorEastAsia"/>
              </w:rPr>
              <w:t>药品监控</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75D94F8">
            <w:pPr>
              <w:numPr>
                <w:ilvl w:val="0"/>
                <w:numId w:val="5"/>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所使用的消杀药剂符合国家质量安全标准，具有产品质量监督检验机构所出具的检验报告；</w:t>
            </w:r>
          </w:p>
          <w:p w14:paraId="4B9B3F26">
            <w:pPr>
              <w:numPr>
                <w:ilvl w:val="0"/>
                <w:numId w:val="5"/>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药品配置合理、及时更新；</w:t>
            </w:r>
          </w:p>
          <w:p w14:paraId="5E4B2487">
            <w:pPr>
              <w:numPr>
                <w:ilvl w:val="0"/>
                <w:numId w:val="5"/>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消杀药品投放点设置醒目的警告标识，必要时采取相应防护措施；</w:t>
            </w:r>
          </w:p>
          <w:p w14:paraId="1491EF37">
            <w:pPr>
              <w:numPr>
                <w:ilvl w:val="0"/>
                <w:numId w:val="5"/>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投放点位置、药量记录清晰，鼠药投放后，在规定的时限内应及时回收监管；</w:t>
            </w:r>
          </w:p>
          <w:p w14:paraId="7A3BABBE">
            <w:pPr>
              <w:numPr>
                <w:ilvl w:val="0"/>
                <w:numId w:val="5"/>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药品需单独存放、上锁管理。</w:t>
            </w:r>
          </w:p>
        </w:tc>
      </w:tr>
      <w:tr w14:paraId="543F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D782BE4">
            <w:pPr>
              <w:rPr>
                <w:rFonts w:asciiTheme="minorEastAsia" w:hAnsiTheme="minorEastAsia"/>
              </w:rPr>
            </w:pP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7DCA1CC7">
            <w:pPr>
              <w:jc w:val="center"/>
              <w:rPr>
                <w:rFonts w:asciiTheme="minorEastAsia" w:hAnsiTheme="minorEastAsia"/>
              </w:rPr>
            </w:pPr>
            <w:r>
              <w:rPr>
                <w:rFonts w:hint="eastAsia" w:asciiTheme="minorEastAsia" w:hAnsiTheme="minorEastAsia"/>
              </w:rPr>
              <w:t>场所频次</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13D7EF2">
            <w:pPr>
              <w:numPr>
                <w:ilvl w:val="0"/>
                <w:numId w:val="6"/>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垃圾站无蚊虫孳生；</w:t>
            </w:r>
          </w:p>
          <w:p w14:paraId="138C443E">
            <w:pPr>
              <w:numPr>
                <w:ilvl w:val="0"/>
                <w:numId w:val="6"/>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排水沟、排污管、污水井、楼宇内少蚊、蝇、蟑螂，无鼠。</w:t>
            </w:r>
          </w:p>
        </w:tc>
      </w:tr>
      <w:tr w14:paraId="5FEA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5E06CE8">
            <w:pPr>
              <w:rPr>
                <w:rFonts w:asciiTheme="minorEastAsia" w:hAnsiTheme="minorEastAsia"/>
              </w:rPr>
            </w:pP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6B638BF6">
            <w:pPr>
              <w:jc w:val="center"/>
              <w:rPr>
                <w:rFonts w:asciiTheme="minorEastAsia" w:hAnsiTheme="minorEastAsia"/>
              </w:rPr>
            </w:pPr>
            <w:r>
              <w:rPr>
                <w:rFonts w:hint="eastAsia" w:asciiTheme="minorEastAsia" w:hAnsiTheme="minorEastAsia"/>
              </w:rPr>
              <w:t>灭鼠消杀</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980A210">
            <w:pPr>
              <w:numPr>
                <w:ilvl w:val="0"/>
                <w:numId w:val="7"/>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每月两次；</w:t>
            </w:r>
          </w:p>
          <w:p w14:paraId="1558175C">
            <w:pPr>
              <w:numPr>
                <w:ilvl w:val="0"/>
                <w:numId w:val="7"/>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建筑物阳性地方无鼠迹和鼠痕，无老鼠活动；</w:t>
            </w:r>
          </w:p>
          <w:p w14:paraId="07D28D29">
            <w:pPr>
              <w:numPr>
                <w:ilvl w:val="0"/>
                <w:numId w:val="7"/>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白天在室内外无老鼠活动，绿化地无鼠洞；</w:t>
            </w:r>
          </w:p>
          <w:p w14:paraId="18F329E9">
            <w:pPr>
              <w:numPr>
                <w:ilvl w:val="0"/>
                <w:numId w:val="7"/>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楼顶、消防通道、地下室、绿化带白天无老鼠活动。</w:t>
            </w:r>
          </w:p>
        </w:tc>
      </w:tr>
      <w:tr w14:paraId="598C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477A3E6">
            <w:pPr>
              <w:rPr>
                <w:rFonts w:asciiTheme="minorEastAsia" w:hAnsiTheme="minorEastAsia"/>
              </w:rPr>
            </w:pP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7C46FD24">
            <w:pPr>
              <w:jc w:val="center"/>
              <w:rPr>
                <w:rFonts w:asciiTheme="minorEastAsia" w:hAnsiTheme="minorEastAsia"/>
              </w:rPr>
            </w:pPr>
            <w:r>
              <w:rPr>
                <w:rFonts w:hint="eastAsia" w:asciiTheme="minorEastAsia" w:hAnsiTheme="minorEastAsia"/>
              </w:rPr>
              <w:t>灭蝇消杀</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C20B92A">
            <w:pPr>
              <w:numPr>
                <w:ilvl w:val="0"/>
                <w:numId w:val="8"/>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每月四次；</w:t>
            </w:r>
          </w:p>
          <w:p w14:paraId="717307EC">
            <w:pPr>
              <w:numPr>
                <w:ilvl w:val="0"/>
                <w:numId w:val="8"/>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建筑物白天和晚上在室内无苍蝇；</w:t>
            </w:r>
          </w:p>
          <w:p w14:paraId="3F408A09">
            <w:pPr>
              <w:numPr>
                <w:ilvl w:val="0"/>
                <w:numId w:val="8"/>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垃圾桶、垃圾房检查其周围苍蝇在可见范围内不得超过6只。</w:t>
            </w:r>
          </w:p>
        </w:tc>
      </w:tr>
      <w:tr w14:paraId="2998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D0D8EA">
            <w:pPr>
              <w:rPr>
                <w:rFonts w:asciiTheme="minorEastAsia" w:hAnsiTheme="minorEastAsia"/>
              </w:rPr>
            </w:pP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18F8C682">
            <w:pPr>
              <w:jc w:val="center"/>
              <w:rPr>
                <w:rFonts w:asciiTheme="minorEastAsia" w:hAnsiTheme="minorEastAsia"/>
              </w:rPr>
            </w:pPr>
            <w:r>
              <w:rPr>
                <w:rFonts w:hint="eastAsia" w:asciiTheme="minorEastAsia" w:hAnsiTheme="minorEastAsia"/>
              </w:rPr>
              <w:t>灭蟑消杀</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2F6BCC7">
            <w:pPr>
              <w:numPr>
                <w:ilvl w:val="0"/>
                <w:numId w:val="9"/>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每周2-3次；</w:t>
            </w:r>
          </w:p>
          <w:p w14:paraId="4E036A2C">
            <w:pPr>
              <w:numPr>
                <w:ilvl w:val="0"/>
                <w:numId w:val="9"/>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建筑物内白天和晚上在室内无蟑螂活动的痕迹；</w:t>
            </w:r>
          </w:p>
          <w:p w14:paraId="69A7FE7A">
            <w:pPr>
              <w:numPr>
                <w:ilvl w:val="0"/>
                <w:numId w:val="9"/>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下水道、污、雨水井蟑螂平均查见数不超过1只/150平方米。</w:t>
            </w:r>
          </w:p>
        </w:tc>
      </w:tr>
      <w:tr w14:paraId="1D73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B2E711A">
            <w:pPr>
              <w:rPr>
                <w:rFonts w:asciiTheme="minorEastAsia" w:hAnsiTheme="minorEastAsia"/>
              </w:rPr>
            </w:pP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1AC2BF4F">
            <w:pPr>
              <w:jc w:val="center"/>
              <w:rPr>
                <w:rFonts w:asciiTheme="minorEastAsia" w:hAnsiTheme="minorEastAsia"/>
              </w:rPr>
            </w:pPr>
            <w:r>
              <w:rPr>
                <w:rFonts w:hint="eastAsia" w:asciiTheme="minorEastAsia" w:hAnsiTheme="minorEastAsia"/>
              </w:rPr>
              <w:t>灭蚊消杀</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59DCEF4">
            <w:pPr>
              <w:numPr>
                <w:ilvl w:val="0"/>
                <w:numId w:val="10"/>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每月四次；</w:t>
            </w:r>
          </w:p>
          <w:p w14:paraId="0455FC2D">
            <w:pPr>
              <w:numPr>
                <w:ilvl w:val="0"/>
                <w:numId w:val="10"/>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水沟可见范围内无蚊虫。</w:t>
            </w:r>
          </w:p>
        </w:tc>
      </w:tr>
      <w:tr w14:paraId="6C10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0" w:type="pct"/>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90C266D">
            <w:pPr>
              <w:rPr>
                <w:rFonts w:asciiTheme="minorEastAsia" w:hAnsiTheme="minorEastAsia"/>
              </w:rPr>
            </w:pPr>
          </w:p>
        </w:tc>
        <w:tc>
          <w:tcPr>
            <w:tcW w:w="360" w:type="pct"/>
            <w:tcBorders>
              <w:top w:val="single" w:color="auto" w:sz="4" w:space="0"/>
              <w:left w:val="single" w:color="auto" w:sz="4" w:space="0"/>
              <w:bottom w:val="single" w:color="auto" w:sz="4" w:space="0"/>
              <w:right w:val="single" w:color="auto" w:sz="4" w:space="0"/>
            </w:tcBorders>
            <w:shd w:val="clear" w:color="auto" w:fill="FFFFFF"/>
            <w:tcMar>
              <w:left w:w="28" w:type="dxa"/>
              <w:right w:w="28" w:type="dxa"/>
            </w:tcMar>
            <w:vAlign w:val="center"/>
          </w:tcPr>
          <w:p w14:paraId="27E5CC92">
            <w:pPr>
              <w:jc w:val="center"/>
              <w:rPr>
                <w:rFonts w:asciiTheme="minorEastAsia" w:hAnsiTheme="minorEastAsia"/>
              </w:rPr>
            </w:pPr>
            <w:r>
              <w:rPr>
                <w:rFonts w:hint="eastAsia" w:asciiTheme="minorEastAsia" w:hAnsiTheme="minorEastAsia"/>
              </w:rPr>
              <w:t>现场作业</w:t>
            </w:r>
          </w:p>
        </w:tc>
        <w:tc>
          <w:tcPr>
            <w:tcW w:w="4390" w:type="pct"/>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B47DFC">
            <w:pPr>
              <w:numPr>
                <w:ilvl w:val="0"/>
                <w:numId w:val="11"/>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张贴消杀通知，告知消杀区域人员安全注意事项；</w:t>
            </w:r>
          </w:p>
          <w:p w14:paraId="27D1816F">
            <w:pPr>
              <w:numPr>
                <w:ilvl w:val="0"/>
                <w:numId w:val="11"/>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整齐穿戴安全装备（工作帽、专用手套、口罩、专用工作服等）；</w:t>
            </w:r>
          </w:p>
          <w:p w14:paraId="61483A9A">
            <w:pPr>
              <w:numPr>
                <w:ilvl w:val="0"/>
                <w:numId w:val="11"/>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携带的警示标志明显、易懂；</w:t>
            </w:r>
          </w:p>
          <w:p w14:paraId="5FCC8F31">
            <w:pPr>
              <w:numPr>
                <w:ilvl w:val="0"/>
                <w:numId w:val="11"/>
              </w:numPr>
              <w:autoSpaceDE w:val="0"/>
              <w:autoSpaceDN w:val="0"/>
              <w:adjustRightInd w:val="0"/>
              <w:snapToGrid w:val="0"/>
              <w:ind w:left="0" w:firstLine="0"/>
              <w:jc w:val="left"/>
              <w:textAlignment w:val="baseline"/>
              <w:rPr>
                <w:rFonts w:asciiTheme="minorEastAsia" w:hAnsiTheme="minorEastAsia"/>
              </w:rPr>
            </w:pPr>
            <w:r>
              <w:rPr>
                <w:rFonts w:hint="eastAsia" w:asciiTheme="minorEastAsia" w:hAnsiTheme="minorEastAsia"/>
              </w:rPr>
              <w:t>清点所携带物品，严禁遗落在作业现场。</w:t>
            </w:r>
          </w:p>
        </w:tc>
      </w:tr>
    </w:tbl>
    <w:p w14:paraId="5C2AAED1">
      <w:pPr>
        <w:topLinePunct/>
        <w:spacing w:line="360" w:lineRule="auto"/>
        <w:ind w:firstLine="422" w:firstLineChars="200"/>
        <w:rPr>
          <w:rFonts w:ascii="宋体" w:hAnsi="宋体" w:cs="宋体"/>
          <w:b/>
          <w:bCs/>
        </w:rPr>
      </w:pPr>
      <w:r>
        <w:rPr>
          <w:rFonts w:hint="eastAsia" w:ascii="宋体" w:hAnsi="宋体" w:cs="宋体"/>
          <w:b/>
          <w:bCs/>
        </w:rPr>
        <w:t>2</w:t>
      </w:r>
      <w:r>
        <w:rPr>
          <w:rFonts w:ascii="宋体" w:hAnsi="宋体" w:cs="宋体"/>
          <w:b/>
          <w:bCs/>
        </w:rPr>
        <w:t>、校园安全管理要求</w:t>
      </w:r>
    </w:p>
    <w:p w14:paraId="5525C39E">
      <w:pPr>
        <w:topLinePunct/>
        <w:spacing w:line="360" w:lineRule="auto"/>
        <w:ind w:firstLine="422" w:firstLineChars="200"/>
        <w:rPr>
          <w:rFonts w:ascii="宋体" w:hAnsi="宋体" w:cs="宋体"/>
          <w:b/>
          <w:bCs/>
        </w:rPr>
      </w:pPr>
      <w:r>
        <w:rPr>
          <w:rFonts w:ascii="宋体" w:hAnsi="宋体" w:cs="宋体"/>
          <w:b/>
          <w:bCs/>
        </w:rPr>
        <w:t>A-人员要求</w:t>
      </w:r>
    </w:p>
    <w:p w14:paraId="6B42C1D5">
      <w:pPr>
        <w:topLinePunct/>
        <w:spacing w:line="360" w:lineRule="auto"/>
        <w:ind w:firstLine="420" w:firstLineChars="200"/>
        <w:rPr>
          <w:rFonts w:ascii="宋体" w:hAnsi="宋体" w:cs="宋体"/>
        </w:rPr>
      </w:pPr>
      <w:r>
        <w:rPr>
          <w:rFonts w:ascii="宋体" w:hAnsi="宋体" w:cs="宋体"/>
        </w:rPr>
        <w:t>(1)保安人员熟悉校园环境，文明执勤，言语规范，认真负责，人员稳定。</w:t>
      </w:r>
    </w:p>
    <w:p w14:paraId="64004C76">
      <w:pPr>
        <w:topLinePunct/>
        <w:spacing w:line="360" w:lineRule="auto"/>
        <w:ind w:firstLine="420" w:firstLineChars="200"/>
        <w:rPr>
          <w:rFonts w:ascii="宋体" w:hAnsi="宋体" w:cs="宋体"/>
        </w:rPr>
      </w:pPr>
      <w:r>
        <w:rPr>
          <w:rFonts w:ascii="宋体" w:hAnsi="宋体" w:cs="宋体"/>
        </w:rPr>
        <w:t>(2)保安人员的素质要求：品德好，形象佳，身体强壮，服务意识强，会讲普通话，具有初中以上文化程度，持有上岗证，无犯罪记录。退伍军人优先。</w:t>
      </w:r>
    </w:p>
    <w:p w14:paraId="38653958">
      <w:pPr>
        <w:topLinePunct/>
        <w:spacing w:line="360" w:lineRule="auto"/>
        <w:ind w:firstLine="420" w:firstLineChars="200"/>
        <w:rPr>
          <w:rFonts w:ascii="宋体" w:hAnsi="宋体" w:cs="宋体"/>
        </w:rPr>
      </w:pPr>
      <w:r>
        <w:rPr>
          <w:rFonts w:ascii="宋体" w:hAnsi="宋体" w:cs="宋体"/>
        </w:rPr>
        <w:t>(</w:t>
      </w:r>
      <w:r>
        <w:rPr>
          <w:rFonts w:hint="eastAsia" w:ascii="宋体" w:hAnsi="宋体" w:cs="宋体"/>
        </w:rPr>
        <w:t>3</w:t>
      </w:r>
      <w:r>
        <w:rPr>
          <w:rFonts w:ascii="宋体" w:hAnsi="宋体" w:cs="宋体"/>
        </w:rPr>
        <w:t>)保安配备应满足《深圳市中小学校和幼儿园配备专业保安工作实施方案》(深公(治)字[2010]273号)</w:t>
      </w:r>
    </w:p>
    <w:p w14:paraId="01412CCA">
      <w:pPr>
        <w:topLinePunct/>
        <w:spacing w:line="360" w:lineRule="auto"/>
        <w:ind w:firstLine="422" w:firstLineChars="200"/>
        <w:rPr>
          <w:rFonts w:ascii="宋体" w:hAnsi="宋体" w:cs="宋体"/>
          <w:b/>
          <w:bCs/>
        </w:rPr>
      </w:pPr>
      <w:r>
        <w:rPr>
          <w:rFonts w:ascii="宋体" w:hAnsi="宋体" w:cs="宋体"/>
          <w:b/>
          <w:bCs/>
        </w:rPr>
        <w:t>B-值班要求</w:t>
      </w:r>
    </w:p>
    <w:p w14:paraId="79889B51">
      <w:pPr>
        <w:topLinePunct/>
        <w:spacing w:line="360" w:lineRule="auto"/>
        <w:ind w:firstLine="420" w:firstLineChars="200"/>
        <w:rPr>
          <w:rFonts w:ascii="宋体" w:hAnsi="宋体" w:cs="宋体"/>
        </w:rPr>
      </w:pPr>
      <w:r>
        <w:rPr>
          <w:rFonts w:ascii="宋体" w:hAnsi="宋体" w:cs="宋体"/>
        </w:rPr>
        <w:t>(1)学校正门值班要求：实行24小时固定岗和流动巡逻相结合制度，建立并严格执行来访人员询问登记制度，防止社会闲杂人员和车辆进入校园；建立物资出入学校管理制度，凭学校证明放行，确保师生不受社会不法分子侵犯和外来车辆伤害，确保师生和学校财产安全。</w:t>
      </w:r>
    </w:p>
    <w:p w14:paraId="74CF0BC3">
      <w:pPr>
        <w:topLinePunct/>
        <w:spacing w:line="360" w:lineRule="auto"/>
        <w:ind w:firstLine="420" w:firstLineChars="200"/>
        <w:rPr>
          <w:rFonts w:ascii="宋体" w:hAnsi="宋体" w:cs="宋体"/>
        </w:rPr>
      </w:pPr>
      <w:r>
        <w:rPr>
          <w:rFonts w:ascii="宋体" w:hAnsi="宋体" w:cs="宋体"/>
        </w:rPr>
        <w:t>(2)学校正门岗亭全年每天24小时有保安员值班，其中每年5月1日至10月31日(每晚21：00至次日早晨6：00)和11月1日至4月30日(每晚20：00至次日早晨7：00)必须保证2人值班(1人巡逻，1人校门岗亭值班)。</w:t>
      </w:r>
    </w:p>
    <w:p w14:paraId="427E620D">
      <w:pPr>
        <w:topLinePunct/>
        <w:spacing w:line="360" w:lineRule="auto"/>
        <w:ind w:firstLine="420" w:firstLineChars="200"/>
        <w:rPr>
          <w:rFonts w:ascii="宋体" w:hAnsi="宋体" w:cs="宋体"/>
        </w:rPr>
      </w:pPr>
      <w:r>
        <w:rPr>
          <w:rFonts w:ascii="宋体" w:hAnsi="宋体" w:cs="宋体"/>
        </w:rPr>
        <w:t>(3)每天上学和放学期间(共四个时段：上午上学一小时、放学一小时；下午上学一小时、放学一小时)，学校校园所有出入口至少有2名保安值岗。</w:t>
      </w:r>
    </w:p>
    <w:p w14:paraId="4F8F64DC">
      <w:pPr>
        <w:topLinePunct/>
        <w:spacing w:line="360" w:lineRule="auto"/>
        <w:ind w:firstLine="422" w:firstLineChars="200"/>
        <w:rPr>
          <w:rFonts w:ascii="宋体" w:hAnsi="宋体" w:cs="宋体"/>
          <w:b/>
          <w:bCs/>
        </w:rPr>
      </w:pPr>
      <w:r>
        <w:rPr>
          <w:rFonts w:ascii="宋体" w:hAnsi="宋体" w:cs="宋体"/>
          <w:b/>
          <w:bCs/>
        </w:rPr>
        <w:t>C-安全管理要求</w:t>
      </w:r>
    </w:p>
    <w:p w14:paraId="3F5480DF">
      <w:pPr>
        <w:topLinePunct/>
        <w:spacing w:line="360" w:lineRule="auto"/>
        <w:ind w:firstLine="420" w:firstLineChars="200"/>
        <w:rPr>
          <w:rFonts w:ascii="宋体" w:hAnsi="宋体" w:cs="宋体"/>
        </w:rPr>
      </w:pPr>
      <w:r>
        <w:rPr>
          <w:rFonts w:ascii="宋体" w:hAnsi="宋体" w:cs="宋体"/>
        </w:rPr>
        <w:t>(1)做好安全防范措施，制订科学高效的突发事件(设备、消防、治安、防疫、防止自然灾害等)应急预案。做到校园日常秩序井然有序，学校财产不受损失，师生人身安全不受侵犯，责任事故发生率为零。</w:t>
      </w:r>
    </w:p>
    <w:p w14:paraId="0363A38A">
      <w:pPr>
        <w:topLinePunct/>
        <w:spacing w:line="360" w:lineRule="auto"/>
        <w:ind w:firstLine="420" w:firstLineChars="200"/>
        <w:rPr>
          <w:rFonts w:ascii="宋体" w:hAnsi="宋体" w:cs="宋体"/>
        </w:rPr>
      </w:pPr>
      <w:r>
        <w:rPr>
          <w:rFonts w:ascii="宋体" w:hAnsi="宋体" w:cs="宋体"/>
        </w:rPr>
        <w:t>(2)负责对学校红线内周边环境进行日常巡视。由学校与中标人共同确定值勤岗位、值勤时间、岗位职责等，确保万无一失。遇突发事件能按应急预案及时处理，有足够的人员和器械保证，能有效保护现场，并及时报告学校领导，必要时及时报警。</w:t>
      </w:r>
    </w:p>
    <w:p w14:paraId="56AB1D1A">
      <w:pPr>
        <w:topLinePunct/>
        <w:spacing w:line="360" w:lineRule="auto"/>
        <w:ind w:firstLine="420" w:firstLineChars="200"/>
        <w:rPr>
          <w:rFonts w:ascii="宋体" w:hAnsi="宋体" w:cs="宋体"/>
        </w:rPr>
      </w:pPr>
      <w:r>
        <w:rPr>
          <w:rFonts w:ascii="宋体" w:hAnsi="宋体" w:cs="宋体"/>
        </w:rPr>
        <w:t>(3)每月组织一次保安人员岗位培训或出操训练，每年与有关单位组织最少一次联合消防演习。</w:t>
      </w:r>
    </w:p>
    <w:p w14:paraId="3EB98FD1">
      <w:pPr>
        <w:topLinePunct/>
        <w:spacing w:line="360" w:lineRule="auto"/>
        <w:ind w:firstLine="420" w:firstLineChars="200"/>
        <w:rPr>
          <w:rFonts w:ascii="宋体" w:hAnsi="宋体" w:cs="宋体"/>
        </w:rPr>
      </w:pPr>
      <w:r>
        <w:rPr>
          <w:rFonts w:ascii="宋体" w:hAnsi="宋体" w:cs="宋体"/>
        </w:rPr>
        <w:t>(4)负责校园机动车(停车场)管理，做到管理制度完善，管理责任明确。建立车辆出入登记制度，需进入校园的车辆须按指定路线和时间、车速行驶，指引车辆按规定位置停放。不出现校门口停放车辆、校园内鸣放喇叭等现象，确保交通畅通，防止交通事件发生。</w:t>
      </w:r>
    </w:p>
    <w:p w14:paraId="5DAEDDED">
      <w:pPr>
        <w:topLinePunct/>
        <w:spacing w:line="360" w:lineRule="auto"/>
        <w:ind w:firstLine="420" w:firstLineChars="200"/>
        <w:rPr>
          <w:rFonts w:ascii="宋体" w:hAnsi="宋体" w:cs="宋体"/>
        </w:rPr>
      </w:pPr>
      <w:r>
        <w:rPr>
          <w:rFonts w:ascii="宋体" w:hAnsi="宋体" w:cs="宋体"/>
        </w:rPr>
        <w:t>(5)负责校园教室及功能场馆安全管理，按学校管理规定，每天定时打开、关闭体育馆、教室门窗，并定时对全校教室、功能室用电设备进行巡查。</w:t>
      </w:r>
    </w:p>
    <w:p w14:paraId="487DA593">
      <w:pPr>
        <w:topLinePunct/>
        <w:spacing w:line="360" w:lineRule="auto"/>
        <w:ind w:firstLine="420" w:firstLineChars="200"/>
        <w:rPr>
          <w:rFonts w:ascii="宋体" w:hAnsi="宋体" w:cs="宋体"/>
        </w:rPr>
      </w:pPr>
      <w:r>
        <w:rPr>
          <w:rFonts w:ascii="宋体" w:hAnsi="宋体" w:cs="宋体"/>
        </w:rPr>
        <w:t>(6)若学校举行教育教学大型活动或接待，中标人应按学校要求无条件安排足够安保人员给予配合，并保证服务到位，态度良好。</w:t>
      </w:r>
    </w:p>
    <w:p w14:paraId="00804CDA">
      <w:pPr>
        <w:topLinePunct/>
        <w:spacing w:line="360" w:lineRule="auto"/>
        <w:ind w:firstLine="420" w:firstLineChars="200"/>
        <w:rPr>
          <w:rFonts w:ascii="宋体" w:hAnsi="宋体" w:cs="宋体"/>
        </w:rPr>
      </w:pPr>
      <w:r>
        <w:rPr>
          <w:rFonts w:ascii="宋体" w:hAnsi="宋体" w:cs="宋体"/>
        </w:rPr>
        <w:t>(7)负责报刊的收发工作，行政办公室报刊投送到户，其它部门、人员报刊投送到报箱。</w:t>
      </w:r>
    </w:p>
    <w:p w14:paraId="0C093223">
      <w:pPr>
        <w:topLinePunct/>
        <w:spacing w:line="360" w:lineRule="auto"/>
        <w:ind w:firstLine="420" w:firstLineChars="200"/>
        <w:rPr>
          <w:rFonts w:ascii="宋体" w:hAnsi="宋体" w:cs="宋体"/>
        </w:rPr>
      </w:pPr>
      <w:r>
        <w:rPr>
          <w:rFonts w:ascii="宋体" w:hAnsi="宋体" w:cs="宋体"/>
        </w:rPr>
        <w:t>(8)无偿协助学校零星搬运工作。</w:t>
      </w:r>
    </w:p>
    <w:p w14:paraId="094CF966">
      <w:pPr>
        <w:topLinePunct/>
        <w:spacing w:line="360" w:lineRule="auto"/>
        <w:ind w:firstLine="422" w:firstLineChars="200"/>
        <w:rPr>
          <w:rFonts w:ascii="宋体" w:hAnsi="宋体" w:cs="宋体"/>
          <w:b/>
          <w:bCs/>
        </w:rPr>
      </w:pPr>
      <w:r>
        <w:rPr>
          <w:rFonts w:ascii="宋体" w:hAnsi="宋体" w:cs="宋体"/>
          <w:b/>
          <w:bCs/>
        </w:rPr>
        <w:t>D-消防监控管理要求</w:t>
      </w:r>
    </w:p>
    <w:p w14:paraId="0689F418">
      <w:pPr>
        <w:topLinePunct/>
        <w:spacing w:line="360" w:lineRule="auto"/>
        <w:ind w:firstLine="420" w:firstLineChars="200"/>
        <w:rPr>
          <w:rFonts w:ascii="宋体" w:hAnsi="宋体" w:cs="宋体"/>
        </w:rPr>
      </w:pPr>
      <w:r>
        <w:rPr>
          <w:rFonts w:ascii="宋体" w:hAnsi="宋体" w:cs="宋体"/>
        </w:rPr>
        <w:t>贯彻“预防为主，防消结合”的工作方针，实行技防、人防的有效结合。借助先进的消防监控系统和消防设备设施，做好日常消防防范工作。按时对消防报警系统进行联动测试，定期进行消防演习，提高员工防火、灭火技能。</w:t>
      </w:r>
    </w:p>
    <w:p w14:paraId="3FEBDD40">
      <w:pPr>
        <w:topLinePunct/>
        <w:spacing w:line="360" w:lineRule="auto"/>
        <w:ind w:firstLine="420" w:firstLineChars="200"/>
        <w:rPr>
          <w:rFonts w:ascii="宋体" w:hAnsi="宋体" w:cs="宋体"/>
        </w:rPr>
      </w:pPr>
      <w:r>
        <w:rPr>
          <w:rFonts w:ascii="宋体" w:hAnsi="宋体" w:cs="宋体"/>
        </w:rPr>
        <w:t>(1)消防监控中心值班员对学校的消防系统进行监控，发现报警立刻通知相关岗位人员到现场查看确认，防止超标准使用报警，确属火警则按火警处理程序立即进行处理，属误报的，查明原因，消除故障，恢复系统，做好处理记录。</w:t>
      </w:r>
    </w:p>
    <w:p w14:paraId="17D2C827">
      <w:pPr>
        <w:topLinePunct/>
        <w:spacing w:line="360" w:lineRule="auto"/>
        <w:ind w:firstLine="420" w:firstLineChars="200"/>
        <w:rPr>
          <w:rFonts w:ascii="宋体" w:hAnsi="宋体" w:cs="宋体"/>
        </w:rPr>
      </w:pPr>
      <w:r>
        <w:rPr>
          <w:rFonts w:ascii="宋体" w:hAnsi="宋体" w:cs="宋体"/>
        </w:rPr>
        <w:t>(2)发生火警或误报使电梯迫降时，立即用电梯对讲电话通知电梯内乘客保持镇静，并通知相关人员做好解救工作。</w:t>
      </w:r>
    </w:p>
    <w:p w14:paraId="19213A34">
      <w:pPr>
        <w:topLinePunct/>
        <w:spacing w:line="360" w:lineRule="auto"/>
        <w:ind w:firstLine="420" w:firstLineChars="200"/>
        <w:rPr>
          <w:rFonts w:ascii="宋体" w:hAnsi="宋体" w:cs="宋体"/>
        </w:rPr>
      </w:pPr>
      <w:r>
        <w:rPr>
          <w:rFonts w:ascii="宋体" w:hAnsi="宋体" w:cs="宋体"/>
        </w:rPr>
        <w:t>(3)定期对消防系统进行巡视检查、检测和保养，发现问题及时排除，保证系统的正常可靠运行。</w:t>
      </w:r>
    </w:p>
    <w:p w14:paraId="3961CB67">
      <w:pPr>
        <w:topLinePunct/>
        <w:spacing w:line="360" w:lineRule="auto"/>
        <w:ind w:firstLine="420" w:firstLineChars="200"/>
        <w:rPr>
          <w:rFonts w:ascii="宋体" w:hAnsi="宋体" w:cs="宋体"/>
        </w:rPr>
      </w:pPr>
      <w:r>
        <w:rPr>
          <w:rFonts w:ascii="宋体" w:hAnsi="宋体" w:cs="宋体"/>
        </w:rPr>
        <w:t>(4)严格执行交接班制度，加强消防监控室管理，禁止闲杂人员出入。</w:t>
      </w:r>
    </w:p>
    <w:p w14:paraId="50B35113">
      <w:pPr>
        <w:topLinePunct/>
        <w:spacing w:line="360" w:lineRule="auto"/>
        <w:ind w:firstLine="420" w:firstLineChars="200"/>
        <w:rPr>
          <w:rFonts w:ascii="宋体" w:hAnsi="宋体" w:cs="宋体"/>
        </w:rPr>
      </w:pPr>
      <w:r>
        <w:rPr>
          <w:rFonts w:ascii="宋体" w:hAnsi="宋体" w:cs="宋体"/>
        </w:rPr>
        <w:t>(5)负责校园内消防安全。指派消防安全责任人，保安员同时担任学校义务消防员；保证消防疏散通道畅通，搞好校园消防设备、设施维护，确保完好无损，可随时起用；消防设备设施属学校范围内问题的及时向学校汇报。</w:t>
      </w:r>
    </w:p>
    <w:p w14:paraId="6A9D1324">
      <w:pPr>
        <w:topLinePunct/>
        <w:spacing w:line="360" w:lineRule="auto"/>
        <w:ind w:firstLine="422" w:firstLineChars="200"/>
        <w:rPr>
          <w:rFonts w:ascii="宋体" w:hAnsi="宋体" w:cs="宋体"/>
          <w:b/>
          <w:bCs/>
        </w:rPr>
      </w:pPr>
      <w:r>
        <w:rPr>
          <w:rFonts w:hint="eastAsia" w:ascii="宋体" w:hAnsi="宋体" w:cs="宋体"/>
          <w:b/>
          <w:bCs/>
        </w:rPr>
        <w:t>E</w:t>
      </w:r>
      <w:r>
        <w:rPr>
          <w:rFonts w:ascii="宋体" w:hAnsi="宋体" w:cs="宋体"/>
          <w:b/>
          <w:bCs/>
        </w:rPr>
        <w:t>-</w:t>
      </w:r>
      <w:r>
        <w:rPr>
          <w:rFonts w:hint="eastAsia" w:ascii="宋体" w:hAnsi="宋体" w:cs="宋体"/>
          <w:b/>
          <w:bCs/>
        </w:rPr>
        <w:t>安全事故处理</w:t>
      </w:r>
    </w:p>
    <w:p w14:paraId="016904CA">
      <w:pPr>
        <w:spacing w:line="360" w:lineRule="auto"/>
        <w:ind w:firstLine="420" w:firstLineChars="200"/>
        <w:rPr>
          <w:rFonts w:ascii="宋体" w:hAnsi="宋体"/>
        </w:rPr>
      </w:pPr>
      <w:r>
        <w:rPr>
          <w:rFonts w:hint="eastAsia" w:ascii="宋体" w:hAnsi="宋体"/>
        </w:rPr>
        <w:t>（1）应制定安全事故处理预案，对突发事故和刑事、火灾、水灾、爆炸、地震、安全疏散以及电梯应急等制定相应的安全事故处理预案；</w:t>
      </w:r>
    </w:p>
    <w:p w14:paraId="2B08BDB1">
      <w:pPr>
        <w:spacing w:line="360" w:lineRule="auto"/>
        <w:ind w:firstLine="420" w:firstLineChars="200"/>
        <w:rPr>
          <w:rFonts w:ascii="宋体" w:hAnsi="宋体"/>
        </w:rPr>
      </w:pPr>
      <w:r>
        <w:rPr>
          <w:rFonts w:hint="eastAsia" w:ascii="宋体" w:hAnsi="宋体"/>
        </w:rPr>
        <w:t>（2）应成立安全事故应急小组，书面描述小组职责，每位成员应熟练掌握，并每年至少3次，定期进行小组训练或培训；</w:t>
      </w:r>
    </w:p>
    <w:p w14:paraId="51B0B27E">
      <w:pPr>
        <w:spacing w:line="360" w:lineRule="auto"/>
        <w:ind w:firstLine="420" w:firstLineChars="200"/>
        <w:rPr>
          <w:rFonts w:ascii="宋体" w:hAnsi="宋体"/>
        </w:rPr>
      </w:pPr>
      <w:r>
        <w:rPr>
          <w:rFonts w:hint="eastAsia" w:ascii="宋体" w:hAnsi="宋体"/>
        </w:rPr>
        <w:t>（3）应急小组至少每半年召开1次会议，熟悉程序、路线和有关内容，对紧急事故应尽可能减少造成的人员和财产损失；</w:t>
      </w:r>
    </w:p>
    <w:p w14:paraId="5A17ACAA">
      <w:pPr>
        <w:spacing w:line="360" w:lineRule="auto"/>
        <w:ind w:firstLine="420" w:firstLineChars="200"/>
        <w:rPr>
          <w:rFonts w:ascii="宋体" w:hAnsi="宋体"/>
        </w:rPr>
      </w:pPr>
      <w:r>
        <w:rPr>
          <w:rFonts w:hint="eastAsia" w:ascii="宋体" w:hAnsi="宋体"/>
        </w:rPr>
        <w:t>（4）应急小组应与当地消防、社区民警保持沟通；</w:t>
      </w:r>
    </w:p>
    <w:p w14:paraId="0E86F81F">
      <w:pPr>
        <w:spacing w:line="360" w:lineRule="auto"/>
        <w:ind w:firstLine="420" w:firstLineChars="200"/>
        <w:rPr>
          <w:rFonts w:ascii="宋体" w:hAnsi="宋体"/>
        </w:rPr>
      </w:pPr>
      <w:r>
        <w:rPr>
          <w:rFonts w:hint="eastAsia" w:ascii="宋体" w:hAnsi="宋体"/>
        </w:rPr>
        <w:t>（5）应建立安全事故档案工作记录。</w:t>
      </w:r>
    </w:p>
    <w:p w14:paraId="59E17B60">
      <w:pPr>
        <w:topLinePunct/>
        <w:spacing w:line="360" w:lineRule="auto"/>
        <w:ind w:firstLine="422" w:firstLineChars="200"/>
        <w:rPr>
          <w:rFonts w:ascii="宋体" w:hAnsi="宋体" w:cs="宋体"/>
          <w:b/>
          <w:bCs/>
        </w:rPr>
      </w:pPr>
      <w:r>
        <w:rPr>
          <w:rFonts w:hint="eastAsia" w:ascii="宋体" w:hAnsi="宋体" w:cs="宋体"/>
          <w:b/>
          <w:bCs/>
        </w:rPr>
        <w:t>F</w:t>
      </w:r>
      <w:r>
        <w:rPr>
          <w:rFonts w:ascii="宋体" w:hAnsi="宋体" w:cs="宋体"/>
          <w:b/>
          <w:bCs/>
        </w:rPr>
        <w:t>-校园内施工现场管理</w:t>
      </w:r>
    </w:p>
    <w:p w14:paraId="770FBFE8">
      <w:pPr>
        <w:spacing w:line="360" w:lineRule="auto"/>
        <w:ind w:firstLine="420" w:firstLineChars="200"/>
        <w:rPr>
          <w:rFonts w:ascii="宋体" w:hAnsi="宋体"/>
        </w:rPr>
      </w:pPr>
      <w:r>
        <w:rPr>
          <w:rFonts w:hint="eastAsia" w:ascii="宋体" w:hAnsi="宋体"/>
        </w:rPr>
        <w:t>（1）根据</w:t>
      </w:r>
      <w:r>
        <w:rPr>
          <w:rFonts w:ascii="宋体" w:hAnsi="宋体"/>
        </w:rPr>
        <w:t>学校要求制定校内施工现场管理</w:t>
      </w:r>
      <w:r>
        <w:rPr>
          <w:rFonts w:hint="eastAsia" w:ascii="宋体" w:hAnsi="宋体"/>
        </w:rPr>
        <w:t>制度，必要时</w:t>
      </w:r>
      <w:r>
        <w:rPr>
          <w:rFonts w:ascii="宋体" w:hAnsi="宋体"/>
        </w:rPr>
        <w:t>专门设置相应的非常设岗位</w:t>
      </w:r>
      <w:r>
        <w:rPr>
          <w:rFonts w:hint="eastAsia" w:ascii="宋体" w:hAnsi="宋体"/>
        </w:rPr>
        <w:t>。</w:t>
      </w:r>
    </w:p>
    <w:p w14:paraId="3E6ACB52">
      <w:pPr>
        <w:spacing w:line="360" w:lineRule="auto"/>
        <w:ind w:firstLine="420" w:firstLineChars="200"/>
        <w:rPr>
          <w:rFonts w:ascii="宋体" w:hAnsi="宋体"/>
        </w:rPr>
      </w:pPr>
      <w:r>
        <w:rPr>
          <w:rFonts w:hint="eastAsia" w:ascii="宋体" w:hAnsi="宋体"/>
        </w:rPr>
        <w:t>（2）</w:t>
      </w:r>
      <w:r>
        <w:rPr>
          <w:rFonts w:ascii="宋体" w:hAnsi="宋体"/>
        </w:rPr>
        <w:t>配合学校做好施工单位人员进出、人员活动范围、施工时段、文明施工等涉及施工人员的管理</w:t>
      </w:r>
      <w:r>
        <w:rPr>
          <w:rFonts w:hint="eastAsia" w:ascii="宋体" w:hAnsi="宋体"/>
        </w:rPr>
        <w:t>。</w:t>
      </w:r>
    </w:p>
    <w:p w14:paraId="629C9A49">
      <w:pPr>
        <w:spacing w:line="360" w:lineRule="auto"/>
        <w:ind w:firstLine="420" w:firstLineChars="200"/>
        <w:rPr>
          <w:rFonts w:ascii="宋体" w:hAnsi="宋体"/>
        </w:rPr>
      </w:pPr>
      <w:r>
        <w:rPr>
          <w:rFonts w:hint="eastAsia" w:ascii="宋体" w:hAnsi="宋体"/>
        </w:rPr>
        <w:t>（3）配合</w:t>
      </w:r>
      <w:r>
        <w:rPr>
          <w:rFonts w:ascii="宋体" w:hAnsi="宋体"/>
        </w:rPr>
        <w:t>学校对施工单位的车辆进出、作业工具进出、材料和设备进出、物资存放、垃圾存放与清运</w:t>
      </w:r>
      <w:r>
        <w:rPr>
          <w:rFonts w:hint="eastAsia" w:ascii="宋体" w:hAnsi="宋体"/>
        </w:rPr>
        <w:t>等</w:t>
      </w:r>
      <w:r>
        <w:rPr>
          <w:rFonts w:ascii="宋体" w:hAnsi="宋体"/>
        </w:rPr>
        <w:t>涉物管理</w:t>
      </w:r>
      <w:r>
        <w:rPr>
          <w:rFonts w:hint="eastAsia" w:ascii="宋体" w:hAnsi="宋体"/>
        </w:rPr>
        <w:t>。</w:t>
      </w:r>
    </w:p>
    <w:p w14:paraId="64E446A8">
      <w:pPr>
        <w:spacing w:line="360" w:lineRule="auto"/>
        <w:ind w:firstLine="420" w:firstLineChars="200"/>
        <w:rPr>
          <w:rFonts w:ascii="宋体" w:hAnsi="宋体"/>
        </w:rPr>
      </w:pPr>
      <w:r>
        <w:rPr>
          <w:rFonts w:hint="eastAsia" w:ascii="宋体" w:hAnsi="宋体"/>
        </w:rPr>
        <w:t>（4）施工区域内的设施设备管理。内容主要为是否违章装修、是否损坏公共设施设备、是否存在改变使用功能导致雨污混流现象、是否存在渗漏水现象等。</w:t>
      </w:r>
    </w:p>
    <w:p w14:paraId="5195F606">
      <w:pPr>
        <w:spacing w:line="360" w:lineRule="auto"/>
        <w:ind w:firstLine="420" w:firstLineChars="200"/>
        <w:rPr>
          <w:rFonts w:ascii="宋体" w:hAnsi="宋体"/>
        </w:rPr>
      </w:pPr>
      <w:r>
        <w:rPr>
          <w:rFonts w:hint="eastAsia" w:ascii="宋体" w:hAnsi="宋体"/>
        </w:rPr>
        <w:t>（</w:t>
      </w:r>
      <w:r>
        <w:rPr>
          <w:rFonts w:ascii="宋体" w:hAnsi="宋体"/>
        </w:rPr>
        <w:t>5</w:t>
      </w:r>
      <w:r>
        <w:rPr>
          <w:rFonts w:hint="eastAsia" w:ascii="宋体" w:hAnsi="宋体"/>
        </w:rPr>
        <w:t>）在学校主管部门批准的前提下，配合学校满足施工单位用水用电需要，水电使用操作规范，加强节水节电的</w:t>
      </w:r>
      <w:r>
        <w:rPr>
          <w:rFonts w:ascii="宋体" w:hAnsi="宋体"/>
        </w:rPr>
        <w:t>管理</w:t>
      </w:r>
      <w:r>
        <w:rPr>
          <w:rFonts w:hint="eastAsia" w:ascii="宋体" w:hAnsi="宋体"/>
        </w:rPr>
        <w:t>。</w:t>
      </w:r>
    </w:p>
    <w:p w14:paraId="1EB36E76">
      <w:pPr>
        <w:spacing w:line="360" w:lineRule="auto"/>
        <w:ind w:firstLine="420" w:firstLineChars="200"/>
        <w:rPr>
          <w:rFonts w:ascii="宋体" w:hAnsi="宋体"/>
        </w:rPr>
      </w:pPr>
      <w:r>
        <w:rPr>
          <w:rFonts w:hint="eastAsia" w:ascii="宋体" w:hAnsi="宋体"/>
        </w:rPr>
        <w:t>（</w:t>
      </w:r>
      <w:r>
        <w:rPr>
          <w:rFonts w:ascii="宋体" w:hAnsi="宋体"/>
        </w:rPr>
        <w:t>6</w:t>
      </w:r>
      <w:r>
        <w:rPr>
          <w:rFonts w:hint="eastAsia" w:ascii="宋体" w:hAnsi="宋体"/>
        </w:rPr>
        <w:t>）</w:t>
      </w:r>
      <w:r>
        <w:rPr>
          <w:rFonts w:ascii="宋体" w:hAnsi="宋体"/>
        </w:rPr>
        <w:t>认真</w:t>
      </w:r>
      <w:r>
        <w:rPr>
          <w:rFonts w:hint="eastAsia" w:ascii="宋体" w:hAnsi="宋体"/>
        </w:rPr>
        <w:t>周密</w:t>
      </w:r>
      <w:r>
        <w:rPr>
          <w:rFonts w:ascii="宋体" w:hAnsi="宋体"/>
        </w:rPr>
        <w:t>地做好施工现场</w:t>
      </w:r>
      <w:r>
        <w:rPr>
          <w:rFonts w:hint="eastAsia" w:ascii="宋体" w:hAnsi="宋体"/>
        </w:rPr>
        <w:t>及</w:t>
      </w:r>
      <w:r>
        <w:rPr>
          <w:rFonts w:ascii="宋体" w:hAnsi="宋体"/>
        </w:rPr>
        <w:t>周边的安全管理，确保师生和其他人员安全</w:t>
      </w:r>
      <w:r>
        <w:rPr>
          <w:rFonts w:hint="eastAsia" w:ascii="宋体" w:hAnsi="宋体"/>
        </w:rPr>
        <w:t>，</w:t>
      </w:r>
      <w:r>
        <w:rPr>
          <w:rFonts w:ascii="宋体" w:hAnsi="宋体"/>
        </w:rPr>
        <w:t>确保消防安全。</w:t>
      </w:r>
    </w:p>
    <w:p w14:paraId="563AD3D9">
      <w:pPr>
        <w:topLinePunct/>
        <w:spacing w:line="360" w:lineRule="auto"/>
        <w:ind w:firstLine="422" w:firstLineChars="200"/>
        <w:rPr>
          <w:rFonts w:ascii="宋体" w:hAnsi="宋体" w:cs="宋体"/>
          <w:b/>
          <w:bCs/>
        </w:rPr>
      </w:pPr>
      <w:r>
        <w:rPr>
          <w:rFonts w:hint="eastAsia" w:ascii="宋体" w:hAnsi="宋体" w:cs="宋体"/>
          <w:b/>
          <w:bCs/>
        </w:rPr>
        <w:t>G</w:t>
      </w:r>
      <w:r>
        <w:rPr>
          <w:rFonts w:ascii="宋体" w:hAnsi="宋体" w:cs="宋体"/>
          <w:b/>
          <w:bCs/>
        </w:rPr>
        <w:t>-</w:t>
      </w:r>
      <w:r>
        <w:rPr>
          <w:rFonts w:hint="eastAsia" w:ascii="宋体" w:hAnsi="宋体" w:cs="宋体"/>
          <w:b/>
          <w:bCs/>
        </w:rPr>
        <w:t>社区警务协作</w:t>
      </w:r>
    </w:p>
    <w:p w14:paraId="483F255A">
      <w:pPr>
        <w:spacing w:line="360" w:lineRule="auto"/>
        <w:ind w:firstLine="420" w:firstLineChars="200"/>
        <w:rPr>
          <w:rFonts w:ascii="宋体" w:hAnsi="宋体"/>
        </w:rPr>
      </w:pPr>
      <w:r>
        <w:rPr>
          <w:rFonts w:hint="eastAsia" w:ascii="宋体" w:hAnsi="宋体"/>
        </w:rPr>
        <w:t>物业服务企业应保持24小时与当地社区警务室联系；与社区警务一起提高公众防范能力，共同预防和确保服务区安全。</w:t>
      </w:r>
    </w:p>
    <w:p w14:paraId="3DB6AB92">
      <w:pPr>
        <w:topLinePunct/>
        <w:spacing w:line="360" w:lineRule="auto"/>
        <w:ind w:firstLine="422" w:firstLineChars="200"/>
        <w:rPr>
          <w:rFonts w:ascii="宋体" w:hAnsi="宋体" w:cs="宋体"/>
          <w:b/>
          <w:bCs/>
        </w:rPr>
      </w:pPr>
      <w:r>
        <w:rPr>
          <w:rFonts w:hint="eastAsia" w:ascii="宋体" w:hAnsi="宋体" w:cs="宋体"/>
          <w:b/>
          <w:bCs/>
        </w:rPr>
        <w:t>3、</w:t>
      </w:r>
      <w:r>
        <w:rPr>
          <w:rFonts w:ascii="宋体" w:hAnsi="宋体" w:cs="宋体"/>
          <w:b/>
          <w:bCs/>
        </w:rPr>
        <w:t>人员</w:t>
      </w:r>
      <w:r>
        <w:rPr>
          <w:rFonts w:hint="eastAsia" w:ascii="宋体" w:hAnsi="宋体" w:cs="宋体"/>
          <w:b/>
          <w:bCs/>
        </w:rPr>
        <w:t>配备</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858"/>
        <w:gridCol w:w="2679"/>
        <w:gridCol w:w="2573"/>
        <w:gridCol w:w="1137"/>
      </w:tblGrid>
      <w:tr w14:paraId="32DA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61" w:type="pct"/>
            <w:shd w:val="clear" w:color="auto" w:fill="auto"/>
            <w:noWrap/>
            <w:vAlign w:val="center"/>
          </w:tcPr>
          <w:p w14:paraId="69A0EC8F">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999" w:type="pct"/>
            <w:shd w:val="clear" w:color="auto" w:fill="auto"/>
            <w:noWrap/>
            <w:vAlign w:val="center"/>
          </w:tcPr>
          <w:p w14:paraId="4EE6A8FB">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岗位</w:t>
            </w:r>
          </w:p>
        </w:tc>
        <w:tc>
          <w:tcPr>
            <w:tcW w:w="1442" w:type="pct"/>
            <w:vAlign w:val="center"/>
          </w:tcPr>
          <w:p w14:paraId="643F50A7">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深圳市龙华区民治第三幼教集团附属幼儿园</w:t>
            </w:r>
          </w:p>
        </w:tc>
        <w:tc>
          <w:tcPr>
            <w:tcW w:w="1385" w:type="pct"/>
            <w:vAlign w:val="center"/>
          </w:tcPr>
          <w:p w14:paraId="311D42FD">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深圳市龙华区民治第三幼教集团天曜幼儿园</w:t>
            </w:r>
          </w:p>
        </w:tc>
        <w:tc>
          <w:tcPr>
            <w:tcW w:w="612" w:type="pct"/>
            <w:vAlign w:val="center"/>
          </w:tcPr>
          <w:p w14:paraId="0F6A4B7A">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r>
      <w:tr w14:paraId="2D1D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1" w:type="pct"/>
            <w:shd w:val="clear" w:color="auto" w:fill="auto"/>
            <w:noWrap/>
            <w:vAlign w:val="center"/>
          </w:tcPr>
          <w:p w14:paraId="796DB792">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99" w:type="pct"/>
            <w:shd w:val="clear" w:color="auto" w:fill="auto"/>
            <w:vAlign w:val="center"/>
          </w:tcPr>
          <w:p w14:paraId="7E8B19E1">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保安员</w:t>
            </w:r>
          </w:p>
        </w:tc>
        <w:tc>
          <w:tcPr>
            <w:tcW w:w="1442" w:type="pct"/>
            <w:vAlign w:val="center"/>
          </w:tcPr>
          <w:p w14:paraId="3BFF505B">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385" w:type="pct"/>
            <w:vAlign w:val="center"/>
          </w:tcPr>
          <w:p w14:paraId="6B2B7858">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12" w:type="pct"/>
            <w:vAlign w:val="center"/>
          </w:tcPr>
          <w:p w14:paraId="1B034D6F">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0</w:t>
            </w:r>
          </w:p>
        </w:tc>
      </w:tr>
      <w:tr w14:paraId="0C1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1" w:type="pct"/>
            <w:shd w:val="clear" w:color="auto" w:fill="auto"/>
            <w:noWrap/>
            <w:vAlign w:val="center"/>
          </w:tcPr>
          <w:p w14:paraId="46BF31AC">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999" w:type="pct"/>
            <w:shd w:val="clear" w:color="auto" w:fill="auto"/>
            <w:vAlign w:val="center"/>
          </w:tcPr>
          <w:p w14:paraId="2B803BD5">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清洁工</w:t>
            </w:r>
          </w:p>
        </w:tc>
        <w:tc>
          <w:tcPr>
            <w:tcW w:w="1442" w:type="pct"/>
            <w:vAlign w:val="center"/>
          </w:tcPr>
          <w:p w14:paraId="2943C1AE">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85" w:type="pct"/>
            <w:vAlign w:val="center"/>
          </w:tcPr>
          <w:p w14:paraId="1AA3FAD7">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12" w:type="pct"/>
            <w:vAlign w:val="center"/>
          </w:tcPr>
          <w:p w14:paraId="6A9F4096">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14:paraId="37A5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61" w:type="pct"/>
            <w:gridSpan w:val="2"/>
            <w:shd w:val="clear" w:color="auto" w:fill="auto"/>
            <w:noWrap/>
            <w:vAlign w:val="center"/>
          </w:tcPr>
          <w:p w14:paraId="6E1209D3">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合计</w:t>
            </w:r>
          </w:p>
        </w:tc>
        <w:tc>
          <w:tcPr>
            <w:tcW w:w="1442" w:type="pct"/>
            <w:vAlign w:val="center"/>
          </w:tcPr>
          <w:p w14:paraId="27E2BF7C">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1385" w:type="pct"/>
            <w:vAlign w:val="center"/>
          </w:tcPr>
          <w:p w14:paraId="293425EF">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612" w:type="pct"/>
            <w:vAlign w:val="center"/>
          </w:tcPr>
          <w:p w14:paraId="43285F14">
            <w:pPr>
              <w:spacing w:line="40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p>
        </w:tc>
      </w:tr>
    </w:tbl>
    <w:p w14:paraId="34E5BF2D">
      <w:pPr>
        <w:topLinePunct/>
        <w:spacing w:line="360" w:lineRule="auto"/>
        <w:ind w:firstLine="422" w:firstLineChars="200"/>
        <w:rPr>
          <w:rFonts w:ascii="宋体" w:hAnsi="宋体" w:cs="宋体"/>
          <w:b/>
          <w:bCs/>
        </w:rPr>
      </w:pPr>
      <w:r>
        <w:rPr>
          <w:rFonts w:hint="eastAsia" w:ascii="宋体" w:hAnsi="宋体" w:cs="宋体"/>
          <w:b/>
          <w:bCs/>
        </w:rPr>
        <w:t>4</w:t>
      </w:r>
      <w:r>
        <w:rPr>
          <w:rFonts w:ascii="宋体" w:hAnsi="宋体" w:cs="宋体"/>
          <w:b/>
          <w:bCs/>
        </w:rPr>
        <w:t>、其他相关要求</w:t>
      </w:r>
    </w:p>
    <w:p w14:paraId="380DCB41">
      <w:pPr>
        <w:topLinePunct/>
        <w:spacing w:line="360" w:lineRule="auto"/>
        <w:ind w:firstLine="420" w:firstLineChars="200"/>
        <w:rPr>
          <w:rFonts w:ascii="宋体" w:hAnsi="宋体" w:cs="宋体"/>
        </w:rPr>
      </w:pPr>
      <w:r>
        <w:rPr>
          <w:rFonts w:hint="eastAsia" w:ascii="宋体" w:hAnsi="宋体" w:cs="宋体"/>
        </w:rPr>
        <w:t>1</w:t>
      </w:r>
      <w:r>
        <w:rPr>
          <w:rFonts w:ascii="宋体" w:hAnsi="宋体" w:cs="宋体"/>
        </w:rPr>
        <w:t>、安全管理所需的器械及设备(如对讲机、警棍等)均由学校提供。纸巾、洗手液等由学校提供，供应商提供日常清洁剂及耗材。</w:t>
      </w:r>
    </w:p>
    <w:p w14:paraId="25EA7F9A">
      <w:pPr>
        <w:topLinePunct/>
        <w:spacing w:line="360" w:lineRule="auto"/>
        <w:ind w:firstLine="420" w:firstLineChars="200"/>
        <w:rPr>
          <w:rFonts w:ascii="宋体" w:hAnsi="宋体" w:cs="宋体"/>
        </w:rPr>
      </w:pPr>
      <w:r>
        <w:rPr>
          <w:rFonts w:hint="eastAsia" w:ascii="宋体" w:hAnsi="宋体" w:cs="宋体"/>
        </w:rPr>
        <w:t>2</w:t>
      </w:r>
      <w:r>
        <w:rPr>
          <w:rFonts w:ascii="宋体" w:hAnsi="宋体" w:cs="宋体"/>
        </w:rPr>
        <w:t>、付款方式：每月5日为上月物业管理服务费结算日，凭承包方完税发票，由甲方签署付款凭证，办理付款手续。</w:t>
      </w:r>
    </w:p>
    <w:p w14:paraId="4716A845">
      <w:pPr>
        <w:topLinePunct/>
        <w:spacing w:line="360" w:lineRule="auto"/>
        <w:ind w:firstLine="420" w:firstLineChars="200"/>
        <w:rPr>
          <w:rFonts w:ascii="宋体" w:hAnsi="宋体" w:cs="宋体"/>
        </w:rPr>
      </w:pPr>
      <w:r>
        <w:rPr>
          <w:rFonts w:hint="eastAsia" w:ascii="宋体" w:hAnsi="宋体" w:cs="宋体"/>
        </w:rPr>
        <w:t>3</w:t>
      </w:r>
      <w:r>
        <w:rPr>
          <w:rFonts w:ascii="宋体" w:hAnsi="宋体" w:cs="宋体"/>
        </w:rPr>
        <w:t>、甲方违反合同约定，导致乙方未能完成服务内容的，乙方有权要求甲方限期解决；逾期未解决的，乙方可要求甲方支付1个月物业管理服务费的违约金；造成损失的，乙方可要求甲方承担相应的赔偿责任。</w:t>
      </w:r>
    </w:p>
    <w:p w14:paraId="19287E1D">
      <w:pPr>
        <w:topLinePunct/>
        <w:spacing w:line="360" w:lineRule="auto"/>
        <w:ind w:firstLine="420" w:firstLineChars="200"/>
        <w:rPr>
          <w:rFonts w:ascii="宋体" w:hAnsi="宋体" w:cs="宋体"/>
        </w:rPr>
      </w:pPr>
      <w:r>
        <w:rPr>
          <w:rFonts w:hint="eastAsia" w:ascii="宋体" w:hAnsi="宋体" w:cs="宋体"/>
        </w:rPr>
        <w:t>4</w:t>
      </w:r>
      <w:r>
        <w:rPr>
          <w:rFonts w:ascii="宋体" w:hAnsi="宋体" w:cs="宋体"/>
        </w:rPr>
        <w:t>、乙方提供的服务达不到合同约定的标准的，甲方有权要求乙方在合理期限内改进，乙方未能改进的，甲方可要求乙方支付1个月物业管理服务费的违约金；给甲方造成损失的，甲方可要求乙方承担相应的赔偿责任。</w:t>
      </w:r>
    </w:p>
    <w:p w14:paraId="720F20B2">
      <w:pPr>
        <w:topLinePunct/>
        <w:spacing w:line="360" w:lineRule="auto"/>
        <w:ind w:firstLine="420" w:firstLineChars="200"/>
        <w:rPr>
          <w:rFonts w:ascii="宋体" w:hAnsi="宋体" w:cs="宋体"/>
        </w:rPr>
      </w:pPr>
      <w:r>
        <w:rPr>
          <w:rFonts w:hint="eastAsia" w:ascii="宋体" w:hAnsi="宋体" w:cs="宋体"/>
        </w:rPr>
        <w:t>5</w:t>
      </w:r>
      <w:r>
        <w:rPr>
          <w:rFonts w:ascii="宋体" w:hAnsi="宋体" w:cs="宋体"/>
        </w:rPr>
        <w:t>、学校至少提供以下条件：</w:t>
      </w:r>
    </w:p>
    <w:p w14:paraId="0A949064">
      <w:pPr>
        <w:topLinePunct/>
        <w:spacing w:line="360" w:lineRule="auto"/>
        <w:ind w:firstLine="420" w:firstLineChars="200"/>
        <w:rPr>
          <w:rFonts w:ascii="宋体" w:hAnsi="宋体" w:cs="宋体"/>
        </w:rPr>
      </w:pPr>
      <w:r>
        <w:rPr>
          <w:rFonts w:ascii="宋体" w:hAnsi="宋体" w:cs="宋体"/>
        </w:rPr>
        <w:t>(1)提供办公用房1间。</w:t>
      </w:r>
    </w:p>
    <w:p w14:paraId="616E9342">
      <w:pPr>
        <w:topLinePunct/>
        <w:spacing w:line="360" w:lineRule="auto"/>
        <w:ind w:firstLine="420" w:firstLineChars="200"/>
        <w:rPr>
          <w:rFonts w:ascii="宋体" w:hAnsi="宋体" w:cs="宋体"/>
        </w:rPr>
      </w:pPr>
      <w:r>
        <w:rPr>
          <w:rFonts w:ascii="宋体" w:hAnsi="宋体" w:cs="宋体"/>
        </w:rPr>
        <w:t>(2)提供工具库房1间。</w:t>
      </w:r>
    </w:p>
    <w:p w14:paraId="74441570">
      <w:pPr>
        <w:topLinePunct/>
        <w:spacing w:line="360" w:lineRule="auto"/>
        <w:ind w:firstLine="420" w:firstLineChars="200"/>
        <w:rPr>
          <w:rFonts w:ascii="宋体" w:hAnsi="宋体" w:cs="宋体"/>
        </w:rPr>
      </w:pPr>
      <w:r>
        <w:rPr>
          <w:rFonts w:ascii="宋体" w:hAnsi="宋体" w:cs="宋体"/>
        </w:rPr>
        <w:t>(3)提供安装办公电话1部。</w:t>
      </w:r>
    </w:p>
    <w:p w14:paraId="32921334">
      <w:pPr>
        <w:topLinePunct/>
        <w:spacing w:line="360" w:lineRule="auto"/>
        <w:ind w:firstLine="420" w:firstLineChars="200"/>
        <w:rPr>
          <w:rFonts w:ascii="宋体" w:hAnsi="宋体" w:cs="宋体"/>
        </w:rPr>
      </w:pPr>
      <w:r>
        <w:rPr>
          <w:rFonts w:ascii="宋体" w:hAnsi="宋体" w:cs="宋体"/>
        </w:rPr>
        <w:t>原则上学校不提供物业人员食宿，中标物业公司可根据学校管理实际需求与学校商议解决。</w:t>
      </w:r>
    </w:p>
    <w:p w14:paraId="7DC0A032">
      <w:pPr>
        <w:topLinePunct/>
        <w:spacing w:line="360" w:lineRule="auto"/>
        <w:ind w:firstLine="420" w:firstLineChars="200"/>
        <w:rPr>
          <w:rFonts w:ascii="宋体" w:hAnsi="宋体" w:cs="宋体"/>
        </w:rPr>
      </w:pPr>
      <w:r>
        <w:rPr>
          <w:rFonts w:hint="eastAsia" w:ascii="宋体" w:hAnsi="宋体" w:cs="宋体"/>
        </w:rPr>
        <w:t>6</w:t>
      </w:r>
      <w:r>
        <w:rPr>
          <w:rFonts w:ascii="宋体" w:hAnsi="宋体" w:cs="宋体"/>
        </w:rPr>
        <w:t>、承担费用要求</w:t>
      </w:r>
    </w:p>
    <w:p w14:paraId="39CC8898">
      <w:pPr>
        <w:topLinePunct/>
        <w:spacing w:line="360" w:lineRule="auto"/>
        <w:ind w:firstLine="420" w:firstLineChars="200"/>
        <w:rPr>
          <w:rFonts w:ascii="宋体" w:hAnsi="宋体" w:cs="宋体"/>
        </w:rPr>
      </w:pPr>
      <w:r>
        <w:rPr>
          <w:rFonts w:ascii="宋体" w:hAnsi="宋体" w:cs="宋体"/>
        </w:rPr>
        <w:t>投标人应承担以下费用：</w:t>
      </w:r>
    </w:p>
    <w:p w14:paraId="33BEC930">
      <w:pPr>
        <w:topLinePunct/>
        <w:spacing w:line="360" w:lineRule="auto"/>
        <w:ind w:firstLine="420" w:firstLineChars="200"/>
        <w:rPr>
          <w:rFonts w:ascii="宋体" w:hAnsi="宋体" w:cs="宋体"/>
        </w:rPr>
      </w:pPr>
      <w:r>
        <w:rPr>
          <w:rFonts w:ascii="宋体" w:hAnsi="宋体" w:cs="宋体"/>
        </w:rPr>
        <w:t>(1)本项目所涉及的各类手续报批、应检等费用；</w:t>
      </w:r>
    </w:p>
    <w:p w14:paraId="01C7564E">
      <w:pPr>
        <w:topLinePunct/>
        <w:spacing w:line="360" w:lineRule="auto"/>
        <w:ind w:firstLine="420" w:firstLineChars="200"/>
        <w:rPr>
          <w:rFonts w:ascii="宋体" w:hAnsi="宋体" w:cs="宋体"/>
        </w:rPr>
      </w:pPr>
      <w:r>
        <w:rPr>
          <w:rFonts w:ascii="宋体" w:hAnsi="宋体" w:cs="宋体"/>
        </w:rPr>
        <w:t>(2)本项目所涉及员工工资、福利、保险、税金等以及所需要的设备、配件、工具、耗材、服装等管理费用(本标书列明由学校提供的除外)。</w:t>
      </w:r>
    </w:p>
    <w:p w14:paraId="6A734748">
      <w:pPr>
        <w:topLinePunct/>
        <w:spacing w:line="360" w:lineRule="auto"/>
        <w:ind w:firstLine="420" w:firstLineChars="200"/>
      </w:pPr>
      <w:r>
        <w:rPr>
          <w:rFonts w:hint="eastAsia" w:ascii="宋体" w:hAnsi="宋体" w:cs="宋体"/>
        </w:rPr>
        <w:t>7</w:t>
      </w:r>
      <w:r>
        <w:rPr>
          <w:rFonts w:ascii="宋体" w:hAnsi="宋体" w:cs="宋体"/>
        </w:rPr>
        <w:t>、中标人拟委派人员的基本情况必须报学校备案，派出人员必须遵守学校规章制度，人员必须做到相对稳定，不得频繁变动，如有人员调动或离职，须在24小时内配齐，以保证工作正常运转。</w:t>
      </w:r>
    </w:p>
    <w:p w14:paraId="0CB0E348">
      <w:pPr>
        <w:adjustRightInd w:val="0"/>
        <w:spacing w:before="156" w:beforeLines="50" w:after="156" w:afterLines="50" w:line="360" w:lineRule="auto"/>
        <w:textAlignment w:val="baseline"/>
        <w:outlineLvl w:val="3"/>
        <w:rPr>
          <w:rFonts w:ascii="宋体" w:hAnsi="宋体"/>
          <w:b/>
          <w:bCs/>
          <w:kern w:val="0"/>
          <w:sz w:val="24"/>
        </w:rPr>
      </w:pPr>
      <w:r>
        <w:rPr>
          <w:rFonts w:hint="eastAsia" w:ascii="宋体" w:hAnsi="宋体"/>
          <w:b/>
          <w:bCs/>
          <w:kern w:val="0"/>
          <w:sz w:val="24"/>
        </w:rPr>
        <w:t>（二）商务要求</w:t>
      </w:r>
    </w:p>
    <w:p w14:paraId="1775A958">
      <w:pPr>
        <w:topLinePunct/>
        <w:spacing w:line="360" w:lineRule="auto"/>
        <w:ind w:firstLine="420" w:firstLineChars="200"/>
        <w:rPr>
          <w:rFonts w:ascii="宋体" w:hAnsi="宋体" w:cs="宋体"/>
          <w:b/>
          <w:bCs/>
          <w:color w:val="000000"/>
          <w:szCs w:val="21"/>
        </w:rPr>
      </w:pPr>
      <w:bookmarkStart w:id="12" w:name="_Hlk72352464"/>
      <w:r>
        <w:rPr>
          <w:rFonts w:hint="eastAsia"/>
        </w:rPr>
        <w:t>★</w:t>
      </w:r>
      <w:r>
        <w:rPr>
          <w:rFonts w:hint="eastAsia" w:ascii="宋体" w:hAnsi="宋体" w:cs="宋体"/>
          <w:b/>
          <w:bCs/>
          <w:color w:val="000000"/>
          <w:szCs w:val="21"/>
        </w:rPr>
        <w:t>1</w:t>
      </w:r>
      <w:r>
        <w:rPr>
          <w:rFonts w:ascii="宋体" w:hAnsi="宋体" w:cs="宋体"/>
          <w:b/>
          <w:bCs/>
          <w:color w:val="000000"/>
          <w:szCs w:val="21"/>
        </w:rPr>
        <w:t>.</w:t>
      </w:r>
      <w:r>
        <w:rPr>
          <w:rFonts w:hint="eastAsia" w:ascii="宋体" w:hAnsi="宋体" w:cs="宋体"/>
          <w:b/>
          <w:bCs/>
          <w:color w:val="000000"/>
          <w:szCs w:val="21"/>
        </w:rPr>
        <w:t>履约时间：</w:t>
      </w:r>
    </w:p>
    <w:p w14:paraId="4D54F44F">
      <w:pPr>
        <w:topLinePunct/>
        <w:spacing w:line="360" w:lineRule="auto"/>
        <w:ind w:firstLine="420" w:firstLineChars="200"/>
        <w:rPr>
          <w:rFonts w:ascii="宋体" w:hAnsi="宋体" w:cs="宋体"/>
          <w:szCs w:val="21"/>
        </w:rPr>
      </w:pPr>
      <w:r>
        <w:rPr>
          <w:rFonts w:ascii="宋体" w:hAnsi="宋体" w:cs="宋体"/>
          <w:szCs w:val="21"/>
        </w:rPr>
        <w:t>本项目服务期暂定</w:t>
      </w:r>
      <w:r>
        <w:rPr>
          <w:rFonts w:hint="eastAsia" w:ascii="宋体" w:hAnsi="宋体" w:cs="宋体"/>
          <w:szCs w:val="21"/>
        </w:rPr>
        <w:t>6个月</w:t>
      </w:r>
      <w:r>
        <w:rPr>
          <w:rFonts w:ascii="宋体" w:hAnsi="宋体" w:cs="宋体"/>
          <w:szCs w:val="21"/>
        </w:rPr>
        <w:t>。</w:t>
      </w:r>
    </w:p>
    <w:p w14:paraId="394061E2">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w:t>
      </w:r>
      <w:r>
        <w:rPr>
          <w:rFonts w:ascii="宋体" w:hAnsi="宋体" w:cs="宋体"/>
          <w:b/>
          <w:bCs/>
          <w:color w:val="000000"/>
          <w:szCs w:val="21"/>
        </w:rPr>
        <w:t>.</w:t>
      </w:r>
      <w:r>
        <w:rPr>
          <w:rFonts w:hint="eastAsia" w:ascii="宋体" w:hAnsi="宋体" w:cs="宋体"/>
          <w:b/>
          <w:bCs/>
          <w:color w:val="000000"/>
          <w:szCs w:val="21"/>
        </w:rPr>
        <w:t>付款期限和方式：</w:t>
      </w:r>
    </w:p>
    <w:p w14:paraId="23B14487">
      <w:pPr>
        <w:spacing w:line="360" w:lineRule="auto"/>
        <w:ind w:firstLine="420" w:firstLineChars="200"/>
        <w:rPr>
          <w:rFonts w:ascii="宋体" w:hAnsi="宋体" w:cs="宋体"/>
          <w:szCs w:val="21"/>
        </w:rPr>
      </w:pPr>
      <w:r>
        <w:rPr>
          <w:rFonts w:ascii="宋体" w:hAnsi="宋体" w:cs="宋体"/>
          <w:szCs w:val="21"/>
        </w:rPr>
        <w:t>每月5日为上月物业管理服务费结算日，凭承包方完税发票，由甲方签署付款凭证，办理付款手续。</w:t>
      </w:r>
    </w:p>
    <w:p w14:paraId="6093C380">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w:t>
      </w:r>
      <w:r>
        <w:rPr>
          <w:rFonts w:hint="eastAsia" w:ascii="宋体" w:hAnsi="宋体" w:cs="宋体"/>
          <w:b/>
          <w:bCs/>
          <w:color w:val="000000"/>
          <w:szCs w:val="21"/>
        </w:rPr>
        <w:t>验收条件：</w:t>
      </w:r>
      <w:r>
        <w:rPr>
          <w:rFonts w:hint="eastAsia" w:ascii="宋体" w:hAnsi="宋体" w:cs="宋体"/>
          <w:color w:val="000000"/>
          <w:szCs w:val="21"/>
        </w:rPr>
        <w:t>以合同约定为准。</w:t>
      </w:r>
    </w:p>
    <w:p w14:paraId="760DC94D">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4</w:t>
      </w:r>
      <w:r>
        <w:rPr>
          <w:rFonts w:ascii="宋体" w:hAnsi="宋体" w:cs="宋体"/>
          <w:b/>
          <w:bCs/>
          <w:color w:val="000000"/>
          <w:szCs w:val="21"/>
        </w:rPr>
        <w:t>.</w:t>
      </w:r>
      <w:r>
        <w:rPr>
          <w:rFonts w:hint="eastAsia" w:ascii="宋体" w:hAnsi="宋体" w:cs="宋体"/>
          <w:b/>
          <w:bCs/>
          <w:color w:val="000000"/>
          <w:szCs w:val="21"/>
        </w:rPr>
        <w:t>违约责任：</w:t>
      </w:r>
      <w:r>
        <w:rPr>
          <w:rFonts w:hint="eastAsia" w:ascii="宋体" w:hAnsi="宋体" w:cs="宋体"/>
          <w:color w:val="000000"/>
          <w:szCs w:val="21"/>
        </w:rPr>
        <w:t>以合同约定为准。</w:t>
      </w:r>
    </w:p>
    <w:p w14:paraId="38BA8691">
      <w:pPr>
        <w:spacing w:line="360" w:lineRule="auto"/>
        <w:ind w:firstLine="422" w:firstLineChars="200"/>
        <w:rPr>
          <w:rFonts w:ascii="宋体" w:hAnsi="宋体" w:cs="宋体"/>
          <w:bCs/>
          <w:color w:val="000000"/>
          <w:szCs w:val="21"/>
        </w:rPr>
      </w:pPr>
      <w:r>
        <w:rPr>
          <w:rFonts w:hint="eastAsia" w:ascii="宋体" w:hAnsi="宋体" w:cs="宋体"/>
          <w:b/>
          <w:bCs/>
          <w:color w:val="000000"/>
          <w:szCs w:val="21"/>
        </w:rPr>
        <w:t>5</w:t>
      </w:r>
      <w:r>
        <w:rPr>
          <w:rFonts w:ascii="宋体" w:hAnsi="宋体" w:cs="宋体"/>
          <w:b/>
          <w:bCs/>
          <w:color w:val="000000"/>
          <w:szCs w:val="21"/>
        </w:rPr>
        <w:t>.</w:t>
      </w:r>
      <w:r>
        <w:rPr>
          <w:rFonts w:hint="eastAsia" w:ascii="宋体" w:hAnsi="宋体" w:cs="宋体"/>
          <w:b/>
          <w:bCs/>
          <w:color w:val="000000"/>
          <w:szCs w:val="21"/>
        </w:rPr>
        <w:t>争议解决方法</w:t>
      </w:r>
      <w:bookmarkEnd w:id="12"/>
      <w:r>
        <w:rPr>
          <w:rFonts w:hint="eastAsia" w:ascii="宋体" w:hAnsi="宋体" w:cs="宋体"/>
          <w:b/>
          <w:bCs/>
          <w:color w:val="000000"/>
          <w:szCs w:val="21"/>
        </w:rPr>
        <w:t>：</w:t>
      </w:r>
      <w:r>
        <w:rPr>
          <w:rFonts w:hint="eastAsia" w:ascii="宋体" w:hAnsi="宋体" w:cs="宋体"/>
          <w:bCs/>
          <w:color w:val="000000"/>
          <w:szCs w:val="21"/>
        </w:rPr>
        <w:t>以合同约定为准。</w:t>
      </w:r>
    </w:p>
    <w:p w14:paraId="6A199F18">
      <w:pPr>
        <w:pStyle w:val="32"/>
        <w:rPr>
          <w:rFonts w:hint="eastAsia"/>
          <w:color w:val="000000"/>
        </w:rPr>
      </w:pPr>
    </w:p>
    <w:p w14:paraId="7B8253A0">
      <w:pPr>
        <w:pStyle w:val="32"/>
        <w:rPr>
          <w:rFonts w:hint="eastAsia"/>
          <w:color w:val="000000"/>
        </w:rPr>
      </w:pPr>
    </w:p>
    <w:p w14:paraId="3287E7F0">
      <w:pPr>
        <w:pStyle w:val="32"/>
        <w:rPr>
          <w:rFonts w:hint="eastAsia"/>
          <w:color w:val="000000"/>
        </w:rPr>
      </w:pPr>
    </w:p>
    <w:p w14:paraId="7D128611">
      <w:pPr>
        <w:pStyle w:val="32"/>
        <w:rPr>
          <w:rFonts w:hint="eastAsia"/>
          <w:color w:val="000000"/>
        </w:rPr>
      </w:pPr>
    </w:p>
    <w:p w14:paraId="4190F7F8">
      <w:pPr>
        <w:pStyle w:val="5"/>
        <w:jc w:val="center"/>
      </w:pPr>
      <w:bookmarkStart w:id="13" w:name="_Toc128884461"/>
      <w:r>
        <w:rPr>
          <w:rFonts w:hint="eastAsia"/>
        </w:rPr>
        <w:t>三、服务需求明细</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3424"/>
        <w:gridCol w:w="786"/>
        <w:gridCol w:w="947"/>
        <w:gridCol w:w="1272"/>
        <w:gridCol w:w="1445"/>
        <w:gridCol w:w="890"/>
      </w:tblGrid>
      <w:tr w14:paraId="2CB7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79" w:type="pct"/>
            <w:vAlign w:val="center"/>
          </w:tcPr>
          <w:p w14:paraId="7D07432E">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序号</w:t>
            </w:r>
          </w:p>
        </w:tc>
        <w:tc>
          <w:tcPr>
            <w:tcW w:w="1844" w:type="pct"/>
            <w:vAlign w:val="center"/>
          </w:tcPr>
          <w:p w14:paraId="4CB58998">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服务需求名称（标的名称）</w:t>
            </w:r>
          </w:p>
        </w:tc>
        <w:tc>
          <w:tcPr>
            <w:tcW w:w="423" w:type="pct"/>
            <w:vAlign w:val="center"/>
          </w:tcPr>
          <w:p w14:paraId="3ABEE98E">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数量</w:t>
            </w:r>
          </w:p>
        </w:tc>
        <w:tc>
          <w:tcPr>
            <w:tcW w:w="509" w:type="pct"/>
            <w:vAlign w:val="center"/>
          </w:tcPr>
          <w:p w14:paraId="6F9A0AC0">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单位</w:t>
            </w:r>
          </w:p>
        </w:tc>
        <w:tc>
          <w:tcPr>
            <w:tcW w:w="685" w:type="pct"/>
            <w:vAlign w:val="center"/>
          </w:tcPr>
          <w:p w14:paraId="7E9329AA">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财政预算限额（元）</w:t>
            </w:r>
          </w:p>
        </w:tc>
        <w:tc>
          <w:tcPr>
            <w:tcW w:w="778" w:type="pct"/>
            <w:vAlign w:val="center"/>
          </w:tcPr>
          <w:p w14:paraId="64D3CFEF">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是否专门面向中小企业</w:t>
            </w:r>
          </w:p>
        </w:tc>
        <w:tc>
          <w:tcPr>
            <w:tcW w:w="479" w:type="pct"/>
            <w:vAlign w:val="center"/>
          </w:tcPr>
          <w:p w14:paraId="6DB03257">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标的所属行业</w:t>
            </w:r>
          </w:p>
        </w:tc>
      </w:tr>
      <w:tr w14:paraId="78CA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79" w:type="pct"/>
            <w:vAlign w:val="center"/>
          </w:tcPr>
          <w:p w14:paraId="7B7B1468">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1844" w:type="pct"/>
            <w:vAlign w:val="center"/>
          </w:tcPr>
          <w:p w14:paraId="6161D9C0">
            <w:pPr>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龙华区民治第三幼教集团世纪春城幼儿园物业管理服务采购</w:t>
            </w:r>
          </w:p>
        </w:tc>
        <w:tc>
          <w:tcPr>
            <w:tcW w:w="423" w:type="pct"/>
            <w:vAlign w:val="center"/>
          </w:tcPr>
          <w:p w14:paraId="1BABF090">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p>
        </w:tc>
        <w:tc>
          <w:tcPr>
            <w:tcW w:w="509" w:type="pct"/>
            <w:vAlign w:val="center"/>
          </w:tcPr>
          <w:p w14:paraId="5981E828">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w:t>
            </w:r>
          </w:p>
        </w:tc>
        <w:tc>
          <w:tcPr>
            <w:tcW w:w="685" w:type="pct"/>
            <w:vAlign w:val="center"/>
          </w:tcPr>
          <w:p w14:paraId="7279B422">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458400</w:t>
            </w:r>
            <w:r>
              <w:rPr>
                <w:rFonts w:hint="eastAsia" w:ascii="宋体" w:hAnsi="宋体" w:eastAsia="宋体" w:cs="宋体"/>
                <w:b w:val="0"/>
                <w:bCs/>
                <w:color w:val="000000" w:themeColor="text1"/>
                <w:sz w:val="21"/>
                <w:szCs w:val="21"/>
                <w:lang w:eastAsia="zh-CN"/>
                <w14:textFill>
                  <w14:solidFill>
                    <w14:schemeClr w14:val="tx1"/>
                  </w14:solidFill>
                </w14:textFill>
              </w:rPr>
              <w:t>.00</w:t>
            </w:r>
          </w:p>
        </w:tc>
        <w:tc>
          <w:tcPr>
            <w:tcW w:w="778" w:type="pct"/>
            <w:vAlign w:val="center"/>
          </w:tcPr>
          <w:p w14:paraId="7AB63796">
            <w:pPr>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否</w:t>
            </w:r>
          </w:p>
        </w:tc>
        <w:tc>
          <w:tcPr>
            <w:tcW w:w="479" w:type="pct"/>
            <w:vAlign w:val="center"/>
          </w:tcPr>
          <w:p w14:paraId="5FAAD93A">
            <w:pPr>
              <w:jc w:val="center"/>
              <w:rPr>
                <w:rFonts w:hint="default"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物业管理</w:t>
            </w:r>
          </w:p>
        </w:tc>
      </w:tr>
      <w:tr w14:paraId="7D8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56" w:type="pct"/>
            <w:gridSpan w:val="4"/>
            <w:vAlign w:val="center"/>
          </w:tcPr>
          <w:p w14:paraId="14732F0C">
            <w:pPr>
              <w:jc w:val="center"/>
              <w:rPr>
                <w:rFonts w:hint="eastAsia" w:ascii="宋体" w:hAnsi="宋体" w:eastAsia="宋体" w:cs="宋体"/>
                <w:b w:val="0"/>
                <w:bCs/>
                <w:color w:val="000000" w:themeColor="text1"/>
                <w:sz w:val="21"/>
                <w:szCs w:val="21"/>
                <w:lang w:eastAsia="zh-CN"/>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合计</w:t>
            </w:r>
          </w:p>
        </w:tc>
        <w:tc>
          <w:tcPr>
            <w:tcW w:w="685" w:type="pct"/>
            <w:vAlign w:val="center"/>
          </w:tcPr>
          <w:p w14:paraId="2A1F6DCC">
            <w:pPr>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458400</w:t>
            </w:r>
            <w:r>
              <w:rPr>
                <w:rFonts w:hint="eastAsia" w:ascii="宋体" w:hAnsi="宋体" w:eastAsia="宋体" w:cs="宋体"/>
                <w:b w:val="0"/>
                <w:bCs/>
                <w:color w:val="000000" w:themeColor="text1"/>
                <w:sz w:val="21"/>
                <w:szCs w:val="21"/>
                <w:lang w:eastAsia="zh-CN"/>
                <w14:textFill>
                  <w14:solidFill>
                    <w14:schemeClr w14:val="tx1"/>
                  </w14:solidFill>
                </w14:textFill>
              </w:rPr>
              <w:t>.00</w:t>
            </w:r>
          </w:p>
        </w:tc>
        <w:tc>
          <w:tcPr>
            <w:tcW w:w="778" w:type="pct"/>
            <w:vAlign w:val="center"/>
          </w:tcPr>
          <w:p w14:paraId="057FCA0F">
            <w:pPr>
              <w:jc w:val="center"/>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w:t>
            </w:r>
          </w:p>
        </w:tc>
        <w:tc>
          <w:tcPr>
            <w:tcW w:w="479" w:type="pct"/>
            <w:vAlign w:val="center"/>
          </w:tcPr>
          <w:p w14:paraId="29AB28E9">
            <w:pPr>
              <w:jc w:val="center"/>
              <w:rPr>
                <w:rFonts w:hint="eastAsia" w:ascii="宋体" w:hAnsi="宋体" w:eastAsia="宋体" w:cs="宋体"/>
                <w:b w:val="0"/>
                <w:bCs/>
                <w:color w:val="000000" w:themeColor="text1"/>
                <w:sz w:val="21"/>
                <w:szCs w:val="21"/>
                <w:highlight w:val="yellow"/>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yellow"/>
                <w:lang w:val="en-US" w:eastAsia="zh-CN"/>
                <w14:textFill>
                  <w14:solidFill>
                    <w14:schemeClr w14:val="tx1"/>
                  </w14:solidFill>
                </w14:textFill>
              </w:rPr>
              <w:t>/</w:t>
            </w:r>
          </w:p>
        </w:tc>
      </w:tr>
    </w:tbl>
    <w:p w14:paraId="5A2000B0">
      <w:pPr>
        <w:ind w:firstLine="422" w:firstLineChars="200"/>
        <w:rPr>
          <w:rFonts w:hint="eastAsia" w:asciiTheme="minorEastAsia" w:hAnsiTheme="minorEastAsia" w:eastAsiaTheme="minorEastAsia" w:cstheme="minorEastAsia"/>
          <w:b/>
          <w:bCs w:val="0"/>
          <w:sz w:val="21"/>
          <w:szCs w:val="21"/>
          <w:lang w:val="en-US" w:eastAsia="zh-CN"/>
        </w:rPr>
      </w:pPr>
    </w:p>
    <w:p w14:paraId="2BF67259">
      <w:pPr>
        <w:pStyle w:val="2"/>
      </w:pPr>
    </w:p>
    <w:p w14:paraId="4983A6B7">
      <w:pPr>
        <w:pStyle w:val="5"/>
        <w:jc w:val="center"/>
      </w:pPr>
      <w:r>
        <w:rPr>
          <w:rFonts w:hint="eastAsia"/>
        </w:rPr>
        <w:t>四、实质性条款</w:t>
      </w:r>
    </w:p>
    <w:tbl>
      <w:tblPr>
        <w:tblStyle w:val="2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adjustRightInd w:val="0"/>
              <w:snapToGrid w:val="0"/>
              <w:spacing w:line="360" w:lineRule="auto"/>
              <w:jc w:val="center"/>
            </w:pPr>
            <w:r>
              <w:rPr>
                <w:rFonts w:hint="eastAsia" w:ascii="宋体" w:hAnsi="宋体"/>
                <w:kern w:val="0"/>
                <w:szCs w:val="21"/>
              </w:rPr>
              <w:t>1</w:t>
            </w:r>
          </w:p>
        </w:tc>
        <w:tc>
          <w:tcPr>
            <w:tcW w:w="7483" w:type="dxa"/>
          </w:tcPr>
          <w:p w14:paraId="0719571F">
            <w:pPr>
              <w:rPr>
                <w:color w:val="FF0000"/>
              </w:rPr>
            </w:pPr>
            <w:r>
              <w:rPr>
                <w:rFonts w:hint="eastAsia"/>
                <w:color w:val="FF0000"/>
              </w:rPr>
              <w:t>满足本项目标★的条款要求</w:t>
            </w:r>
          </w:p>
        </w:tc>
      </w:tr>
      <w:bookmarkEnd w:id="13"/>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498A669E">
      <w:pPr>
        <w:pStyle w:val="11"/>
      </w:pPr>
    </w:p>
    <w:p w14:paraId="166C17C9">
      <w:pPr>
        <w:pStyle w:val="6"/>
        <w:spacing w:before="156" w:beforeLines="50" w:after="156" w:afterLines="50" w:line="416" w:lineRule="auto"/>
        <w:jc w:val="center"/>
        <w:rPr>
          <w:rFonts w:hint="eastAsia"/>
          <w:szCs w:val="28"/>
        </w:rPr>
      </w:pPr>
      <w:r>
        <w:rPr>
          <w:rFonts w:hint="eastAsia"/>
          <w:szCs w:val="28"/>
          <w:lang w:val="en-US" w:eastAsia="zh-CN"/>
        </w:rPr>
        <w:t>五</w:t>
      </w:r>
      <w:r>
        <w:rPr>
          <w:rFonts w:hint="eastAsia"/>
          <w:szCs w:val="28"/>
        </w:rPr>
        <w:t>、其他重要条款</w:t>
      </w:r>
    </w:p>
    <w:p w14:paraId="2B3CB3FD">
      <w:pPr>
        <w:pStyle w:val="2"/>
        <w:ind w:firstLine="480" w:firstLineChars="200"/>
        <w:rPr>
          <w:rFonts w:hint="eastAsia"/>
          <w:b w:val="0"/>
          <w:bCs w:val="0"/>
          <w:szCs w:val="21"/>
        </w:rPr>
      </w:pPr>
      <w:r>
        <w:rPr>
          <w:rFonts w:hint="eastAsia"/>
          <w:b w:val="0"/>
          <w:bCs w:val="0"/>
          <w:szCs w:val="21"/>
        </w:rPr>
        <w:t>1、本项目服务费采用包干制，应包括服务成本、法定税费和利润。由投标人根据采购文件所提供的资料自行测算投标报价；一经中选，投标报价总价作为中选单位与采购单位签定的合同金额，合同期限内不做调整；</w:t>
      </w:r>
    </w:p>
    <w:p w14:paraId="0CE6BB65">
      <w:pPr>
        <w:pStyle w:val="2"/>
        <w:ind w:firstLine="480" w:firstLineChars="200"/>
        <w:rPr>
          <w:rFonts w:hint="eastAsia"/>
          <w:b w:val="0"/>
          <w:bCs w:val="0"/>
          <w:szCs w:val="21"/>
        </w:rPr>
      </w:pPr>
      <w:r>
        <w:rPr>
          <w:rFonts w:hint="eastAsia"/>
          <w:b w:val="0"/>
          <w:bCs w:val="0"/>
          <w:szCs w:val="21"/>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标小组应将其作为无效投标处理。若评审小组对是否须由投标人作出报价合理性说明，以及书面说明是否采纳等判断不一致的，按照“少数服从多数”的原则确定评审小组的意见。</w:t>
      </w:r>
    </w:p>
    <w:p w14:paraId="6FA3990D">
      <w:pPr>
        <w:pStyle w:val="2"/>
        <w:ind w:firstLine="480" w:firstLineChars="200"/>
        <w:rPr>
          <w:rFonts w:hint="eastAsia"/>
          <w:b w:val="0"/>
          <w:bCs w:val="0"/>
          <w:szCs w:val="21"/>
        </w:rPr>
      </w:pPr>
      <w:r>
        <w:rPr>
          <w:rFonts w:hint="eastAsia"/>
          <w:b w:val="0"/>
          <w:bCs w:val="0"/>
          <w:szCs w:val="21"/>
        </w:rPr>
        <w:t>3、如果中选价低于财政预算限额的70%，该项目将被列为优先实施履约检查的项目。</w:t>
      </w:r>
    </w:p>
    <w:p w14:paraId="2F1F80B4">
      <w:pPr>
        <w:pStyle w:val="2"/>
        <w:ind w:firstLine="480" w:firstLineChars="200"/>
        <w:rPr>
          <w:rFonts w:hint="eastAsia"/>
          <w:b w:val="0"/>
          <w:bCs w:val="0"/>
          <w:szCs w:val="21"/>
        </w:rPr>
      </w:pPr>
      <w:r>
        <w:rPr>
          <w:rFonts w:hint="eastAsia"/>
          <w:b w:val="0"/>
          <w:bCs w:val="0"/>
          <w:szCs w:val="21"/>
        </w:rPr>
        <w:t>4、投标人的投标报价不得超过财政预算限额，如设投标最高限价的，报价不得超过最高限价；</w:t>
      </w:r>
    </w:p>
    <w:p w14:paraId="3D46EA7F">
      <w:pPr>
        <w:pStyle w:val="2"/>
        <w:ind w:firstLine="480" w:firstLineChars="200"/>
        <w:rPr>
          <w:rFonts w:hint="eastAsia"/>
          <w:b w:val="0"/>
          <w:bCs w:val="0"/>
          <w:szCs w:val="21"/>
        </w:rPr>
      </w:pPr>
      <w:r>
        <w:rPr>
          <w:rFonts w:hint="eastAsia"/>
          <w:b w:val="0"/>
          <w:bCs w:val="0"/>
          <w:szCs w:val="21"/>
        </w:rPr>
        <w:t>5、投标人的投标报价，应是本项目采购范围和采购文件及合同条款上所列的各项内容中所述的全部，不得以任何理由予以重复，并以投标人在中提出的综合单价或总价为依据；</w:t>
      </w:r>
    </w:p>
    <w:p w14:paraId="7C0CB2FD">
      <w:pPr>
        <w:pStyle w:val="2"/>
        <w:ind w:firstLine="480" w:firstLineChars="200"/>
        <w:rPr>
          <w:rFonts w:hint="eastAsia"/>
          <w:b w:val="0"/>
          <w:bCs w:val="0"/>
          <w:szCs w:val="21"/>
        </w:rPr>
      </w:pPr>
      <w:r>
        <w:rPr>
          <w:rFonts w:hint="eastAsia"/>
          <w:b w:val="0"/>
          <w:bCs w:val="0"/>
          <w:szCs w:val="21"/>
        </w:rPr>
        <w:t>6、除非龙华区教育系统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55FFEB5B">
      <w:pPr>
        <w:pStyle w:val="2"/>
        <w:ind w:firstLine="480" w:firstLineChars="200"/>
        <w:rPr>
          <w:rFonts w:hint="eastAsia"/>
          <w:b w:val="0"/>
          <w:bCs w:val="0"/>
          <w:szCs w:val="21"/>
        </w:rPr>
      </w:pPr>
      <w:r>
        <w:rPr>
          <w:rFonts w:hint="eastAsia"/>
          <w:b w:val="0"/>
          <w:bCs w:val="0"/>
          <w:szCs w:val="21"/>
        </w:rPr>
        <w:t>7、投标人应先到项目地点踏勘以充分了解项目的位置、情况、道路及任何其它足以影响投标报价的情况，任何因忽视或误解项目情况而导致的索赔或服务期限延长申请将不获批准；</w:t>
      </w:r>
    </w:p>
    <w:p w14:paraId="703C40CD">
      <w:pPr>
        <w:pStyle w:val="2"/>
        <w:ind w:firstLine="480" w:firstLineChars="200"/>
        <w:rPr>
          <w:rFonts w:hint="eastAsia"/>
          <w:b w:val="0"/>
          <w:bCs w:val="0"/>
          <w:szCs w:val="21"/>
        </w:rPr>
      </w:pPr>
      <w:r>
        <w:rPr>
          <w:rFonts w:hint="eastAsia"/>
          <w:b w:val="0"/>
          <w:bCs w:val="0"/>
          <w:szCs w:val="21"/>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2C8E5895">
      <w:pPr>
        <w:pStyle w:val="2"/>
        <w:ind w:firstLine="480" w:firstLineChars="200"/>
        <w:rPr>
          <w:rFonts w:hint="eastAsia"/>
          <w:b w:val="0"/>
          <w:bCs w:val="0"/>
          <w:szCs w:val="21"/>
        </w:rPr>
      </w:pPr>
      <w:r>
        <w:rPr>
          <w:rFonts w:hint="eastAsia"/>
          <w:b w:val="0"/>
          <w:bCs w:val="0"/>
          <w:szCs w:val="21"/>
        </w:rPr>
        <w:t>9、中标人不得将项目非法分包或转包给任何单位和个人。否则，采购单位有权即刻终止合同，并要求中标人赔偿相应损失。</w:t>
      </w:r>
    </w:p>
    <w:p w14:paraId="00894E14">
      <w:pPr>
        <w:pStyle w:val="2"/>
        <w:ind w:firstLine="480" w:firstLineChars="200"/>
        <w:rPr>
          <w:rFonts w:hint="eastAsia"/>
          <w:b w:val="0"/>
          <w:bCs w:val="0"/>
          <w:szCs w:val="21"/>
        </w:rPr>
      </w:pPr>
      <w:r>
        <w:rPr>
          <w:rFonts w:hint="eastAsia"/>
          <w:b w:val="0"/>
          <w:bCs w:val="0"/>
          <w:szCs w:val="21"/>
        </w:rPr>
        <w:t>10、投标人使用的标准必须是国际公认或国家、或地方政府颁布的同等或更高的标准，如投标人使用的标准低于上述标准,评标小组将有权不予接受，投标人必须列表将明显的差异详细说明。</w:t>
      </w:r>
    </w:p>
    <w:p w14:paraId="67C6570F">
      <w:pPr>
        <w:pStyle w:val="2"/>
        <w:ind w:firstLine="480" w:firstLineChars="200"/>
        <w:rPr>
          <w:rFonts w:hint="eastAsia"/>
          <w:b w:val="0"/>
          <w:bCs w:val="0"/>
          <w:szCs w:val="21"/>
        </w:rPr>
      </w:pPr>
      <w:r>
        <w:rPr>
          <w:rFonts w:hint="eastAsia"/>
          <w:b w:val="0"/>
          <w:bCs w:val="0"/>
          <w:szCs w:val="21"/>
        </w:rPr>
        <w:t>11、投标人须在质疑期内一次性提出针对同一采购程序环节的质疑。</w:t>
      </w:r>
    </w:p>
    <w:p w14:paraId="353B3B3D">
      <w:pPr>
        <w:pStyle w:val="2"/>
        <w:ind w:firstLine="480" w:firstLineChars="200"/>
        <w:rPr>
          <w:rFonts w:hint="eastAsia"/>
          <w:b w:val="0"/>
          <w:bCs w:val="0"/>
          <w:szCs w:val="21"/>
        </w:rPr>
      </w:pPr>
      <w:r>
        <w:rPr>
          <w:rFonts w:hint="eastAsia"/>
          <w:b w:val="0"/>
          <w:bCs w:val="0"/>
          <w:szCs w:val="21"/>
        </w:rPr>
        <w:t>12、本项目按照深圳市龙华区教育局的相关采购规定执行，招标文件未明确的事项，参照政府采购有关法律法规执行。</w:t>
      </w:r>
    </w:p>
    <w:p w14:paraId="4AA019C0">
      <w:pPr>
        <w:pStyle w:val="3"/>
        <w:rPr>
          <w:rFonts w:hint="eastAsia"/>
          <w:bCs/>
          <w:szCs w:val="21"/>
        </w:rPr>
      </w:pPr>
    </w:p>
    <w:p w14:paraId="067E477D">
      <w:pPr>
        <w:rPr>
          <w:rFonts w:hint="eastAsia"/>
          <w:bCs/>
          <w:szCs w:val="21"/>
        </w:rPr>
      </w:pPr>
    </w:p>
    <w:p w14:paraId="0BC79333">
      <w:pPr>
        <w:pStyle w:val="2"/>
        <w:rPr>
          <w:rFonts w:hint="eastAsia"/>
        </w:rPr>
      </w:pP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2"/>
      </w:pPr>
      <w:bookmarkStart w:id="14" w:name="_Hlk72257167"/>
    </w:p>
    <w:bookmarkEnd w:id="14"/>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14:paraId="2B8101CD">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14:paraId="35123F7C">
      <w:pPr>
        <w:ind w:left="718" w:leftChars="342" w:firstLine="1417" w:firstLineChars="675"/>
        <w:rPr>
          <w:szCs w:val="21"/>
        </w:rPr>
      </w:pPr>
      <w:r>
        <w:rPr>
          <w:rFonts w:hint="eastAsia"/>
          <w:szCs w:val="21"/>
        </w:rPr>
        <w:t>（5）供应商基本情况表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w:t>
      </w:r>
      <w:r>
        <w:rPr>
          <w:rFonts w:hint="eastAsia" w:ascii="宋体" w:hAnsi="宋体" w:eastAsia="宋体" w:cs="Times New Roman"/>
          <w:szCs w:val="21"/>
        </w:rPr>
        <w:t>实施方案</w:t>
      </w:r>
    </w:p>
    <w:p w14:paraId="67BE8F0E">
      <w:pPr>
        <w:ind w:left="718" w:leftChars="342" w:firstLine="1417" w:firstLineChars="675"/>
        <w:rPr>
          <w:szCs w:val="21"/>
        </w:rPr>
      </w:pPr>
      <w:r>
        <w:rPr>
          <w:rFonts w:hint="eastAsia"/>
          <w:szCs w:val="21"/>
        </w:rPr>
        <w:t>（</w:t>
      </w:r>
      <w:r>
        <w:rPr>
          <w:szCs w:val="21"/>
        </w:rPr>
        <w:t>5</w:t>
      </w:r>
      <w:r>
        <w:rPr>
          <w:rFonts w:hint="eastAsia"/>
          <w:szCs w:val="21"/>
        </w:rPr>
        <w:t>）</w:t>
      </w:r>
      <w:r>
        <w:rPr>
          <w:rFonts w:hint="eastAsia" w:ascii="宋体" w:hAnsi="宋体" w:eastAsia="宋体" w:cs="Times New Roman"/>
          <w:szCs w:val="21"/>
        </w:rPr>
        <w:t>项目重点难点分析、应对措施及相关的合理化建议</w:t>
      </w:r>
    </w:p>
    <w:p w14:paraId="5C3E8AC6">
      <w:pPr>
        <w:ind w:left="718" w:leftChars="342" w:firstLine="1417" w:firstLineChars="675"/>
        <w:rPr>
          <w:szCs w:val="21"/>
        </w:rPr>
      </w:pPr>
      <w:r>
        <w:rPr>
          <w:rFonts w:hint="eastAsia"/>
          <w:szCs w:val="21"/>
        </w:rPr>
        <w:t>（6）</w:t>
      </w:r>
      <w:r>
        <w:rPr>
          <w:rFonts w:hint="eastAsia" w:ascii="宋体" w:hAnsi="宋体" w:eastAsia="宋体" w:cs="宋体"/>
          <w:color w:val="auto"/>
          <w:sz w:val="21"/>
          <w:szCs w:val="21"/>
          <w:highlight w:val="none"/>
        </w:rPr>
        <w:t>质量（完成时间、安全、环保）保障措施及方案</w:t>
      </w:r>
    </w:p>
    <w:p w14:paraId="43A325BD">
      <w:pPr>
        <w:ind w:left="718" w:leftChars="342" w:firstLine="1417" w:firstLineChars="675"/>
        <w:rPr>
          <w:szCs w:val="21"/>
        </w:rPr>
      </w:pPr>
      <w:r>
        <w:rPr>
          <w:rFonts w:hint="eastAsia"/>
          <w:szCs w:val="21"/>
        </w:rPr>
        <w:t>（7）</w:t>
      </w:r>
      <w:r>
        <w:rPr>
          <w:rFonts w:hint="eastAsia"/>
          <w:szCs w:val="21"/>
          <w:lang w:eastAsia="zh-CN"/>
        </w:rPr>
        <w:t>项目完成（服务期满）后的服务承诺</w:t>
      </w:r>
    </w:p>
    <w:p w14:paraId="7264EFCB">
      <w:pPr>
        <w:ind w:left="718" w:leftChars="342" w:firstLine="1417" w:firstLineChars="675"/>
        <w:rPr>
          <w:rFonts w:hint="eastAsia" w:ascii="宋体" w:hAnsi="宋体" w:eastAsia="宋体" w:cs="宋体"/>
          <w:color w:val="auto"/>
          <w:sz w:val="21"/>
          <w:szCs w:val="21"/>
          <w:highlight w:val="none"/>
        </w:rPr>
      </w:pPr>
      <w:r>
        <w:rPr>
          <w:rFonts w:hint="eastAsia"/>
          <w:szCs w:val="21"/>
        </w:rPr>
        <w:t>（8）</w:t>
      </w:r>
      <w:r>
        <w:rPr>
          <w:rFonts w:hint="eastAsia" w:ascii="宋体" w:hAnsi="宋体" w:eastAsia="宋体" w:cs="宋体"/>
          <w:color w:val="auto"/>
          <w:sz w:val="21"/>
          <w:szCs w:val="21"/>
          <w:highlight w:val="none"/>
        </w:rPr>
        <w:t>履约承诺</w:t>
      </w:r>
    </w:p>
    <w:p w14:paraId="4ECAD728">
      <w:pPr>
        <w:ind w:left="718" w:leftChars="342" w:firstLine="1417" w:firstLineChars="675"/>
        <w:rPr>
          <w:rFonts w:hint="eastAsia" w:ascii="宋体" w:hAnsi="宋体" w:eastAsia="宋体" w:cs="宋体"/>
          <w:color w:val="auto"/>
          <w:sz w:val="21"/>
          <w:szCs w:val="21"/>
          <w:highlight w:val="none"/>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highlight w:val="none"/>
        </w:rPr>
        <w:t>拟安排的项目主要团队成员（主要技术人员）情况</w:t>
      </w:r>
    </w:p>
    <w:p w14:paraId="6483420B">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eastAsia="宋体" w:cs="宋体"/>
          <w:color w:val="auto"/>
          <w:sz w:val="21"/>
          <w:szCs w:val="21"/>
          <w:highlight w:val="none"/>
        </w:rPr>
        <w:t>供应商认证情况</w:t>
      </w:r>
    </w:p>
    <w:p w14:paraId="25130288">
      <w:pPr>
        <w:ind w:left="2136" w:leftChars="1017"/>
        <w:rPr>
          <w:szCs w:val="21"/>
        </w:rPr>
      </w:pPr>
      <w:r>
        <w:rPr>
          <w:rFonts w:hint="eastAsia"/>
          <w:szCs w:val="21"/>
        </w:rPr>
        <w:t>（1</w:t>
      </w:r>
      <w:r>
        <w:rPr>
          <w:rFonts w:hint="eastAsia"/>
          <w:szCs w:val="21"/>
          <w:lang w:val="en-US" w:eastAsia="zh-CN"/>
        </w:rPr>
        <w:t>1</w:t>
      </w:r>
      <w:r>
        <w:rPr>
          <w:rFonts w:hint="eastAsia"/>
          <w:szCs w:val="21"/>
        </w:rPr>
        <w:t>）供应商同类项目业绩情况</w:t>
      </w:r>
    </w:p>
    <w:p w14:paraId="03730C78">
      <w:pPr>
        <w:ind w:left="718" w:leftChars="342" w:firstLine="1417" w:firstLineChars="675"/>
        <w:rPr>
          <w:szCs w:val="21"/>
        </w:rPr>
      </w:pPr>
      <w:r>
        <w:rPr>
          <w:rFonts w:hint="eastAsia"/>
          <w:szCs w:val="21"/>
        </w:rPr>
        <w:t>（1</w:t>
      </w:r>
      <w:r>
        <w:rPr>
          <w:rFonts w:hint="eastAsia"/>
          <w:szCs w:val="21"/>
          <w:lang w:val="en-US" w:eastAsia="zh-CN"/>
        </w:rPr>
        <w:t>2</w:t>
      </w:r>
      <w:r>
        <w:rPr>
          <w:rFonts w:hint="eastAsia"/>
          <w:szCs w:val="21"/>
        </w:rPr>
        <w:t>）履约评价</w:t>
      </w:r>
    </w:p>
    <w:p w14:paraId="3757B56C">
      <w:pPr>
        <w:ind w:left="718" w:leftChars="342" w:firstLine="1417" w:firstLineChars="675"/>
        <w:rPr>
          <w:szCs w:val="21"/>
        </w:rPr>
      </w:pPr>
      <w:r>
        <w:rPr>
          <w:rFonts w:hint="eastAsia"/>
          <w:szCs w:val="21"/>
        </w:rPr>
        <w:t>（1</w:t>
      </w:r>
      <w:r>
        <w:rPr>
          <w:rFonts w:hint="eastAsia"/>
          <w:szCs w:val="21"/>
          <w:lang w:val="en-US" w:eastAsia="zh-CN"/>
        </w:rPr>
        <w:t>3</w:t>
      </w:r>
      <w:r>
        <w:rPr>
          <w:rFonts w:hint="eastAsia"/>
          <w:szCs w:val="21"/>
        </w:rPr>
        <w:t>）供应商获奖情况</w:t>
      </w:r>
    </w:p>
    <w:p w14:paraId="4A95A03C">
      <w:pPr>
        <w:ind w:left="718" w:leftChars="342" w:firstLine="1417" w:firstLineChars="675"/>
        <w:rPr>
          <w:rFonts w:hint="eastAsia"/>
          <w:szCs w:val="21"/>
        </w:rPr>
      </w:pPr>
      <w:r>
        <w:rPr>
          <w:rFonts w:hint="eastAsia"/>
          <w:szCs w:val="21"/>
        </w:rPr>
        <w:t>（1</w:t>
      </w:r>
      <w:r>
        <w:rPr>
          <w:rFonts w:hint="eastAsia"/>
          <w:szCs w:val="21"/>
          <w:lang w:val="en-US" w:eastAsia="zh-CN"/>
        </w:rPr>
        <w:t>4</w:t>
      </w:r>
      <w:r>
        <w:rPr>
          <w:rFonts w:hint="eastAsia"/>
          <w:szCs w:val="21"/>
        </w:rPr>
        <w:t>）</w:t>
      </w:r>
      <w:r>
        <w:rPr>
          <w:rFonts w:hint="eastAsia" w:ascii="宋体" w:hAnsi="宋体" w:eastAsia="宋体" w:cs="宋体"/>
          <w:b w:val="0"/>
          <w:bCs w:val="0"/>
          <w:color w:val="auto"/>
          <w:kern w:val="0"/>
          <w:sz w:val="21"/>
          <w:szCs w:val="21"/>
          <w:highlight w:val="none"/>
          <w:lang w:val="en-US" w:eastAsia="zh-CN"/>
        </w:rPr>
        <w:t>服务网点</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15</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6"/>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0"/>
    <w:p w14:paraId="16B0821A">
      <w:pPr>
        <w:pStyle w:val="6"/>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hint="eastAsia" w:ascii="宋体" w:hAnsi="宋体"/>
          <w:szCs w:val="21"/>
        </w:rPr>
      </w:pPr>
      <w:r>
        <w:rPr>
          <w:rFonts w:hint="eastAsia" w:ascii="宋体" w:hAnsi="宋体"/>
          <w:szCs w:val="21"/>
        </w:rPr>
        <w:t>我单位承诺：</w:t>
      </w:r>
    </w:p>
    <w:p w14:paraId="2079BA0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624C4C1">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4745CDD8">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A50E42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15816E1C">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D7AD29C">
      <w:pPr>
        <w:ind w:firstLine="420" w:firstLineChars="200"/>
        <w:rPr>
          <w:rFonts w:hint="eastAsia" w:ascii="宋体" w:hAnsi="宋体"/>
          <w:bCs/>
        </w:rPr>
      </w:pPr>
      <w:r>
        <w:rPr>
          <w:rFonts w:hint="eastAsia" w:ascii="宋体" w:hAnsi="宋体"/>
          <w:bCs/>
        </w:rPr>
        <w:t>13.</w:t>
      </w:r>
      <w:bookmarkStart w:id="25" w:name="OLE_LINK12"/>
      <w:bookmarkStart w:id="26"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5"/>
      <w:r>
        <w:rPr>
          <w:rFonts w:hint="eastAsia" w:ascii="宋体" w:hAnsi="宋体"/>
          <w:bCs/>
        </w:rPr>
        <w:t>。</w:t>
      </w:r>
      <w:bookmarkEnd w:id="26"/>
    </w:p>
    <w:p w14:paraId="48B2B3E6">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14:paraId="50D7E7AD">
      <w:pPr>
        <w:jc w:val="left"/>
        <w:outlineLvl w:val="3"/>
        <w:rPr>
          <w:rFonts w:hint="eastAsia" w:ascii="黑体" w:hAnsi="宋体" w:eastAsia="黑体"/>
          <w:bCs/>
          <w:kern w:val="0"/>
          <w:sz w:val="24"/>
          <w:szCs w:val="32"/>
        </w:rPr>
      </w:pPr>
    </w:p>
    <w:p w14:paraId="1CDDF84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5657C8E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17FAA14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692B55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743D2BC">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9"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29"/>
      <w:r>
        <w:rPr>
          <w:rFonts w:hint="eastAsia" w:ascii="黑体" w:hAnsi="黑体" w:eastAsia="黑体"/>
          <w:color w:val="FF0000"/>
          <w:szCs w:val="21"/>
        </w:rPr>
        <w:t>）</w:t>
      </w:r>
    </w:p>
    <w:p w14:paraId="7291BDA0">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A410BF8">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F65C3B5">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61A5FAB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486C0B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1ABB6DD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7DF53F2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10051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0295649">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049DB41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3F3A836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196508B">
      <w:p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Cs w:val="21"/>
        </w:rPr>
        <w:t>第六、</w:t>
      </w:r>
      <w:r>
        <w:rPr>
          <w:rFonts w:hint="eastAsia" w:ascii="黑体" w:hAnsi="宋体" w:eastAsia="黑体"/>
          <w:bCs/>
          <w:color w:val="FF0000"/>
          <w:kern w:val="0"/>
          <w:szCs w:val="21"/>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2CEF9F6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489F45D3">
      <w:pPr>
        <w:pStyle w:val="3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63E5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4C3712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C793B6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2E0AC4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7082DAB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66C6DAC">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07F0281">
      <w:pPr>
        <w:ind w:firstLine="420" w:firstLineChars="200"/>
      </w:pPr>
    </w:p>
    <w:bookmarkEnd w:id="28"/>
    <w:p w14:paraId="0E485E06">
      <w:pPr>
        <w:numPr>
          <w:ilvl w:val="0"/>
          <w:numId w:val="12"/>
        </w:numPr>
        <w:jc w:val="center"/>
        <w:outlineLvl w:val="3"/>
      </w:pPr>
      <w:bookmarkStart w:id="30" w:name="OLE_LINK4"/>
      <w:r>
        <w:rPr>
          <w:b/>
          <w:sz w:val="24"/>
        </w:rPr>
        <w:t>中小企业声明函（</w:t>
      </w:r>
      <w:r>
        <w:rPr>
          <w:rFonts w:hint="eastAsia"/>
          <w:b/>
          <w:sz w:val="24"/>
        </w:rPr>
        <w:t>服务</w:t>
      </w:r>
      <w:r>
        <w:rPr>
          <w:b/>
          <w:sz w:val="24"/>
        </w:rPr>
        <w:t>）</w:t>
      </w:r>
    </w:p>
    <w:p w14:paraId="580D0CBC">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14:paraId="5C2CE467">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5FF6562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14:paraId="28E860BF">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w:t>
      </w:r>
    </w:p>
    <w:p w14:paraId="04A3216D">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4552D85">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本企业对上述声明内容的真实性负责。如有虚假，将依法承担相应责任。</w:t>
      </w:r>
    </w:p>
    <w:p w14:paraId="06DCE7A0">
      <w:pPr>
        <w:spacing w:line="360" w:lineRule="auto"/>
        <w:ind w:firstLine="420" w:firstLineChars="200"/>
        <w:outlineLvl w:val="3"/>
        <w:rPr>
          <w:rFonts w:hint="eastAsia" w:asciiTheme="minorEastAsia" w:hAnsiTheme="minorEastAsia" w:cstheme="minorEastAsia"/>
          <w:szCs w:val="21"/>
        </w:rPr>
      </w:pPr>
      <w:bookmarkStart w:id="31" w:name="_Hlk73562275"/>
      <w:r>
        <w:rPr>
          <w:rFonts w:hint="eastAsia" w:asciiTheme="minorEastAsia" w:hAnsi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14:paraId="07F84D14">
      <w:pPr>
        <w:ind w:firstLine="420" w:firstLineChars="200"/>
      </w:pPr>
    </w:p>
    <w:p w14:paraId="6206DBA0">
      <w:pPr>
        <w:jc w:val="center"/>
        <w:outlineLvl w:val="3"/>
        <w:rPr>
          <w:b/>
          <w:sz w:val="24"/>
        </w:rPr>
      </w:pPr>
      <w:r>
        <w:rPr>
          <w:rFonts w:hint="eastAsia"/>
          <w:b/>
          <w:sz w:val="24"/>
        </w:rPr>
        <w:t>2、残疾人福利性单位声明函（服务类）</w:t>
      </w:r>
    </w:p>
    <w:p w14:paraId="2861822C">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14:paraId="36586B7E">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8C17C18">
      <w:pPr>
        <w:spacing w:line="360" w:lineRule="auto"/>
        <w:ind w:firstLine="420" w:firstLineChars="200"/>
        <w:rPr>
          <w:rFonts w:hint="eastAsia" w:ascii="宋体" w:hAnsi="宋体"/>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66C7276">
      <w:pPr>
        <w:ind w:firstLine="420" w:firstLineChars="200"/>
        <w:rPr>
          <w:rFonts w:hint="eastAsia" w:ascii="宋体" w:hAnsi="宋体"/>
          <w:szCs w:val="21"/>
        </w:rPr>
      </w:pPr>
    </w:p>
    <w:p w14:paraId="595015FF">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4F180C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BB51755">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09D64BD">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001B0663">
      <w:pPr>
        <w:ind w:firstLine="420" w:firstLineChars="200"/>
        <w:outlineLvl w:val="3"/>
        <w:rPr>
          <w:rFonts w:hint="eastAsia" w:ascii="宋体" w:hAnsi="宋体"/>
          <w:szCs w:val="21"/>
        </w:rPr>
      </w:pPr>
      <w:r>
        <w:rPr>
          <w:rFonts w:ascii="宋体" w:hAnsi="宋体"/>
          <w:szCs w:val="21"/>
        </w:rPr>
        <w:t xml:space="preserve">…… </w:t>
      </w:r>
    </w:p>
    <w:p w14:paraId="4DC24105">
      <w:pPr>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1AAC2DB8">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bookmarkEnd w:id="30"/>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0B4065B5">
      <w:pPr>
        <w:tabs>
          <w:tab w:val="left" w:pos="720"/>
        </w:tabs>
        <w:ind w:firstLine="3132" w:firstLineChars="1300"/>
        <w:rPr>
          <w:b/>
          <w:sz w:val="24"/>
        </w:rPr>
      </w:pPr>
      <w:r>
        <w:rPr>
          <w:rFonts w:hint="eastAsia"/>
          <w:b/>
          <w:sz w:val="24"/>
        </w:rPr>
        <w:t>（一）分项报价表</w:t>
      </w:r>
    </w:p>
    <w:tbl>
      <w:tblPr>
        <w:tblStyle w:val="23"/>
        <w:tblW w:w="8613" w:type="dxa"/>
        <w:tblInd w:w="0" w:type="dxa"/>
        <w:tblLayout w:type="fixed"/>
        <w:tblCellMar>
          <w:top w:w="0" w:type="dxa"/>
          <w:left w:w="108" w:type="dxa"/>
          <w:bottom w:w="0" w:type="dxa"/>
          <w:right w:w="108" w:type="dxa"/>
        </w:tblCellMar>
      </w:tblPr>
      <w:tblGrid>
        <w:gridCol w:w="618"/>
        <w:gridCol w:w="4168"/>
        <w:gridCol w:w="1559"/>
        <w:gridCol w:w="2268"/>
      </w:tblGrid>
      <w:tr w14:paraId="25E5F661">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6EAA1EC8">
            <w:pPr>
              <w:jc w:val="center"/>
              <w:rPr>
                <w:rFonts w:hint="eastAsia" w:ascii="宋体" w:hAnsi="宋体" w:eastAsia="宋体" w:cs="宋体"/>
                <w:b/>
                <w:bCs/>
                <w:kern w:val="0"/>
                <w:sz w:val="21"/>
                <w:szCs w:val="21"/>
              </w:rPr>
            </w:pPr>
            <w:bookmarkStart w:id="32" w:name="OLE_LINK11"/>
            <w:bookmarkStart w:id="33" w:name="OLE_LINK10"/>
            <w:r>
              <w:rPr>
                <w:rFonts w:hint="eastAsia" w:ascii="宋体" w:hAnsi="宋体" w:eastAsia="宋体" w:cs="宋体"/>
                <w:b/>
                <w:bCs/>
                <w:kern w:val="0"/>
                <w:sz w:val="21"/>
                <w:szCs w:val="21"/>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14:paraId="016F67C3">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项目名称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36271DC7">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报价（元）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32412786">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最高限价（元）</w:t>
            </w:r>
          </w:p>
        </w:tc>
      </w:tr>
      <w:tr w14:paraId="3EFB8B6B">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2AEAAA9">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168" w:type="dxa"/>
            <w:tcBorders>
              <w:top w:val="single" w:color="auto" w:sz="4" w:space="0"/>
              <w:left w:val="nil"/>
              <w:bottom w:val="single" w:color="auto" w:sz="4" w:space="0"/>
              <w:right w:val="single" w:color="auto" w:sz="4" w:space="0"/>
            </w:tcBorders>
            <w:shd w:val="clear" w:color="auto" w:fill="auto"/>
            <w:vAlign w:val="center"/>
          </w:tcPr>
          <w:p w14:paraId="71696852">
            <w:pPr>
              <w:spacing w:line="260" w:lineRule="exact"/>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附属幼儿园物业管理服务</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3CA0FF39">
            <w:pPr>
              <w:spacing w:line="260" w:lineRule="exact"/>
              <w:jc w:val="center"/>
              <w:textAlignment w:val="top"/>
              <w:rPr>
                <w:rFonts w:hint="eastAsia" w:ascii="宋体" w:hAnsi="宋体" w:eastAsia="宋体" w:cs="宋体"/>
                <w:kern w:val="0"/>
                <w:sz w:val="21"/>
                <w:szCs w:val="21"/>
              </w:rPr>
            </w:pPr>
          </w:p>
        </w:tc>
        <w:tc>
          <w:tcPr>
            <w:tcW w:w="2268" w:type="dxa"/>
            <w:tcBorders>
              <w:top w:val="single" w:color="auto" w:sz="4" w:space="0"/>
              <w:left w:val="nil"/>
              <w:bottom w:val="single" w:color="auto" w:sz="4" w:space="0"/>
              <w:right w:val="single" w:color="auto" w:sz="8" w:space="0"/>
            </w:tcBorders>
            <w:shd w:val="clear" w:color="000000" w:fill="FFFFFF"/>
          </w:tcPr>
          <w:p w14:paraId="0208A77D">
            <w:pPr>
              <w:spacing w:line="260" w:lineRule="exact"/>
              <w:jc w:val="center"/>
              <w:textAlignment w:val="top"/>
              <w:rPr>
                <w:rFonts w:hint="eastAsia" w:ascii="宋体" w:hAnsi="宋体" w:eastAsia="宋体" w:cs="宋体"/>
                <w:color w:val="FF0000"/>
                <w:kern w:val="0"/>
                <w:sz w:val="21"/>
                <w:szCs w:val="21"/>
                <w:highlight w:val="yellow"/>
              </w:rPr>
            </w:pPr>
            <w:r>
              <w:rPr>
                <w:rFonts w:hint="eastAsia" w:ascii="宋体" w:hAnsi="宋体" w:eastAsia="宋体" w:cs="宋体"/>
                <w:sz w:val="21"/>
                <w:szCs w:val="21"/>
              </w:rPr>
              <w:t>229200</w:t>
            </w:r>
          </w:p>
        </w:tc>
      </w:tr>
      <w:tr w14:paraId="7DA2ED7F">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35518677">
            <w:pPr>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168" w:type="dxa"/>
            <w:tcBorders>
              <w:top w:val="single" w:color="auto" w:sz="4" w:space="0"/>
              <w:left w:val="nil"/>
              <w:bottom w:val="single" w:color="auto" w:sz="4" w:space="0"/>
              <w:right w:val="single" w:color="auto" w:sz="4" w:space="0"/>
            </w:tcBorders>
            <w:shd w:val="clear" w:color="auto" w:fill="auto"/>
            <w:vAlign w:val="center"/>
          </w:tcPr>
          <w:p w14:paraId="53CE7445">
            <w:pPr>
              <w:spacing w:line="260" w:lineRule="exact"/>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天矅幼儿园物业管理服务</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1B5C7DC">
            <w:pPr>
              <w:spacing w:line="260" w:lineRule="exact"/>
              <w:jc w:val="center"/>
              <w:textAlignment w:val="top"/>
              <w:rPr>
                <w:rFonts w:hint="eastAsia" w:ascii="宋体" w:hAnsi="宋体" w:eastAsia="宋体" w:cs="宋体"/>
                <w:kern w:val="0"/>
                <w:sz w:val="21"/>
                <w:szCs w:val="21"/>
              </w:rPr>
            </w:pPr>
          </w:p>
        </w:tc>
        <w:tc>
          <w:tcPr>
            <w:tcW w:w="2268" w:type="dxa"/>
            <w:tcBorders>
              <w:top w:val="single" w:color="auto" w:sz="4" w:space="0"/>
              <w:left w:val="nil"/>
              <w:bottom w:val="single" w:color="auto" w:sz="4" w:space="0"/>
              <w:right w:val="single" w:color="auto" w:sz="8" w:space="0"/>
            </w:tcBorders>
            <w:shd w:val="clear" w:color="000000" w:fill="FFFFFF"/>
          </w:tcPr>
          <w:p w14:paraId="7BF02A40">
            <w:pPr>
              <w:spacing w:line="260" w:lineRule="exact"/>
              <w:jc w:val="center"/>
              <w:textAlignment w:val="top"/>
              <w:rPr>
                <w:rFonts w:hint="eastAsia" w:ascii="宋体" w:hAnsi="宋体" w:eastAsia="宋体" w:cs="宋体"/>
                <w:color w:val="FF0000"/>
                <w:kern w:val="0"/>
                <w:sz w:val="21"/>
                <w:szCs w:val="21"/>
                <w:highlight w:val="yellow"/>
              </w:rPr>
            </w:pPr>
            <w:r>
              <w:rPr>
                <w:rFonts w:hint="eastAsia" w:ascii="宋体" w:hAnsi="宋体" w:eastAsia="宋体" w:cs="宋体"/>
                <w:sz w:val="21"/>
                <w:szCs w:val="21"/>
              </w:rPr>
              <w:t>229200</w:t>
            </w:r>
          </w:p>
        </w:tc>
      </w:tr>
      <w:tr w14:paraId="47B66436">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943DB24">
            <w:pPr>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168" w:type="dxa"/>
            <w:tcBorders>
              <w:top w:val="single" w:color="auto" w:sz="4" w:space="0"/>
              <w:left w:val="nil"/>
              <w:bottom w:val="single" w:color="auto" w:sz="4" w:space="0"/>
              <w:right w:val="single" w:color="auto" w:sz="4" w:space="0"/>
            </w:tcBorders>
            <w:shd w:val="clear" w:color="000000" w:fill="FFFFFF"/>
            <w:vAlign w:val="center"/>
          </w:tcPr>
          <w:p w14:paraId="7536E428">
            <w:pPr>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合计(元)</w:t>
            </w:r>
          </w:p>
        </w:tc>
        <w:tc>
          <w:tcPr>
            <w:tcW w:w="1559" w:type="dxa"/>
            <w:tcBorders>
              <w:top w:val="nil"/>
              <w:left w:val="nil"/>
              <w:bottom w:val="single" w:color="auto" w:sz="4" w:space="0"/>
              <w:right w:val="single" w:color="auto" w:sz="4" w:space="0"/>
            </w:tcBorders>
            <w:shd w:val="clear" w:color="000000" w:fill="FFFFFF"/>
            <w:vAlign w:val="center"/>
          </w:tcPr>
          <w:p w14:paraId="79B378FE">
            <w:pPr>
              <w:jc w:val="right"/>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c>
          <w:tcPr>
            <w:tcW w:w="2268" w:type="dxa"/>
            <w:tcBorders>
              <w:top w:val="nil"/>
              <w:left w:val="nil"/>
              <w:bottom w:val="single" w:color="auto" w:sz="4" w:space="0"/>
              <w:right w:val="single" w:color="auto" w:sz="8" w:space="0"/>
            </w:tcBorders>
            <w:shd w:val="clear" w:color="000000" w:fill="FFFFFF"/>
            <w:vAlign w:val="center"/>
          </w:tcPr>
          <w:p w14:paraId="02DD46E5">
            <w:pPr>
              <w:jc w:val="center"/>
              <w:rPr>
                <w:rFonts w:hint="eastAsia" w:ascii="宋体" w:hAnsi="宋体" w:eastAsia="宋体" w:cs="宋体"/>
                <w:kern w:val="0"/>
                <w:sz w:val="21"/>
                <w:szCs w:val="21"/>
              </w:rPr>
            </w:pPr>
            <w:r>
              <w:rPr>
                <w:rFonts w:hint="eastAsia" w:ascii="宋体" w:hAnsi="宋体" w:eastAsia="宋体" w:cs="宋体"/>
                <w:color w:val="000000"/>
                <w:sz w:val="21"/>
                <w:szCs w:val="21"/>
              </w:rPr>
              <w:t>458400</w:t>
            </w:r>
          </w:p>
        </w:tc>
      </w:tr>
    </w:tbl>
    <w:p w14:paraId="7E74B1B2">
      <w:pPr>
        <w:rPr>
          <w:rFonts w:hint="eastAsia" w:hAnsi="宋体"/>
          <w:b/>
          <w:bCs/>
          <w:color w:val="FF0000"/>
          <w:sz w:val="24"/>
        </w:rPr>
      </w:pPr>
    </w:p>
    <w:p w14:paraId="04FFE19B">
      <w:pPr>
        <w:pStyle w:val="2"/>
        <w:rPr>
          <w:rFonts w:hint="eastAsia"/>
        </w:rPr>
      </w:pPr>
    </w:p>
    <w:bookmarkEnd w:id="32"/>
    <w:bookmarkEnd w:id="33"/>
    <w:p w14:paraId="635501DB">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（二）供应商认为需要涉及的其他内容报价清单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4" w:name="_Hlk72260501"/>
      <w:r>
        <w:t xml:space="preserve">  </w:t>
      </w:r>
      <w:r>
        <w:rPr>
          <w:rFonts w:hint="eastAsia" w:ascii="宋体" w:hAnsi="宋体"/>
        </w:rPr>
        <w:t>………………</w:t>
      </w:r>
      <w:bookmarkEnd w:id="34"/>
      <w:r>
        <w:rPr>
          <w:rFonts w:hint="eastAsia" w:ascii="宋体" w:hAnsi="宋体"/>
        </w:rPr>
        <w:t>（根据项目具体情况增加与综合实力评审相关的节点）………………</w:t>
      </w:r>
    </w:p>
    <w:p w14:paraId="69FF4C74">
      <w:pPr>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02"/>
        <w:gridCol w:w="1666"/>
        <w:gridCol w:w="984"/>
        <w:gridCol w:w="819"/>
        <w:gridCol w:w="1248"/>
        <w:gridCol w:w="1556"/>
        <w:gridCol w:w="1547"/>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99AC10E">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2B88CA6">
            <w:pPr>
              <w:jc w:val="center"/>
              <w:rPr>
                <w:rFonts w:hint="eastAsia" w:ascii="宋体" w:hAnsi="宋体" w:eastAsia="宋体" w:cs="宋体"/>
                <w:szCs w:val="21"/>
              </w:rPr>
            </w:pPr>
          </w:p>
        </w:tc>
        <w:tc>
          <w:tcPr>
            <w:tcW w:w="1113" w:type="pct"/>
            <w:gridSpan w:val="2"/>
            <w:vAlign w:val="center"/>
          </w:tcPr>
          <w:p w14:paraId="000A6E4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21C23601">
            <w:pPr>
              <w:jc w:val="center"/>
              <w:rPr>
                <w:rFonts w:hint="eastAsia" w:ascii="宋体" w:hAnsi="宋体" w:eastAsia="宋体" w:cs="宋体"/>
                <w:szCs w:val="21"/>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A3D52C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23944F4">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3AF5366A">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63A41192">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1E32801C">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4995E275">
            <w:pPr>
              <w:snapToGrid w:val="0"/>
              <w:jc w:val="center"/>
              <w:rPr>
                <w:rFonts w:hint="eastAsia" w:ascii="宋体" w:hAnsi="宋体" w:eastAsia="宋体" w:cs="宋体"/>
                <w:szCs w:val="21"/>
              </w:rPr>
            </w:pPr>
            <w:r>
              <w:rPr>
                <w:rFonts w:hint="eastAsia" w:ascii="宋体" w:hAnsi="宋体" w:eastAsia="宋体" w:cs="宋体"/>
                <w:szCs w:val="21"/>
              </w:rPr>
              <w:t>劳动合同</w:t>
            </w:r>
          </w:p>
          <w:p w14:paraId="1A5D8E24">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41C59BD5">
            <w:pPr>
              <w:snapToGrid w:val="0"/>
              <w:jc w:val="center"/>
              <w:rPr>
                <w:rFonts w:hint="eastAsia" w:ascii="宋体" w:hAnsi="宋体" w:eastAsia="宋体" w:cs="宋体"/>
                <w:szCs w:val="21"/>
              </w:rPr>
            </w:pPr>
            <w:r>
              <w:rPr>
                <w:rFonts w:hint="eastAsia" w:ascii="宋体" w:hAnsi="宋体" w:eastAsia="宋体" w:cs="宋体"/>
                <w:szCs w:val="21"/>
              </w:rPr>
              <w:t>缴纳社会</w:t>
            </w:r>
          </w:p>
          <w:p w14:paraId="1DC3B09E">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39046CE">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43D1E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939A189">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2DF8EF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2C8B360">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F5301E1">
            <w:pPr>
              <w:jc w:val="center"/>
              <w:rPr>
                <w:rFonts w:hint="eastAsia" w:ascii="宋体" w:hAnsi="宋体" w:eastAsia="宋体" w:cs="宋体"/>
                <w:szCs w:val="21"/>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37EB1E2">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F86A1CF">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FB10C5D">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B2215C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BC19B9">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CA92375">
            <w:pPr>
              <w:jc w:val="center"/>
              <w:rPr>
                <w:rFonts w:hint="eastAsia" w:ascii="宋体" w:hAnsi="宋体" w:eastAsia="宋体" w:cs="宋体"/>
                <w:szCs w:val="21"/>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0D05E99">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0AD5F98E">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4D56F312">
            <w:pPr>
              <w:jc w:val="center"/>
              <w:rPr>
                <w:rFonts w:hint="eastAsia" w:ascii="宋体" w:hAnsi="宋体" w:eastAsia="宋体" w:cs="宋体"/>
                <w:szCs w:val="21"/>
              </w:rPr>
            </w:pPr>
          </w:p>
        </w:tc>
        <w:tc>
          <w:tcPr>
            <w:tcW w:w="1113" w:type="pct"/>
            <w:gridSpan w:val="2"/>
            <w:tcBorders>
              <w:top w:val="single" w:color="auto" w:sz="4" w:space="0"/>
            </w:tcBorders>
            <w:vAlign w:val="center"/>
          </w:tcPr>
          <w:p w14:paraId="2AB918A5">
            <w:pPr>
              <w:jc w:val="center"/>
              <w:rPr>
                <w:rFonts w:hint="eastAsia" w:ascii="宋体" w:hAnsi="宋体" w:eastAsia="宋体" w:cs="宋体"/>
                <w:szCs w:val="21"/>
              </w:rPr>
            </w:pPr>
          </w:p>
        </w:tc>
        <w:tc>
          <w:tcPr>
            <w:tcW w:w="838" w:type="pct"/>
            <w:tcBorders>
              <w:top w:val="single" w:color="auto" w:sz="4" w:space="0"/>
            </w:tcBorders>
            <w:vAlign w:val="center"/>
          </w:tcPr>
          <w:p w14:paraId="2CD85F5D">
            <w:pPr>
              <w:jc w:val="center"/>
              <w:rPr>
                <w:rFonts w:hint="eastAsia" w:ascii="宋体" w:hAnsi="宋体" w:eastAsia="宋体" w:cs="宋体"/>
                <w:szCs w:val="21"/>
              </w:rPr>
            </w:pPr>
          </w:p>
        </w:tc>
        <w:tc>
          <w:tcPr>
            <w:tcW w:w="830" w:type="pct"/>
            <w:tcBorders>
              <w:top w:val="single" w:color="auto" w:sz="4" w:space="0"/>
            </w:tcBorders>
            <w:vAlign w:val="center"/>
          </w:tcPr>
          <w:p w14:paraId="4B0069DA">
            <w:pPr>
              <w:jc w:val="center"/>
              <w:rPr>
                <w:rFonts w:hint="eastAsia" w:ascii="宋体" w:hAnsi="宋体" w:eastAsia="宋体" w:cs="宋体"/>
                <w:szCs w:val="21"/>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81CFC2E">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132464">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6AFEA95A">
            <w:pPr>
              <w:jc w:val="center"/>
              <w:rPr>
                <w:rFonts w:hint="eastAsia" w:ascii="宋体" w:hAnsi="宋体" w:eastAsia="宋体" w:cs="宋体"/>
                <w:szCs w:val="21"/>
              </w:rPr>
            </w:pPr>
          </w:p>
        </w:tc>
        <w:tc>
          <w:tcPr>
            <w:tcW w:w="1113" w:type="pct"/>
            <w:gridSpan w:val="2"/>
            <w:vAlign w:val="center"/>
          </w:tcPr>
          <w:p w14:paraId="52EC93B1">
            <w:pPr>
              <w:jc w:val="center"/>
              <w:rPr>
                <w:rFonts w:hint="eastAsia" w:ascii="宋体" w:hAnsi="宋体" w:eastAsia="宋体" w:cs="宋体"/>
                <w:szCs w:val="21"/>
              </w:rPr>
            </w:pPr>
          </w:p>
        </w:tc>
        <w:tc>
          <w:tcPr>
            <w:tcW w:w="838" w:type="pct"/>
            <w:vAlign w:val="center"/>
          </w:tcPr>
          <w:p w14:paraId="3F667373">
            <w:pPr>
              <w:jc w:val="center"/>
              <w:rPr>
                <w:rFonts w:hint="eastAsia" w:ascii="宋体" w:hAnsi="宋体" w:eastAsia="宋体" w:cs="宋体"/>
                <w:szCs w:val="21"/>
              </w:rPr>
            </w:pPr>
          </w:p>
        </w:tc>
        <w:tc>
          <w:tcPr>
            <w:tcW w:w="830" w:type="pct"/>
            <w:vAlign w:val="center"/>
          </w:tcPr>
          <w:p w14:paraId="338772CD">
            <w:pPr>
              <w:jc w:val="center"/>
              <w:rPr>
                <w:rFonts w:hint="eastAsia" w:ascii="宋体" w:hAnsi="宋体" w:eastAsia="宋体" w:cs="宋体"/>
                <w:szCs w:val="21"/>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0A44B6D">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48BF2C2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73A3274C">
            <w:pPr>
              <w:jc w:val="center"/>
              <w:rPr>
                <w:rFonts w:hint="eastAsia" w:ascii="宋体" w:hAnsi="宋体" w:eastAsia="宋体" w:cs="宋体"/>
                <w:szCs w:val="21"/>
              </w:rPr>
            </w:pPr>
          </w:p>
        </w:tc>
        <w:tc>
          <w:tcPr>
            <w:tcW w:w="1113" w:type="pct"/>
            <w:gridSpan w:val="2"/>
            <w:vAlign w:val="center"/>
          </w:tcPr>
          <w:p w14:paraId="1FCE352C">
            <w:pPr>
              <w:jc w:val="center"/>
              <w:rPr>
                <w:rFonts w:hint="eastAsia" w:ascii="宋体" w:hAnsi="宋体" w:eastAsia="宋体" w:cs="宋体"/>
                <w:szCs w:val="21"/>
              </w:rPr>
            </w:pPr>
          </w:p>
        </w:tc>
        <w:tc>
          <w:tcPr>
            <w:tcW w:w="838" w:type="pct"/>
            <w:vAlign w:val="center"/>
          </w:tcPr>
          <w:p w14:paraId="47C7FA4C">
            <w:pPr>
              <w:jc w:val="center"/>
              <w:rPr>
                <w:rFonts w:hint="eastAsia" w:ascii="宋体" w:hAnsi="宋体" w:eastAsia="宋体" w:cs="宋体"/>
                <w:szCs w:val="21"/>
              </w:rPr>
            </w:pPr>
          </w:p>
        </w:tc>
        <w:tc>
          <w:tcPr>
            <w:tcW w:w="830" w:type="pct"/>
            <w:vAlign w:val="center"/>
          </w:tcPr>
          <w:p w14:paraId="435A6E07">
            <w:pPr>
              <w:jc w:val="center"/>
              <w:rPr>
                <w:rFonts w:hint="eastAsia" w:ascii="宋体" w:hAnsi="宋体" w:eastAsia="宋体" w:cs="宋体"/>
                <w:szCs w:val="21"/>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408CC54">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95A0165">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2D55EF3">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5B8DD3E1">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303377F2">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FE782A4">
            <w:pPr>
              <w:jc w:val="center"/>
              <w:rPr>
                <w:rFonts w:hint="eastAsia" w:ascii="宋体" w:hAnsi="宋体" w:eastAsia="宋体" w:cs="宋体"/>
                <w:szCs w:val="21"/>
              </w:rPr>
            </w:pPr>
            <w:r>
              <w:rPr>
                <w:rFonts w:hint="eastAsia" w:ascii="宋体" w:hAnsi="宋体" w:eastAsia="宋体" w:cs="宋体"/>
                <w:szCs w:val="21"/>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2DB20D7">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8C011B7">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EE6D45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13B4223">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7EC67F6C">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5C87F59">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AF881C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0191253">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194E140">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783EBEC2">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6"/>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1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1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13"/>
        </w:numPr>
        <w:spacing w:line="360" w:lineRule="auto"/>
        <w:ind w:firstLine="420" w:firstLineChars="200"/>
        <w:rPr>
          <w:szCs w:val="21"/>
        </w:rPr>
      </w:pPr>
      <w:r>
        <w:rPr>
          <w:rFonts w:hint="eastAsia"/>
          <w:szCs w:val="21"/>
        </w:rPr>
        <w:t>内容必须填写真实、清楚，涂改无效，不得转让、买卖。</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2"/>
              <w:jc w:val="center"/>
            </w:pPr>
          </w:p>
          <w:p w14:paraId="590BC3DE">
            <w:pPr>
              <w:pStyle w:val="17"/>
              <w:jc w:val="center"/>
            </w:pPr>
          </w:p>
        </w:tc>
        <w:tc>
          <w:tcPr>
            <w:tcW w:w="4265" w:type="dxa"/>
          </w:tcPr>
          <w:p w14:paraId="06AD27DF">
            <w:pPr>
              <w:jc w:val="center"/>
            </w:pPr>
            <w:r>
              <w:rPr>
                <w:rFonts w:hint="eastAsia"/>
              </w:rPr>
              <w:t>证件扫描件反面</w:t>
            </w:r>
          </w:p>
          <w:p w14:paraId="7408AA01">
            <w:pPr>
              <w:pStyle w:val="2"/>
              <w:jc w:val="center"/>
            </w:pPr>
          </w:p>
          <w:p w14:paraId="58FA13F5">
            <w:pPr>
              <w:pStyle w:val="17"/>
              <w:jc w:val="center"/>
            </w:pPr>
          </w:p>
        </w:tc>
      </w:tr>
    </w:tbl>
    <w:p w14:paraId="01FFB4ED">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b/>
          <w:bCs/>
          <w:color w:val="FF0000"/>
          <w:szCs w:val="21"/>
        </w:rPr>
      </w:pPr>
    </w:p>
    <w:p w14:paraId="20F2206D">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2"/>
              <w:jc w:val="center"/>
            </w:pPr>
          </w:p>
          <w:p w14:paraId="6C8E1BB8">
            <w:pPr>
              <w:pStyle w:val="17"/>
              <w:jc w:val="center"/>
            </w:pPr>
          </w:p>
        </w:tc>
        <w:tc>
          <w:tcPr>
            <w:tcW w:w="4265" w:type="dxa"/>
          </w:tcPr>
          <w:p w14:paraId="1E65ECAD">
            <w:pPr>
              <w:jc w:val="center"/>
            </w:pPr>
            <w:r>
              <w:rPr>
                <w:rFonts w:hint="eastAsia" w:ascii="Times New Roman" w:eastAsia="宋体"/>
              </w:rPr>
              <w:t>证件扫描件反面</w:t>
            </w:r>
          </w:p>
          <w:p w14:paraId="31A5117F">
            <w:pPr>
              <w:pStyle w:val="2"/>
              <w:jc w:val="center"/>
            </w:pPr>
          </w:p>
          <w:p w14:paraId="2A2985A7">
            <w:pPr>
              <w:pStyle w:val="17"/>
              <w:jc w:val="center"/>
            </w:pPr>
          </w:p>
        </w:tc>
      </w:tr>
    </w:tbl>
    <w:p w14:paraId="5305DB3B">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23"/>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vAlign w:val="center"/>
          </w:tcPr>
          <w:p w14:paraId="3EAE8254">
            <w:pPr>
              <w:jc w:val="left"/>
              <w:rPr>
                <w:rFonts w:hint="eastAsia" w:ascii="宋体" w:hAnsi="宋体" w:eastAsia="宋体" w:cs="Times New Roman"/>
                <w:b/>
                <w:color w:val="FF0000"/>
                <w:kern w:val="0"/>
                <w:szCs w:val="21"/>
              </w:rPr>
            </w:pPr>
            <w:r>
              <w:rPr>
                <w:rFonts w:hint="eastAsia"/>
              </w:rPr>
              <w:t>满足本项目标★的条款要求</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9E7B2BC">
      <w:pPr>
        <w:rPr>
          <w:sz w:val="24"/>
        </w:rPr>
      </w:pPr>
      <w:r>
        <w:rPr>
          <w:rFonts w:hint="eastAsia" w:ascii="宋体" w:hAnsi="宋体" w:eastAsia="宋体" w:cs="Times New Roman"/>
          <w:b/>
          <w:bCs/>
          <w:kern w:val="0"/>
          <w:sz w:val="24"/>
          <w:szCs w:val="20"/>
        </w:rPr>
        <w:br w:type="page"/>
      </w:r>
    </w:p>
    <w:p w14:paraId="061E0043">
      <w:pPr>
        <w:ind w:left="718" w:leftChars="342" w:firstLine="1417" w:firstLineChars="675"/>
        <w:rPr>
          <w:szCs w:val="21"/>
        </w:rPr>
      </w:pPr>
      <w:bookmarkStart w:id="37" w:name="_Hlk72062872"/>
      <w:r>
        <w:rPr>
          <w:rFonts w:hint="eastAsia"/>
          <w:szCs w:val="21"/>
        </w:rPr>
        <w:t>四、实施方案</w:t>
      </w:r>
    </w:p>
    <w:p w14:paraId="77C2D8F1">
      <w:pPr>
        <w:ind w:left="718" w:leftChars="342" w:firstLine="1417" w:firstLineChars="675"/>
        <w:rPr>
          <w:szCs w:val="21"/>
        </w:rPr>
      </w:pPr>
      <w:r>
        <w:rPr>
          <w:rFonts w:hint="eastAsia"/>
          <w:szCs w:val="21"/>
        </w:rPr>
        <w:t>五、项目重点难点分析、应对措施及相关的合理化建议</w:t>
      </w:r>
    </w:p>
    <w:p w14:paraId="077DB860">
      <w:pPr>
        <w:ind w:left="718" w:leftChars="342" w:firstLine="1417" w:firstLineChars="675"/>
        <w:rPr>
          <w:szCs w:val="21"/>
        </w:rPr>
      </w:pPr>
      <w:r>
        <w:rPr>
          <w:rFonts w:hint="eastAsia"/>
          <w:szCs w:val="21"/>
        </w:rPr>
        <w:t>六、</w:t>
      </w:r>
      <w:r>
        <w:rPr>
          <w:rFonts w:hint="eastAsia" w:ascii="宋体" w:hAnsi="宋体" w:eastAsia="宋体" w:cs="宋体"/>
          <w:color w:val="auto"/>
          <w:sz w:val="21"/>
          <w:szCs w:val="21"/>
          <w:highlight w:val="none"/>
        </w:rPr>
        <w:t>质量（完成时间、安全、环保）保障措施及方案</w:t>
      </w:r>
    </w:p>
    <w:p w14:paraId="1E74E1FE">
      <w:pPr>
        <w:ind w:left="718" w:leftChars="342" w:firstLine="1417" w:firstLineChars="675"/>
        <w:rPr>
          <w:szCs w:val="21"/>
        </w:rPr>
      </w:pPr>
      <w:r>
        <w:rPr>
          <w:rFonts w:hint="eastAsia"/>
          <w:szCs w:val="21"/>
        </w:rPr>
        <w:t>七、</w:t>
      </w:r>
      <w:r>
        <w:rPr>
          <w:rFonts w:hint="eastAsia" w:ascii="宋体" w:hAnsi="宋体" w:eastAsia="宋体" w:cs="宋体"/>
          <w:color w:val="auto"/>
          <w:sz w:val="21"/>
          <w:szCs w:val="21"/>
          <w:highlight w:val="none"/>
        </w:rPr>
        <w:t>项目完成（服务期满）后的服务承诺</w:t>
      </w:r>
    </w:p>
    <w:p w14:paraId="7AC1E0AE">
      <w:pPr>
        <w:ind w:left="718" w:leftChars="342" w:firstLine="1417" w:firstLineChars="675"/>
        <w:rPr>
          <w:szCs w:val="21"/>
        </w:rPr>
      </w:pPr>
      <w:r>
        <w:rPr>
          <w:rFonts w:hint="eastAsia"/>
          <w:szCs w:val="21"/>
        </w:rPr>
        <w:t>八、</w:t>
      </w:r>
      <w:r>
        <w:rPr>
          <w:rFonts w:hint="eastAsia" w:ascii="宋体" w:hAnsi="宋体" w:eastAsia="宋体" w:cs="宋体"/>
          <w:color w:val="auto"/>
          <w:sz w:val="21"/>
          <w:szCs w:val="21"/>
          <w:highlight w:val="none"/>
        </w:rPr>
        <w:t>履约承诺</w:t>
      </w:r>
    </w:p>
    <w:p w14:paraId="5FE4B71D">
      <w:pPr>
        <w:ind w:left="718" w:leftChars="342" w:firstLine="1417" w:firstLineChars="675"/>
        <w:rPr>
          <w:szCs w:val="21"/>
        </w:rPr>
      </w:pPr>
      <w:r>
        <w:rPr>
          <w:rFonts w:hint="eastAsia"/>
          <w:szCs w:val="21"/>
        </w:rPr>
        <w:t>九、</w:t>
      </w:r>
      <w:r>
        <w:rPr>
          <w:rFonts w:hint="eastAsia" w:ascii="宋体" w:hAnsi="宋体" w:eastAsia="宋体" w:cs="宋体"/>
          <w:color w:val="auto"/>
          <w:sz w:val="21"/>
          <w:szCs w:val="21"/>
          <w:highlight w:val="none"/>
        </w:rPr>
        <w:t>拟安排的项目主要团队成员（主要技术人员）情况</w:t>
      </w:r>
    </w:p>
    <w:p w14:paraId="75E4E461">
      <w:pPr>
        <w:ind w:left="718" w:leftChars="342" w:firstLine="1417" w:firstLineChars="675"/>
        <w:rPr>
          <w:szCs w:val="21"/>
        </w:rPr>
      </w:pPr>
      <w:r>
        <w:rPr>
          <w:rFonts w:hint="eastAsia"/>
          <w:szCs w:val="21"/>
        </w:rPr>
        <w:t>十、供应商认证情况</w:t>
      </w:r>
    </w:p>
    <w:p w14:paraId="24CE7213">
      <w:pPr>
        <w:ind w:left="718" w:leftChars="342" w:firstLine="1417" w:firstLineChars="675"/>
        <w:rPr>
          <w:szCs w:val="21"/>
        </w:rPr>
      </w:pPr>
      <w:r>
        <w:rPr>
          <w:rFonts w:hint="eastAsia"/>
          <w:szCs w:val="21"/>
        </w:rPr>
        <w:t>十</w:t>
      </w:r>
      <w:r>
        <w:rPr>
          <w:rFonts w:hint="eastAsia"/>
          <w:szCs w:val="21"/>
          <w:lang w:eastAsia="zh-CN"/>
        </w:rPr>
        <w:t>一</w:t>
      </w:r>
      <w:r>
        <w:rPr>
          <w:rFonts w:hint="eastAsia"/>
          <w:szCs w:val="21"/>
        </w:rPr>
        <w:t>、供应商同类项目业绩情况</w:t>
      </w:r>
    </w:p>
    <w:p w14:paraId="2416DEEB">
      <w:pPr>
        <w:ind w:left="718" w:leftChars="342" w:firstLine="1417" w:firstLineChars="675"/>
        <w:rPr>
          <w:szCs w:val="21"/>
        </w:rPr>
      </w:pPr>
      <w:r>
        <w:rPr>
          <w:rFonts w:hint="eastAsia"/>
          <w:szCs w:val="21"/>
        </w:rPr>
        <w:t>十</w:t>
      </w:r>
      <w:r>
        <w:rPr>
          <w:rFonts w:hint="eastAsia"/>
          <w:szCs w:val="21"/>
          <w:lang w:eastAsia="zh-CN"/>
        </w:rPr>
        <w:t>二</w:t>
      </w:r>
      <w:r>
        <w:rPr>
          <w:rFonts w:hint="eastAsia"/>
          <w:szCs w:val="21"/>
        </w:rPr>
        <w:t>、履约评价</w:t>
      </w:r>
    </w:p>
    <w:p w14:paraId="7AA06013">
      <w:pPr>
        <w:ind w:left="718" w:leftChars="342" w:firstLine="1417" w:firstLineChars="675"/>
        <w:rPr>
          <w:rFonts w:hint="eastAsia"/>
          <w:szCs w:val="21"/>
        </w:rPr>
      </w:pPr>
      <w:r>
        <w:rPr>
          <w:rFonts w:hint="eastAsia"/>
          <w:szCs w:val="21"/>
        </w:rPr>
        <w:t>十</w:t>
      </w:r>
      <w:r>
        <w:rPr>
          <w:rFonts w:hint="eastAsia"/>
          <w:szCs w:val="21"/>
          <w:lang w:eastAsia="zh-CN"/>
        </w:rPr>
        <w:t>三</w:t>
      </w:r>
      <w:r>
        <w:rPr>
          <w:rFonts w:hint="eastAsia"/>
          <w:szCs w:val="21"/>
        </w:rPr>
        <w:t>、供应商获奖情况</w:t>
      </w:r>
    </w:p>
    <w:p w14:paraId="66C48AF3">
      <w:pPr>
        <w:ind w:left="718" w:leftChars="342" w:firstLine="1417" w:firstLineChars="675"/>
        <w:rPr>
          <w:rFonts w:hint="default" w:eastAsiaTheme="minorEastAsia"/>
          <w:szCs w:val="21"/>
          <w:lang w:val="en-US" w:eastAsia="zh-CN"/>
        </w:rPr>
      </w:pPr>
      <w:r>
        <w:rPr>
          <w:rFonts w:hint="eastAsia"/>
          <w:szCs w:val="21"/>
        </w:rPr>
        <w:t>十</w:t>
      </w:r>
      <w:r>
        <w:rPr>
          <w:rFonts w:hint="eastAsia"/>
          <w:szCs w:val="21"/>
          <w:lang w:val="en-US" w:eastAsia="zh-CN"/>
        </w:rPr>
        <w:t>四</w:t>
      </w:r>
      <w:r>
        <w:rPr>
          <w:rFonts w:hint="eastAsia"/>
          <w:szCs w:val="21"/>
        </w:rPr>
        <w:t>、</w:t>
      </w:r>
      <w:r>
        <w:rPr>
          <w:rFonts w:hint="eastAsia"/>
          <w:szCs w:val="21"/>
          <w:lang w:val="en-US" w:eastAsia="zh-CN"/>
        </w:rPr>
        <w:t>服务网点</w:t>
      </w:r>
    </w:p>
    <w:p w14:paraId="636AD0A9">
      <w:pPr>
        <w:ind w:left="718" w:leftChars="342" w:firstLine="1417" w:firstLineChars="675"/>
        <w:rPr>
          <w:szCs w:val="21"/>
        </w:rPr>
      </w:pPr>
      <w:r>
        <w:rPr>
          <w:rFonts w:hint="eastAsia"/>
          <w:szCs w:val="21"/>
          <w:lang w:eastAsia="zh-CN"/>
        </w:rPr>
        <w:t>十</w:t>
      </w:r>
      <w:r>
        <w:rPr>
          <w:rFonts w:hint="eastAsia"/>
          <w:szCs w:val="21"/>
          <w:lang w:val="en-US" w:eastAsia="zh-CN"/>
        </w:rPr>
        <w:t>五</w:t>
      </w:r>
      <w:r>
        <w:rPr>
          <w:rFonts w:hint="eastAsia"/>
          <w:szCs w:val="21"/>
          <w:lang w:eastAsia="zh-CN"/>
        </w:rPr>
        <w:t>、</w:t>
      </w:r>
      <w:r>
        <w:rPr>
          <w:rFonts w:hint="eastAsia"/>
          <w:szCs w:val="21"/>
        </w:rPr>
        <w:t>投标人认为需要加以说明的其他内容</w:t>
      </w:r>
    </w:p>
    <w:bookmarkEnd w:id="37"/>
    <w:p w14:paraId="0684996A">
      <w:pPr>
        <w:widowControl/>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hint="eastAsia" w:ascii="黑体" w:hAnsi="宋体" w:eastAsia="黑体"/>
          <w:kern w:val="0"/>
          <w:sz w:val="24"/>
          <w:szCs w:val="20"/>
        </w:rPr>
      </w:pPr>
    </w:p>
    <w:p w14:paraId="3A890FAE">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9EBD6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14:paraId="40770D3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9B189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14:paraId="0BBF5AB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0669D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14:paraId="605362D2">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70838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14:paraId="7C5313B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92AC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14:paraId="56D0051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31398A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14:paraId="2DF84EBE">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1AAA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14:paraId="6DD78CE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72E39BA3">
      <w:pPr>
        <w:spacing w:before="156" w:beforeLines="50" w:line="380" w:lineRule="exact"/>
        <w:ind w:firstLine="422" w:firstLineChars="200"/>
        <w:rPr>
          <w:b/>
        </w:rPr>
      </w:pPr>
      <w:r>
        <w:rPr>
          <w:rFonts w:hint="eastAsia"/>
          <w:b/>
        </w:rPr>
        <w:t>一、我单位已充分知悉“隐瞒真实情况，提供虚假资料”的法定情形，包括但不限于：</w:t>
      </w:r>
    </w:p>
    <w:p w14:paraId="6300D004">
      <w:pPr>
        <w:spacing w:line="380" w:lineRule="exact"/>
        <w:ind w:firstLine="420" w:firstLineChars="200"/>
      </w:pPr>
      <w:r>
        <w:rPr>
          <w:rFonts w:hint="eastAsia"/>
        </w:rPr>
        <w:t>（一）通过转让或者租借等方式从其他单位获取资格或者资质证书投标的。</w:t>
      </w:r>
    </w:p>
    <w:p w14:paraId="4D31C321">
      <w:pPr>
        <w:spacing w:line="380" w:lineRule="exact"/>
        <w:ind w:firstLine="420" w:firstLineChars="200"/>
      </w:pPr>
      <w:r>
        <w:rPr>
          <w:rFonts w:hint="eastAsia"/>
        </w:rPr>
        <w:t>（二）由其他单位或者其他单位负责人在投标供应商编制的投标文件上加盖印章或者签字的。</w:t>
      </w:r>
    </w:p>
    <w:p w14:paraId="587A2EB6">
      <w:pPr>
        <w:spacing w:line="380" w:lineRule="exact"/>
        <w:ind w:firstLine="420" w:firstLineChars="200"/>
      </w:pPr>
      <w:r>
        <w:rPr>
          <w:rFonts w:hint="eastAsia"/>
        </w:rPr>
        <w:t>（三）项目负责人或者主要技术人员不是本单位人员的。</w:t>
      </w:r>
    </w:p>
    <w:p w14:paraId="37A537FB">
      <w:pPr>
        <w:spacing w:line="380" w:lineRule="exact"/>
        <w:ind w:firstLine="420" w:firstLineChars="200"/>
      </w:pPr>
      <w:r>
        <w:rPr>
          <w:rFonts w:hint="eastAsia"/>
        </w:rPr>
        <w:t>（四）投标保证金不是从投标供应商基本账户转出的。</w:t>
      </w:r>
    </w:p>
    <w:p w14:paraId="39AD32DE">
      <w:pPr>
        <w:spacing w:line="380" w:lineRule="exact"/>
        <w:ind w:firstLine="420" w:firstLineChars="200"/>
      </w:pPr>
      <w:r>
        <w:rPr>
          <w:rFonts w:hint="eastAsia"/>
        </w:rPr>
        <w:t>（五）其他隐瞒真实情况、提供虚假资料的行为。</w:t>
      </w:r>
    </w:p>
    <w:p w14:paraId="6B60D45F">
      <w:pPr>
        <w:spacing w:line="380" w:lineRule="exact"/>
        <w:ind w:firstLine="422" w:firstLineChars="200"/>
        <w:rPr>
          <w:b/>
        </w:rPr>
      </w:pPr>
      <w:r>
        <w:rPr>
          <w:rFonts w:hint="eastAsia"/>
          <w:b/>
        </w:rPr>
        <w:t>二、我单位已充分知悉“与其他采购参加人串通投标”的法定情形，包括但不限于：</w:t>
      </w:r>
    </w:p>
    <w:p w14:paraId="3BB1AC2B">
      <w:pPr>
        <w:spacing w:line="380" w:lineRule="exact"/>
        <w:ind w:firstLine="420" w:firstLineChars="200"/>
      </w:pPr>
      <w:r>
        <w:rPr>
          <w:rFonts w:hint="eastAsia"/>
        </w:rPr>
        <w:t>（一）投标供应商之间相互约定给予未中标的供应商利益补偿。</w:t>
      </w:r>
    </w:p>
    <w:p w14:paraId="3AF0C21D">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33D4B5">
      <w:pPr>
        <w:spacing w:line="340" w:lineRule="exact"/>
        <w:ind w:firstLine="420" w:firstLineChars="200"/>
      </w:pPr>
      <w:r>
        <w:rPr>
          <w:rFonts w:hint="eastAsia"/>
        </w:rPr>
        <w:t>（三）不同投标供应商的投标文件由同一单位或者同一人编制，或者由同一人分阶段参与编制的。</w:t>
      </w:r>
    </w:p>
    <w:p w14:paraId="6B7C1FFB">
      <w:pPr>
        <w:spacing w:line="340" w:lineRule="exact"/>
        <w:ind w:firstLine="420" w:firstLineChars="200"/>
      </w:pPr>
      <w:r>
        <w:rPr>
          <w:rFonts w:hint="eastAsia"/>
        </w:rPr>
        <w:t>（四）不同投标供应商的投标文件或部分投标文件相互混装。</w:t>
      </w:r>
    </w:p>
    <w:p w14:paraId="1E119FB9">
      <w:pPr>
        <w:spacing w:line="340" w:lineRule="exact"/>
        <w:ind w:firstLine="420" w:firstLineChars="200"/>
      </w:pPr>
      <w:r>
        <w:rPr>
          <w:rFonts w:hint="eastAsia"/>
        </w:rPr>
        <w:t>（五）不同投标供应商的投标文件内容存在非正常一致。</w:t>
      </w:r>
    </w:p>
    <w:p w14:paraId="4FD67863">
      <w:pPr>
        <w:spacing w:line="340" w:lineRule="exact"/>
        <w:ind w:firstLine="420" w:firstLineChars="200"/>
      </w:pPr>
      <w:r>
        <w:rPr>
          <w:rFonts w:hint="eastAsia"/>
        </w:rPr>
        <w:t>（六）由同一单位工作人员为两家以上（含两家）供应商进行同一项投标活动的。</w:t>
      </w:r>
    </w:p>
    <w:p w14:paraId="2AA643B1">
      <w:pPr>
        <w:spacing w:line="340" w:lineRule="exact"/>
        <w:ind w:firstLine="420" w:firstLineChars="200"/>
      </w:pPr>
      <w:r>
        <w:rPr>
          <w:rFonts w:hint="eastAsia"/>
        </w:rPr>
        <w:t>（七）不同投标人的投标报价呈规律性差异。</w:t>
      </w:r>
    </w:p>
    <w:p w14:paraId="3C777101">
      <w:pPr>
        <w:spacing w:line="340" w:lineRule="exact"/>
        <w:ind w:firstLine="420" w:firstLineChars="200"/>
      </w:pPr>
      <w:r>
        <w:rPr>
          <w:rFonts w:hint="eastAsia"/>
        </w:rPr>
        <w:t>（八）不同投标人的投标保证金从同一单位或者个人的账户转出。</w:t>
      </w:r>
    </w:p>
    <w:p w14:paraId="32FDBDAE">
      <w:pPr>
        <w:spacing w:line="340" w:lineRule="exact"/>
        <w:ind w:firstLine="420" w:firstLineChars="200"/>
      </w:pPr>
      <w:r>
        <w:rPr>
          <w:rFonts w:hint="eastAsia"/>
        </w:rPr>
        <w:t>（九）主管部门依照法律、法规认定的其他情形。</w:t>
      </w:r>
    </w:p>
    <w:p w14:paraId="0A31A0BC">
      <w:pPr>
        <w:spacing w:line="340" w:lineRule="exact"/>
        <w:ind w:firstLine="422" w:firstLineChars="200"/>
        <w:rPr>
          <w:b/>
        </w:rPr>
      </w:pPr>
      <w:r>
        <w:rPr>
          <w:rFonts w:hint="eastAsia"/>
          <w:b/>
        </w:rPr>
        <w:t>三、我单位已充分知悉下列情形存在法律风险，在投标前已对相关风险事项进行排查。</w:t>
      </w:r>
    </w:p>
    <w:p w14:paraId="148D6C5B">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9912D5">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01395364">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37C09C7A">
      <w:pPr>
        <w:spacing w:line="340" w:lineRule="exact"/>
        <w:ind w:firstLine="422" w:firstLineChars="200"/>
        <w:rPr>
          <w:b/>
        </w:rPr>
      </w:pPr>
      <w:r>
        <w:rPr>
          <w:rFonts w:hint="eastAsia"/>
          <w:b/>
        </w:rPr>
        <w:t>四、我单位已充分知悉政府采购违法、违规行为的法律后果。</w:t>
      </w:r>
    </w:p>
    <w:p w14:paraId="7F84A09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4A01C1">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75E7049">
            <w:pPr>
              <w:autoSpaceDE w:val="0"/>
              <w:autoSpaceDN w:val="0"/>
              <w:spacing w:line="340" w:lineRule="exact"/>
              <w:ind w:firstLine="1866"/>
              <w:rPr>
                <w:rFonts w:hint="eastAsia" w:ascii="宋体" w:hAnsi="宋体" w:eastAsia="宋体"/>
                <w:spacing w:val="-4"/>
                <w:kern w:val="0"/>
                <w:szCs w:val="21"/>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811E560">
            <w:pPr>
              <w:autoSpaceDE w:val="0"/>
              <w:autoSpaceDN w:val="0"/>
              <w:spacing w:line="340" w:lineRule="exact"/>
              <w:ind w:firstLine="1866"/>
              <w:rPr>
                <w:rFonts w:hint="eastAsia" w:ascii="宋体" w:hAnsi="宋体" w:eastAsia="宋体"/>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217D50D">
            <w:pPr>
              <w:autoSpaceDE w:val="0"/>
              <w:autoSpaceDN w:val="0"/>
              <w:spacing w:line="340" w:lineRule="exact"/>
              <w:ind w:firstLine="1866"/>
              <w:rPr>
                <w:rFonts w:hint="eastAsia" w:ascii="宋体" w:hAnsi="宋体" w:eastAsia="宋体"/>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733351">
            <w:pPr>
              <w:autoSpaceDE w:val="0"/>
              <w:autoSpaceDN w:val="0"/>
              <w:spacing w:line="340" w:lineRule="exact"/>
              <w:ind w:firstLine="1866"/>
              <w:rPr>
                <w:rFonts w:hint="eastAsia" w:ascii="宋体" w:hAnsi="宋体" w:eastAsia="宋体"/>
                <w:spacing w:val="-4"/>
                <w:kern w:val="0"/>
                <w:szCs w:val="21"/>
              </w:rPr>
            </w:pPr>
          </w:p>
        </w:tc>
      </w:tr>
    </w:tbl>
    <w:p w14:paraId="013E3C0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818253C">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7C01ED11">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5B73DE9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3A8C5299">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7359BD9D">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4DE540D8">
      <w:pPr>
        <w:pStyle w:val="32"/>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hint="eastAsia" w:ascii="宋体" w:hAnsi="宋体"/>
          <w:color w:val="FF0000"/>
          <w:spacing w:val="-4"/>
          <w:kern w:val="0"/>
          <w:szCs w:val="21"/>
        </w:rPr>
      </w:pPr>
    </w:p>
    <w:p w14:paraId="5453269E">
      <w:pPr>
        <w:widowControl/>
        <w:autoSpaceDE w:val="0"/>
        <w:autoSpaceDN w:val="0"/>
        <w:spacing w:line="400" w:lineRule="exact"/>
        <w:ind w:right="1414" w:firstLine="480" w:firstLineChars="200"/>
        <w:jc w:val="right"/>
        <w:rPr>
          <w:kern w:val="0"/>
          <w:sz w:val="24"/>
        </w:rPr>
      </w:pPr>
    </w:p>
    <w:p w14:paraId="10FF8263">
      <w:pPr>
        <w:widowControl/>
        <w:autoSpaceDE w:val="0"/>
        <w:autoSpaceDN w:val="0"/>
        <w:spacing w:line="400" w:lineRule="exact"/>
        <w:ind w:right="1414" w:firstLine="480" w:firstLineChars="200"/>
        <w:jc w:val="right"/>
        <w:rPr>
          <w:kern w:val="0"/>
          <w:sz w:val="24"/>
        </w:rPr>
      </w:pPr>
    </w:p>
    <w:p w14:paraId="494E4589">
      <w:pPr>
        <w:widowControl/>
        <w:autoSpaceDE w:val="0"/>
        <w:autoSpaceDN w:val="0"/>
        <w:spacing w:line="400" w:lineRule="exact"/>
        <w:ind w:right="1414" w:firstLine="480" w:firstLineChars="200"/>
        <w:jc w:val="right"/>
        <w:rPr>
          <w:kern w:val="0"/>
          <w:sz w:val="24"/>
        </w:rPr>
      </w:pPr>
    </w:p>
    <w:p w14:paraId="58840AD3">
      <w:pPr>
        <w:jc w:val="center"/>
        <w:rPr>
          <w:rFonts w:ascii="黑体" w:eastAsia="黑体"/>
          <w:sz w:val="24"/>
          <w:szCs w:val="20"/>
        </w:rPr>
      </w:pPr>
      <w:r>
        <w:rPr>
          <w:rFonts w:hint="eastAsia" w:ascii="黑体" w:eastAsia="黑体"/>
          <w:sz w:val="24"/>
          <w:szCs w:val="20"/>
        </w:rPr>
        <w:t>（二）订单融资情况</w:t>
      </w:r>
    </w:p>
    <w:p w14:paraId="33620E1D">
      <w:pPr>
        <w:ind w:firstLine="422" w:firstLineChars="200"/>
        <w:rPr>
          <w:rFonts w:hint="eastAsia" w:ascii="宋体" w:hAnsi="宋体" w:cs="宋体"/>
          <w:b/>
          <w:bCs/>
        </w:rPr>
      </w:pPr>
      <w:r>
        <w:rPr>
          <w:rFonts w:hint="eastAsia" w:ascii="宋体" w:hAnsi="宋体" w:cs="宋体"/>
          <w:b/>
          <w:bCs/>
        </w:rPr>
        <w:t>1、关于政府采购订单融资政策</w:t>
      </w:r>
    </w:p>
    <w:p w14:paraId="21C2F34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ind w:firstLine="422" w:firstLineChars="200"/>
        <w:rPr>
          <w:rFonts w:hint="eastAsia" w:ascii="宋体" w:hAnsi="宋体" w:cs="宋体"/>
          <w:b/>
          <w:bCs/>
        </w:rPr>
      </w:pPr>
      <w:r>
        <w:rPr>
          <w:rFonts w:hint="eastAsia" w:ascii="宋体" w:hAnsi="宋体" w:cs="宋体"/>
          <w:b/>
          <w:bCs/>
        </w:rPr>
        <w:t>2、供应商账户信息</w:t>
      </w:r>
    </w:p>
    <w:p w14:paraId="04E9FD3E">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08C23D08">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2F1A53E6">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F4B74B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5651C49E">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8B9BB7D">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4198E94">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D99587B">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B5E44AA">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7A70A41F">
      <w:pPr>
        <w:widowControl/>
        <w:tabs>
          <w:tab w:val="left" w:pos="6930"/>
          <w:tab w:val="left" w:pos="8200"/>
        </w:tabs>
        <w:autoSpaceDE w:val="0"/>
        <w:autoSpaceDN w:val="0"/>
        <w:spacing w:line="400" w:lineRule="exact"/>
        <w:ind w:right="1414" w:firstLine="480" w:firstLineChars="200"/>
        <w:rPr>
          <w:kern w:val="0"/>
          <w:sz w:val="24"/>
        </w:rPr>
      </w:pPr>
    </w:p>
    <w:p w14:paraId="11072797">
      <w:pPr>
        <w:widowControl/>
        <w:autoSpaceDE w:val="0"/>
        <w:autoSpaceDN w:val="0"/>
        <w:spacing w:line="400" w:lineRule="exact"/>
        <w:ind w:right="1414" w:firstLine="480" w:firstLineChars="200"/>
        <w:jc w:val="right"/>
        <w:rPr>
          <w:kern w:val="0"/>
          <w:sz w:val="24"/>
        </w:rPr>
      </w:pPr>
    </w:p>
    <w:p w14:paraId="6D8CE1C4">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b/>
          <w:bCs/>
          <w:kern w:val="0"/>
          <w:sz w:val="24"/>
        </w:rPr>
      </w:pPr>
    </w:p>
    <w:p w14:paraId="30530CC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8F9DD68">
      <w:pPr>
        <w:widowControl/>
        <w:jc w:val="center"/>
        <w:rPr>
          <w:rFonts w:hint="eastAsia"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386E3D93">
      <w:pPr>
        <w:ind w:firstLine="470" w:firstLineChars="196"/>
        <w:jc w:val="center"/>
        <w:rPr>
          <w:rFonts w:ascii="Arial" w:hAnsi="Arial" w:cs="Arial"/>
          <w:kern w:val="0"/>
          <w:sz w:val="24"/>
          <w:szCs w:val="24"/>
        </w:rPr>
      </w:pPr>
      <w:r>
        <w:rPr>
          <w:rFonts w:hint="eastAsia" w:ascii="Arial" w:hAnsi="Arial" w:cs="Arial"/>
          <w:kern w:val="0"/>
          <w:sz w:val="24"/>
          <w:szCs w:val="24"/>
        </w:rPr>
        <w:t>（有专业类别的格式合同范本请选择相应的合同项目，具体要求以采购项目需求为准）</w:t>
      </w:r>
    </w:p>
    <w:p w14:paraId="314737AB">
      <w:pPr>
        <w:ind w:firstLine="411" w:firstLineChars="196"/>
        <w:jc w:val="center"/>
      </w:pPr>
    </w:p>
    <w:p w14:paraId="7CA9634C">
      <w:pPr>
        <w:jc w:val="center"/>
        <w:rPr>
          <w:b/>
          <w:sz w:val="24"/>
        </w:rPr>
      </w:pPr>
      <w:r>
        <w:rPr>
          <w:rFonts w:hint="eastAsia"/>
          <w:b/>
          <w:sz w:val="24"/>
        </w:rPr>
        <w:t>合同条款</w:t>
      </w:r>
    </w:p>
    <w:p w14:paraId="1088BCF4">
      <w:pPr>
        <w:jc w:val="center"/>
      </w:pPr>
      <w:r>
        <w:rPr>
          <w:rFonts w:hint="eastAsia"/>
          <w:b/>
          <w:sz w:val="24"/>
        </w:rPr>
        <w:t>（仅供参考，项目具体要求以采购项目需求为准）</w:t>
      </w:r>
    </w:p>
    <w:p w14:paraId="0BACF072">
      <w:pPr>
        <w:ind w:firstLine="411" w:firstLineChars="196"/>
        <w:jc w:val="center"/>
      </w:pPr>
    </w:p>
    <w:p w14:paraId="602ECCD2">
      <w:pPr>
        <w:rPr>
          <w:rFonts w:hint="eastAsia" w:ascii="宋体" w:hAnsi="宋体"/>
          <w:b/>
          <w:bCs/>
          <w:szCs w:val="21"/>
        </w:rPr>
      </w:pPr>
      <w:r>
        <w:rPr>
          <w:rFonts w:hint="eastAsia" w:ascii="宋体" w:hAnsi="宋体"/>
          <w:b/>
          <w:bCs/>
          <w:szCs w:val="21"/>
        </w:rPr>
        <w:t>甲方：</w:t>
      </w:r>
    </w:p>
    <w:p w14:paraId="5E9408C4">
      <w:pPr>
        <w:pStyle w:val="2"/>
        <w:rPr>
          <w:rFonts w:hint="eastAsia" w:ascii="宋体" w:hAnsi="宋体"/>
          <w:b w:val="0"/>
          <w:bCs w:val="0"/>
          <w:szCs w:val="21"/>
        </w:rPr>
      </w:pPr>
      <w:r>
        <w:rPr>
          <w:rFonts w:hint="eastAsia" w:ascii="宋体" w:hAnsi="宋体"/>
          <w:b w:val="0"/>
          <w:bCs w:val="0"/>
          <w:szCs w:val="21"/>
        </w:rPr>
        <w:t>统一社会信用代码：</w:t>
      </w:r>
    </w:p>
    <w:p w14:paraId="3E1A325A">
      <w:pPr>
        <w:pStyle w:val="2"/>
        <w:rPr>
          <w:rFonts w:hint="eastAsia" w:ascii="宋体" w:hAnsi="宋体"/>
          <w:b w:val="0"/>
          <w:bCs w:val="0"/>
          <w:szCs w:val="21"/>
        </w:rPr>
      </w:pPr>
      <w:r>
        <w:rPr>
          <w:rFonts w:hint="eastAsia" w:ascii="宋体" w:hAnsi="宋体"/>
          <w:b w:val="0"/>
          <w:bCs w:val="0"/>
          <w:szCs w:val="21"/>
        </w:rPr>
        <w:t>法定代表人：</w:t>
      </w:r>
    </w:p>
    <w:p w14:paraId="46CF8E8C">
      <w:pPr>
        <w:pStyle w:val="2"/>
        <w:rPr>
          <w:rFonts w:hint="eastAsia" w:ascii="宋体" w:hAnsi="宋体"/>
          <w:b w:val="0"/>
          <w:bCs w:val="0"/>
          <w:szCs w:val="21"/>
        </w:rPr>
      </w:pPr>
      <w:r>
        <w:rPr>
          <w:rFonts w:hint="eastAsia" w:ascii="宋体" w:hAnsi="宋体"/>
          <w:b w:val="0"/>
          <w:bCs w:val="0"/>
          <w:szCs w:val="21"/>
        </w:rPr>
        <w:t>联系人：</w:t>
      </w:r>
    </w:p>
    <w:p w14:paraId="6433F031">
      <w:pPr>
        <w:pStyle w:val="2"/>
        <w:rPr>
          <w:rFonts w:hint="eastAsia" w:ascii="宋体" w:hAnsi="宋体"/>
          <w:b w:val="0"/>
          <w:bCs w:val="0"/>
          <w:szCs w:val="21"/>
        </w:rPr>
      </w:pPr>
      <w:r>
        <w:rPr>
          <w:rFonts w:hint="eastAsia" w:ascii="宋体" w:hAnsi="宋体"/>
          <w:b w:val="0"/>
          <w:bCs w:val="0"/>
          <w:szCs w:val="21"/>
        </w:rPr>
        <w:t>联系方式：</w:t>
      </w:r>
    </w:p>
    <w:p w14:paraId="3F5C0F09">
      <w:pPr>
        <w:pStyle w:val="2"/>
        <w:rPr>
          <w:rFonts w:hint="eastAsia" w:ascii="宋体" w:hAnsi="宋体"/>
          <w:b w:val="0"/>
          <w:bCs w:val="0"/>
          <w:szCs w:val="21"/>
        </w:rPr>
      </w:pPr>
      <w:r>
        <w:rPr>
          <w:rFonts w:hint="eastAsia" w:ascii="宋体" w:hAnsi="宋体"/>
          <w:b w:val="0"/>
          <w:bCs w:val="0"/>
          <w:szCs w:val="21"/>
        </w:rPr>
        <w:t>地址：</w:t>
      </w:r>
    </w:p>
    <w:p w14:paraId="64D871F5">
      <w:pPr>
        <w:rPr>
          <w:rFonts w:hint="eastAsia" w:ascii="宋体" w:hAnsi="宋体"/>
          <w:b/>
          <w:bCs/>
          <w:szCs w:val="21"/>
        </w:rPr>
      </w:pPr>
    </w:p>
    <w:p w14:paraId="0117EB34">
      <w:pPr>
        <w:rPr>
          <w:rFonts w:hint="eastAsia" w:ascii="宋体" w:hAnsi="宋体"/>
          <w:b/>
          <w:bCs/>
          <w:szCs w:val="21"/>
        </w:rPr>
      </w:pPr>
      <w:r>
        <w:rPr>
          <w:rFonts w:hint="eastAsia" w:ascii="宋体" w:hAnsi="宋体"/>
          <w:b/>
          <w:bCs/>
          <w:szCs w:val="21"/>
        </w:rPr>
        <w:t>乙方：</w:t>
      </w:r>
    </w:p>
    <w:p w14:paraId="77728F0E">
      <w:pPr>
        <w:pStyle w:val="2"/>
        <w:rPr>
          <w:rFonts w:hint="eastAsia" w:ascii="宋体" w:hAnsi="宋体"/>
          <w:b w:val="0"/>
          <w:bCs w:val="0"/>
          <w:szCs w:val="21"/>
        </w:rPr>
      </w:pPr>
      <w:r>
        <w:rPr>
          <w:rFonts w:hint="eastAsia" w:ascii="宋体" w:hAnsi="宋体"/>
          <w:b w:val="0"/>
          <w:bCs w:val="0"/>
          <w:szCs w:val="21"/>
        </w:rPr>
        <w:t>统一社会信用代码：</w:t>
      </w:r>
    </w:p>
    <w:p w14:paraId="6F42FDB2">
      <w:pPr>
        <w:pStyle w:val="2"/>
        <w:rPr>
          <w:rFonts w:hint="eastAsia" w:ascii="宋体" w:hAnsi="宋体"/>
          <w:b w:val="0"/>
          <w:bCs w:val="0"/>
          <w:szCs w:val="21"/>
        </w:rPr>
      </w:pPr>
      <w:r>
        <w:rPr>
          <w:rFonts w:hint="eastAsia" w:ascii="宋体" w:hAnsi="宋体"/>
          <w:b w:val="0"/>
          <w:bCs w:val="0"/>
          <w:szCs w:val="21"/>
        </w:rPr>
        <w:t>法定代表人：</w:t>
      </w:r>
    </w:p>
    <w:p w14:paraId="7490A283">
      <w:pPr>
        <w:pStyle w:val="2"/>
        <w:rPr>
          <w:rFonts w:hint="eastAsia" w:ascii="宋体" w:hAnsi="宋体"/>
          <w:b w:val="0"/>
          <w:bCs w:val="0"/>
          <w:szCs w:val="21"/>
        </w:rPr>
      </w:pPr>
      <w:r>
        <w:rPr>
          <w:rFonts w:hint="eastAsia" w:ascii="宋体" w:hAnsi="宋体"/>
          <w:b w:val="0"/>
          <w:bCs w:val="0"/>
          <w:szCs w:val="21"/>
        </w:rPr>
        <w:t>联系人：</w:t>
      </w:r>
    </w:p>
    <w:p w14:paraId="20C25989">
      <w:pPr>
        <w:pStyle w:val="2"/>
        <w:rPr>
          <w:rFonts w:hint="eastAsia" w:ascii="宋体" w:hAnsi="宋体"/>
          <w:b w:val="0"/>
          <w:bCs w:val="0"/>
          <w:szCs w:val="21"/>
        </w:rPr>
      </w:pPr>
      <w:r>
        <w:rPr>
          <w:rFonts w:hint="eastAsia" w:ascii="宋体" w:hAnsi="宋体"/>
          <w:b w:val="0"/>
          <w:bCs w:val="0"/>
          <w:szCs w:val="21"/>
        </w:rPr>
        <w:t>联系方式：</w:t>
      </w:r>
    </w:p>
    <w:p w14:paraId="7084670B">
      <w:pPr>
        <w:pStyle w:val="2"/>
        <w:rPr>
          <w:rFonts w:hint="eastAsia" w:ascii="宋体" w:hAnsi="宋体"/>
          <w:b w:val="0"/>
          <w:bCs w:val="0"/>
          <w:szCs w:val="21"/>
        </w:rPr>
      </w:pPr>
      <w:r>
        <w:rPr>
          <w:rFonts w:hint="eastAsia" w:ascii="宋体" w:hAnsi="宋体"/>
          <w:b w:val="0"/>
          <w:bCs w:val="0"/>
          <w:szCs w:val="21"/>
        </w:rPr>
        <w:t>地址：</w:t>
      </w:r>
    </w:p>
    <w:p w14:paraId="595F16AB">
      <w:pPr>
        <w:rPr>
          <w:rFonts w:hint="eastAsia" w:ascii="宋体" w:hAnsi="宋体"/>
          <w:szCs w:val="21"/>
        </w:rPr>
      </w:pPr>
    </w:p>
    <w:p w14:paraId="4D19FB48">
      <w:pPr>
        <w:rPr>
          <w:rFonts w:hint="eastAsia" w:ascii="宋体" w:hAnsi="宋体"/>
          <w:szCs w:val="21"/>
        </w:rPr>
      </w:pPr>
    </w:p>
    <w:p w14:paraId="445A09F4">
      <w:pPr>
        <w:ind w:firstLine="420" w:firstLineChars="200"/>
        <w:rPr>
          <w:rFonts w:hint="eastAsia" w:ascii="宋体" w:hAnsi="宋体"/>
          <w:szCs w:val="21"/>
        </w:rPr>
      </w:pPr>
      <w:r>
        <w:rPr>
          <w:rFonts w:hint="eastAsia" w:ascii="宋体" w:hAnsi="宋体"/>
          <w:szCs w:val="21"/>
        </w:rPr>
        <w:t>根据深圳市龙华区</w:t>
      </w:r>
      <w:r>
        <w:rPr>
          <w:rFonts w:hint="eastAsia" w:ascii="宋体" w:hAnsi="宋体"/>
          <w:color w:val="FF0000"/>
          <w:szCs w:val="21"/>
        </w:rPr>
        <w:t>******</w:t>
      </w:r>
      <w:r>
        <w:rPr>
          <w:rFonts w:hint="eastAsia" w:ascii="宋体" w:hAnsi="宋体"/>
          <w:szCs w:val="21"/>
        </w:rPr>
        <w:t>采购项目的响应结果，由单位为中选方。按照有关规定，经深圳市（以下简称甲方）和单位（以下简称乙方）协商，就甲方委托乙方承担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D4FA2BC">
      <w:pPr>
        <w:ind w:firstLine="422" w:firstLineChars="200"/>
        <w:rPr>
          <w:rFonts w:hint="eastAsia" w:ascii="宋体" w:hAnsi="宋体"/>
          <w:b/>
          <w:bCs/>
          <w:szCs w:val="21"/>
        </w:rPr>
      </w:pPr>
      <w:r>
        <w:rPr>
          <w:rFonts w:hint="eastAsia" w:ascii="宋体" w:hAnsi="宋体"/>
          <w:b/>
          <w:bCs/>
          <w:szCs w:val="21"/>
        </w:rPr>
        <w:t>第一条　项目概况</w:t>
      </w:r>
    </w:p>
    <w:p w14:paraId="0F1DBAC5">
      <w:pPr>
        <w:ind w:firstLine="420" w:firstLineChars="200"/>
        <w:rPr>
          <w:rFonts w:hint="eastAsia" w:ascii="宋体" w:hAnsi="宋体"/>
          <w:szCs w:val="21"/>
        </w:rPr>
      </w:pPr>
      <w:r>
        <w:rPr>
          <w:rFonts w:hint="eastAsia" w:ascii="宋体" w:hAnsi="宋体"/>
          <w:szCs w:val="21"/>
        </w:rPr>
        <w:t xml:space="preserve">项目名称： </w:t>
      </w:r>
    </w:p>
    <w:p w14:paraId="138A35B2">
      <w:pPr>
        <w:ind w:firstLine="420" w:firstLineChars="200"/>
        <w:rPr>
          <w:rFonts w:hint="eastAsia" w:ascii="宋体" w:hAnsi="宋体"/>
          <w:szCs w:val="21"/>
        </w:rPr>
      </w:pPr>
      <w:r>
        <w:rPr>
          <w:rFonts w:hint="eastAsia" w:ascii="宋体" w:hAnsi="宋体"/>
          <w:szCs w:val="21"/>
        </w:rPr>
        <w:t xml:space="preserve">项目内容： </w:t>
      </w:r>
    </w:p>
    <w:p w14:paraId="0D398BD8">
      <w:pPr>
        <w:ind w:firstLine="420" w:firstLineChars="200"/>
        <w:rPr>
          <w:rFonts w:hint="eastAsia" w:ascii="宋体" w:hAnsi="宋体"/>
          <w:szCs w:val="21"/>
        </w:rPr>
      </w:pPr>
      <w:r>
        <w:rPr>
          <w:rFonts w:hint="eastAsia" w:ascii="宋体" w:hAnsi="宋体"/>
          <w:szCs w:val="21"/>
        </w:rPr>
        <w:t xml:space="preserve">服务时间： </w:t>
      </w:r>
    </w:p>
    <w:p w14:paraId="7CB62AA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14:paraId="29199983">
      <w:pPr>
        <w:pStyle w:val="8"/>
        <w:rPr>
          <w:rFonts w:hint="eastAsia" w:ascii="宋体" w:hAnsi="宋体"/>
          <w:szCs w:val="21"/>
        </w:rPr>
      </w:pPr>
      <w:r>
        <w:rPr>
          <w:rFonts w:hint="eastAsia" w:ascii="宋体" w:hAnsi="宋体"/>
          <w:szCs w:val="21"/>
        </w:rPr>
        <w:t>支付方式：分期支付。</w:t>
      </w:r>
    </w:p>
    <w:p w14:paraId="78BC9379">
      <w:pPr>
        <w:ind w:firstLine="422" w:firstLineChars="200"/>
        <w:rPr>
          <w:rFonts w:hint="eastAsia" w:ascii="宋体" w:hAnsi="宋体"/>
          <w:b/>
          <w:bCs/>
          <w:szCs w:val="21"/>
        </w:rPr>
      </w:pPr>
      <w:r>
        <w:rPr>
          <w:rFonts w:hint="eastAsia" w:ascii="宋体" w:hAnsi="宋体"/>
          <w:b/>
          <w:bCs/>
          <w:szCs w:val="21"/>
        </w:rPr>
        <w:t>第二条  服务范围</w:t>
      </w:r>
    </w:p>
    <w:p w14:paraId="1E00CB45">
      <w:pPr>
        <w:ind w:firstLine="420" w:firstLineChars="200"/>
        <w:rPr>
          <w:rFonts w:hint="eastAsia" w:ascii="宋体" w:hAnsi="宋体"/>
          <w:szCs w:val="21"/>
        </w:rPr>
      </w:pPr>
      <w:r>
        <w:rPr>
          <w:rFonts w:hint="eastAsia" w:ascii="宋体" w:hAnsi="宋体"/>
          <w:szCs w:val="21"/>
        </w:rPr>
        <w:t xml:space="preserve">1、  </w:t>
      </w:r>
    </w:p>
    <w:p w14:paraId="6CCBC8CB">
      <w:pPr>
        <w:ind w:firstLine="420" w:firstLineChars="200"/>
        <w:rPr>
          <w:rFonts w:hint="eastAsia" w:ascii="宋体" w:hAnsi="宋体"/>
          <w:szCs w:val="21"/>
        </w:rPr>
      </w:pPr>
      <w:r>
        <w:rPr>
          <w:rFonts w:hint="eastAsia" w:ascii="宋体" w:hAnsi="宋体"/>
          <w:szCs w:val="21"/>
        </w:rPr>
        <w:t xml:space="preserve">2、  </w:t>
      </w:r>
    </w:p>
    <w:p w14:paraId="6B147477">
      <w:pPr>
        <w:ind w:firstLine="420" w:firstLineChars="200"/>
        <w:rPr>
          <w:rFonts w:hint="eastAsia" w:ascii="宋体" w:hAnsi="宋体"/>
          <w:szCs w:val="21"/>
        </w:rPr>
      </w:pPr>
      <w:r>
        <w:rPr>
          <w:rFonts w:hint="eastAsia" w:ascii="宋体" w:hAnsi="宋体"/>
          <w:szCs w:val="21"/>
        </w:rPr>
        <w:t xml:space="preserve">3、  </w:t>
      </w:r>
    </w:p>
    <w:p w14:paraId="1FF718C6">
      <w:pPr>
        <w:ind w:firstLine="420" w:firstLineChars="200"/>
        <w:rPr>
          <w:rFonts w:hint="eastAsia" w:ascii="宋体" w:hAnsi="宋体"/>
          <w:szCs w:val="21"/>
        </w:rPr>
      </w:pPr>
      <w:r>
        <w:rPr>
          <w:rFonts w:hint="eastAsia" w:ascii="宋体" w:hAnsi="宋体"/>
          <w:szCs w:val="21"/>
        </w:rPr>
        <w:t>4、 其他合同未明示的相关工作。</w:t>
      </w:r>
    </w:p>
    <w:p w14:paraId="60A0CB7B">
      <w:pPr>
        <w:ind w:firstLine="422" w:firstLineChars="200"/>
        <w:rPr>
          <w:rFonts w:hint="eastAsia" w:ascii="宋体" w:hAnsi="宋体"/>
          <w:b/>
          <w:bCs/>
          <w:szCs w:val="21"/>
        </w:rPr>
      </w:pPr>
      <w:r>
        <w:rPr>
          <w:rFonts w:hint="eastAsia" w:ascii="宋体" w:hAnsi="宋体"/>
          <w:b/>
          <w:bCs/>
          <w:szCs w:val="21"/>
        </w:rPr>
        <w:t>第三条  时间要求及阶段成果</w:t>
      </w:r>
    </w:p>
    <w:p w14:paraId="78718943">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2F0B8B4E">
      <w:pPr>
        <w:ind w:firstLine="420" w:firstLineChars="200"/>
        <w:rPr>
          <w:rFonts w:hint="eastAsia" w:ascii="宋体" w:hAnsi="宋体"/>
          <w:szCs w:val="21"/>
        </w:rPr>
      </w:pPr>
      <w:r>
        <w:rPr>
          <w:rFonts w:hint="eastAsia" w:ascii="宋体" w:hAnsi="宋体"/>
          <w:szCs w:val="21"/>
        </w:rPr>
        <w:t xml:space="preserve">2、 </w:t>
      </w:r>
    </w:p>
    <w:p w14:paraId="19553617">
      <w:pPr>
        <w:ind w:firstLine="420" w:firstLineChars="200"/>
        <w:rPr>
          <w:rFonts w:hint="eastAsia" w:ascii="宋体" w:hAnsi="宋体"/>
          <w:szCs w:val="21"/>
        </w:rPr>
      </w:pPr>
      <w:r>
        <w:rPr>
          <w:rFonts w:hint="eastAsia" w:ascii="宋体" w:hAnsi="宋体"/>
          <w:szCs w:val="21"/>
        </w:rPr>
        <w:t>3、</w:t>
      </w:r>
    </w:p>
    <w:p w14:paraId="4956D094">
      <w:pPr>
        <w:ind w:firstLine="420" w:firstLineChars="200"/>
        <w:rPr>
          <w:rFonts w:hint="eastAsia" w:ascii="宋体" w:hAnsi="宋体"/>
          <w:szCs w:val="21"/>
        </w:rPr>
      </w:pPr>
      <w:r>
        <w:rPr>
          <w:rFonts w:hint="eastAsia" w:ascii="宋体" w:hAnsi="宋体"/>
          <w:szCs w:val="21"/>
        </w:rPr>
        <w:t>4、</w:t>
      </w:r>
    </w:p>
    <w:p w14:paraId="20939014">
      <w:pPr>
        <w:ind w:firstLine="422" w:firstLineChars="200"/>
        <w:rPr>
          <w:rFonts w:hint="eastAsia" w:ascii="宋体" w:hAnsi="宋体"/>
          <w:b/>
          <w:bCs/>
          <w:szCs w:val="21"/>
        </w:rPr>
      </w:pPr>
      <w:r>
        <w:rPr>
          <w:rFonts w:hint="eastAsia" w:ascii="宋体" w:hAnsi="宋体"/>
          <w:b/>
          <w:bCs/>
          <w:szCs w:val="21"/>
        </w:rPr>
        <w:t>第四条  服务资料归属(若有)</w:t>
      </w:r>
    </w:p>
    <w:p w14:paraId="4F85B4C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及相关的资料的最后文本，包括为履行服务范围所编制的</w:t>
      </w:r>
      <w:r>
        <w:rPr>
          <w:rFonts w:hint="eastAsia"/>
        </w:rPr>
        <w:t>设计</w:t>
      </w:r>
      <w:r>
        <w:t>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0CF5898">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28BFD8FE">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AFEF950">
      <w:pPr>
        <w:ind w:firstLine="422" w:firstLineChars="200"/>
        <w:rPr>
          <w:rFonts w:hint="eastAsia" w:ascii="宋体" w:hAnsi="宋体"/>
          <w:b/>
          <w:bCs/>
          <w:szCs w:val="21"/>
        </w:rPr>
      </w:pPr>
      <w:r>
        <w:rPr>
          <w:rFonts w:hint="eastAsia" w:ascii="宋体" w:hAnsi="宋体"/>
          <w:b/>
          <w:bCs/>
          <w:szCs w:val="21"/>
        </w:rPr>
        <w:t>第五条  甲方的义务</w:t>
      </w:r>
    </w:p>
    <w:p w14:paraId="4B8B122A">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6731EECE">
      <w:pPr>
        <w:ind w:firstLine="420" w:firstLineChars="200"/>
        <w:rPr>
          <w:rFonts w:hint="eastAsia" w:ascii="宋体" w:hAnsi="宋体"/>
          <w:szCs w:val="21"/>
        </w:rPr>
      </w:pPr>
      <w:r>
        <w:rPr>
          <w:rFonts w:hint="eastAsia" w:ascii="宋体" w:hAnsi="宋体"/>
          <w:szCs w:val="21"/>
        </w:rPr>
        <w:t>2、向乙方提供与本项目服务工作有关的资料。</w:t>
      </w:r>
    </w:p>
    <w:p w14:paraId="56DEBC77">
      <w:pPr>
        <w:ind w:firstLine="422" w:firstLineChars="200"/>
        <w:rPr>
          <w:rFonts w:hint="eastAsia" w:ascii="宋体" w:hAnsi="宋体"/>
          <w:b/>
          <w:bCs/>
          <w:szCs w:val="21"/>
        </w:rPr>
      </w:pPr>
      <w:r>
        <w:rPr>
          <w:rFonts w:hint="eastAsia" w:ascii="宋体" w:hAnsi="宋体"/>
          <w:b/>
          <w:bCs/>
          <w:szCs w:val="21"/>
        </w:rPr>
        <w:t>第六条　乙方的义务</w:t>
      </w:r>
    </w:p>
    <w:p w14:paraId="3E9E309C">
      <w:pPr>
        <w:ind w:firstLine="420" w:firstLineChars="200"/>
        <w:rPr>
          <w:rFonts w:hint="eastAsia" w:ascii="宋体" w:hAnsi="宋体"/>
          <w:szCs w:val="21"/>
        </w:rPr>
      </w:pPr>
      <w:r>
        <w:rPr>
          <w:rFonts w:hint="eastAsia" w:ascii="宋体" w:hAnsi="宋体"/>
          <w:szCs w:val="21"/>
        </w:rPr>
        <w:t>１、应按照号采购文件、乙方响应文件要求按期完成本项目服务工作。</w:t>
      </w:r>
    </w:p>
    <w:p w14:paraId="729BAFD3">
      <w:pPr>
        <w:ind w:firstLine="420" w:firstLineChars="200"/>
        <w:rPr>
          <w:rFonts w:hint="eastAsia" w:ascii="宋体" w:hAnsi="宋体"/>
          <w:szCs w:val="21"/>
        </w:rPr>
      </w:pPr>
      <w:r>
        <w:rPr>
          <w:rFonts w:hint="eastAsia" w:ascii="宋体" w:hAnsi="宋体"/>
          <w:szCs w:val="21"/>
        </w:rPr>
        <w:t>2、负责组织项目的实施，保证服务效率及工作质量，并符合招标文件和行业相关标准。</w:t>
      </w:r>
    </w:p>
    <w:p w14:paraId="6405BB45">
      <w:pPr>
        <w:ind w:firstLine="420" w:firstLineChars="200"/>
        <w:rPr>
          <w:rFonts w:hint="eastAsia" w:ascii="宋体" w:hAnsi="宋体"/>
          <w:szCs w:val="21"/>
        </w:rPr>
      </w:pPr>
      <w:r>
        <w:rPr>
          <w:rFonts w:hint="eastAsia" w:ascii="宋体" w:hAnsi="宋体"/>
          <w:szCs w:val="21"/>
        </w:rPr>
        <w:t>3、在履行合同期间或合同规定期限内，不得泄露与本合同规定业务活动有关的保密资料。</w:t>
      </w:r>
    </w:p>
    <w:p w14:paraId="4F5593F9">
      <w:pPr>
        <w:ind w:firstLine="422" w:firstLineChars="200"/>
        <w:rPr>
          <w:rFonts w:hint="eastAsia" w:ascii="宋体" w:hAnsi="宋体"/>
          <w:b/>
          <w:bCs/>
          <w:szCs w:val="21"/>
        </w:rPr>
      </w:pPr>
      <w:r>
        <w:rPr>
          <w:rFonts w:hint="eastAsia" w:ascii="宋体" w:hAnsi="宋体"/>
          <w:b/>
          <w:bCs/>
          <w:szCs w:val="21"/>
        </w:rPr>
        <w:t>第七条  甲方的权利</w:t>
      </w:r>
    </w:p>
    <w:p w14:paraId="7F5AA6E4">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5CBBB79">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8397477">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DD47B9F">
      <w:pPr>
        <w:ind w:firstLine="422" w:firstLineChars="200"/>
        <w:rPr>
          <w:rFonts w:hint="eastAsia" w:ascii="宋体" w:hAnsi="宋体"/>
          <w:b/>
          <w:bCs/>
          <w:szCs w:val="21"/>
        </w:rPr>
      </w:pPr>
      <w:r>
        <w:rPr>
          <w:rFonts w:hint="eastAsia" w:ascii="宋体" w:hAnsi="宋体"/>
          <w:b/>
          <w:bCs/>
          <w:szCs w:val="21"/>
        </w:rPr>
        <w:t>第八条  乙方的权利</w:t>
      </w:r>
    </w:p>
    <w:p w14:paraId="07FF36B2">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CA509FE">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、乙方在本项目服务过程中，有权对第三方提出与本项目服务业务有关的问题进行核对或查问。</w:t>
      </w:r>
    </w:p>
    <w:p w14:paraId="6502D483">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、乙方在本项目服务过程中，可根据项目需求现场勘查。</w:t>
      </w:r>
    </w:p>
    <w:p w14:paraId="53BFE7F6">
      <w:pPr>
        <w:ind w:firstLine="422" w:firstLineChars="200"/>
        <w:rPr>
          <w:rFonts w:hint="eastAsia" w:ascii="宋体" w:hAnsi="宋体"/>
          <w:b/>
          <w:bCs/>
          <w:szCs w:val="21"/>
        </w:rPr>
      </w:pPr>
      <w:r>
        <w:rPr>
          <w:rFonts w:hint="eastAsia" w:ascii="宋体" w:hAnsi="宋体"/>
          <w:b/>
          <w:bCs/>
          <w:szCs w:val="21"/>
        </w:rPr>
        <w:t>第九条  甲方的责任</w:t>
      </w:r>
    </w:p>
    <w:p w14:paraId="71CE793D">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4C3E8EC0">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5550E36E">
      <w:pPr>
        <w:ind w:firstLine="422" w:firstLineChars="200"/>
        <w:rPr>
          <w:rFonts w:hint="eastAsia" w:ascii="宋体" w:hAnsi="宋体"/>
          <w:b/>
          <w:bCs/>
          <w:szCs w:val="21"/>
        </w:rPr>
      </w:pPr>
      <w:r>
        <w:rPr>
          <w:rFonts w:hint="eastAsia" w:ascii="宋体" w:hAnsi="宋体"/>
          <w:b/>
          <w:bCs/>
          <w:szCs w:val="21"/>
        </w:rPr>
        <w:t>第十条  乙方的责任</w:t>
      </w:r>
    </w:p>
    <w:p w14:paraId="1D7151E2">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BB151DA">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0864CE5A">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4660C51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3816883A">
      <w:pPr>
        <w:ind w:firstLine="422" w:firstLineChars="200"/>
        <w:rPr>
          <w:rFonts w:hint="eastAsia" w:ascii="宋体" w:hAnsi="宋体"/>
          <w:b/>
          <w:bCs/>
          <w:szCs w:val="21"/>
        </w:rPr>
      </w:pPr>
      <w:r>
        <w:rPr>
          <w:rFonts w:hint="eastAsia" w:ascii="宋体" w:hAnsi="宋体"/>
          <w:b/>
          <w:bCs/>
          <w:szCs w:val="21"/>
        </w:rPr>
        <w:t>第十一条  人员要求</w:t>
      </w:r>
    </w:p>
    <w:p w14:paraId="1574E1F6">
      <w:pPr>
        <w:ind w:firstLine="420" w:firstLineChars="200"/>
        <w:rPr>
          <w:rFonts w:hint="eastAsia" w:ascii="宋体" w:hAnsi="宋体"/>
          <w:szCs w:val="21"/>
        </w:rPr>
      </w:pPr>
      <w:r>
        <w:rPr>
          <w:rFonts w:hint="eastAsia" w:ascii="宋体" w:hAnsi="宋体"/>
          <w:szCs w:val="21"/>
        </w:rPr>
        <w:t>1、参加本项目服务人员必须具有招标文件及国家有关部门规定的相应资质。</w:t>
      </w:r>
    </w:p>
    <w:p w14:paraId="4026342C">
      <w:pPr>
        <w:ind w:firstLine="420" w:firstLineChars="200"/>
        <w:rPr>
          <w:rFonts w:hint="eastAsia" w:ascii="宋体" w:hAnsi="宋体"/>
          <w:szCs w:val="21"/>
        </w:rPr>
      </w:pPr>
      <w:r>
        <w:rPr>
          <w:rFonts w:hint="eastAsia" w:ascii="宋体" w:hAnsi="宋体"/>
          <w:szCs w:val="21"/>
        </w:rPr>
        <w:t>2、 参加本项目的服务人员的配置必须与响应文件中的服务承诺书和项目组织实施方案一致。</w:t>
      </w:r>
    </w:p>
    <w:p w14:paraId="3CF3A8C9">
      <w:pPr>
        <w:ind w:firstLine="420" w:firstLineChars="200"/>
        <w:rPr>
          <w:rFonts w:hint="eastAsia" w:ascii="宋体" w:hAnsi="宋体"/>
          <w:szCs w:val="21"/>
        </w:rPr>
      </w:pPr>
      <w:r>
        <w:rPr>
          <w:rFonts w:hint="eastAsia" w:ascii="宋体" w:hAnsi="宋体"/>
          <w:szCs w:val="21"/>
        </w:rPr>
        <w:t>3、必须以直属服务人员参与本项目服务，不得使用挂靠队伍。</w:t>
      </w:r>
    </w:p>
    <w:p w14:paraId="2B7B90AD">
      <w:pPr>
        <w:ind w:firstLine="422" w:firstLineChars="200"/>
        <w:rPr>
          <w:rFonts w:hint="eastAsia" w:ascii="宋体" w:hAnsi="宋体"/>
          <w:b/>
          <w:bCs/>
          <w:szCs w:val="21"/>
        </w:rPr>
      </w:pPr>
      <w:r>
        <w:rPr>
          <w:rFonts w:hint="eastAsia" w:ascii="宋体" w:hAnsi="宋体"/>
          <w:b/>
          <w:bCs/>
          <w:szCs w:val="21"/>
        </w:rPr>
        <w:t>第十二条  乙方服务工具要求</w:t>
      </w:r>
    </w:p>
    <w:p w14:paraId="43C2F0F5">
      <w:pPr>
        <w:ind w:firstLine="420" w:firstLineChars="200"/>
        <w:rPr>
          <w:rFonts w:hint="eastAsia" w:ascii="宋体" w:hAnsi="宋体"/>
          <w:szCs w:val="21"/>
        </w:rPr>
      </w:pPr>
      <w:r>
        <w:rPr>
          <w:rFonts w:hint="eastAsia" w:ascii="宋体" w:hAnsi="宋体"/>
          <w:szCs w:val="21"/>
        </w:rPr>
        <w:t>1、乙方应配备中选项目所需的足够数量的仪器、仪表以及工具等设备。用户不需向乙方提供施工工具和仪器、仪表。</w:t>
      </w:r>
    </w:p>
    <w:p w14:paraId="75A05F5C">
      <w:pPr>
        <w:ind w:firstLine="420" w:firstLineChars="200"/>
        <w:rPr>
          <w:rFonts w:hint="eastAsia" w:ascii="宋体" w:hAnsi="宋体"/>
          <w:szCs w:val="21"/>
        </w:rPr>
      </w:pPr>
      <w:r>
        <w:rPr>
          <w:rFonts w:hint="eastAsia" w:ascii="宋体" w:hAnsi="宋体"/>
          <w:szCs w:val="21"/>
        </w:rPr>
        <w:t>2、乙方在提供服务过程中应自备车辆。</w:t>
      </w:r>
    </w:p>
    <w:p w14:paraId="4D8F5A75">
      <w:pPr>
        <w:ind w:firstLine="422" w:firstLineChars="200"/>
        <w:rPr>
          <w:rFonts w:hint="eastAsia" w:ascii="宋体" w:hAnsi="宋体"/>
          <w:b/>
          <w:bCs/>
          <w:szCs w:val="21"/>
        </w:rPr>
      </w:pPr>
      <w:r>
        <w:rPr>
          <w:rFonts w:hint="eastAsia" w:ascii="宋体" w:hAnsi="宋体"/>
          <w:b/>
          <w:bCs/>
          <w:szCs w:val="21"/>
        </w:rPr>
        <w:t>第十三条  保密要求</w:t>
      </w:r>
    </w:p>
    <w:p w14:paraId="72F36918">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D056C5E">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7671BC2">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50403958">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AFE2572">
      <w:pPr>
        <w:ind w:firstLine="422" w:firstLineChars="200"/>
        <w:rPr>
          <w:rFonts w:hint="eastAsia" w:ascii="宋体" w:hAnsi="宋体"/>
          <w:b/>
          <w:bCs/>
          <w:szCs w:val="21"/>
        </w:rPr>
      </w:pPr>
      <w:r>
        <w:rPr>
          <w:rFonts w:hint="eastAsia" w:ascii="宋体" w:hAnsi="宋体"/>
          <w:b/>
          <w:bCs/>
          <w:szCs w:val="21"/>
        </w:rPr>
        <w:t xml:space="preserve">第十四条  验收     </w:t>
      </w:r>
    </w:p>
    <w:p w14:paraId="60392DA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856C97E">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4BCC6251">
      <w:pPr>
        <w:ind w:firstLine="420" w:firstLineChars="200"/>
        <w:rPr>
          <w:rFonts w:hint="eastAsia" w:ascii="宋体" w:hAnsi="宋体"/>
          <w:szCs w:val="21"/>
        </w:rPr>
      </w:pPr>
      <w:r>
        <w:rPr>
          <w:rFonts w:hint="eastAsia" w:ascii="宋体" w:hAnsi="宋体"/>
          <w:szCs w:val="21"/>
        </w:rPr>
        <w:t>3、验收依据为号采购文件、乙方响应文件，国家和行业有关规范、规程和标准。</w:t>
      </w:r>
    </w:p>
    <w:p w14:paraId="1A75A871">
      <w:pPr>
        <w:ind w:firstLine="422" w:firstLineChars="200"/>
        <w:rPr>
          <w:rFonts w:hint="eastAsia" w:ascii="宋体" w:hAnsi="宋体"/>
          <w:b/>
          <w:bCs/>
          <w:szCs w:val="21"/>
        </w:rPr>
      </w:pPr>
      <w:r>
        <w:rPr>
          <w:rFonts w:hint="eastAsia" w:ascii="宋体" w:hAnsi="宋体"/>
          <w:b/>
          <w:bCs/>
          <w:szCs w:val="21"/>
        </w:rPr>
        <w:t>第十五条  付款方式</w:t>
      </w:r>
    </w:p>
    <w:p w14:paraId="5186AAE7">
      <w:pPr>
        <w:ind w:firstLine="420" w:firstLineChars="200"/>
        <w:rPr>
          <w:rFonts w:hint="eastAsia" w:ascii="宋体" w:hAnsi="宋体"/>
          <w:szCs w:val="21"/>
        </w:rPr>
      </w:pPr>
      <w:r>
        <w:rPr>
          <w:rFonts w:hint="eastAsia" w:ascii="宋体" w:hAnsi="宋体"/>
          <w:szCs w:val="21"/>
        </w:rPr>
        <w:t>1、合同签订后天内，甲方向乙方支付合同总价%的款项。</w:t>
      </w:r>
    </w:p>
    <w:p w14:paraId="03349556">
      <w:pPr>
        <w:ind w:firstLine="420" w:firstLineChars="200"/>
        <w:rPr>
          <w:rFonts w:hint="eastAsia" w:ascii="宋体" w:hAnsi="宋体"/>
          <w:szCs w:val="21"/>
        </w:rPr>
      </w:pPr>
      <w:r>
        <w:rPr>
          <w:rFonts w:hint="eastAsia" w:ascii="宋体" w:hAnsi="宋体"/>
          <w:szCs w:val="21"/>
        </w:rPr>
        <w:t>2、全部服务完成并经甲方验收合格后，甲方向乙方支付合同总价%的款项。</w:t>
      </w:r>
    </w:p>
    <w:p w14:paraId="106650D8">
      <w:pPr>
        <w:ind w:firstLine="422" w:firstLineChars="200"/>
        <w:rPr>
          <w:rFonts w:hint="eastAsia" w:ascii="宋体" w:hAnsi="宋体"/>
          <w:b/>
          <w:bCs/>
          <w:szCs w:val="21"/>
        </w:rPr>
      </w:pPr>
      <w:r>
        <w:rPr>
          <w:rFonts w:hint="eastAsia" w:ascii="宋体" w:hAnsi="宋体"/>
          <w:b/>
          <w:bCs/>
          <w:szCs w:val="21"/>
        </w:rPr>
        <w:t>第十六条  争议解决办法</w:t>
      </w:r>
    </w:p>
    <w:p w14:paraId="3E49A1C3">
      <w:pPr>
        <w:ind w:firstLine="420" w:firstLineChars="200"/>
        <w:rPr>
          <w:rFonts w:hint="eastAsia" w:ascii="宋体" w:hAnsi="宋体"/>
          <w:szCs w:val="21"/>
        </w:rPr>
      </w:pPr>
      <w:r>
        <w:rPr>
          <w:rFonts w:hint="eastAsia" w:ascii="宋体" w:hAnsi="宋体"/>
          <w:szCs w:val="21"/>
        </w:rPr>
        <w:t>执行本合同发生的争议，</w:t>
      </w:r>
      <w:r>
        <w:rPr>
          <w:rFonts w:hint="eastAsia" w:ascii="宋体" w:hAnsi="宋体" w:cs="宋体"/>
          <w:color w:val="FF0000"/>
          <w:kern w:val="0"/>
          <w:sz w:val="22"/>
        </w:rPr>
        <w:t>由甲乙双方协商解决；协商不成，</w:t>
      </w:r>
      <w:r>
        <w:rPr>
          <w:rFonts w:hint="eastAsia" w:ascii="宋体" w:hAnsi="宋体"/>
          <w:szCs w:val="21"/>
        </w:rPr>
        <w:t>由甲方所在地人民法院管辖。</w:t>
      </w:r>
    </w:p>
    <w:p w14:paraId="5FA318AE">
      <w:pPr>
        <w:ind w:firstLine="422" w:firstLineChars="200"/>
        <w:rPr>
          <w:rFonts w:hint="eastAsia" w:ascii="宋体" w:hAnsi="宋体"/>
          <w:b/>
          <w:bCs/>
          <w:szCs w:val="21"/>
        </w:rPr>
      </w:pPr>
      <w:r>
        <w:rPr>
          <w:rFonts w:hint="eastAsia" w:ascii="宋体" w:hAnsi="宋体"/>
          <w:b/>
          <w:bCs/>
          <w:szCs w:val="21"/>
        </w:rPr>
        <w:t>第十七条  风险责任</w:t>
      </w:r>
    </w:p>
    <w:p w14:paraId="2B3C369F">
      <w:pPr>
        <w:ind w:firstLine="420" w:firstLineChars="200"/>
        <w:rPr>
          <w:rFonts w:hint="eastAsia" w:ascii="宋体" w:hAnsi="宋体"/>
          <w:szCs w:val="21"/>
        </w:rPr>
      </w:pPr>
      <w:r>
        <w:rPr>
          <w:rFonts w:hint="eastAsia" w:ascii="宋体" w:hAnsi="宋体"/>
          <w:szCs w:val="21"/>
        </w:rPr>
        <w:t>１、乙方应完全地按照号采购文件的要求和乙方响应文件的承诺完成本项目，出于自身财务、技术、人力等原因导致项目失败的，应承担全部责任。</w:t>
      </w:r>
    </w:p>
    <w:p w14:paraId="005C1FDC">
      <w:pPr>
        <w:ind w:firstLine="420" w:firstLineChars="200"/>
        <w:rPr>
          <w:rFonts w:hint="eastAsia" w:ascii="宋体" w:hAnsi="宋体"/>
          <w:szCs w:val="21"/>
        </w:rPr>
      </w:pPr>
      <w:r>
        <w:rPr>
          <w:rFonts w:hint="eastAsia" w:ascii="宋体" w:hAnsi="宋体"/>
          <w:szCs w:val="21"/>
        </w:rPr>
        <w:t>2、乙方在服务过程中应对自身的安全生产负责，若由乙方原因发生的各种事故甲方不承担任何责任。</w:t>
      </w:r>
    </w:p>
    <w:p w14:paraId="52D4EB2E">
      <w:pPr>
        <w:ind w:firstLine="422" w:firstLineChars="200"/>
        <w:rPr>
          <w:rFonts w:hint="eastAsia" w:ascii="宋体" w:hAnsi="宋体"/>
          <w:b/>
          <w:bCs/>
          <w:szCs w:val="21"/>
        </w:rPr>
      </w:pPr>
      <w:r>
        <w:rPr>
          <w:rFonts w:hint="eastAsia" w:ascii="宋体" w:hAnsi="宋体"/>
          <w:b/>
          <w:bCs/>
          <w:szCs w:val="21"/>
        </w:rPr>
        <w:t>第十八条  违约责任</w:t>
      </w:r>
    </w:p>
    <w:p w14:paraId="0D768EC5">
      <w:pPr>
        <w:pStyle w:val="19"/>
        <w:spacing w:line="324" w:lineRule="auto"/>
        <w:ind w:firstLine="420" w:firstLineChars="200"/>
        <w:rPr>
          <w:rFonts w:hint="eastAsia"/>
          <w:sz w:val="21"/>
          <w:szCs w:val="21"/>
        </w:rPr>
      </w:pPr>
      <w:r>
        <w:rPr>
          <w:rFonts w:hint="eastAsia"/>
          <w:sz w:val="21"/>
          <w:szCs w:val="21"/>
        </w:rPr>
        <w:t>投标人若未按照招投标文件及本合同要求履约，则需对履约不足的部分支付违约金，但最高不超过中标总额的10％。</w:t>
      </w:r>
    </w:p>
    <w:p w14:paraId="705478DA">
      <w:pPr>
        <w:ind w:firstLine="422" w:firstLineChars="200"/>
        <w:rPr>
          <w:rFonts w:hint="eastAsia" w:ascii="宋体" w:hAnsi="宋体"/>
          <w:b/>
          <w:bCs/>
          <w:szCs w:val="21"/>
        </w:rPr>
      </w:pPr>
      <w:r>
        <w:rPr>
          <w:rFonts w:hint="eastAsia" w:ascii="宋体" w:hAnsi="宋体"/>
          <w:b/>
          <w:bCs/>
          <w:szCs w:val="21"/>
        </w:rPr>
        <w:t>第十九条  其他</w:t>
      </w:r>
    </w:p>
    <w:p w14:paraId="3BB31A79">
      <w:pPr>
        <w:ind w:firstLine="420" w:firstLineChars="200"/>
        <w:rPr>
          <w:rFonts w:hint="eastAsia" w:ascii="宋体" w:hAnsi="宋体"/>
          <w:szCs w:val="21"/>
        </w:rPr>
      </w:pPr>
      <w:r>
        <w:rPr>
          <w:rFonts w:hint="eastAsia" w:ascii="宋体" w:hAnsi="宋体"/>
          <w:szCs w:val="21"/>
        </w:rPr>
        <w:t>1、下列文件均为本合同的重要组成部分：</w:t>
      </w:r>
    </w:p>
    <w:p w14:paraId="1C92D7D4">
      <w:pPr>
        <w:ind w:firstLine="420" w:firstLineChars="200"/>
        <w:rPr>
          <w:rFonts w:hint="eastAsia" w:ascii="宋体" w:hAnsi="宋体"/>
          <w:szCs w:val="21"/>
        </w:rPr>
      </w:pPr>
      <w:r>
        <w:rPr>
          <w:rFonts w:hint="eastAsia" w:ascii="宋体" w:hAnsi="宋体"/>
          <w:szCs w:val="21"/>
        </w:rPr>
        <w:t>（1）本项目的采购文件、答疑及补充通知；</w:t>
      </w:r>
    </w:p>
    <w:p w14:paraId="666DA487">
      <w:pPr>
        <w:ind w:firstLine="420" w:firstLineChars="200"/>
        <w:rPr>
          <w:rFonts w:hint="eastAsia" w:ascii="宋体" w:hAnsi="宋体"/>
          <w:szCs w:val="21"/>
        </w:rPr>
      </w:pPr>
      <w:r>
        <w:rPr>
          <w:rFonts w:hint="eastAsia" w:ascii="宋体" w:hAnsi="宋体"/>
          <w:szCs w:val="21"/>
        </w:rPr>
        <w:t>（2）本项目中选的响应文件；</w:t>
      </w:r>
    </w:p>
    <w:p w14:paraId="627A9DF9">
      <w:pPr>
        <w:ind w:firstLine="420" w:firstLineChars="200"/>
        <w:rPr>
          <w:rFonts w:hint="eastAsia" w:ascii="宋体" w:hAnsi="宋体"/>
          <w:szCs w:val="21"/>
        </w:rPr>
      </w:pPr>
      <w:r>
        <w:rPr>
          <w:rFonts w:hint="eastAsia" w:ascii="宋体" w:hAnsi="宋体"/>
          <w:szCs w:val="21"/>
        </w:rPr>
        <w:t>（3）本合同执行中共同签署的补充与修正文件。</w:t>
      </w:r>
    </w:p>
    <w:p w14:paraId="4A87C128">
      <w:pPr>
        <w:pStyle w:val="2"/>
      </w:pPr>
      <w:r>
        <w:rPr>
          <w:rFonts w:hint="eastAsia" w:ascii="宋体" w:hAnsi="宋体"/>
          <w:b w:val="0"/>
          <w:bCs w:val="0"/>
          <w:sz w:val="21"/>
          <w:szCs w:val="21"/>
        </w:rPr>
        <w:t>以上文件互为补充，如果出现内容冲突的情况，为准的优先顺序为（2）、（1）、（3）。</w:t>
      </w:r>
    </w:p>
    <w:p w14:paraId="2C57C453">
      <w:pPr>
        <w:ind w:firstLine="420" w:firstLineChars="200"/>
        <w:rPr>
          <w:rFonts w:hint="eastAsia" w:ascii="宋体" w:hAnsi="宋体"/>
          <w:szCs w:val="21"/>
        </w:rPr>
      </w:pPr>
      <w:r>
        <w:rPr>
          <w:rFonts w:hint="eastAsia" w:ascii="宋体" w:hAnsi="宋体"/>
          <w:szCs w:val="21"/>
        </w:rPr>
        <w:t>2、本合同一式___份，甲、乙方双方各执份，具有同等法律效力。本合同自双方法定代表人或委托代理人签字并盖章认可之日起生效。</w:t>
      </w:r>
    </w:p>
    <w:p w14:paraId="3EBDF143">
      <w:pPr>
        <w:ind w:firstLine="420" w:firstLineChars="200"/>
        <w:rPr>
          <w:rFonts w:hint="eastAsia" w:ascii="宋体" w:hAnsi="宋体"/>
          <w:szCs w:val="21"/>
        </w:rPr>
      </w:pPr>
      <w:r>
        <w:rPr>
          <w:rFonts w:hint="eastAsia" w:ascii="宋体" w:hAnsi="宋体"/>
          <w:szCs w:val="21"/>
        </w:rPr>
        <w:t>3、本合同未尽事宜，双方友好协商，达成解决方案，经双方签字后，可作为本合同的有效附件。</w:t>
      </w:r>
    </w:p>
    <w:p w14:paraId="05F18748">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D1B6526">
      <w:pPr>
        <w:ind w:firstLine="420" w:firstLineChars="200"/>
        <w:rPr>
          <w:rFonts w:hint="eastAsia" w:ascii="宋体" w:hAnsi="宋体"/>
          <w:szCs w:val="21"/>
        </w:rPr>
      </w:pPr>
    </w:p>
    <w:p w14:paraId="1F4B68B9">
      <w:pPr>
        <w:ind w:firstLine="420" w:firstLineChars="200"/>
        <w:rPr>
          <w:rFonts w:hint="eastAsia" w:ascii="宋体" w:hAnsi="宋体"/>
          <w:szCs w:val="21"/>
        </w:rPr>
      </w:pPr>
    </w:p>
    <w:p w14:paraId="6510839E">
      <w:pPr>
        <w:ind w:firstLine="420" w:firstLineChars="200"/>
        <w:rPr>
          <w:rFonts w:hint="eastAsia" w:ascii="宋体" w:hAnsi="宋体"/>
          <w:szCs w:val="21"/>
        </w:rPr>
      </w:pPr>
    </w:p>
    <w:p w14:paraId="395CCBF8">
      <w:pPr>
        <w:ind w:firstLine="420" w:firstLineChars="200"/>
        <w:rPr>
          <w:rFonts w:hint="eastAsia" w:ascii="宋体" w:hAnsi="宋体"/>
          <w:szCs w:val="21"/>
        </w:rPr>
      </w:pPr>
    </w:p>
    <w:p w14:paraId="3A52800D">
      <w:pPr>
        <w:rPr>
          <w:rFonts w:hint="eastAsia" w:ascii="宋体" w:hAnsi="宋体"/>
          <w:szCs w:val="21"/>
          <w:u w:val="single"/>
        </w:rPr>
      </w:pPr>
      <w:r>
        <w:rPr>
          <w:rFonts w:hint="eastAsia" w:ascii="宋体" w:hAnsi="宋体"/>
          <w:szCs w:val="21"/>
        </w:rPr>
        <w:t>甲方：    乙方：</w:t>
      </w:r>
    </w:p>
    <w:p w14:paraId="587EEBBA">
      <w:pPr>
        <w:ind w:firstLine="1890" w:firstLineChars="900"/>
        <w:rPr>
          <w:rFonts w:hint="eastAsia" w:ascii="宋体" w:hAnsi="宋体"/>
          <w:szCs w:val="21"/>
        </w:rPr>
      </w:pPr>
      <w:r>
        <w:rPr>
          <w:rFonts w:hint="eastAsia" w:ascii="宋体" w:hAnsi="宋体"/>
          <w:szCs w:val="21"/>
        </w:rPr>
        <w:t>（签章）                         （签章）</w:t>
      </w:r>
    </w:p>
    <w:p w14:paraId="095AC899">
      <w:pPr>
        <w:ind w:firstLine="2730" w:firstLineChars="1300"/>
        <w:rPr>
          <w:rFonts w:hint="eastAsia" w:ascii="宋体" w:hAnsi="宋体"/>
          <w:szCs w:val="21"/>
        </w:rPr>
      </w:pPr>
    </w:p>
    <w:p w14:paraId="7DB61B69">
      <w:pPr>
        <w:ind w:firstLine="420" w:firstLineChars="200"/>
        <w:rPr>
          <w:rFonts w:hint="eastAsia" w:ascii="宋体" w:hAnsi="宋体"/>
          <w:szCs w:val="21"/>
        </w:rPr>
      </w:pPr>
      <w:r>
        <w:rPr>
          <w:rFonts w:hint="eastAsia" w:ascii="宋体" w:hAnsi="宋体"/>
          <w:szCs w:val="21"/>
        </w:rPr>
        <w:t xml:space="preserve">地址：                        地址： </w:t>
      </w:r>
    </w:p>
    <w:p w14:paraId="349D0F02">
      <w:pPr>
        <w:ind w:firstLine="420" w:firstLineChars="200"/>
        <w:rPr>
          <w:rFonts w:hint="eastAsia" w:ascii="宋体" w:hAnsi="宋体"/>
          <w:szCs w:val="21"/>
        </w:rPr>
      </w:pPr>
      <w:r>
        <w:rPr>
          <w:rFonts w:hint="eastAsia" w:ascii="宋体" w:hAnsi="宋体"/>
          <w:szCs w:val="21"/>
        </w:rPr>
        <w:t>法定代表人：（签章）           法定代表人：（签章）</w:t>
      </w:r>
    </w:p>
    <w:p w14:paraId="13374253">
      <w:pPr>
        <w:ind w:firstLine="420" w:firstLineChars="200"/>
        <w:rPr>
          <w:rFonts w:hint="eastAsia" w:ascii="宋体" w:hAnsi="宋体"/>
          <w:szCs w:val="21"/>
        </w:rPr>
      </w:pPr>
      <w:r>
        <w:rPr>
          <w:rFonts w:hint="eastAsia" w:ascii="宋体" w:hAnsi="宋体"/>
          <w:szCs w:val="21"/>
        </w:rPr>
        <w:t>开户行：                      开户行：</w:t>
      </w:r>
    </w:p>
    <w:p w14:paraId="09EF6274">
      <w:pPr>
        <w:ind w:firstLine="420" w:firstLineChars="200"/>
        <w:rPr>
          <w:rFonts w:hint="eastAsia" w:ascii="宋体" w:hAnsi="宋体"/>
          <w:szCs w:val="21"/>
        </w:rPr>
      </w:pPr>
      <w:r>
        <w:rPr>
          <w:rFonts w:hint="eastAsia" w:ascii="宋体" w:hAnsi="宋体"/>
          <w:szCs w:val="21"/>
        </w:rPr>
        <w:t>人民币账号：                  人民币账号：</w:t>
      </w:r>
    </w:p>
    <w:p w14:paraId="45025E19">
      <w:pPr>
        <w:ind w:firstLine="420" w:firstLineChars="200"/>
        <w:rPr>
          <w:rFonts w:hint="eastAsia" w:ascii="宋体" w:hAnsi="宋体"/>
          <w:szCs w:val="21"/>
        </w:rPr>
      </w:pPr>
      <w:r>
        <w:rPr>
          <w:rFonts w:hint="eastAsia" w:ascii="宋体" w:hAnsi="宋体"/>
          <w:szCs w:val="21"/>
        </w:rPr>
        <w:t>联系人：                      联系人：</w:t>
      </w:r>
    </w:p>
    <w:p w14:paraId="3AB31AFD">
      <w:pPr>
        <w:ind w:firstLine="420" w:firstLineChars="200"/>
        <w:rPr>
          <w:rFonts w:hint="eastAsia" w:ascii="宋体" w:hAnsi="宋体"/>
          <w:szCs w:val="21"/>
        </w:rPr>
      </w:pPr>
      <w:r>
        <w:rPr>
          <w:rFonts w:hint="eastAsia" w:ascii="宋体" w:hAnsi="宋体"/>
          <w:szCs w:val="21"/>
        </w:rPr>
        <w:t>电话：                        电话：</w:t>
      </w:r>
    </w:p>
    <w:p w14:paraId="62E9D464">
      <w:pPr>
        <w:keepNext/>
        <w:keepLines/>
        <w:spacing w:before="340" w:after="78" w:afterLines="25" w:line="578" w:lineRule="auto"/>
        <w:jc w:val="center"/>
        <w:outlineLvl w:val="0"/>
        <w:rPr>
          <w:rFonts w:hint="eastAsia" w:ascii="宋体" w:hAnsi="宋体"/>
          <w:szCs w:val="21"/>
        </w:rPr>
      </w:pPr>
      <w:r>
        <w:rPr>
          <w:rFonts w:hint="eastAsia" w:ascii="宋体" w:hAnsi="宋体"/>
          <w:szCs w:val="21"/>
        </w:rPr>
        <w:t>日期：                        日期：</w:t>
      </w:r>
    </w:p>
    <w:p w14:paraId="29F925D2">
      <w:pPr>
        <w:keepNext/>
        <w:keepLines/>
        <w:spacing w:before="340" w:after="78" w:afterLines="25" w:line="578" w:lineRule="auto"/>
        <w:jc w:val="center"/>
        <w:outlineLvl w:val="0"/>
        <w:rPr>
          <w:rFonts w:hint="eastAsia" w:ascii="宋体" w:hAnsi="宋体"/>
          <w:szCs w:val="21"/>
        </w:rPr>
      </w:pPr>
    </w:p>
    <w:p w14:paraId="2F7FFB33">
      <w:pPr>
        <w:keepNext/>
        <w:keepLines/>
        <w:spacing w:before="340" w:after="78" w:afterLines="25" w:line="578" w:lineRule="auto"/>
        <w:jc w:val="center"/>
        <w:outlineLvl w:val="0"/>
        <w:rPr>
          <w:rFonts w:hint="eastAsia" w:ascii="宋体" w:hAnsi="宋体"/>
          <w:szCs w:val="21"/>
        </w:rPr>
      </w:pPr>
    </w:p>
    <w:p w14:paraId="2787BE59">
      <w:pPr>
        <w:keepNext/>
        <w:keepLines/>
        <w:spacing w:before="340" w:after="78" w:afterLines="25" w:line="578" w:lineRule="auto"/>
        <w:jc w:val="center"/>
        <w:outlineLvl w:val="0"/>
        <w:rPr>
          <w:rFonts w:hint="eastAsia" w:ascii="宋体" w:hAnsi="宋体"/>
          <w:szCs w:val="21"/>
        </w:rPr>
      </w:pP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9"/>
        <w:keepNext/>
        <w:keepLines/>
        <w:numPr>
          <w:ilvl w:val="0"/>
          <w:numId w:val="14"/>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38" w:name="_Hlk72399513"/>
      <w:r>
        <w:rPr>
          <w:rFonts w:hint="eastAsia" w:asciiTheme="majorHAnsi" w:hAnsiTheme="majorHAnsi" w:eastAsiaTheme="majorEastAsia" w:cstheme="majorBidi"/>
          <w:b/>
          <w:bCs/>
          <w:sz w:val="28"/>
          <w:szCs w:val="28"/>
        </w:rPr>
        <w:t>总则</w:t>
      </w:r>
    </w:p>
    <w:bookmarkEnd w:id="38"/>
    <w:p w14:paraId="54DC9BDA">
      <w:pPr>
        <w:rPr>
          <w:rFonts w:hint="eastAsia" w:ascii="黑体" w:hAnsi="宋体" w:eastAsia="黑体"/>
          <w:sz w:val="24"/>
        </w:rPr>
      </w:pPr>
      <w:bookmarkStart w:id="39"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0" w:name="_Hlk72399729"/>
      <w:r>
        <w:rPr>
          <w:rFonts w:hint="eastAsia" w:ascii="宋体" w:hAnsi="宋体"/>
          <w:szCs w:val="21"/>
        </w:rPr>
        <w:t>如有需要，政府集中采购机构可以对通用条款的内容进行补充。</w:t>
      </w:r>
      <w:bookmarkEnd w:id="40"/>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41"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2"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2"/>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1"/>
    <w:p w14:paraId="6855AD67">
      <w:pPr>
        <w:ind w:firstLine="411" w:firstLineChars="196"/>
        <w:rPr>
          <w:rFonts w:hint="eastAsia" w:ascii="宋体" w:hAnsi="宋体"/>
        </w:rPr>
      </w:pPr>
    </w:p>
    <w:p w14:paraId="60CD1CA0">
      <w:pPr>
        <w:pStyle w:val="5"/>
        <w:numPr>
          <w:ilvl w:val="0"/>
          <w:numId w:val="15"/>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3"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3"/>
    </w:p>
    <w:p w14:paraId="4ECB551B">
      <w:pPr>
        <w:rPr>
          <w:rFonts w:hint="eastAsia" w:ascii="宋体" w:hAnsi="宋体"/>
          <w:szCs w:val="21"/>
        </w:rPr>
      </w:pPr>
    </w:p>
    <w:p w14:paraId="16C11958">
      <w:pPr>
        <w:pStyle w:val="5"/>
        <w:numPr>
          <w:ilvl w:val="0"/>
          <w:numId w:val="15"/>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44"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44"/>
    <w:p w14:paraId="6E394B22">
      <w:pPr>
        <w:rPr>
          <w:rFonts w:hint="eastAsia" w:ascii="黑体" w:hAnsi="宋体" w:eastAsia="黑体"/>
          <w:sz w:val="24"/>
        </w:rPr>
      </w:pPr>
      <w:r>
        <w:rPr>
          <w:rFonts w:hint="eastAsia" w:ascii="黑体" w:hAnsi="宋体" w:eastAsia="黑体"/>
          <w:sz w:val="24"/>
        </w:rPr>
        <w:t>15．</w:t>
      </w:r>
      <w:bookmarkStart w:id="45"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45"/>
    <w:p w14:paraId="09837412">
      <w:pPr>
        <w:rPr>
          <w:rFonts w:hint="eastAsia" w:ascii="黑体" w:hAnsi="宋体" w:eastAsia="黑体"/>
          <w:sz w:val="24"/>
        </w:rPr>
      </w:pPr>
      <w:r>
        <w:rPr>
          <w:rFonts w:hint="eastAsia" w:ascii="黑体" w:hAnsi="宋体" w:eastAsia="黑体"/>
          <w:sz w:val="24"/>
        </w:rPr>
        <w:t>18．</w:t>
      </w:r>
      <w:bookmarkStart w:id="46"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46"/>
    <w:p w14:paraId="4E8E0E8D">
      <w:pPr>
        <w:rPr>
          <w:rFonts w:hint="eastAsia" w:ascii="黑体" w:hAnsi="宋体" w:eastAsia="黑体"/>
          <w:sz w:val="24"/>
        </w:rPr>
      </w:pPr>
      <w:r>
        <w:rPr>
          <w:rFonts w:hint="eastAsia" w:ascii="黑体" w:hAnsi="宋体" w:eastAsia="黑体"/>
          <w:sz w:val="24"/>
        </w:rPr>
        <w:t>19．</w:t>
      </w:r>
      <w:bookmarkStart w:id="47"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48"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8"/>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47"/>
    <w:p w14:paraId="5C4ACA47">
      <w:pPr>
        <w:ind w:firstLine="411" w:firstLineChars="196"/>
        <w:rPr>
          <w:rFonts w:hint="eastAsia" w:ascii="宋体" w:hAnsi="宋体"/>
          <w:szCs w:val="21"/>
        </w:rPr>
      </w:pPr>
      <w:bookmarkStart w:id="4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49"/>
    <w:p w14:paraId="54502A06">
      <w:pPr>
        <w:rPr>
          <w:rFonts w:hint="eastAsia" w:ascii="黑体" w:hAnsi="宋体" w:eastAsia="黑体"/>
          <w:sz w:val="24"/>
        </w:rPr>
      </w:pPr>
      <w:r>
        <w:rPr>
          <w:rFonts w:hint="eastAsia" w:ascii="黑体" w:hAnsi="宋体" w:eastAsia="黑体"/>
          <w:sz w:val="24"/>
        </w:rPr>
        <w:t>21．</w:t>
      </w:r>
      <w:bookmarkStart w:id="50"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0"/>
    <w:p w14:paraId="71D413E2">
      <w:pPr>
        <w:rPr>
          <w:rFonts w:hint="eastAsia" w:ascii="黑体" w:hAnsi="宋体" w:eastAsia="黑体"/>
          <w:sz w:val="24"/>
        </w:rPr>
      </w:pPr>
      <w:r>
        <w:rPr>
          <w:rFonts w:hint="eastAsia" w:ascii="黑体" w:hAnsi="宋体" w:eastAsia="黑体"/>
          <w:sz w:val="24"/>
        </w:rPr>
        <w:t>23．</w:t>
      </w:r>
      <w:bookmarkStart w:id="51"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1"/>
    </w:p>
    <w:p w14:paraId="047B1E33">
      <w:pPr>
        <w:ind w:firstLine="411" w:firstLineChars="196"/>
        <w:rPr>
          <w:rFonts w:hint="eastAsia" w:ascii="宋体" w:hAnsi="宋体"/>
          <w:szCs w:val="21"/>
        </w:rPr>
      </w:pPr>
    </w:p>
    <w:p w14:paraId="6DF6EF67">
      <w:pPr>
        <w:pStyle w:val="5"/>
        <w:numPr>
          <w:ilvl w:val="0"/>
          <w:numId w:val="15"/>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52"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52"/>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53"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3"/>
    <w:p w14:paraId="08C11BEA">
      <w:pPr>
        <w:pStyle w:val="5"/>
        <w:numPr>
          <w:ilvl w:val="0"/>
          <w:numId w:val="15"/>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5"/>
        <w:numPr>
          <w:ilvl w:val="0"/>
          <w:numId w:val="15"/>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54"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54"/>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5"/>
        <w:numPr>
          <w:ilvl w:val="0"/>
          <w:numId w:val="15"/>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55"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5"/>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56" w:name="_Toc100052400"/>
      <w:bookmarkStart w:id="57" w:name="_Toc73517673"/>
      <w:bookmarkStart w:id="58" w:name="_Toc73521581"/>
      <w:bookmarkStart w:id="59" w:name="_Toc73518151"/>
      <w:bookmarkStart w:id="60" w:name="_Toc73521669"/>
      <w:r>
        <w:rPr>
          <w:rFonts w:hint="eastAsia" w:ascii="黑体" w:hAnsi="宋体" w:eastAsia="黑体"/>
          <w:sz w:val="24"/>
        </w:rPr>
        <w:t>34．错误的修正</w:t>
      </w:r>
      <w:bookmarkEnd w:id="56"/>
      <w:bookmarkEnd w:id="57"/>
      <w:bookmarkEnd w:id="58"/>
      <w:bookmarkEnd w:id="59"/>
      <w:bookmarkEnd w:id="60"/>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61"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61"/>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5"/>
        <w:numPr>
          <w:ilvl w:val="0"/>
          <w:numId w:val="15"/>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62"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63"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64"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3"/>
      <w:bookmarkEnd w:id="64"/>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2"/>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65"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65"/>
      <w:bookmarkStart w:id="66"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6"/>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7"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7"/>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68" w:name="_Hlk71407340"/>
      <w:r>
        <w:rPr>
          <w:rFonts w:hint="eastAsia" w:ascii="宋体" w:hAnsi="宋体"/>
          <w:szCs w:val="21"/>
        </w:rPr>
        <w:t>41.3因质疑投诉或其它原因导致项目结果变更或采购终止的，政府集中采购机构有权吊销中标通知书。</w:t>
      </w:r>
    </w:p>
    <w:bookmarkEnd w:id="68"/>
    <w:p w14:paraId="2CA7B90F">
      <w:pPr>
        <w:ind w:firstLine="411" w:firstLineChars="196"/>
        <w:rPr>
          <w:rFonts w:hint="eastAsia" w:ascii="宋体" w:hAnsi="宋体"/>
          <w:szCs w:val="21"/>
        </w:rPr>
      </w:pPr>
    </w:p>
    <w:p w14:paraId="03817F7D">
      <w:pPr>
        <w:pStyle w:val="5"/>
        <w:numPr>
          <w:ilvl w:val="0"/>
          <w:numId w:val="15"/>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5"/>
        <w:numPr>
          <w:ilvl w:val="0"/>
          <w:numId w:val="15"/>
        </w:numPr>
        <w:spacing w:before="156" w:beforeLines="50" w:after="156" w:afterLines="50"/>
        <w:ind w:left="562" w:hanging="562"/>
        <w:rPr>
          <w:sz w:val="28"/>
          <w:szCs w:val="28"/>
        </w:rPr>
      </w:pPr>
      <w:bookmarkStart w:id="69" w:name="_Hlk72439043"/>
      <w:r>
        <w:rPr>
          <w:rFonts w:hint="eastAsia"/>
          <w:sz w:val="28"/>
          <w:szCs w:val="28"/>
        </w:rPr>
        <w:t>合同的授予与备案</w:t>
      </w:r>
      <w:bookmarkEnd w:id="69"/>
    </w:p>
    <w:p w14:paraId="0D486303">
      <w:pPr>
        <w:rPr>
          <w:rFonts w:hint="eastAsia" w:ascii="黑体" w:hAnsi="宋体" w:eastAsia="黑体"/>
          <w:sz w:val="24"/>
        </w:rPr>
      </w:pPr>
      <w:bookmarkStart w:id="70" w:name="_Toc73521674"/>
      <w:bookmarkStart w:id="71" w:name="_Toc73521586"/>
      <w:bookmarkStart w:id="72" w:name="_Toc73517679"/>
      <w:bookmarkStart w:id="73" w:name="_Toc73518157"/>
      <w:bookmarkStart w:id="74" w:name="_Toc100052408"/>
      <w:bookmarkStart w:id="75" w:name="_Hlk72439088"/>
      <w:r>
        <w:rPr>
          <w:rFonts w:hint="eastAsia" w:ascii="黑体" w:hAnsi="宋体" w:eastAsia="黑体"/>
          <w:sz w:val="24"/>
        </w:rPr>
        <w:t>43．合同授予标准</w:t>
      </w:r>
      <w:bookmarkEnd w:id="70"/>
      <w:bookmarkEnd w:id="71"/>
      <w:bookmarkEnd w:id="72"/>
      <w:bookmarkEnd w:id="73"/>
      <w:bookmarkEnd w:id="74"/>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76" w:name="_Toc100052409"/>
      <w:bookmarkStart w:id="77" w:name="_Toc73517680"/>
      <w:bookmarkStart w:id="78" w:name="_Toc73521675"/>
      <w:bookmarkStart w:id="79" w:name="_Toc73518158"/>
      <w:bookmarkStart w:id="80" w:name="_Toc73521587"/>
      <w:r>
        <w:rPr>
          <w:rFonts w:hint="eastAsia" w:ascii="黑体" w:hAnsi="宋体" w:eastAsia="黑体"/>
          <w:sz w:val="24"/>
        </w:rPr>
        <w:t>44．</w:t>
      </w:r>
      <w:bookmarkEnd w:id="76"/>
      <w:bookmarkEnd w:id="77"/>
      <w:bookmarkEnd w:id="78"/>
      <w:bookmarkEnd w:id="79"/>
      <w:bookmarkEnd w:id="80"/>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81" w:name="_Toc73521589"/>
      <w:bookmarkStart w:id="82" w:name="_Toc73518160"/>
      <w:bookmarkStart w:id="83" w:name="_Toc73521677"/>
      <w:bookmarkStart w:id="84" w:name="_Toc73517682"/>
      <w:bookmarkStart w:id="85" w:name="_Toc100052410"/>
      <w:r>
        <w:rPr>
          <w:rFonts w:hint="eastAsia" w:ascii="黑体" w:hAnsi="宋体" w:eastAsia="黑体"/>
          <w:sz w:val="24"/>
        </w:rPr>
        <w:t>45．合同的签订</w:t>
      </w:r>
      <w:bookmarkEnd w:id="81"/>
      <w:bookmarkEnd w:id="82"/>
      <w:bookmarkEnd w:id="83"/>
      <w:bookmarkEnd w:id="84"/>
      <w:bookmarkEnd w:id="85"/>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86" w:name="_Toc100052411"/>
      <w:bookmarkStart w:id="87" w:name="_Toc73521678"/>
      <w:bookmarkStart w:id="88" w:name="_Toc73518161"/>
      <w:bookmarkStart w:id="89" w:name="_Toc73521590"/>
      <w:bookmarkStart w:id="90" w:name="_Toc73517683"/>
      <w:r>
        <w:rPr>
          <w:rFonts w:hint="eastAsia" w:ascii="黑体" w:hAnsi="宋体" w:eastAsia="黑体"/>
          <w:sz w:val="24"/>
        </w:rPr>
        <w:t>46．履约担保</w:t>
      </w:r>
      <w:bookmarkEnd w:id="86"/>
      <w:bookmarkEnd w:id="87"/>
      <w:bookmarkEnd w:id="88"/>
      <w:bookmarkEnd w:id="89"/>
      <w:bookmarkEnd w:id="90"/>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1" w:name="_Hlk72440769"/>
      <w:r>
        <w:rPr>
          <w:rFonts w:hint="eastAsia" w:ascii="宋体" w:hAnsi="宋体"/>
          <w:szCs w:val="21"/>
        </w:rPr>
        <w:t>政府集中采购机构或采购人不予退还其交纳的谈判保证金，情节严重的，并由主管部门</w:t>
      </w:r>
      <w:bookmarkEnd w:id="91"/>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5"/>
    <w:p w14:paraId="7E765356">
      <w:pPr>
        <w:pStyle w:val="5"/>
        <w:numPr>
          <w:ilvl w:val="0"/>
          <w:numId w:val="15"/>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2" w:name="_Hlk75374941"/>
      <w:r>
        <w:rPr>
          <w:rFonts w:hint="eastAsia" w:ascii="宋体" w:hAnsi="宋体"/>
          <w:szCs w:val="21"/>
        </w:rPr>
        <w:t>以联合体形式参与的，质疑应当由组成联合体的所有成员共同提出</w:t>
      </w:r>
      <w:bookmarkEnd w:id="92"/>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39"/>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4"/>
      <w:framePr w:wrap="around" w:vAnchor="text" w:hAnchor="margin" w:xAlign="center" w:y="1"/>
      <w:rPr>
        <w:rStyle w:val="27"/>
      </w:rPr>
    </w:pPr>
    <w:r>
      <w:t xml:space="preserve">- </w:t>
    </w:r>
    <w:r>
      <w:fldChar w:fldCharType="begin"/>
    </w:r>
    <w:r>
      <w:instrText xml:space="preserve"> PAGE </w:instrText>
    </w:r>
    <w:r>
      <w:fldChar w:fldCharType="separate"/>
    </w:r>
    <w:r>
      <w:t>29</w:t>
    </w:r>
    <w:r>
      <w:fldChar w:fldCharType="end"/>
    </w:r>
    <w:r>
      <w:t xml:space="preserve"> -</w:t>
    </w:r>
  </w:p>
  <w:p w14:paraId="066A60D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4"/>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5E46EE1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4"/>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4"/>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5"/>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9C354"/>
    <w:multiLevelType w:val="singleLevel"/>
    <w:tmpl w:val="9459C354"/>
    <w:lvl w:ilvl="0" w:tentative="0">
      <w:start w:val="1"/>
      <w:numFmt w:val="chineseCounting"/>
      <w:suff w:val="nothing"/>
      <w:lvlText w:val="（%1）"/>
      <w:lvlJc w:val="left"/>
      <w:rPr>
        <w:rFonts w:hint="eastAsia"/>
      </w:rPr>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AC98E3A"/>
    <w:multiLevelType w:val="singleLevel"/>
    <w:tmpl w:val="BAC98E3A"/>
    <w:lvl w:ilvl="0" w:tentative="0">
      <w:start w:val="1"/>
      <w:numFmt w:val="decimal"/>
      <w:lvlText w:val="%1."/>
      <w:lvlJc w:val="left"/>
      <w:pPr>
        <w:tabs>
          <w:tab w:val="left" w:pos="312"/>
        </w:tabs>
      </w:pPr>
    </w:lvl>
  </w:abstractNum>
  <w:abstractNum w:abstractNumId="4">
    <w:nsid w:val="CB627707"/>
    <w:multiLevelType w:val="singleLevel"/>
    <w:tmpl w:val="CB627707"/>
    <w:lvl w:ilvl="0" w:tentative="0">
      <w:start w:val="1"/>
      <w:numFmt w:val="decimal"/>
      <w:lvlText w:val="%1."/>
      <w:lvlJc w:val="left"/>
      <w:pPr>
        <w:tabs>
          <w:tab w:val="left" w:pos="312"/>
        </w:tabs>
      </w:pPr>
    </w:lvl>
  </w:abstractNum>
  <w:abstractNum w:abstractNumId="5">
    <w:nsid w:val="08072EA8"/>
    <w:multiLevelType w:val="multilevel"/>
    <w:tmpl w:val="08072EA8"/>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C4528C"/>
    <w:multiLevelType w:val="multilevel"/>
    <w:tmpl w:val="14C4528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9963A6D"/>
    <w:multiLevelType w:val="multilevel"/>
    <w:tmpl w:val="19963A6D"/>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0863CF"/>
    <w:multiLevelType w:val="multilevel"/>
    <w:tmpl w:val="1D0863CF"/>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5C0D7C"/>
    <w:multiLevelType w:val="multilevel"/>
    <w:tmpl w:val="3A5C0D7C"/>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71F015"/>
    <w:multiLevelType w:val="singleLevel"/>
    <w:tmpl w:val="4D71F015"/>
    <w:lvl w:ilvl="0" w:tentative="0">
      <w:start w:val="1"/>
      <w:numFmt w:val="decimal"/>
      <w:lvlText w:val="%1."/>
      <w:lvlJc w:val="left"/>
      <w:pPr>
        <w:tabs>
          <w:tab w:val="left" w:pos="312"/>
        </w:tabs>
      </w:pPr>
    </w:lvl>
  </w:abstractNum>
  <w:abstractNum w:abstractNumId="13">
    <w:nsid w:val="579B1594"/>
    <w:multiLevelType w:val="multilevel"/>
    <w:tmpl w:val="579B1594"/>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517936"/>
    <w:multiLevelType w:val="multilevel"/>
    <w:tmpl w:val="5B517936"/>
    <w:lvl w:ilvl="0" w:tentative="0">
      <w:start w:val="1"/>
      <w:numFmt w:val="decimal"/>
      <w:lvlText w:val="%1)"/>
      <w:lvlJc w:val="left"/>
      <w:pPr>
        <w:ind w:left="420" w:hanging="420"/>
      </w:pPr>
      <w:rPr>
        <w:rFonts w:hint="default" w:ascii="Tahoma" w:hAnsi="Tahoma" w:cs="Tahom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3"/>
  </w:num>
  <w:num w:numId="3">
    <w:abstractNumId w:val="4"/>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4BA0275"/>
    <w:rsid w:val="04DF1132"/>
    <w:rsid w:val="04EB6681"/>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1567B3"/>
    <w:rsid w:val="072B0FB7"/>
    <w:rsid w:val="07724E37"/>
    <w:rsid w:val="07B37245"/>
    <w:rsid w:val="07EC1177"/>
    <w:rsid w:val="08A54D99"/>
    <w:rsid w:val="08D916F2"/>
    <w:rsid w:val="08E33B14"/>
    <w:rsid w:val="09B4074E"/>
    <w:rsid w:val="09B47989"/>
    <w:rsid w:val="09CB6A81"/>
    <w:rsid w:val="0A0106F5"/>
    <w:rsid w:val="0A0F43A2"/>
    <w:rsid w:val="0A522CFE"/>
    <w:rsid w:val="0A537E82"/>
    <w:rsid w:val="0A652801"/>
    <w:rsid w:val="0A670558"/>
    <w:rsid w:val="0AC504CF"/>
    <w:rsid w:val="0AD31B13"/>
    <w:rsid w:val="0AFE47F8"/>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5B4403"/>
    <w:rsid w:val="0F5D008C"/>
    <w:rsid w:val="0F6627A1"/>
    <w:rsid w:val="0F9A5CF8"/>
    <w:rsid w:val="0FD3114F"/>
    <w:rsid w:val="0FEE5EBF"/>
    <w:rsid w:val="108300B5"/>
    <w:rsid w:val="108654B0"/>
    <w:rsid w:val="108C64EF"/>
    <w:rsid w:val="1097590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2CF29C5"/>
    <w:rsid w:val="12F0143E"/>
    <w:rsid w:val="13280779"/>
    <w:rsid w:val="134F24D1"/>
    <w:rsid w:val="13AA7707"/>
    <w:rsid w:val="13FF3EF7"/>
    <w:rsid w:val="144E2788"/>
    <w:rsid w:val="14806439"/>
    <w:rsid w:val="149C1746"/>
    <w:rsid w:val="14AB7BDB"/>
    <w:rsid w:val="14E4477F"/>
    <w:rsid w:val="14EE6121"/>
    <w:rsid w:val="15BD1BCA"/>
    <w:rsid w:val="15E05662"/>
    <w:rsid w:val="15FB113C"/>
    <w:rsid w:val="16105DC5"/>
    <w:rsid w:val="166E7112"/>
    <w:rsid w:val="16730284"/>
    <w:rsid w:val="16753FFC"/>
    <w:rsid w:val="16B965DF"/>
    <w:rsid w:val="16C32FBA"/>
    <w:rsid w:val="170E68D9"/>
    <w:rsid w:val="1741793A"/>
    <w:rsid w:val="1743234C"/>
    <w:rsid w:val="174B2FAF"/>
    <w:rsid w:val="17933E49"/>
    <w:rsid w:val="17966F3F"/>
    <w:rsid w:val="179901BE"/>
    <w:rsid w:val="17B13853"/>
    <w:rsid w:val="17C24EE1"/>
    <w:rsid w:val="17C27715"/>
    <w:rsid w:val="17C57205"/>
    <w:rsid w:val="17CB6D2A"/>
    <w:rsid w:val="17E4768B"/>
    <w:rsid w:val="17F31CE1"/>
    <w:rsid w:val="17FC3BA5"/>
    <w:rsid w:val="182513C0"/>
    <w:rsid w:val="18397E11"/>
    <w:rsid w:val="18735E22"/>
    <w:rsid w:val="194505FE"/>
    <w:rsid w:val="19687E48"/>
    <w:rsid w:val="196B1CEA"/>
    <w:rsid w:val="198E1EAE"/>
    <w:rsid w:val="19E05949"/>
    <w:rsid w:val="19F811CC"/>
    <w:rsid w:val="19FB3499"/>
    <w:rsid w:val="1A24288D"/>
    <w:rsid w:val="1B1B5294"/>
    <w:rsid w:val="1B356450"/>
    <w:rsid w:val="1B434F04"/>
    <w:rsid w:val="1B9C14FB"/>
    <w:rsid w:val="1BEB4F4B"/>
    <w:rsid w:val="1BEF4851"/>
    <w:rsid w:val="1BEF65FF"/>
    <w:rsid w:val="1BFE3C79"/>
    <w:rsid w:val="1C2C01A7"/>
    <w:rsid w:val="1C3154D0"/>
    <w:rsid w:val="1C4F3541"/>
    <w:rsid w:val="1C584649"/>
    <w:rsid w:val="1C792E22"/>
    <w:rsid w:val="1C9C6787"/>
    <w:rsid w:val="1CB01607"/>
    <w:rsid w:val="1CB57848"/>
    <w:rsid w:val="1CBF2475"/>
    <w:rsid w:val="1CF4323C"/>
    <w:rsid w:val="1D26253E"/>
    <w:rsid w:val="1D2D5631"/>
    <w:rsid w:val="1D345E0F"/>
    <w:rsid w:val="1D581D92"/>
    <w:rsid w:val="1D880AB9"/>
    <w:rsid w:val="1DAE2109"/>
    <w:rsid w:val="1DB9452C"/>
    <w:rsid w:val="1DDE5424"/>
    <w:rsid w:val="1DE33F41"/>
    <w:rsid w:val="1DE71C83"/>
    <w:rsid w:val="1E206809"/>
    <w:rsid w:val="1E210E91"/>
    <w:rsid w:val="1E5A0F1E"/>
    <w:rsid w:val="1E5A29B0"/>
    <w:rsid w:val="1E71779F"/>
    <w:rsid w:val="1E7948A6"/>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CB63E2"/>
    <w:rsid w:val="21DF0EC4"/>
    <w:rsid w:val="21EA204B"/>
    <w:rsid w:val="221C055F"/>
    <w:rsid w:val="223A4029"/>
    <w:rsid w:val="22525E8C"/>
    <w:rsid w:val="228D0920"/>
    <w:rsid w:val="22F26118"/>
    <w:rsid w:val="230A7A8F"/>
    <w:rsid w:val="23290736"/>
    <w:rsid w:val="23362D65"/>
    <w:rsid w:val="236E5E5F"/>
    <w:rsid w:val="2378337E"/>
    <w:rsid w:val="239A32F4"/>
    <w:rsid w:val="23A61C99"/>
    <w:rsid w:val="23C5440E"/>
    <w:rsid w:val="23F30C56"/>
    <w:rsid w:val="23F97868"/>
    <w:rsid w:val="24266C7C"/>
    <w:rsid w:val="244A2F6C"/>
    <w:rsid w:val="246A64EC"/>
    <w:rsid w:val="2472601F"/>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23053C"/>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357A8F"/>
    <w:rsid w:val="284461F5"/>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930A9D"/>
    <w:rsid w:val="2A967EB2"/>
    <w:rsid w:val="2AD417E1"/>
    <w:rsid w:val="2B065713"/>
    <w:rsid w:val="2B0D2CED"/>
    <w:rsid w:val="2B1B58EB"/>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89327A"/>
    <w:rsid w:val="2E954277"/>
    <w:rsid w:val="2ED53A12"/>
    <w:rsid w:val="2EDF69A7"/>
    <w:rsid w:val="2F1A79DF"/>
    <w:rsid w:val="2F2A413F"/>
    <w:rsid w:val="2F363171"/>
    <w:rsid w:val="2F487431"/>
    <w:rsid w:val="30311375"/>
    <w:rsid w:val="303B2136"/>
    <w:rsid w:val="30473F91"/>
    <w:rsid w:val="306058C5"/>
    <w:rsid w:val="30B023A9"/>
    <w:rsid w:val="30B919B9"/>
    <w:rsid w:val="30C714A1"/>
    <w:rsid w:val="311772A4"/>
    <w:rsid w:val="31186537"/>
    <w:rsid w:val="318C72AE"/>
    <w:rsid w:val="31B92B8B"/>
    <w:rsid w:val="31F17AA2"/>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AD2EE7"/>
    <w:rsid w:val="36F40B16"/>
    <w:rsid w:val="370C52DF"/>
    <w:rsid w:val="370C5E5F"/>
    <w:rsid w:val="374B6987"/>
    <w:rsid w:val="374D6BA3"/>
    <w:rsid w:val="374D74A9"/>
    <w:rsid w:val="375A306E"/>
    <w:rsid w:val="37AA6440"/>
    <w:rsid w:val="37AF0A14"/>
    <w:rsid w:val="37CE1367"/>
    <w:rsid w:val="37D746BF"/>
    <w:rsid w:val="37E528A4"/>
    <w:rsid w:val="38085F26"/>
    <w:rsid w:val="38426065"/>
    <w:rsid w:val="384A0187"/>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AF17846"/>
    <w:rsid w:val="3B007A89"/>
    <w:rsid w:val="3B027CA5"/>
    <w:rsid w:val="3B0A5A2B"/>
    <w:rsid w:val="3B2E2848"/>
    <w:rsid w:val="3B577944"/>
    <w:rsid w:val="3B5D4EDB"/>
    <w:rsid w:val="3B81506E"/>
    <w:rsid w:val="3BA60D07"/>
    <w:rsid w:val="3BA6272A"/>
    <w:rsid w:val="3BB22833"/>
    <w:rsid w:val="3BC4775F"/>
    <w:rsid w:val="3BE27C97"/>
    <w:rsid w:val="3BE473AB"/>
    <w:rsid w:val="3BFB1F35"/>
    <w:rsid w:val="3C9A513B"/>
    <w:rsid w:val="3CCD2793"/>
    <w:rsid w:val="3CDD0544"/>
    <w:rsid w:val="3CEB06BB"/>
    <w:rsid w:val="3CFA57E4"/>
    <w:rsid w:val="3D0221DE"/>
    <w:rsid w:val="3D1E60DF"/>
    <w:rsid w:val="3DE2791A"/>
    <w:rsid w:val="3E053B4B"/>
    <w:rsid w:val="3E151A9D"/>
    <w:rsid w:val="3E375EB7"/>
    <w:rsid w:val="3E38205E"/>
    <w:rsid w:val="3E384027"/>
    <w:rsid w:val="3E9E5F37"/>
    <w:rsid w:val="3EA47C68"/>
    <w:rsid w:val="3ED03C16"/>
    <w:rsid w:val="3EEB27FE"/>
    <w:rsid w:val="3EF25F54"/>
    <w:rsid w:val="3F3423F7"/>
    <w:rsid w:val="3F8E1B07"/>
    <w:rsid w:val="40161AFD"/>
    <w:rsid w:val="401D10DD"/>
    <w:rsid w:val="403326AF"/>
    <w:rsid w:val="408B6047"/>
    <w:rsid w:val="40AF442B"/>
    <w:rsid w:val="40E165AE"/>
    <w:rsid w:val="411C75E7"/>
    <w:rsid w:val="414F33CA"/>
    <w:rsid w:val="41540B2E"/>
    <w:rsid w:val="415E333C"/>
    <w:rsid w:val="418F600A"/>
    <w:rsid w:val="419B5FD1"/>
    <w:rsid w:val="419E1DAA"/>
    <w:rsid w:val="420D5851"/>
    <w:rsid w:val="422B6F8D"/>
    <w:rsid w:val="424B3CDF"/>
    <w:rsid w:val="426D19F0"/>
    <w:rsid w:val="42D31F27"/>
    <w:rsid w:val="42D33CD5"/>
    <w:rsid w:val="42FC5208"/>
    <w:rsid w:val="43341596"/>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6FE4779"/>
    <w:rsid w:val="473A07C7"/>
    <w:rsid w:val="47474F00"/>
    <w:rsid w:val="47762C36"/>
    <w:rsid w:val="477C0DDF"/>
    <w:rsid w:val="480212E4"/>
    <w:rsid w:val="482B73A4"/>
    <w:rsid w:val="482E5CBB"/>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392112"/>
    <w:rsid w:val="4D461C73"/>
    <w:rsid w:val="4D6A1826"/>
    <w:rsid w:val="4DB7789D"/>
    <w:rsid w:val="4E092CA1"/>
    <w:rsid w:val="4E111A5A"/>
    <w:rsid w:val="4E345F70"/>
    <w:rsid w:val="4E4156DB"/>
    <w:rsid w:val="4E93713A"/>
    <w:rsid w:val="4EA5427A"/>
    <w:rsid w:val="4F1456D4"/>
    <w:rsid w:val="4F754A92"/>
    <w:rsid w:val="4F9905AE"/>
    <w:rsid w:val="4FC33F25"/>
    <w:rsid w:val="4FD001C7"/>
    <w:rsid w:val="4FFF6109"/>
    <w:rsid w:val="500B71A4"/>
    <w:rsid w:val="501231C1"/>
    <w:rsid w:val="502E60F8"/>
    <w:rsid w:val="50334005"/>
    <w:rsid w:val="50572C95"/>
    <w:rsid w:val="505E4B9C"/>
    <w:rsid w:val="50A30487"/>
    <w:rsid w:val="50DD1804"/>
    <w:rsid w:val="51A52CE0"/>
    <w:rsid w:val="520D262F"/>
    <w:rsid w:val="521102F7"/>
    <w:rsid w:val="52195EFA"/>
    <w:rsid w:val="529674E9"/>
    <w:rsid w:val="52B1378F"/>
    <w:rsid w:val="535D3873"/>
    <w:rsid w:val="535D7DB8"/>
    <w:rsid w:val="53876B42"/>
    <w:rsid w:val="53C9097C"/>
    <w:rsid w:val="54153BAB"/>
    <w:rsid w:val="541908DA"/>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94AC1"/>
    <w:rsid w:val="56DB2C2D"/>
    <w:rsid w:val="56E4418B"/>
    <w:rsid w:val="57064221"/>
    <w:rsid w:val="5773022F"/>
    <w:rsid w:val="57770C7B"/>
    <w:rsid w:val="57DF277D"/>
    <w:rsid w:val="57E427B4"/>
    <w:rsid w:val="57E50495"/>
    <w:rsid w:val="580A1AEF"/>
    <w:rsid w:val="58776655"/>
    <w:rsid w:val="58B74216"/>
    <w:rsid w:val="58C16652"/>
    <w:rsid w:val="590752B6"/>
    <w:rsid w:val="591F15CA"/>
    <w:rsid w:val="595E0345"/>
    <w:rsid w:val="596D67DA"/>
    <w:rsid w:val="59760D08"/>
    <w:rsid w:val="599E6993"/>
    <w:rsid w:val="59A60DC8"/>
    <w:rsid w:val="59AC5554"/>
    <w:rsid w:val="59C8232E"/>
    <w:rsid w:val="59F15916"/>
    <w:rsid w:val="5A564466"/>
    <w:rsid w:val="5A902780"/>
    <w:rsid w:val="5A9F4737"/>
    <w:rsid w:val="5AA43BC5"/>
    <w:rsid w:val="5AAE2C06"/>
    <w:rsid w:val="5AE8436A"/>
    <w:rsid w:val="5AF80325"/>
    <w:rsid w:val="5B6339F0"/>
    <w:rsid w:val="5BF6561B"/>
    <w:rsid w:val="5BFA4C14"/>
    <w:rsid w:val="5C20557D"/>
    <w:rsid w:val="5C2A6C04"/>
    <w:rsid w:val="5C3543D2"/>
    <w:rsid w:val="5C406532"/>
    <w:rsid w:val="5C4E69BE"/>
    <w:rsid w:val="5CE36031"/>
    <w:rsid w:val="5CFC5838"/>
    <w:rsid w:val="5DB26EB1"/>
    <w:rsid w:val="5DBA559D"/>
    <w:rsid w:val="5DD85FC9"/>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0F6212A"/>
    <w:rsid w:val="61221DAA"/>
    <w:rsid w:val="61696F59"/>
    <w:rsid w:val="61D672CA"/>
    <w:rsid w:val="61E63AF5"/>
    <w:rsid w:val="62293072"/>
    <w:rsid w:val="626A2DAC"/>
    <w:rsid w:val="626F437F"/>
    <w:rsid w:val="62784498"/>
    <w:rsid w:val="62A86D6B"/>
    <w:rsid w:val="63293771"/>
    <w:rsid w:val="637C0DF3"/>
    <w:rsid w:val="637C7D45"/>
    <w:rsid w:val="639808F7"/>
    <w:rsid w:val="63EF1280"/>
    <w:rsid w:val="64565496"/>
    <w:rsid w:val="645F2960"/>
    <w:rsid w:val="64654C7D"/>
    <w:rsid w:val="646C7950"/>
    <w:rsid w:val="64BD496D"/>
    <w:rsid w:val="64BE25DF"/>
    <w:rsid w:val="64C44758"/>
    <w:rsid w:val="64E53734"/>
    <w:rsid w:val="64F23CBA"/>
    <w:rsid w:val="64F93617"/>
    <w:rsid w:val="65246D5E"/>
    <w:rsid w:val="655D3BA6"/>
    <w:rsid w:val="65655387"/>
    <w:rsid w:val="659A6BA8"/>
    <w:rsid w:val="65A50F20"/>
    <w:rsid w:val="65E5510B"/>
    <w:rsid w:val="65EF58FA"/>
    <w:rsid w:val="65FE7BFD"/>
    <w:rsid w:val="66AF4C3B"/>
    <w:rsid w:val="66EC6F90"/>
    <w:rsid w:val="66F2031E"/>
    <w:rsid w:val="676209A1"/>
    <w:rsid w:val="67AA7E58"/>
    <w:rsid w:val="67AB0BF9"/>
    <w:rsid w:val="67E662B3"/>
    <w:rsid w:val="68077DF9"/>
    <w:rsid w:val="680F6F74"/>
    <w:rsid w:val="6815773C"/>
    <w:rsid w:val="682C0B73"/>
    <w:rsid w:val="68382663"/>
    <w:rsid w:val="686314D3"/>
    <w:rsid w:val="6888718C"/>
    <w:rsid w:val="68E5527F"/>
    <w:rsid w:val="69480F43"/>
    <w:rsid w:val="69551B89"/>
    <w:rsid w:val="69A578CA"/>
    <w:rsid w:val="6A7343B6"/>
    <w:rsid w:val="6A9C03FA"/>
    <w:rsid w:val="6AB029CA"/>
    <w:rsid w:val="6AB40090"/>
    <w:rsid w:val="6AC47E05"/>
    <w:rsid w:val="6AD73D54"/>
    <w:rsid w:val="6ADE7537"/>
    <w:rsid w:val="6AE34B4E"/>
    <w:rsid w:val="6B1F6200"/>
    <w:rsid w:val="6B4A3375"/>
    <w:rsid w:val="6B825FC3"/>
    <w:rsid w:val="6B8359E9"/>
    <w:rsid w:val="6B9D0892"/>
    <w:rsid w:val="6C613F7C"/>
    <w:rsid w:val="6C631880"/>
    <w:rsid w:val="6C634D45"/>
    <w:rsid w:val="6C6D16B4"/>
    <w:rsid w:val="6C806253"/>
    <w:rsid w:val="6CB542C8"/>
    <w:rsid w:val="6CD74FCF"/>
    <w:rsid w:val="6CF748E0"/>
    <w:rsid w:val="6D15191A"/>
    <w:rsid w:val="6D52620C"/>
    <w:rsid w:val="6D7D3037"/>
    <w:rsid w:val="6D8E14DE"/>
    <w:rsid w:val="6D934609"/>
    <w:rsid w:val="6DAE50AD"/>
    <w:rsid w:val="6DD624F7"/>
    <w:rsid w:val="6DDA2238"/>
    <w:rsid w:val="6E0E1EE1"/>
    <w:rsid w:val="6E533D98"/>
    <w:rsid w:val="6E5A21EA"/>
    <w:rsid w:val="6EB8009F"/>
    <w:rsid w:val="6EC72090"/>
    <w:rsid w:val="6F0A3093"/>
    <w:rsid w:val="6F834B73"/>
    <w:rsid w:val="6F857F81"/>
    <w:rsid w:val="6F883155"/>
    <w:rsid w:val="6F9E1041"/>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D93738"/>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3B17B3"/>
    <w:rsid w:val="765B7C8E"/>
    <w:rsid w:val="76707B96"/>
    <w:rsid w:val="76726D86"/>
    <w:rsid w:val="768D36C7"/>
    <w:rsid w:val="76A85AB4"/>
    <w:rsid w:val="76C12BCB"/>
    <w:rsid w:val="76C3504D"/>
    <w:rsid w:val="76D045C7"/>
    <w:rsid w:val="770422FE"/>
    <w:rsid w:val="7746449A"/>
    <w:rsid w:val="775546DD"/>
    <w:rsid w:val="778C3E77"/>
    <w:rsid w:val="7796215A"/>
    <w:rsid w:val="77E31CE9"/>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DC4F1F"/>
    <w:rsid w:val="79EE2C15"/>
    <w:rsid w:val="7A0B3162"/>
    <w:rsid w:val="7A6C7707"/>
    <w:rsid w:val="7A7206F1"/>
    <w:rsid w:val="7A9B4AFD"/>
    <w:rsid w:val="7AA46F38"/>
    <w:rsid w:val="7B467F1D"/>
    <w:rsid w:val="7BA7772C"/>
    <w:rsid w:val="7BAB331D"/>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41"/>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paragraph" w:styleId="8">
    <w:name w:val="Normal Indent"/>
    <w:basedOn w:val="1"/>
    <w:next w:val="2"/>
    <w:qFormat/>
    <w:uiPriority w:val="0"/>
    <w:pPr>
      <w:ind w:firstLine="420"/>
    </w:pPr>
    <w:rPr>
      <w:szCs w:val="20"/>
    </w:rPr>
  </w:style>
  <w:style w:type="paragraph" w:styleId="9">
    <w:name w:val="Document Map"/>
    <w:basedOn w:val="1"/>
    <w:link w:val="40"/>
    <w:semiHidden/>
    <w:unhideWhenUsed/>
    <w:qFormat/>
    <w:uiPriority w:val="99"/>
    <w:rPr>
      <w:rFonts w:ascii="宋体" w:eastAsia="宋体"/>
      <w:sz w:val="18"/>
      <w:szCs w:val="18"/>
    </w:rPr>
  </w:style>
  <w:style w:type="paragraph" w:styleId="10">
    <w:name w:val="annotation text"/>
    <w:basedOn w:val="1"/>
    <w:link w:val="42"/>
    <w:unhideWhenUsed/>
    <w:qFormat/>
    <w:uiPriority w:val="99"/>
    <w:pPr>
      <w:jc w:val="left"/>
    </w:pPr>
  </w:style>
  <w:style w:type="paragraph" w:styleId="11">
    <w:name w:val="Plain Text"/>
    <w:basedOn w:val="1"/>
    <w:next w:val="12"/>
    <w:qFormat/>
    <w:uiPriority w:val="99"/>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6"/>
    <w:semiHidden/>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Body Text 2"/>
    <w:basedOn w:val="1"/>
    <w:qFormat/>
    <w:uiPriority w:val="0"/>
    <w:pPr>
      <w:spacing w:line="360" w:lineRule="auto"/>
    </w:pPr>
    <w:rPr>
      <w:sz w:val="24"/>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link w:val="37"/>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1">
    <w:name w:val="annotation subject"/>
    <w:basedOn w:val="10"/>
    <w:next w:val="10"/>
    <w:link w:val="43"/>
    <w:semiHidden/>
    <w:unhideWhenUsed/>
    <w:qFormat/>
    <w:uiPriority w:val="99"/>
    <w:rPr>
      <w:b/>
      <w:bCs/>
    </w:rPr>
  </w:style>
  <w:style w:type="paragraph" w:styleId="22">
    <w:name w:val="Body Text First Indent"/>
    <w:basedOn w:val="2"/>
    <w:qFormat/>
    <w:uiPriority w:val="0"/>
    <w:pPr>
      <w:spacing w:after="120" w:line="240" w:lineRule="auto"/>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character" w:customStyle="1" w:styleId="31">
    <w:name w:val="标题 3 Char"/>
    <w:qFormat/>
    <w:uiPriority w:val="0"/>
    <w:rPr>
      <w:rFonts w:ascii="黑体" w:eastAsia="黑体"/>
      <w:bCs/>
      <w:sz w:val="3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正文内容格式"/>
    <w:basedOn w:val="1"/>
    <w:qFormat/>
    <w:uiPriority w:val="0"/>
    <w:pPr>
      <w:widowControl/>
      <w:ind w:firstLine="482"/>
      <w:textAlignment w:val="baseline"/>
    </w:pPr>
    <w:rPr>
      <w:rFonts w:eastAsia="仿宋_GB2312"/>
      <w:kern w:val="0"/>
      <w:sz w:val="28"/>
    </w:rPr>
  </w:style>
  <w:style w:type="character" w:customStyle="1" w:styleId="34">
    <w:name w:val="页眉 字符"/>
    <w:basedOn w:val="25"/>
    <w:link w:val="15"/>
    <w:qFormat/>
    <w:uiPriority w:val="99"/>
    <w:rPr>
      <w:sz w:val="18"/>
      <w:szCs w:val="18"/>
    </w:rPr>
  </w:style>
  <w:style w:type="character" w:customStyle="1" w:styleId="35">
    <w:name w:val="页脚 字符"/>
    <w:basedOn w:val="25"/>
    <w:link w:val="14"/>
    <w:qFormat/>
    <w:uiPriority w:val="99"/>
    <w:rPr>
      <w:sz w:val="18"/>
      <w:szCs w:val="18"/>
    </w:rPr>
  </w:style>
  <w:style w:type="character" w:customStyle="1" w:styleId="36">
    <w:name w:val="批注框文本 字符"/>
    <w:basedOn w:val="25"/>
    <w:link w:val="13"/>
    <w:semiHidden/>
    <w:qFormat/>
    <w:uiPriority w:val="99"/>
    <w:rPr>
      <w:sz w:val="18"/>
      <w:szCs w:val="18"/>
    </w:rPr>
  </w:style>
  <w:style w:type="character" w:customStyle="1" w:styleId="37">
    <w:name w:val="普通(网站) 字符"/>
    <w:link w:val="19"/>
    <w:qFormat/>
    <w:uiPriority w:val="99"/>
    <w:rPr>
      <w:rFonts w:ascii="宋体" w:hAnsi="宋体"/>
      <w:sz w:val="24"/>
      <w:szCs w:val="24"/>
    </w:rPr>
  </w:style>
  <w:style w:type="character" w:customStyle="1" w:styleId="38">
    <w:name w:val="标题 1 字符"/>
    <w:basedOn w:val="25"/>
    <w:link w:val="4"/>
    <w:qFormat/>
    <w:uiPriority w:val="0"/>
    <w:rPr>
      <w:rFonts w:ascii="Arial" w:hAnsi="Arial" w:eastAsia="宋体" w:cs="Times New Roman"/>
      <w:b/>
      <w:bCs/>
      <w:kern w:val="44"/>
      <w:sz w:val="44"/>
      <w:szCs w:val="44"/>
    </w:rPr>
  </w:style>
  <w:style w:type="paragraph" w:styleId="39">
    <w:name w:val="List Paragraph"/>
    <w:basedOn w:val="1"/>
    <w:qFormat/>
    <w:uiPriority w:val="34"/>
    <w:pPr>
      <w:ind w:firstLine="420" w:firstLineChars="200"/>
    </w:pPr>
  </w:style>
  <w:style w:type="character" w:customStyle="1" w:styleId="40">
    <w:name w:val="文档结构图 字符"/>
    <w:basedOn w:val="25"/>
    <w:link w:val="9"/>
    <w:semiHidden/>
    <w:qFormat/>
    <w:uiPriority w:val="99"/>
    <w:rPr>
      <w:rFonts w:ascii="宋体" w:eastAsia="宋体"/>
      <w:sz w:val="18"/>
      <w:szCs w:val="18"/>
    </w:rPr>
  </w:style>
  <w:style w:type="character" w:customStyle="1" w:styleId="41">
    <w:name w:val="标题 2 字符"/>
    <w:basedOn w:val="25"/>
    <w:link w:val="5"/>
    <w:semiHidden/>
    <w:qFormat/>
    <w:uiPriority w:val="9"/>
    <w:rPr>
      <w:rFonts w:asciiTheme="majorHAnsi" w:hAnsiTheme="majorHAnsi" w:eastAsiaTheme="majorEastAsia" w:cstheme="majorBidi"/>
      <w:b/>
      <w:bCs/>
      <w:sz w:val="32"/>
      <w:szCs w:val="32"/>
    </w:rPr>
  </w:style>
  <w:style w:type="character" w:customStyle="1" w:styleId="42">
    <w:name w:val="批注文字 字符"/>
    <w:basedOn w:val="25"/>
    <w:link w:val="10"/>
    <w:qFormat/>
    <w:uiPriority w:val="99"/>
  </w:style>
  <w:style w:type="character" w:customStyle="1" w:styleId="43">
    <w:name w:val="批注主题 字符"/>
    <w:basedOn w:val="42"/>
    <w:link w:val="21"/>
    <w:semiHidden/>
    <w:qFormat/>
    <w:uiPriority w:val="99"/>
    <w:rPr>
      <w:b/>
      <w:bCs/>
    </w:rPr>
  </w:style>
  <w:style w:type="table" w:customStyle="1" w:styleId="44">
    <w:name w:val="网格型1"/>
    <w:basedOn w:val="2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6">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5"/>
    <w:qFormat/>
    <w:uiPriority w:val="0"/>
    <w:rPr>
      <w:rFonts w:hint="eastAsia" w:ascii="宋体" w:hAnsi="宋体" w:eastAsia="宋体" w:cs="宋体"/>
      <w:color w:val="000000"/>
      <w:sz w:val="22"/>
      <w:szCs w:val="22"/>
      <w:u w:val="none"/>
    </w:rPr>
  </w:style>
  <w:style w:type="character" w:customStyle="1" w:styleId="51">
    <w:name w:val="font31"/>
    <w:basedOn w:val="25"/>
    <w:qFormat/>
    <w:uiPriority w:val="0"/>
    <w:rPr>
      <w:rFonts w:hint="eastAsia" w:ascii="宋体" w:hAnsi="宋体" w:eastAsia="宋体" w:cs="宋体"/>
      <w:color w:val="000000"/>
      <w:sz w:val="22"/>
      <w:szCs w:val="22"/>
      <w:u w:val="none"/>
    </w:rPr>
  </w:style>
  <w:style w:type="character" w:customStyle="1" w:styleId="52">
    <w:name w:val="font51"/>
    <w:basedOn w:val="25"/>
    <w:qFormat/>
    <w:uiPriority w:val="0"/>
    <w:rPr>
      <w:rFonts w:hint="eastAsia" w:ascii="宋体" w:hAnsi="宋体" w:eastAsia="宋体" w:cs="宋体"/>
      <w:color w:val="000000"/>
      <w:sz w:val="21"/>
      <w:szCs w:val="21"/>
      <w:u w:val="none"/>
    </w:rPr>
  </w:style>
  <w:style w:type="character" w:customStyle="1" w:styleId="53">
    <w:name w:val="font61"/>
    <w:basedOn w:val="25"/>
    <w:qFormat/>
    <w:uiPriority w:val="0"/>
    <w:rPr>
      <w:rFonts w:hint="default" w:ascii="Times New Roman" w:hAnsi="Times New Roman" w:cs="Times New Roman"/>
      <w:color w:val="000000"/>
      <w:sz w:val="21"/>
      <w:szCs w:val="21"/>
      <w:u w:val="none"/>
    </w:rPr>
  </w:style>
  <w:style w:type="paragraph" w:customStyle="1" w:styleId="54">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font41"/>
    <w:qFormat/>
    <w:uiPriority w:val="0"/>
    <w:rPr>
      <w:rFonts w:hint="eastAsia" w:ascii="宋体" w:hAnsi="宋体" w:eastAsia="宋体"/>
      <w:color w:val="000000"/>
      <w:kern w:val="2"/>
      <w:sz w:val="18"/>
      <w:u w:val="none"/>
    </w:rPr>
  </w:style>
  <w:style w:type="paragraph" w:customStyle="1" w:styleId="56">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7">
    <w:name w:val="p0"/>
    <w:basedOn w:val="1"/>
    <w:qFormat/>
    <w:uiPriority w:val="0"/>
    <w:pPr>
      <w:widowControl/>
    </w:pPr>
    <w:rPr>
      <w:rFonts w:ascii="Times New Roman" w:hAnsi="Times New Roman"/>
      <w:kern w:val="0"/>
      <w:szCs w:val="21"/>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9">
    <w:name w:val="Table Normal_0"/>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58</Pages>
  <Words>4983</Words>
  <Characters>5165</Characters>
  <Lines>365</Lines>
  <Paragraphs>102</Paragraphs>
  <TotalTime>7</TotalTime>
  <ScaleCrop>false</ScaleCrop>
  <LinksUpToDate>false</LinksUpToDate>
  <CharactersWithSpaces>5180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DELL</cp:lastModifiedBy>
  <cp:lastPrinted>2021-01-15T01:17:00Z</cp:lastPrinted>
  <dcterms:modified xsi:type="dcterms:W3CDTF">2025-08-04T08:50:19Z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6974A1FA08494BF9B92936DA7D1314DD_13</vt:lpwstr>
  </property>
  <property fmtid="{D5CDD505-2E9C-101B-9397-08002B2CF9AE}" pid="4" name="KSOTemplateDocerSaveRecord">
    <vt:lpwstr>eyJoZGlkIjoiNTlhMzViMTBjOTVmZWEzNWZjMWMyNzhhYmM4YjU3ZmMifQ==</vt:lpwstr>
  </property>
</Properties>
</file>