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bookmarkStart w:id="145" w:name="_GoBack"/>
            <w:r>
              <w:rPr>
                <w:rFonts w:ascii="宋体" w:hAnsi="宋体" w:cs="宋体"/>
                <w:kern w:val="0"/>
                <w:sz w:val="30"/>
                <w:szCs w:val="30"/>
                <w:lang w:bidi="ar"/>
              </w:rPr>
              <w:t>项目编号</w:t>
            </w:r>
            <w:bookmarkEnd w:id="145"/>
            <w:r>
              <w:rPr>
                <w:rFonts w:ascii="宋体" w:hAnsi="宋体" w:cs="宋体"/>
                <w:kern w:val="0"/>
                <w:sz w:val="30"/>
                <w:szCs w:val="30"/>
                <w:lang w:bidi="ar"/>
              </w:rPr>
              <w:t>：</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PSZXCG-2025-00082</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sz w:val="30"/>
                <w:szCs w:val="30"/>
              </w:rPr>
            </w:pPr>
            <w:r>
              <w:rPr>
                <w:rFonts w:hint="default" w:ascii="宋体" w:hAnsi="宋体" w:cs="宋体"/>
                <w:b w:val="0"/>
                <w:bCs w:val="0"/>
                <w:kern w:val="0"/>
                <w:sz w:val="30"/>
                <w:szCs w:val="30"/>
                <w:lang w:bidi="ar"/>
              </w:rPr>
              <w:t>深圳市坪山区人民医院5家社康家具采购项目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Cs w:val="24"/>
                <w:lang w:val="en-US" w:eastAsia="zh-CN"/>
              </w:rPr>
            </w:pPr>
            <w:r>
              <w:rPr>
                <w:rFonts w:hint="eastAsia" w:ascii="宋体" w:hAnsi="宋体" w:cs="宋体"/>
                <w:szCs w:val="24"/>
                <w:lang w:val="en-US"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eastAsia="宋体" w:cs="宋体"/>
                <w:szCs w:val="24"/>
                <w:lang w:val="en-US" w:eastAsia="zh-CN"/>
              </w:rPr>
            </w:pPr>
            <w:r>
              <w:rPr>
                <w:rFonts w:hint="eastAsia" w:ascii="宋体" w:hAnsi="宋体" w:cs="宋体"/>
                <w:szCs w:val="24"/>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3" w:name="OLE_LINK1" w:colFirst="2" w:colLast="2"/>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宋体" w:hAnsi="宋体" w:eastAsia="宋体" w:cs="宋体"/>
                <w:kern w:val="2"/>
                <w:sz w:val="21"/>
                <w:szCs w:val="21"/>
                <w:lang w:val="en-US" w:eastAsia="zh-CN" w:bidi="ar-SA"/>
              </w:rPr>
            </w:pPr>
            <w:r>
              <w:rPr>
                <w:rFonts w:hint="eastAsia" w:ascii="宋体" w:hAnsi="宋体" w:cs="宋体"/>
                <w:kern w:val="0"/>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Cs w:val="21"/>
              </w:rPr>
              <w:t>所投产品▲参数响应情况评价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Cs w:val="21"/>
              </w:rPr>
              <w:t>30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b/>
                <w:bCs/>
                <w:szCs w:val="21"/>
              </w:rPr>
            </w:pPr>
            <w:r>
              <w:rPr>
                <w:rFonts w:hint="eastAsia" w:ascii="宋体" w:hAnsi="宋体" w:eastAsia="宋体" w:cs="宋体"/>
                <w:b/>
                <w:bCs/>
                <w:szCs w:val="21"/>
              </w:rPr>
              <w:t>（一）评分内容：</w:t>
            </w:r>
          </w:p>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szCs w:val="21"/>
              </w:rPr>
            </w:pPr>
            <w:r>
              <w:rPr>
                <w:rFonts w:hint="eastAsia" w:ascii="宋体" w:hAnsi="宋体" w:eastAsia="宋体" w:cs="宋体"/>
                <w:szCs w:val="21"/>
              </w:rPr>
              <w:t>所投产品▲符号技术参数响应情况，全部满足得100分；有负偏离的，每负偏离一条扣</w:t>
            </w:r>
            <w:r>
              <w:rPr>
                <w:rFonts w:hint="eastAsia" w:ascii="宋体" w:hAnsi="宋体" w:cs="宋体"/>
                <w:szCs w:val="21"/>
                <w:lang w:val="en-US" w:eastAsia="zh-CN"/>
              </w:rPr>
              <w:t>11.2</w:t>
            </w:r>
            <w:r>
              <w:rPr>
                <w:rFonts w:hint="eastAsia" w:ascii="宋体" w:hAnsi="宋体" w:eastAsia="宋体" w:cs="宋体"/>
                <w:szCs w:val="21"/>
              </w:rPr>
              <w:t>分，扣完为止。</w:t>
            </w:r>
          </w:p>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b/>
                <w:bCs/>
                <w:szCs w:val="21"/>
              </w:rPr>
            </w:pPr>
            <w:r>
              <w:rPr>
                <w:rFonts w:hint="eastAsia" w:ascii="宋体" w:hAnsi="宋体" w:eastAsia="宋体" w:cs="宋体"/>
                <w:b/>
                <w:bCs/>
                <w:szCs w:val="21"/>
              </w:rPr>
              <w:t>（二）评分依据：</w:t>
            </w:r>
          </w:p>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kern w:val="2"/>
                <w:sz w:val="21"/>
                <w:szCs w:val="21"/>
                <w:lang w:val="en-US" w:eastAsia="zh-CN" w:bidi="ar-SA"/>
              </w:rPr>
            </w:pPr>
            <w:r>
              <w:rPr>
                <w:rFonts w:hint="eastAsia" w:ascii="宋体" w:hAnsi="宋体" w:eastAsia="宋体" w:cs="宋体"/>
                <w:szCs w:val="21"/>
              </w:rPr>
              <w:t>提供《技术要求偏离表》，并按照招标文件的要求提供相关证明资料。投标人未提供相关证明材料或者提供的证明材料不符合要求的或提供的证明材料不清晰评审专家无法辨认的，该项参数按照负偏离处理，扣除相应分。</w:t>
            </w:r>
          </w:p>
        </w:tc>
      </w:tr>
      <w:bookmarkEnd w:id="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Cs w:val="21"/>
                <w:lang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Cs w:val="21"/>
              </w:rPr>
              <w:t>所投产品一般技术参数（非▲参数）响应情况评价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Cs w:val="21"/>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b/>
                <w:bCs/>
                <w:szCs w:val="21"/>
              </w:rPr>
            </w:pPr>
            <w:r>
              <w:rPr>
                <w:rFonts w:hint="eastAsia" w:ascii="宋体" w:hAnsi="宋体" w:eastAsia="宋体" w:cs="宋体"/>
                <w:b/>
                <w:bCs/>
                <w:szCs w:val="21"/>
              </w:rPr>
              <w:t>（一）评分内容：</w:t>
            </w:r>
          </w:p>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szCs w:val="21"/>
              </w:rPr>
            </w:pPr>
            <w:r>
              <w:rPr>
                <w:rFonts w:hint="eastAsia" w:ascii="宋体" w:hAnsi="宋体" w:eastAsia="宋体" w:cs="宋体"/>
                <w:szCs w:val="21"/>
              </w:rPr>
              <w:t>所投产品一般技术参数响应情况，全部满足得100分；有负偏离的，每负偏离一条扣</w:t>
            </w:r>
            <w:r>
              <w:rPr>
                <w:rFonts w:hint="eastAsia" w:ascii="宋体" w:hAnsi="宋体" w:eastAsia="宋体" w:cs="宋体"/>
                <w:szCs w:val="21"/>
                <w:lang w:val="en-US" w:eastAsia="zh-CN"/>
              </w:rPr>
              <w:t>0</w:t>
            </w:r>
            <w:r>
              <w:rPr>
                <w:rFonts w:hint="eastAsia" w:ascii="宋体" w:hAnsi="宋体" w:cs="宋体"/>
                <w:szCs w:val="21"/>
                <w:lang w:val="en-US" w:eastAsia="zh-CN"/>
              </w:rPr>
              <w:t>.52</w:t>
            </w:r>
            <w:r>
              <w:rPr>
                <w:rFonts w:hint="eastAsia" w:ascii="宋体" w:hAnsi="宋体" w:eastAsia="宋体" w:cs="宋体"/>
                <w:szCs w:val="21"/>
              </w:rPr>
              <w:t>分，扣完为止。</w:t>
            </w:r>
          </w:p>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b/>
                <w:bCs/>
                <w:szCs w:val="21"/>
              </w:rPr>
            </w:pPr>
            <w:r>
              <w:rPr>
                <w:rFonts w:hint="eastAsia" w:ascii="宋体" w:hAnsi="宋体" w:eastAsia="宋体" w:cs="宋体"/>
                <w:b/>
                <w:bCs/>
                <w:szCs w:val="21"/>
              </w:rPr>
              <w:t>（二）评分依据：</w:t>
            </w:r>
          </w:p>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kern w:val="2"/>
                <w:sz w:val="21"/>
                <w:szCs w:val="21"/>
                <w:lang w:val="en-US" w:eastAsia="zh-CN" w:bidi="ar-SA"/>
              </w:rPr>
            </w:pPr>
            <w:r>
              <w:rPr>
                <w:rFonts w:hint="eastAsia" w:ascii="宋体" w:hAnsi="宋体" w:eastAsia="宋体" w:cs="宋体"/>
                <w:szCs w:val="21"/>
              </w:rPr>
              <w:t>提供《技术要求偏离表》，并按照招标文件的要求提供相关证明资料。投标人未提供相关证明材料或者提供的证明材料不符合要求的或提供的证明材料不清晰评审专家无法辨认的，该项参数按照负偏离处理，扣除相应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ascii="宋体" w:hAnsi="宋体" w:cs="宋体"/>
                <w:kern w:val="0"/>
                <w:szCs w:val="21"/>
                <w:lang w:bidi="ar"/>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rPr>
              <w:t>技术保障措施</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b/>
                <w:bCs/>
              </w:rPr>
            </w:pPr>
            <w:r>
              <w:rPr>
                <w:rFonts w:hint="eastAsia" w:ascii="宋体" w:hAnsi="宋体" w:eastAsia="宋体" w:cs="宋体"/>
                <w:b/>
                <w:bCs/>
              </w:rPr>
              <w:t>（一）评分内容：</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投标人或核心产品制造商具备以下生产设备（名称不完全一致的设备需提供书面说明，以证明是同种设备）：</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1）数控冲床；</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2）光纤激光切割机；</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3）数控折弯机；</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4）电脑裁板锯；</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5）封边机；</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6）木工六排钻；</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7）喷粉涂装生产线。</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b/>
                <w:bCs/>
              </w:rPr>
            </w:pPr>
            <w:r>
              <w:rPr>
                <w:rFonts w:hint="eastAsia" w:ascii="宋体" w:hAnsi="宋体" w:eastAsia="宋体" w:cs="宋体"/>
                <w:b/>
                <w:bCs/>
                <w:lang w:val="zh-CN"/>
              </w:rPr>
              <w:t>（二）评</w:t>
            </w:r>
            <w:r>
              <w:rPr>
                <w:rFonts w:hint="eastAsia" w:ascii="宋体" w:hAnsi="宋体" w:eastAsia="宋体" w:cs="宋体"/>
                <w:b/>
                <w:lang w:val="zh-CN"/>
              </w:rPr>
              <w:t>分</w:t>
            </w:r>
            <w:r>
              <w:rPr>
                <w:rFonts w:hint="eastAsia" w:ascii="宋体" w:hAnsi="宋体" w:eastAsia="宋体" w:cs="宋体"/>
                <w:b/>
              </w:rPr>
              <w:t>依据</w:t>
            </w:r>
            <w:r>
              <w:rPr>
                <w:rFonts w:hint="eastAsia" w:ascii="宋体" w:hAnsi="宋体" w:eastAsia="宋体" w:cs="宋体"/>
                <w:b/>
                <w:lang w:val="zh-CN"/>
              </w:rPr>
              <w:t>：</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1）全部满足的得100分，具有上述任意6种设备的得</w:t>
            </w:r>
            <w:r>
              <w:rPr>
                <w:rFonts w:hint="eastAsia" w:ascii="宋体" w:hAnsi="宋体" w:eastAsia="宋体" w:cs="宋体"/>
                <w:lang w:val="en-US" w:eastAsia="zh-CN"/>
              </w:rPr>
              <w:t>80</w:t>
            </w:r>
            <w:r>
              <w:rPr>
                <w:rFonts w:hint="eastAsia" w:ascii="宋体" w:hAnsi="宋体" w:eastAsia="宋体" w:cs="宋体"/>
              </w:rPr>
              <w:t>分，具有上述任意5种设备的得</w:t>
            </w:r>
            <w:r>
              <w:rPr>
                <w:rFonts w:hint="eastAsia" w:ascii="宋体" w:hAnsi="宋体" w:eastAsia="宋体" w:cs="宋体"/>
                <w:lang w:val="en-US" w:eastAsia="zh-CN"/>
              </w:rPr>
              <w:t>60</w:t>
            </w:r>
            <w:r>
              <w:rPr>
                <w:rFonts w:hint="eastAsia" w:ascii="宋体" w:hAnsi="宋体" w:eastAsia="宋体" w:cs="宋体"/>
              </w:rPr>
              <w:t>分，其他情况不得分。同个设备不可重复计分。</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2）自有设备的：同时提供设备的购买合同关键页(应包含但不限于合同签约主体名称、设备名称、签订合同时间、签约主体公章等关键信息）及购买设备发票扫描件（发票抬头名称是投标人或核心产品制造商名称）。</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3）租赁设备的：需同时提供设备租赁合同关键页及租金支付发票扫描件（发票收款单位和付款单位名称</w:t>
            </w:r>
            <w:r>
              <w:rPr>
                <w:rFonts w:hint="eastAsia" w:ascii="宋体" w:hAnsi="宋体" w:eastAsia="宋体" w:cs="宋体"/>
                <w:lang w:val="en-US" w:eastAsia="zh-CN"/>
              </w:rPr>
              <w:t>需</w:t>
            </w:r>
            <w:r>
              <w:rPr>
                <w:rFonts w:hint="eastAsia" w:ascii="宋体" w:hAnsi="宋体" w:eastAsia="宋体" w:cs="宋体"/>
              </w:rPr>
              <w:t>与合同一致）；</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注：设备发票的公司名称</w:t>
            </w:r>
            <w:r>
              <w:rPr>
                <w:rFonts w:hint="eastAsia" w:ascii="宋体" w:hAnsi="宋体" w:eastAsia="宋体" w:cs="宋体"/>
                <w:lang w:val="en-US" w:eastAsia="zh-CN"/>
              </w:rPr>
              <w:t>需</w:t>
            </w:r>
            <w:r>
              <w:rPr>
                <w:rFonts w:hint="eastAsia" w:ascii="宋体" w:hAnsi="宋体" w:eastAsia="宋体" w:cs="宋体"/>
              </w:rPr>
              <w:t>与投标人或所投产品制造商名称一致（如前后投标人或所投产品制造商名称有变更的，提供市场监督管理局出具的“公司准予变更登记通知书”）</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4）相关证明材料的设备名称与招标文件要求的设备名称不一致的，需提供为同种设备的说明（投标人提供说明函，格式自拟）；</w:t>
            </w:r>
            <w:r>
              <w:rPr>
                <w:rFonts w:hint="eastAsia" w:ascii="宋体" w:hAnsi="宋体" w:eastAsia="宋体" w:cs="宋体"/>
                <w:lang w:val="en-US" w:eastAsia="zh-CN"/>
              </w:rPr>
              <w:t>若不完全一致又未提供说明的，则应作不得分处理</w:t>
            </w:r>
            <w:r>
              <w:rPr>
                <w:rFonts w:hint="eastAsia" w:ascii="宋体" w:hAnsi="宋体" w:eastAsia="宋体" w:cs="宋体"/>
              </w:rPr>
              <w:t>。</w:t>
            </w:r>
          </w:p>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ascii="宋体" w:hAnsi="宋体" w:cs="宋体"/>
                <w:kern w:val="0"/>
                <w:szCs w:val="21"/>
                <w:lang w:bidi="ar"/>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rPr>
              <w:t>项目实施方案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4</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b/>
              </w:rPr>
            </w:pPr>
            <w:r>
              <w:rPr>
                <w:rFonts w:hint="eastAsia" w:ascii="宋体" w:hAnsi="宋体" w:eastAsia="宋体" w:cs="宋体"/>
                <w:b/>
              </w:rPr>
              <w:t>（一）评分内容</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投标人提供的项目实施方案，内容应包括：</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1.安装（施工）方案及进度安排；</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2.质量控制措施；</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3.用于本项目的安全保障措施。</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b/>
              </w:rPr>
            </w:pPr>
            <w:r>
              <w:rPr>
                <w:rFonts w:hint="eastAsia" w:ascii="宋体" w:hAnsi="宋体" w:eastAsia="宋体" w:cs="宋体"/>
                <w:b/>
              </w:rPr>
              <w:t>（二）评分依据</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1.满足上述三项内容的得20分；满足上述任意二项内容的得10分；满足上述任意一项内容的得5分；其他情况不得分。</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2.在此基础上，专家根据各供应商的具体响应内容按照量化的评审因素指标进一步评审：</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（1）方案整体科学合理、针对性强、可操作性强，评审为优的，加80分；</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（2）方案较合理、有一定针对性、一定可操作性，评审为良的，加30分；</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（3）方案不尽合理、针对性一般、可操作性一般，评审为中的，加10分；</w:t>
            </w:r>
          </w:p>
          <w:p>
            <w:pPr>
              <w:keepNext w:val="0"/>
              <w:keepLines w:val="0"/>
              <w:pageBreakBefore w:val="0"/>
              <w:widowControl/>
              <w:kinsoku/>
              <w:overflowPunct/>
              <w:topLinePunct w:val="0"/>
              <w:autoSpaceDE/>
              <w:autoSpaceDN/>
              <w:bidi w:val="0"/>
              <w:adjustRightInd/>
              <w:snapToGrid/>
              <w:spacing w:line="240" w:lineRule="auto"/>
              <w:textAlignment w:val="center"/>
              <w:rPr>
                <w:rFonts w:hint="eastAsia" w:ascii="宋体" w:hAnsi="宋体" w:eastAsia="宋体" w:cs="宋体"/>
              </w:rPr>
            </w:pPr>
            <w:r>
              <w:rPr>
                <w:rFonts w:hint="eastAsia" w:ascii="宋体" w:hAnsi="宋体" w:eastAsia="宋体" w:cs="宋体"/>
              </w:rPr>
              <w:t>（4）方案不合理、无针对性、无可操作性，评审为差的，不加分。</w:t>
            </w:r>
          </w:p>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宋体" w:hAnsi="宋体" w:eastAsia="宋体" w:cs="宋体"/>
                <w:kern w:val="2"/>
                <w:sz w:val="21"/>
                <w:szCs w:val="21"/>
                <w:lang w:val="en-US" w:eastAsia="zh-CN" w:bidi="ar-SA"/>
              </w:rPr>
            </w:pPr>
            <w:r>
              <w:rPr>
                <w:rFonts w:hint="eastAsia" w:ascii="宋体" w:hAnsi="宋体" w:eastAsia="宋体" w:cs="宋体"/>
              </w:rPr>
              <w:t>以上2项得分累计，最高得100分。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4" w:name="OLE_LINK2" w:colFirst="2" w:colLast="2"/>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Cs w:val="21"/>
                <w:lang w:bidi="ar"/>
              </w:rPr>
              <w:t>5</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val="0"/>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售后服务方案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val="0"/>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4</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kinsoku/>
              <w:overflowPunct/>
              <w:topLinePunct w:val="0"/>
              <w:autoSpaceDE/>
              <w:autoSpaceDN/>
              <w:bidi w:val="0"/>
              <w:adjustRightInd/>
              <w:snapToGrid/>
              <w:spacing w:line="240" w:lineRule="auto"/>
              <w:jc w:val="left"/>
              <w:rPr>
                <w:rFonts w:hint="eastAsia" w:ascii="宋体" w:hAnsi="宋体" w:eastAsia="宋体" w:cs="宋体"/>
                <w:b/>
                <w:bCs/>
                <w:szCs w:val="21"/>
              </w:rPr>
            </w:pPr>
            <w:r>
              <w:rPr>
                <w:rFonts w:hint="eastAsia" w:ascii="宋体" w:hAnsi="宋体" w:eastAsia="宋体" w:cs="宋体"/>
                <w:b/>
                <w:bCs/>
                <w:szCs w:val="21"/>
              </w:rPr>
              <w:t>评分内容：</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szCs w:val="21"/>
              </w:rPr>
              <w:t>根</w:t>
            </w:r>
            <w:r>
              <w:rPr>
                <w:rFonts w:hint="eastAsia" w:ascii="宋体" w:hAnsi="宋体" w:eastAsia="宋体" w:cs="宋体"/>
              </w:rPr>
              <w:t>据投标人提供的售后服务方案包括以下内容：</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1.故障响应时间；</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2.维修保养方案</w:t>
            </w:r>
            <w:r>
              <w:rPr>
                <w:rFonts w:hint="eastAsia" w:ascii="宋体" w:hAnsi="宋体" w:eastAsia="宋体" w:cs="宋体"/>
                <w:lang w:eastAsia="zh-CN"/>
              </w:rPr>
              <w:t>；</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lang w:val="en-US" w:eastAsia="zh-CN"/>
              </w:rPr>
            </w:pPr>
            <w:r>
              <w:rPr>
                <w:rFonts w:hint="eastAsia" w:ascii="宋体" w:hAnsi="宋体" w:eastAsia="宋体" w:cs="宋体"/>
                <w:lang w:val="en-US" w:eastAsia="zh-CN"/>
              </w:rPr>
              <w:t>3.售后服务应急措施。</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b/>
              </w:rPr>
            </w:pPr>
            <w:r>
              <w:rPr>
                <w:rFonts w:hint="eastAsia" w:ascii="宋体" w:hAnsi="宋体" w:eastAsia="宋体" w:cs="宋体"/>
                <w:b/>
              </w:rPr>
              <w:t>（二）评分依据</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1.满足上述</w:t>
            </w:r>
            <w:r>
              <w:rPr>
                <w:rFonts w:hint="eastAsia" w:ascii="宋体" w:hAnsi="宋体" w:eastAsia="宋体" w:cs="宋体"/>
                <w:lang w:val="en-US" w:eastAsia="zh-CN"/>
              </w:rPr>
              <w:t>三</w:t>
            </w:r>
            <w:r>
              <w:rPr>
                <w:rFonts w:hint="eastAsia" w:ascii="宋体" w:hAnsi="宋体" w:eastAsia="宋体" w:cs="宋体"/>
              </w:rPr>
              <w:t>项内容的得20分；满足上述任意二项内容的得10分；满足上述任意一项内容的得5分；其他情况不得分。</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2.在此基础上，专家根据各供应商的具体响应内容按照量化的评审因素指标进一步评审：</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（1）方案整体科学合理、针对性强、可操作性强，评审为优的，加80分；</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（2）方案较合理、有一定针对性、一定可操作性，评审为良的，加</w:t>
            </w:r>
            <w:r>
              <w:rPr>
                <w:rFonts w:hint="eastAsia" w:ascii="宋体" w:hAnsi="宋体" w:eastAsia="宋体" w:cs="宋体"/>
                <w:lang w:val="en-US" w:eastAsia="zh-CN"/>
              </w:rPr>
              <w:t>40</w:t>
            </w:r>
            <w:r>
              <w:rPr>
                <w:rFonts w:hint="eastAsia" w:ascii="宋体" w:hAnsi="宋体" w:eastAsia="宋体" w:cs="宋体"/>
              </w:rPr>
              <w:t>分；</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（3）方案不尽合理、针对性一般、可操作性一般，评审为中的，加</w:t>
            </w:r>
            <w:r>
              <w:rPr>
                <w:rFonts w:hint="eastAsia" w:ascii="宋体" w:hAnsi="宋体" w:eastAsia="宋体" w:cs="宋体"/>
                <w:lang w:val="en-US" w:eastAsia="zh-CN"/>
              </w:rPr>
              <w:t>20</w:t>
            </w:r>
            <w:r>
              <w:rPr>
                <w:rFonts w:hint="eastAsia" w:ascii="宋体" w:hAnsi="宋体" w:eastAsia="宋体" w:cs="宋体"/>
              </w:rPr>
              <w:t>分；</w:t>
            </w:r>
          </w:p>
          <w:p>
            <w:pPr>
              <w:keepNext w:val="0"/>
              <w:keepLines w:val="0"/>
              <w:pageBreakBefore w:val="0"/>
              <w:widowControl/>
              <w:kinsoku/>
              <w:overflowPunct/>
              <w:topLinePunct w:val="0"/>
              <w:autoSpaceDE/>
              <w:autoSpaceDN/>
              <w:bidi w:val="0"/>
              <w:adjustRightInd/>
              <w:snapToGrid/>
              <w:spacing w:line="240" w:lineRule="auto"/>
              <w:textAlignment w:val="center"/>
              <w:rPr>
                <w:rFonts w:hint="eastAsia" w:ascii="宋体" w:hAnsi="宋体" w:eastAsia="宋体" w:cs="宋体"/>
              </w:rPr>
            </w:pPr>
            <w:r>
              <w:rPr>
                <w:rFonts w:hint="eastAsia" w:ascii="宋体" w:hAnsi="宋体" w:eastAsia="宋体" w:cs="宋体"/>
              </w:rPr>
              <w:t>（4）方案不合理、无针对性、无可操作性，评审为差的，不加分。</w:t>
            </w:r>
          </w:p>
          <w:p>
            <w:pPr>
              <w:keepNext w:val="0"/>
              <w:keepLines w:val="0"/>
              <w:pageBreakBefore w:val="0"/>
              <w:kinsoku/>
              <w:overflowPunct/>
              <w:topLinePunct w:val="0"/>
              <w:autoSpaceDE/>
              <w:autoSpaceDN/>
              <w:bidi w:val="0"/>
              <w:adjustRightInd/>
              <w:snapToGrid/>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rPr>
              <w:t>以上2项得分累计，最高得100分。</w:t>
            </w:r>
          </w:p>
        </w:tc>
      </w:tr>
      <w:bookmarkEnd w:id="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6</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val="0"/>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效果图情况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val="0"/>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kinsoku/>
              <w:overflowPunct/>
              <w:topLinePunct w:val="0"/>
              <w:autoSpaceDE/>
              <w:autoSpaceDN/>
              <w:bidi w:val="0"/>
              <w:adjustRightInd/>
              <w:snapToGrid/>
              <w:spacing w:line="240" w:lineRule="auto"/>
              <w:jc w:val="left"/>
              <w:rPr>
                <w:rFonts w:hint="eastAsia" w:ascii="宋体" w:hAnsi="宋体" w:eastAsia="宋体" w:cs="宋体"/>
                <w:b/>
                <w:bCs/>
                <w:szCs w:val="21"/>
              </w:rPr>
            </w:pPr>
            <w:r>
              <w:rPr>
                <w:rFonts w:hint="eastAsia" w:ascii="宋体" w:hAnsi="宋体" w:eastAsia="宋体" w:cs="宋体"/>
                <w:b/>
                <w:bCs/>
                <w:szCs w:val="21"/>
              </w:rPr>
              <w:t>（一）评分内容：</w:t>
            </w:r>
          </w:p>
          <w:p>
            <w:pPr>
              <w:keepNext w:val="0"/>
              <w:keepLines w:val="0"/>
              <w:pageBreakBefore w:val="0"/>
              <w:kinsoku/>
              <w:overflowPunct/>
              <w:topLinePunct w:val="0"/>
              <w:autoSpaceDE/>
              <w:autoSpaceDN/>
              <w:bidi w:val="0"/>
              <w:adjustRightInd/>
              <w:snapToGrid/>
              <w:spacing w:line="240" w:lineRule="auto"/>
              <w:jc w:val="left"/>
              <w:rPr>
                <w:rFonts w:hint="eastAsia" w:ascii="宋体" w:hAnsi="宋体" w:eastAsia="宋体" w:cs="宋体"/>
                <w:bCs/>
                <w:szCs w:val="21"/>
              </w:rPr>
            </w:pPr>
            <w:r>
              <w:rPr>
                <w:rFonts w:hint="eastAsia" w:ascii="宋体" w:hAnsi="宋体" w:eastAsia="宋体" w:cs="宋体"/>
                <w:bCs/>
                <w:szCs w:val="21"/>
              </w:rPr>
              <w:t>根据采购人提供的平面图为参考（详见平面图纸），提供三个区域的整体场景效果图（</w:t>
            </w:r>
            <w:r>
              <w:rPr>
                <w:rFonts w:hint="eastAsia" w:ascii="宋体" w:hAnsi="宋体" w:eastAsia="宋体" w:cs="宋体"/>
              </w:rPr>
              <w:t>每个区域不少于三个角度</w:t>
            </w:r>
            <w:r>
              <w:rPr>
                <w:rFonts w:hint="eastAsia" w:ascii="宋体" w:hAnsi="宋体" w:eastAsia="宋体" w:cs="宋体"/>
                <w:bCs/>
                <w:szCs w:val="21"/>
              </w:rPr>
              <w:t>）</w:t>
            </w:r>
            <w:r>
              <w:rPr>
                <w:rFonts w:hint="eastAsia" w:ascii="宋体" w:hAnsi="宋体" w:eastAsia="宋体" w:cs="宋体"/>
              </w:rPr>
              <w:t>。</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b/>
              </w:rPr>
            </w:pPr>
            <w:r>
              <w:rPr>
                <w:rFonts w:hint="eastAsia" w:ascii="宋体" w:hAnsi="宋体" w:eastAsia="宋体" w:cs="宋体"/>
                <w:b/>
              </w:rPr>
              <w:t>（二）评分依据：</w:t>
            </w:r>
          </w:p>
          <w:p>
            <w:pPr>
              <w:keepNext w:val="0"/>
              <w:keepLines w:val="0"/>
              <w:pageBreakBefore w:val="0"/>
              <w:kinsoku/>
              <w:overflowPunct/>
              <w:topLinePunct w:val="0"/>
              <w:autoSpaceDE/>
              <w:autoSpaceDN/>
              <w:bidi w:val="0"/>
              <w:adjustRightInd/>
              <w:snapToGrid/>
              <w:spacing w:line="240" w:lineRule="auto"/>
              <w:jc w:val="left"/>
              <w:rPr>
                <w:rFonts w:hint="eastAsia" w:ascii="宋体" w:hAnsi="宋体" w:eastAsia="宋体" w:cs="宋体"/>
                <w:bCs/>
                <w:szCs w:val="21"/>
              </w:rPr>
            </w:pPr>
            <w:r>
              <w:rPr>
                <w:rFonts w:hint="eastAsia" w:ascii="宋体" w:hAnsi="宋体" w:eastAsia="宋体" w:cs="宋体"/>
                <w:bCs/>
                <w:szCs w:val="21"/>
              </w:rPr>
              <w:t>1、</w:t>
            </w:r>
            <w:r>
              <w:rPr>
                <w:rFonts w:hint="eastAsia" w:ascii="宋体" w:hAnsi="宋体" w:eastAsia="宋体" w:cs="宋体"/>
              </w:rPr>
              <w:t>提供符合三个区域的空间设计场景效果图（体现该区域的全部布置产品），且每个区域不少于三个角度的得20分，不符合或提供不完整的不得分</w:t>
            </w:r>
            <w:r>
              <w:rPr>
                <w:rFonts w:hint="eastAsia" w:ascii="宋体" w:hAnsi="宋体" w:eastAsia="宋体" w:cs="宋体"/>
                <w:bCs/>
                <w:szCs w:val="21"/>
              </w:rPr>
              <w:t>。</w:t>
            </w:r>
          </w:p>
          <w:p>
            <w:pPr>
              <w:keepNext w:val="0"/>
              <w:keepLines w:val="0"/>
              <w:pageBreakBefore w:val="0"/>
              <w:kinsoku/>
              <w:overflowPunct/>
              <w:topLinePunct w:val="0"/>
              <w:autoSpaceDE/>
              <w:autoSpaceDN/>
              <w:bidi w:val="0"/>
              <w:adjustRightInd/>
              <w:snapToGrid/>
              <w:spacing w:line="240" w:lineRule="auto"/>
              <w:jc w:val="left"/>
              <w:rPr>
                <w:rFonts w:hint="eastAsia" w:ascii="宋体" w:hAnsi="宋体" w:eastAsia="宋体" w:cs="宋体"/>
                <w:bCs/>
                <w:szCs w:val="21"/>
              </w:rPr>
            </w:pPr>
            <w:r>
              <w:rPr>
                <w:rFonts w:hint="eastAsia" w:ascii="宋体" w:hAnsi="宋体" w:eastAsia="宋体" w:cs="宋体"/>
                <w:bCs/>
                <w:szCs w:val="21"/>
              </w:rPr>
              <w:t>2、</w:t>
            </w:r>
            <w:r>
              <w:rPr>
                <w:rFonts w:hint="eastAsia" w:ascii="宋体" w:hAnsi="宋体" w:eastAsia="宋体" w:cs="宋体"/>
              </w:rPr>
              <w:t>在此基础上，专家根据各供应商的具体响应内容按照量化的评审因素指标进一步评审：</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 xml:space="preserve">（1）设计合理、实用性强，图片清晰、整体布置效果完全符合场地需求的评价为优，加80分； </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 xml:space="preserve">（2）设计较为合理、实用性一般，图片清晰、整体效果基本符合场地需求的评价为良，加30 分； </w:t>
            </w:r>
          </w:p>
          <w:p>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rPr>
              <w:t xml:space="preserve">（3）设计合理性较差、实用性较差，图片清晰、整体效果不符合场地需求的评价为中，加10 分； </w:t>
            </w:r>
          </w:p>
          <w:p>
            <w:pPr>
              <w:keepNext w:val="0"/>
              <w:keepLines w:val="0"/>
              <w:pageBreakBefore w:val="0"/>
              <w:kinsoku/>
              <w:overflowPunct/>
              <w:topLinePunct w:val="0"/>
              <w:autoSpaceDE/>
              <w:autoSpaceDN/>
              <w:bidi w:val="0"/>
              <w:adjustRightInd/>
              <w:snapToGrid/>
              <w:spacing w:line="240" w:lineRule="auto"/>
              <w:jc w:val="left"/>
              <w:rPr>
                <w:rFonts w:hint="eastAsia" w:ascii="宋体" w:hAnsi="宋体" w:eastAsia="宋体" w:cs="宋体"/>
                <w:kern w:val="2"/>
                <w:sz w:val="21"/>
                <w:szCs w:val="24"/>
                <w:lang w:val="en-US" w:eastAsia="zh-CN" w:bidi="ar-SA"/>
              </w:rPr>
            </w:pPr>
            <w:r>
              <w:rPr>
                <w:rFonts w:hint="eastAsia" w:ascii="宋体" w:hAnsi="宋体" w:eastAsia="宋体" w:cs="宋体"/>
              </w:rPr>
              <w:t>（4）未按要求提供或提供的材料不能证明相关情况的或提供图片模糊不清晰导致专家无法判断的不加分。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7</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节能环保情况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宋体"/>
                <w:sz w:val="21"/>
                <w:szCs w:val="21"/>
                <w:lang w:val="en-US" w:eastAsia="zh-CN"/>
              </w:rPr>
            </w:pPr>
            <w:r>
              <w:rPr>
                <w:rFonts w:hint="eastAsia"/>
                <w:sz w:val="21"/>
                <w:szCs w:val="21"/>
                <w:lang w:val="en-US" w:eastAsia="zh-CN"/>
              </w:rPr>
              <w:t>1</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widowControl/>
              <w:wordWrap w:val="0"/>
              <w:ind w:firstLine="420" w:firstLineChars="200"/>
              <w:jc w:val="left"/>
              <w:textAlignment w:val="top"/>
              <w:rPr>
                <w:rFonts w:hint="eastAsia"/>
                <w:sz w:val="21"/>
                <w:szCs w:val="21"/>
              </w:rPr>
            </w:pPr>
            <w:r>
              <w:rPr>
                <w:rFonts w:hint="eastAsia"/>
                <w:sz w:val="21"/>
                <w:szCs w:val="21"/>
              </w:rPr>
              <w:t>根据《关于印发节能产品政府采购品目清单的通知》（财库〔2019〕19号）以及《关于印发环境标志产品政府采购品目清单的通知》（财库〔2019〕18号）的要求，投标人所投任一产品（以第三章 用户需求书 二、货物</w:t>
            </w:r>
            <w:r>
              <w:rPr>
                <w:rFonts w:hint="eastAsia"/>
                <w:sz w:val="21"/>
                <w:szCs w:val="21"/>
                <w:lang w:val="en-US" w:eastAsia="zh-CN"/>
              </w:rPr>
              <w:t>清单</w:t>
            </w:r>
            <w:r>
              <w:rPr>
                <w:rFonts w:hint="eastAsia"/>
                <w:sz w:val="21"/>
                <w:szCs w:val="21"/>
              </w:rPr>
              <w:t>明细中“货物名称”为准）被列入节能产品政府采购品目清单（政府强制采购产品除外）或环境标志产品政府采购品目清单的得100分。</w:t>
            </w:r>
          </w:p>
          <w:p>
            <w:pPr>
              <w:widowControl/>
              <w:wordWrap w:val="0"/>
              <w:ind w:firstLine="420" w:firstLineChars="200"/>
              <w:jc w:val="left"/>
              <w:textAlignment w:val="top"/>
              <w:rPr>
                <w:sz w:val="21"/>
                <w:szCs w:val="21"/>
              </w:rPr>
            </w:pPr>
            <w:r>
              <w:rPr>
                <w:rFonts w:hint="eastAsia"/>
                <w:sz w:val="21"/>
                <w:szCs w:val="21"/>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b/>
                <w:bCs/>
                <w:color w:val="0000FF"/>
                <w:sz w:val="21"/>
                <w:szCs w:val="21"/>
              </w:rPr>
              <w:t>综合实力</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体系认证情况评价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jc w:val="left"/>
              <w:rPr>
                <w:rFonts w:hint="eastAsia" w:ascii="宋体" w:hAnsi="宋体" w:eastAsia="宋体" w:cs="宋体"/>
                <w:b/>
                <w:bCs/>
                <w:sz w:val="21"/>
                <w:szCs w:val="21"/>
              </w:rPr>
            </w:pPr>
            <w:r>
              <w:rPr>
                <w:rFonts w:hint="eastAsia" w:ascii="宋体" w:hAnsi="宋体" w:eastAsia="宋体" w:cs="宋体"/>
                <w:b/>
                <w:bCs/>
                <w:sz w:val="21"/>
                <w:szCs w:val="21"/>
              </w:rPr>
              <w:t>（一）评审内容：</w:t>
            </w:r>
          </w:p>
          <w:p>
            <w:pPr>
              <w:rPr>
                <w:rFonts w:hint="eastAsia" w:ascii="宋体" w:hAnsi="宋体" w:eastAsia="宋体" w:cs="宋体"/>
                <w:sz w:val="21"/>
                <w:szCs w:val="21"/>
                <w:lang w:val="zh-CN"/>
              </w:rPr>
            </w:pPr>
            <w:r>
              <w:rPr>
                <w:rFonts w:hint="eastAsia" w:ascii="宋体" w:hAnsi="宋体" w:eastAsia="宋体" w:cs="宋体"/>
                <w:sz w:val="21"/>
                <w:szCs w:val="21"/>
                <w:lang w:val="zh-CN"/>
              </w:rPr>
              <w:t>投标人具有以下有效期内的证书情况：</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zh-CN"/>
              </w:rPr>
              <w:t>质量管理体系认证证书，认证范围（适用范围）含：钢木家具</w:t>
            </w:r>
            <w:r>
              <w:rPr>
                <w:rFonts w:hint="eastAsia" w:ascii="宋体" w:hAnsi="宋体" w:eastAsia="宋体" w:cs="宋体"/>
                <w:sz w:val="21"/>
                <w:szCs w:val="21"/>
              </w:rPr>
              <w:t>。</w:t>
            </w:r>
          </w:p>
          <w:p>
            <w:pPr>
              <w:rPr>
                <w:rFonts w:hint="eastAsia" w:ascii="宋体" w:hAnsi="宋体" w:eastAsia="宋体" w:cs="宋体"/>
                <w:sz w:val="21"/>
                <w:szCs w:val="21"/>
                <w:lang w:val="zh-CN"/>
              </w:rPr>
            </w:pPr>
            <w:r>
              <w:rPr>
                <w:rFonts w:hint="eastAsia" w:ascii="宋体" w:hAnsi="宋体" w:eastAsia="宋体" w:cs="宋体"/>
                <w:sz w:val="21"/>
                <w:szCs w:val="21"/>
                <w:lang w:val="zh-CN"/>
              </w:rPr>
              <w:t>2.环境管理体系认证证书，认证产品名称或认证单元或产品类别含：钢木家具；</w:t>
            </w:r>
          </w:p>
          <w:p>
            <w:pPr>
              <w:rPr>
                <w:rFonts w:hint="eastAsia" w:ascii="宋体" w:hAnsi="宋体" w:eastAsia="宋体" w:cs="宋体"/>
                <w:sz w:val="21"/>
                <w:szCs w:val="21"/>
                <w:lang w:val="zh-CN"/>
              </w:rPr>
            </w:pPr>
            <w:r>
              <w:rPr>
                <w:rFonts w:hint="eastAsia" w:ascii="宋体" w:hAnsi="宋体" w:eastAsia="宋体" w:cs="宋体"/>
                <w:sz w:val="21"/>
                <w:szCs w:val="21"/>
                <w:lang w:val="zh-CN"/>
              </w:rPr>
              <w:t>3.中国绿色产品认证证书，认证产品名称或认证单元或认证类别含：钢木家具；</w:t>
            </w:r>
          </w:p>
          <w:p>
            <w:pPr>
              <w:rPr>
                <w:rFonts w:hint="eastAsia" w:ascii="宋体" w:hAnsi="宋体" w:eastAsia="宋体" w:cs="宋体"/>
                <w:sz w:val="21"/>
                <w:szCs w:val="21"/>
                <w:lang w:val="zh-CN"/>
              </w:rPr>
            </w:pPr>
            <w:r>
              <w:rPr>
                <w:rFonts w:hint="eastAsia" w:ascii="宋体" w:hAnsi="宋体" w:eastAsia="宋体" w:cs="宋体"/>
                <w:sz w:val="21"/>
                <w:szCs w:val="21"/>
                <w:lang w:val="zh-CN"/>
              </w:rPr>
              <w:t>4.低 VOCs产品认证证书，认证产品名称或认证单元或产品类别含：钢木家具；</w:t>
            </w:r>
          </w:p>
          <w:p>
            <w:pPr>
              <w:rPr>
                <w:rFonts w:hint="eastAsia" w:ascii="宋体" w:hAnsi="宋体" w:eastAsia="宋体" w:cs="宋体"/>
                <w:sz w:val="21"/>
                <w:szCs w:val="21"/>
                <w:lang w:val="zh-CN"/>
              </w:rPr>
            </w:pPr>
            <w:r>
              <w:rPr>
                <w:rFonts w:hint="eastAsia" w:ascii="宋体" w:hAnsi="宋体" w:eastAsia="宋体" w:cs="宋体"/>
                <w:sz w:val="21"/>
                <w:szCs w:val="21"/>
                <w:lang w:val="zh-CN"/>
              </w:rPr>
              <w:t>5.有害物质限量认证证书，认证产品名称或认证单元或产品类别含：钢木家具；</w:t>
            </w:r>
          </w:p>
          <w:p>
            <w:pPr>
              <w:snapToGrid w:val="0"/>
              <w:jc w:val="left"/>
              <w:rPr>
                <w:rFonts w:hint="eastAsia" w:ascii="宋体" w:hAnsi="宋体" w:eastAsia="宋体" w:cs="宋体"/>
                <w:bCs/>
                <w:sz w:val="21"/>
                <w:szCs w:val="21"/>
              </w:rPr>
            </w:pPr>
            <w:r>
              <w:rPr>
                <w:rFonts w:hint="eastAsia" w:ascii="宋体" w:hAnsi="宋体" w:eastAsia="宋体" w:cs="宋体"/>
                <w:bCs/>
                <w:sz w:val="21"/>
                <w:szCs w:val="21"/>
              </w:rPr>
              <w:t>每提供一项符合要求的得20分，最高得100分。</w:t>
            </w:r>
          </w:p>
          <w:p>
            <w:pPr>
              <w:rPr>
                <w:rFonts w:hint="eastAsia" w:ascii="宋体" w:hAnsi="宋体" w:eastAsia="宋体" w:cs="宋体"/>
                <w:sz w:val="21"/>
                <w:szCs w:val="21"/>
              </w:rPr>
            </w:pPr>
            <w:r>
              <w:rPr>
                <w:rFonts w:hint="eastAsia" w:ascii="宋体" w:hAnsi="宋体" w:eastAsia="宋体" w:cs="宋体"/>
                <w:sz w:val="21"/>
                <w:szCs w:val="21"/>
              </w:rPr>
              <w:t>注：上述证书的认证范围表述可不完全一致，但需为同类事项，具体由</w:t>
            </w:r>
            <w:r>
              <w:rPr>
                <w:rFonts w:hint="eastAsia" w:ascii="宋体" w:hAnsi="宋体" w:eastAsia="宋体" w:cs="宋体"/>
                <w:kern w:val="0"/>
                <w:sz w:val="21"/>
                <w:szCs w:val="21"/>
              </w:rPr>
              <w:t>评审委员会判断。</w:t>
            </w:r>
          </w:p>
          <w:p>
            <w:pPr>
              <w:autoSpaceDE w:val="0"/>
              <w:autoSpaceDN w:val="0"/>
              <w:jc w:val="left"/>
              <w:rPr>
                <w:rFonts w:hint="eastAsia" w:ascii="宋体" w:hAnsi="宋体" w:eastAsia="宋体" w:cs="宋体"/>
                <w:b/>
                <w:bCs/>
                <w:sz w:val="21"/>
                <w:szCs w:val="21"/>
              </w:rPr>
            </w:pPr>
            <w:r>
              <w:rPr>
                <w:rFonts w:hint="eastAsia" w:ascii="宋体" w:hAnsi="宋体" w:eastAsia="宋体" w:cs="宋体"/>
                <w:b/>
                <w:bCs/>
                <w:sz w:val="21"/>
                <w:szCs w:val="21"/>
              </w:rPr>
              <w:t>（二）评分标准：</w:t>
            </w:r>
          </w:p>
          <w:p>
            <w:pPr>
              <w:pStyle w:val="18"/>
              <w:rPr>
                <w:rFonts w:hint="eastAsia" w:ascii="宋体" w:hAnsi="宋体" w:eastAsia="宋体" w:cs="宋体"/>
                <w:sz w:val="21"/>
                <w:szCs w:val="21"/>
              </w:rPr>
            </w:pPr>
            <w:r>
              <w:rPr>
                <w:rFonts w:hint="eastAsia" w:ascii="宋体" w:hAnsi="宋体" w:eastAsia="宋体" w:cs="宋体"/>
                <w:sz w:val="21"/>
                <w:szCs w:val="21"/>
              </w:rPr>
              <w:t>1、同时提供：</w:t>
            </w:r>
          </w:p>
          <w:p>
            <w:pPr>
              <w:pStyle w:val="18"/>
              <w:rPr>
                <w:rFonts w:hint="eastAsia" w:ascii="宋体" w:hAnsi="宋体" w:eastAsia="宋体" w:cs="宋体"/>
                <w:sz w:val="21"/>
                <w:szCs w:val="21"/>
              </w:rPr>
            </w:pPr>
            <w:r>
              <w:rPr>
                <w:rFonts w:hint="eastAsia" w:ascii="宋体" w:hAnsi="宋体" w:eastAsia="宋体" w:cs="宋体"/>
                <w:sz w:val="21"/>
                <w:szCs w:val="21"/>
              </w:rPr>
              <w:t>（1）提供有效期内的认证证书；如供应商距本项目开标之日的注册成立时间不足3个月，且未取得以上认证证书的，提供认证机构出具的“成立时间不足三个月，不能办理认证”的书面证明材料（需包含评审因素涉及的认证证书，且加盖认证机构公章），可视为已获得认证证书。</w:t>
            </w:r>
          </w:p>
          <w:p>
            <w:pPr>
              <w:pStyle w:val="18"/>
              <w:rPr>
                <w:rFonts w:hint="eastAsia" w:ascii="宋体" w:hAnsi="宋体" w:eastAsia="宋体" w:cs="宋体"/>
                <w:sz w:val="21"/>
                <w:szCs w:val="21"/>
              </w:rPr>
            </w:pPr>
            <w:r>
              <w:rPr>
                <w:rFonts w:hint="eastAsia" w:ascii="宋体" w:hAnsi="宋体" w:eastAsia="宋体" w:cs="宋体"/>
                <w:sz w:val="21"/>
                <w:szCs w:val="21"/>
              </w:rPr>
              <w:t>（2）全国认证认可信息公共服务平台（http://cx.cnca.cn）认证信息查询截图（截图需显示证书状态为有效）。</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rPr>
              <w:t>2、以上资料均要求提供扫描件，原件备查，评分中出现无证明资料或专家无法凭所提供资料判断是否得分的情况，一律作不得分处理。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b/>
                <w:bCs/>
                <w:sz w:val="21"/>
                <w:szCs w:val="21"/>
              </w:rPr>
            </w:pPr>
            <w:r>
              <w:rPr>
                <w:rFonts w:hint="eastAsia" w:ascii="宋体" w:hAnsi="宋体" w:eastAsia="宋体" w:cs="宋体"/>
                <w:b/>
                <w:bCs/>
                <w:sz w:val="21"/>
                <w:szCs w:val="21"/>
              </w:rPr>
              <w:t>（一）评审内容：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投标人自2024年1月1日起至本项目投标截止日止（以合同签订时间为准）：</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每提供1个家具同类业绩得20分，满分100分。</w:t>
            </w:r>
          </w:p>
          <w:p>
            <w:pPr>
              <w:widowControl/>
              <w:wordWrap w:val="0"/>
              <w:jc w:val="left"/>
              <w:textAlignment w:val="top"/>
              <w:rPr>
                <w:rFonts w:hint="eastAsia" w:ascii="宋体" w:hAnsi="宋体" w:eastAsia="宋体" w:cs="宋体"/>
                <w:b/>
                <w:bCs/>
                <w:sz w:val="21"/>
                <w:szCs w:val="21"/>
              </w:rPr>
            </w:pPr>
            <w:r>
              <w:rPr>
                <w:rFonts w:hint="eastAsia" w:ascii="宋体" w:hAnsi="宋体" w:eastAsia="宋体" w:cs="宋体"/>
                <w:b/>
                <w:bCs/>
                <w:sz w:val="21"/>
                <w:szCs w:val="21"/>
              </w:rPr>
              <w:t>（二）评分依据：</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1、同时提供：</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 xml:space="preserve">①中标通知书扫描件； </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②合同关键页【关键信息包括但不仅限于合同的（项目）名称、采购内容、签订日期、合同签字盖章页】扫描件；</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③合同对应</w:t>
            </w:r>
            <w:r>
              <w:rPr>
                <w:rFonts w:hint="eastAsia" w:ascii="宋体" w:hAnsi="宋体" w:eastAsia="宋体" w:cs="宋体"/>
                <w:sz w:val="21"/>
                <w:szCs w:val="21"/>
                <w:lang w:val="en-US" w:eastAsia="zh-CN"/>
              </w:rPr>
              <w:t>的全额</w:t>
            </w:r>
            <w:r>
              <w:rPr>
                <w:rFonts w:hint="eastAsia" w:ascii="宋体" w:hAnsi="宋体" w:eastAsia="宋体" w:cs="宋体"/>
                <w:sz w:val="21"/>
                <w:szCs w:val="21"/>
              </w:rPr>
              <w:t>发票扫描件。</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④验收合格报告证明文件（需盖采购单位公章或业务章）扫描件。</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rPr>
              <w:t>2、以上资料缺一项资料不得分，均要求提供扫描件，原件备查。评分中出现无证明资料或专家无法凭所提供资料判断是否得分的情况，一律作不得分处理。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5" w:name="OLE_LINK3"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eastAsia="zh-CN"/>
              </w:rPr>
            </w:pPr>
            <w:r>
              <w:rPr>
                <w:rFonts w:hint="eastAsia"/>
                <w:sz w:val="21"/>
                <w:szCs w:val="21"/>
                <w:lang w:val="en-US" w:eastAsia="zh-CN"/>
              </w:rPr>
              <w:t>4</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9"/>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9"/>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bookmarkEnd w:id="5"/>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6"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6"/>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7"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8" w:name="_Hlk71994379"/>
      <w:r>
        <w:rPr>
          <w:rFonts w:hint="eastAsia" w:ascii="宋体" w:hAnsi="宋体"/>
          <w:szCs w:val="21"/>
        </w:rPr>
        <w:t>对通用条款的补充内容及其他关键信息</w:t>
      </w:r>
      <w:bookmarkEnd w:id="8"/>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9"/>
        <w:rPr>
          <w:rFonts w:hint="eastAsia"/>
        </w:rPr>
      </w:pPr>
    </w:p>
    <w:p>
      <w:pPr>
        <w:pStyle w:val="37"/>
        <w:rPr>
          <w:rFonts w:hint="eastAsia"/>
        </w:rPr>
      </w:pPr>
    </w:p>
    <w:p>
      <w:pPr>
        <w:pStyle w:val="37"/>
        <w:rPr>
          <w:rFonts w:hint="eastAsia"/>
        </w:rPr>
      </w:pPr>
    </w:p>
    <w:p>
      <w:pPr>
        <w:pStyle w:val="9"/>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7"/>
    <w:p>
      <w:pPr>
        <w:pStyle w:val="3"/>
        <w:rPr>
          <w:color w:val="FF0000"/>
          <w:sz w:val="24"/>
        </w:rPr>
      </w:pPr>
      <w:bookmarkStart w:id="9" w:name="bt本工程承诺书"/>
      <w:bookmarkEnd w:id="9"/>
      <w:bookmarkStart w:id="10" w:name="bt其他资料2"/>
      <w:bookmarkEnd w:id="10"/>
      <w:bookmarkStart w:id="11" w:name="bt商务标投标文件格式"/>
      <w:bookmarkEnd w:id="11"/>
      <w:bookmarkStart w:id="12" w:name="bt合同条款"/>
      <w:bookmarkEnd w:id="12"/>
      <w:bookmarkStart w:id="13" w:name="bt投标函"/>
      <w:bookmarkEnd w:id="13"/>
      <w:bookmarkStart w:id="14" w:name="bt项目管理班子配备情况"/>
      <w:bookmarkEnd w:id="14"/>
      <w:bookmarkStart w:id="15" w:name="bt投标人须知"/>
      <w:bookmarkEnd w:id="15"/>
      <w:bookmarkStart w:id="16" w:name="bt投标文件签署授权委托书"/>
      <w:bookmarkEnd w:id="16"/>
      <w:bookmarkStart w:id="17" w:name="bt合同格式"/>
      <w:bookmarkEnd w:id="17"/>
      <w:bookmarkStart w:id="18" w:name="bt合同条款及格式"/>
      <w:bookmarkEnd w:id="18"/>
      <w:bookmarkStart w:id="19" w:name="合同格式"/>
      <w:bookmarkEnd w:id="19"/>
      <w:bookmarkStart w:id="20" w:name="bt投标报价汇总表"/>
      <w:bookmarkEnd w:id="20"/>
      <w:bookmarkStart w:id="21" w:name="bt投标人情况介绍"/>
      <w:bookmarkEnd w:id="21"/>
      <w:bookmarkStart w:id="22" w:name="bt开标一览表"/>
      <w:bookmarkEnd w:id="22"/>
      <w:bookmarkStart w:id="23" w:name="bt技术标投标文件格式"/>
      <w:bookmarkEnd w:id="23"/>
      <w:bookmarkStart w:id="24" w:name="bt其他资料由投标人自定"/>
      <w:bookmarkEnd w:id="24"/>
      <w:bookmarkStart w:id="25" w:name="bt说明"/>
      <w:bookmarkEnd w:id="25"/>
      <w:r>
        <w:rPr>
          <w:rFonts w:hint="eastAsia"/>
        </w:rPr>
        <w:t>第一册  专用条款</w:t>
      </w:r>
    </w:p>
    <w:p>
      <w:pPr>
        <w:pStyle w:val="6"/>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numPr>
          <w:ilvl w:val="0"/>
          <w:numId w:val="0"/>
        </w:numPr>
        <w:ind w:firstLine="420" w:firstLineChars="200"/>
        <w:rPr>
          <w:rFonts w:hint="eastAsia"/>
          <w:lang w:eastAsia="zh-CN"/>
        </w:rPr>
      </w:pPr>
      <w:bookmarkStart w:id="26" w:name="_Hlk72162904"/>
      <w:r>
        <w:rPr>
          <w:rFonts w:hint="eastAsia" w:ascii="Times New Roman" w:hAnsi="Times New Roman" w:eastAsia="宋体" w:cs="Times New Roman"/>
          <w:kern w:val="2"/>
          <w:sz w:val="21"/>
          <w:szCs w:val="24"/>
          <w:lang w:val="en-US" w:eastAsia="zh-CN" w:bidi="ar-SA"/>
        </w:rPr>
        <w:t>1.</w:t>
      </w:r>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6"/>
      <w:r>
        <w:rPr>
          <w:rFonts w:hint="eastAsia"/>
          <w:lang w:eastAsia="zh-CN"/>
        </w:rPr>
        <w:t>；</w:t>
      </w:r>
    </w:p>
    <w:p>
      <w:pPr>
        <w:ind w:firstLine="420" w:firstLineChars="200"/>
        <w:rPr>
          <w:rFonts w:hint="default" w:ascii="宋体" w:hAnsi="宋体" w:eastAsia="宋体" w:cs="宋体"/>
          <w:kern w:val="0"/>
          <w:szCs w:val="21"/>
          <w:lang w:val="en-US" w:eastAsia="zh-CN"/>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r>
        <w:rPr>
          <w:rFonts w:hint="eastAsia" w:ascii="宋体" w:hAnsi="宋体" w:cs="宋体"/>
          <w:color w:val="FF0000"/>
          <w:kern w:val="0"/>
          <w:szCs w:val="21"/>
          <w:lang w:val="en-US" w:eastAsia="zh-CN"/>
        </w:rPr>
        <w:t>不接受分包、转包。</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2"/>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专门面向中小企业采购：是，供应商提供的货物全部由符合政策要求的中小微企业、残疾人福利性</w:t>
      </w:r>
      <w:r>
        <w:rPr>
          <w:rFonts w:hint="eastAsia" w:ascii="宋体" w:hAnsi="宋体" w:cs="宋体"/>
          <w:kern w:val="0"/>
          <w:szCs w:val="21"/>
          <w:lang w:val="en-US" w:eastAsia="zh-CN"/>
        </w:rPr>
        <w:t>单位或</w:t>
      </w:r>
      <w:r>
        <w:rPr>
          <w:rFonts w:hint="eastAsia" w:ascii="宋体" w:hAnsi="宋体" w:cs="宋体"/>
          <w:kern w:val="0"/>
          <w:szCs w:val="21"/>
        </w:rPr>
        <w:t>监狱企业制造（由供应商在《中小企业声明函、残疾人福利性单位声明函及监狱企业声明函》中作出声明</w:t>
      </w:r>
      <w:r>
        <w:rPr>
          <w:rFonts w:hint="eastAsia" w:ascii="宋体" w:hAnsi="宋体" w:cs="宋体"/>
          <w:kern w:val="0"/>
          <w:szCs w:val="21"/>
          <w:lang w:eastAsia="zh-CN"/>
        </w:rPr>
        <w:t>；</w:t>
      </w:r>
      <w:r>
        <w:rPr>
          <w:rFonts w:hint="eastAsia" w:ascii="宋体" w:hAnsi="宋体" w:cs="宋体"/>
          <w:kern w:val="0"/>
          <w:szCs w:val="21"/>
          <w:lang w:val="en-US" w:eastAsia="zh-CN"/>
        </w:rPr>
        <w:t>未提供声明函按资格审查不通过处理</w:t>
      </w:r>
      <w:r>
        <w:rPr>
          <w:rFonts w:hint="eastAsia" w:ascii="宋体" w:hAnsi="宋体" w:cs="宋体"/>
          <w:kern w:val="0"/>
          <w:szCs w:val="21"/>
        </w:rPr>
        <w:t>）；</w:t>
      </w:r>
      <w:r>
        <w:rPr>
          <w:rFonts w:hint="eastAsia" w:ascii="宋体" w:hAnsi="宋体" w:cs="宋体"/>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9"/>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rPr>
          <w:sz w:val="28"/>
          <w:szCs w:val="28"/>
        </w:rPr>
      </w:pPr>
      <w:r>
        <w:rPr>
          <w:rFonts w:hint="eastAsia"/>
          <w:sz w:val="28"/>
          <w:szCs w:val="28"/>
        </w:rPr>
        <w:t xml:space="preserve">第二章 </w:t>
      </w:r>
      <w:bookmarkStart w:id="27" w:name="_Hlk71926094"/>
      <w:r>
        <w:rPr>
          <w:rFonts w:hint="eastAsia"/>
          <w:sz w:val="28"/>
          <w:szCs w:val="28"/>
        </w:rPr>
        <w:t>对通用条款的补充内容及其他关键信息</w:t>
      </w:r>
      <w:bookmarkEnd w:id="27"/>
    </w:p>
    <w:p>
      <w:pPr>
        <w:pStyle w:val="6"/>
        <w:spacing w:before="120" w:beforeLines="50" w:after="120" w:afterLines="50"/>
        <w:rPr>
          <w:szCs w:val="24"/>
        </w:rPr>
      </w:pPr>
      <w:bookmarkStart w:id="28" w:name="_Toc101074876"/>
      <w:bookmarkStart w:id="29" w:name="_Toc60631620"/>
      <w:bookmarkStart w:id="30" w:name="_Toc60560625"/>
      <w:bookmarkStart w:id="31" w:name="_Toc73521547"/>
      <w:bookmarkStart w:id="32" w:name="_Toc100052364"/>
      <w:bookmarkStart w:id="33" w:name="_Toc73521635"/>
      <w:bookmarkStart w:id="34" w:name="_Toc73517639"/>
      <w:bookmarkStart w:id="35" w:name="_Toc73518117"/>
      <w:r>
        <w:rPr>
          <w:rFonts w:hint="eastAsia"/>
          <w:szCs w:val="24"/>
        </w:rPr>
        <w:t>一、对通用条款的补充内容</w:t>
      </w:r>
    </w:p>
    <w:bookmarkEnd w:id="28"/>
    <w:bookmarkEnd w:id="29"/>
    <w:bookmarkEnd w:id="30"/>
    <w:bookmarkEnd w:id="31"/>
    <w:bookmarkEnd w:id="32"/>
    <w:bookmarkEnd w:id="33"/>
    <w:bookmarkEnd w:id="34"/>
    <w:bookmarkEnd w:id="35"/>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6"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eastAsia="宋体" w:cs="Times New Roman"/>
                <w:sz w:val="21"/>
                <w:szCs w:val="24"/>
              </w:rPr>
              <w:t>深圳市坪山区人民医院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坪山</w:t>
            </w:r>
            <w:r>
              <w:rPr>
                <w:rFonts w:hint="eastAsia" w:ascii="宋体" w:hAnsi="宋体"/>
              </w:rPr>
              <w:t>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7" w:name="_Hlk71664860"/>
            <w:r>
              <w:rPr>
                <w:rFonts w:hint="eastAsia" w:ascii="宋体" w:hAnsi="宋体"/>
              </w:rPr>
              <w:t>样品、现场演示、方案讲解</w:t>
            </w:r>
            <w:bookmarkEnd w:id="37"/>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不需要</w:t>
            </w:r>
          </w:p>
        </w:tc>
      </w:tr>
    </w:tbl>
    <w:p>
      <w:pPr>
        <w:rPr>
          <w:b/>
        </w:rPr>
      </w:pPr>
      <w:r>
        <w:rPr>
          <w:rFonts w:hint="eastAsia"/>
          <w:szCs w:val="21"/>
        </w:rPr>
        <w:t>备注：本表是通用条款相关条款的补充和明确，如与通用条款内容相冲突的，以本表为准。</w:t>
      </w:r>
    </w:p>
    <w:bookmarkEnd w:id="36"/>
    <w:p>
      <w:pPr>
        <w:pStyle w:val="6"/>
        <w:spacing w:before="120" w:beforeLines="50" w:after="120" w:afterLines="50"/>
        <w:rPr>
          <w:szCs w:val="24"/>
        </w:rPr>
      </w:pPr>
      <w:bookmarkStart w:id="38" w:name="_Hlk72218117"/>
      <w:r>
        <w:rPr>
          <w:rFonts w:hint="eastAsia"/>
          <w:szCs w:val="24"/>
        </w:rPr>
        <w:t>二、其他关键信息</w:t>
      </w:r>
    </w:p>
    <w:p>
      <w:pPr>
        <w:ind w:firstLine="422" w:firstLineChars="200"/>
        <w:rPr>
          <w:b/>
          <w:bCs/>
        </w:rPr>
      </w:pPr>
      <w:bookmarkStart w:id="39"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tcPr>
          <w:p>
            <w:pPr>
              <w:jc w:val="center"/>
            </w:pPr>
            <w:r>
              <w:rPr>
                <w:rFonts w:hint="eastAsia"/>
              </w:rPr>
              <w:t>评标方法</w:t>
            </w:r>
          </w:p>
        </w:tc>
        <w:tc>
          <w:tcPr>
            <w:tcW w:w="4537" w:type="dxa"/>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tcPr>
          <w:p>
            <w:pPr>
              <w:jc w:val="center"/>
            </w:pPr>
            <w:r>
              <w:rPr>
                <w:rFonts w:hint="eastAsia"/>
              </w:rPr>
              <w:t>候选中标供应商家数</w:t>
            </w:r>
          </w:p>
        </w:tc>
        <w:tc>
          <w:tcPr>
            <w:tcW w:w="4537" w:type="dxa"/>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tcPr>
          <w:p>
            <w:pPr>
              <w:jc w:val="center"/>
            </w:pPr>
            <w:r>
              <w:rPr>
                <w:rFonts w:hint="eastAsia"/>
              </w:rPr>
              <w:t>中标供应商家数</w:t>
            </w:r>
          </w:p>
        </w:tc>
        <w:tc>
          <w:tcPr>
            <w:tcW w:w="4537" w:type="dxa"/>
          </w:tcPr>
          <w:p>
            <w:pPr>
              <w:jc w:val="center"/>
            </w:pPr>
            <w:r>
              <w:rPr>
                <w:rFonts w:hint="eastAsia"/>
              </w:rPr>
              <w:t>1</w:t>
            </w:r>
          </w:p>
        </w:tc>
      </w:tr>
    </w:tbl>
    <w:p>
      <w:pPr>
        <w:pStyle w:val="37"/>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9"/>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40"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40"/>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坪山</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8"/>
    <w:p>
      <w:pPr>
        <w:pStyle w:val="6"/>
        <w:rPr>
          <w:sz w:val="28"/>
          <w:szCs w:val="28"/>
        </w:rPr>
      </w:pPr>
      <w:r>
        <w:rPr>
          <w:rFonts w:hint="eastAsia"/>
          <w:sz w:val="28"/>
          <w:szCs w:val="28"/>
        </w:rPr>
        <w:t>第三章 用户需求书</w:t>
      </w:r>
    </w:p>
    <w:p>
      <w:pPr>
        <w:pStyle w:val="6"/>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b/>
                <w:bCs/>
                <w:color w:val="FF0000"/>
                <w:szCs w:val="21"/>
              </w:rPr>
            </w:pPr>
            <w:r>
              <w:rPr>
                <w:rFonts w:hint="eastAsia"/>
                <w:b/>
                <w:bCs/>
                <w:color w:val="FF0000"/>
                <w:szCs w:val="21"/>
              </w:rPr>
              <w:t>深圳市坪山区人民医院5家社康家具采购项目</w:t>
            </w:r>
          </w:p>
        </w:tc>
        <w:tc>
          <w:tcPr>
            <w:tcW w:w="1986" w:type="pct"/>
            <w:vAlign w:val="center"/>
          </w:tcPr>
          <w:p>
            <w:pPr>
              <w:jc w:val="center"/>
              <w:rPr>
                <w:rFonts w:hint="default"/>
                <w:bCs/>
                <w:color w:val="FF0000"/>
                <w:szCs w:val="21"/>
                <w:lang w:val="en-US"/>
              </w:rPr>
            </w:pPr>
            <w:r>
              <w:rPr>
                <w:rFonts w:hint="eastAsia" w:ascii="宋体" w:hAnsi="宋体" w:eastAsia="宋体" w:cs="Times New Roman"/>
                <w:b/>
                <w:bCs/>
                <w:color w:val="FF0000"/>
                <w:szCs w:val="21"/>
                <w:lang w:val="en-US" w:eastAsia="zh-CN"/>
              </w:rPr>
              <w:t>719700</w:t>
            </w:r>
          </w:p>
        </w:tc>
      </w:tr>
    </w:tbl>
    <w:p>
      <w:pPr>
        <w:rPr>
          <w:rFonts w:ascii="宋体" w:hAnsi="宋体"/>
          <w:b/>
          <w:color w:val="FF0000"/>
          <w:szCs w:val="21"/>
        </w:rPr>
      </w:pPr>
    </w:p>
    <w:p>
      <w:pPr>
        <w:rPr>
          <w:rFonts w:ascii="宋体" w:hAnsi="宋体"/>
          <w:b/>
          <w:color w:val="FF0000"/>
          <w:szCs w:val="21"/>
        </w:rPr>
      </w:pPr>
    </w:p>
    <w:p>
      <w:pPr>
        <w:pStyle w:val="6"/>
        <w:spacing w:before="120" w:beforeLines="50" w:after="120" w:afterLines="50"/>
        <w:rPr>
          <w:szCs w:val="24"/>
        </w:rPr>
      </w:pPr>
      <w:bookmarkStart w:id="41" w:name="_Hlk72258617"/>
      <w:r>
        <w:rPr>
          <w:rFonts w:hint="eastAsia"/>
          <w:szCs w:val="24"/>
        </w:rPr>
        <w:t>二、</w:t>
      </w:r>
      <w:bookmarkStart w:id="42" w:name="_Hlk72073432"/>
      <w:r>
        <w:rPr>
          <w:rFonts w:hint="eastAsia"/>
          <w:szCs w:val="24"/>
        </w:rPr>
        <w:t>货物</w:t>
      </w:r>
      <w:r>
        <w:rPr>
          <w:rFonts w:hint="eastAsia"/>
          <w:szCs w:val="24"/>
          <w:lang w:val="en-US" w:eastAsia="zh-CN"/>
        </w:rPr>
        <w:t>清单</w:t>
      </w:r>
      <w:r>
        <w:rPr>
          <w:rFonts w:hint="eastAsia"/>
          <w:szCs w:val="24"/>
        </w:rPr>
        <w:t>明细</w:t>
      </w:r>
      <w:bookmarkEnd w:id="42"/>
    </w:p>
    <w:tbl>
      <w:tblPr>
        <w:tblStyle w:val="44"/>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5"/>
        <w:gridCol w:w="825"/>
        <w:gridCol w:w="750"/>
        <w:gridCol w:w="1395"/>
        <w:gridCol w:w="138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jc w:val="center"/>
              <w:rPr>
                <w:bCs/>
                <w:szCs w:val="21"/>
              </w:rPr>
            </w:pPr>
            <w:r>
              <w:rPr>
                <w:rFonts w:hint="eastAsia"/>
                <w:bCs/>
                <w:szCs w:val="21"/>
              </w:rPr>
              <w:t>序号</w:t>
            </w:r>
          </w:p>
        </w:tc>
        <w:tc>
          <w:tcPr>
            <w:tcW w:w="2055" w:type="dxa"/>
            <w:vAlign w:val="center"/>
          </w:tcPr>
          <w:p>
            <w:pPr>
              <w:jc w:val="center"/>
              <w:rPr>
                <w:bCs/>
                <w:szCs w:val="21"/>
              </w:rPr>
            </w:pPr>
            <w:r>
              <w:rPr>
                <w:rFonts w:hint="eastAsia"/>
                <w:bCs/>
                <w:szCs w:val="21"/>
              </w:rPr>
              <w:t>货物名称（标的名称）</w:t>
            </w:r>
          </w:p>
        </w:tc>
        <w:tc>
          <w:tcPr>
            <w:tcW w:w="825" w:type="dxa"/>
            <w:vAlign w:val="center"/>
          </w:tcPr>
          <w:p>
            <w:pPr>
              <w:jc w:val="center"/>
              <w:rPr>
                <w:bCs/>
                <w:szCs w:val="21"/>
              </w:rPr>
            </w:pPr>
            <w:r>
              <w:rPr>
                <w:rFonts w:hint="eastAsia"/>
                <w:bCs/>
                <w:szCs w:val="21"/>
              </w:rPr>
              <w:t>数量</w:t>
            </w:r>
          </w:p>
        </w:tc>
        <w:tc>
          <w:tcPr>
            <w:tcW w:w="750" w:type="dxa"/>
            <w:vAlign w:val="center"/>
          </w:tcPr>
          <w:p>
            <w:pPr>
              <w:jc w:val="center"/>
              <w:rPr>
                <w:bCs/>
                <w:szCs w:val="21"/>
              </w:rPr>
            </w:pPr>
            <w:r>
              <w:rPr>
                <w:rFonts w:hint="eastAsia"/>
                <w:bCs/>
                <w:szCs w:val="21"/>
              </w:rPr>
              <w:t>单位</w:t>
            </w:r>
          </w:p>
        </w:tc>
        <w:tc>
          <w:tcPr>
            <w:tcW w:w="1395" w:type="dxa"/>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1380" w:type="dxa"/>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1510" w:type="dxa"/>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2人座候诊椅</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750" w:type="dxa"/>
            <w:vAlign w:val="center"/>
          </w:tcPr>
          <w:p>
            <w:pPr>
              <w:jc w:val="center"/>
              <w:rPr>
                <w:rFonts w:hint="default" w:eastAsia="宋体"/>
                <w:bCs/>
                <w:szCs w:val="21"/>
                <w:lang w:val="en-US" w:eastAsia="zh-CN"/>
              </w:rPr>
            </w:pPr>
            <w:r>
              <w:rPr>
                <w:rFonts w:hint="eastAsia"/>
                <w:bCs/>
                <w:szCs w:val="21"/>
                <w:lang w:val="en-US" w:eastAsia="zh-CN"/>
              </w:rPr>
              <w:t>张</w:t>
            </w:r>
          </w:p>
        </w:tc>
        <w:tc>
          <w:tcPr>
            <w:tcW w:w="1395" w:type="dxa"/>
            <w:vAlign w:val="center"/>
          </w:tcPr>
          <w:p>
            <w:pPr>
              <w:jc w:val="center"/>
              <w:rPr>
                <w:b/>
                <w:bCs/>
                <w:color w:val="FF0000"/>
                <w:szCs w:val="21"/>
              </w:rPr>
            </w:pPr>
            <w:r>
              <w:rPr>
                <w:rFonts w:hint="eastAsia"/>
                <w:b/>
                <w:bCs/>
                <w:szCs w:val="21"/>
              </w:rPr>
              <w:t>拒绝进口</w:t>
            </w:r>
          </w:p>
        </w:tc>
        <w:tc>
          <w:tcPr>
            <w:tcW w:w="1380" w:type="dxa"/>
            <w:vAlign w:val="center"/>
          </w:tcPr>
          <w:p>
            <w:pPr>
              <w:jc w:val="center"/>
              <w:rPr>
                <w:rFonts w:hint="eastAsia" w:eastAsia="宋体"/>
                <w:b/>
                <w:bCs/>
                <w:color w:val="FF0000"/>
                <w:szCs w:val="21"/>
                <w:lang w:val="en-US" w:eastAsia="zh-CN"/>
              </w:rPr>
            </w:pPr>
            <w:r>
              <w:rPr>
                <w:rFonts w:hint="eastAsia"/>
                <w:b/>
                <w:bCs/>
                <w:color w:val="FF0000"/>
                <w:szCs w:val="21"/>
                <w:lang w:val="en-US" w:eastAsia="zh-CN"/>
              </w:rPr>
              <w:t>是</w:t>
            </w:r>
          </w:p>
        </w:tc>
        <w:tc>
          <w:tcPr>
            <w:tcW w:w="1510" w:type="dxa"/>
            <w:vAlign w:val="center"/>
          </w:tcPr>
          <w:p>
            <w:pPr>
              <w:jc w:val="center"/>
              <w:rPr>
                <w:rFonts w:hint="eastAsia" w:eastAsia="宋体"/>
                <w:b/>
                <w:bCs/>
                <w:color w:val="FF0000"/>
                <w:szCs w:val="21"/>
                <w:lang w:val="en-US" w:eastAsia="zh-CN"/>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3门更衣柜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0" w:type="dxa"/>
            <w:vAlign w:val="center"/>
          </w:tcPr>
          <w:p>
            <w:pPr>
              <w:jc w:val="center"/>
              <w:rPr>
                <w:rFonts w:hint="eastAsia" w:eastAsia="宋体"/>
                <w:bCs/>
                <w:szCs w:val="21"/>
                <w:lang w:val="en-US" w:eastAsia="zh-CN"/>
              </w:rPr>
            </w:pPr>
            <w:r>
              <w:rPr>
                <w:rFonts w:hint="eastAsia"/>
                <w:bCs/>
                <w:szCs w:val="21"/>
                <w:lang w:val="en-US" w:eastAsia="zh-CN"/>
              </w:rPr>
              <w:t>个</w:t>
            </w:r>
          </w:p>
        </w:tc>
        <w:tc>
          <w:tcPr>
            <w:tcW w:w="1395" w:type="dxa"/>
            <w:vAlign w:val="center"/>
          </w:tcPr>
          <w:p>
            <w:pPr>
              <w:jc w:val="center"/>
              <w:rPr>
                <w:b/>
                <w:bCs/>
                <w:color w:val="FF0000"/>
                <w:szCs w:val="21"/>
              </w:rPr>
            </w:pPr>
            <w:r>
              <w:rPr>
                <w:rFonts w:hint="eastAsia"/>
                <w:b/>
                <w:bCs/>
                <w:szCs w:val="21"/>
              </w:rPr>
              <w:t>拒绝进口</w:t>
            </w:r>
          </w:p>
        </w:tc>
        <w:tc>
          <w:tcPr>
            <w:tcW w:w="1380" w:type="dxa"/>
            <w:vAlign w:val="center"/>
          </w:tcPr>
          <w:p>
            <w:pPr>
              <w:jc w:val="center"/>
              <w:rPr>
                <w:rFonts w:hint="eastAsia"/>
                <w:b/>
                <w:bCs/>
                <w:color w:val="FF0000"/>
                <w:szCs w:val="21"/>
              </w:rPr>
            </w:pPr>
            <w:r>
              <w:rPr>
                <w:rFonts w:hint="eastAsia"/>
                <w:b/>
                <w:bCs/>
                <w:color w:val="FF0000"/>
                <w:szCs w:val="21"/>
                <w:lang w:val="en-US" w:eastAsia="zh-CN"/>
              </w:rPr>
              <w:t>是</w:t>
            </w:r>
          </w:p>
        </w:tc>
        <w:tc>
          <w:tcPr>
            <w:tcW w:w="1510" w:type="dxa"/>
            <w:vAlign w:val="center"/>
          </w:tcPr>
          <w:p>
            <w:pPr>
              <w:jc w:val="center"/>
              <w:rPr>
                <w:rFonts w:hint="eastAsia"/>
                <w:b/>
                <w:bCs/>
                <w:color w:val="FF0000"/>
                <w:szCs w:val="21"/>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3门文件柜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750" w:type="dxa"/>
            <w:vAlign w:val="center"/>
          </w:tcPr>
          <w:p>
            <w:pPr>
              <w:jc w:val="center"/>
              <w:rPr>
                <w:rFonts w:hint="eastAsia" w:eastAsia="宋体"/>
                <w:bCs/>
                <w:szCs w:val="21"/>
                <w:lang w:val="en-US" w:eastAsia="zh-CN"/>
              </w:rPr>
            </w:pPr>
            <w:r>
              <w:rPr>
                <w:rFonts w:hint="eastAsia"/>
                <w:bCs/>
                <w:szCs w:val="21"/>
                <w:lang w:val="en-US" w:eastAsia="zh-CN"/>
              </w:rPr>
              <w:t>个</w:t>
            </w:r>
          </w:p>
        </w:tc>
        <w:tc>
          <w:tcPr>
            <w:tcW w:w="1395" w:type="dxa"/>
            <w:vAlign w:val="center"/>
          </w:tcPr>
          <w:p>
            <w:pPr>
              <w:jc w:val="center"/>
              <w:rPr>
                <w:b/>
                <w:bCs/>
                <w:szCs w:val="21"/>
              </w:rPr>
            </w:pPr>
            <w:r>
              <w:rPr>
                <w:rFonts w:hint="eastAsia"/>
                <w:b/>
                <w:bCs/>
                <w:szCs w:val="21"/>
              </w:rPr>
              <w:t>拒绝进口</w:t>
            </w:r>
          </w:p>
        </w:tc>
        <w:tc>
          <w:tcPr>
            <w:tcW w:w="1380" w:type="dxa"/>
            <w:vAlign w:val="center"/>
          </w:tcPr>
          <w:p>
            <w:pPr>
              <w:jc w:val="center"/>
              <w:rPr>
                <w:rFonts w:hint="eastAsia"/>
                <w:b/>
                <w:bCs/>
                <w:szCs w:val="21"/>
              </w:rPr>
            </w:pPr>
            <w:r>
              <w:rPr>
                <w:rFonts w:hint="eastAsia"/>
                <w:b/>
                <w:bCs/>
                <w:color w:val="FF0000"/>
                <w:szCs w:val="21"/>
                <w:lang w:val="en-US" w:eastAsia="zh-CN"/>
              </w:rPr>
              <w:t>是</w:t>
            </w:r>
          </w:p>
        </w:tc>
        <w:tc>
          <w:tcPr>
            <w:tcW w:w="1510" w:type="dxa"/>
            <w:vAlign w:val="center"/>
          </w:tcPr>
          <w:p>
            <w:pPr>
              <w:jc w:val="center"/>
              <w:rPr>
                <w:rFonts w:hint="eastAsia"/>
                <w:b/>
                <w:bCs/>
                <w:szCs w:val="21"/>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3人座候诊椅</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21</w:t>
            </w:r>
          </w:p>
        </w:tc>
        <w:tc>
          <w:tcPr>
            <w:tcW w:w="750" w:type="dxa"/>
            <w:vAlign w:val="center"/>
          </w:tcPr>
          <w:p>
            <w:pPr>
              <w:jc w:val="center"/>
              <w:rPr>
                <w:rFonts w:hint="eastAsia" w:eastAsia="宋体"/>
                <w:bCs/>
                <w:szCs w:val="21"/>
                <w:lang w:val="en-US" w:eastAsia="zh-CN"/>
              </w:rPr>
            </w:pPr>
            <w:r>
              <w:rPr>
                <w:rFonts w:hint="eastAsia"/>
                <w:bCs/>
                <w:szCs w:val="21"/>
                <w:lang w:val="en-US" w:eastAsia="zh-CN"/>
              </w:rPr>
              <w:t>张</w:t>
            </w:r>
          </w:p>
        </w:tc>
        <w:tc>
          <w:tcPr>
            <w:tcW w:w="1395" w:type="dxa"/>
            <w:vAlign w:val="center"/>
          </w:tcPr>
          <w:p>
            <w:pPr>
              <w:jc w:val="center"/>
              <w:rPr>
                <w:b/>
                <w:bCs/>
                <w:color w:val="FF0000"/>
                <w:szCs w:val="21"/>
              </w:rPr>
            </w:pPr>
            <w:r>
              <w:rPr>
                <w:rFonts w:hint="eastAsia"/>
                <w:b/>
                <w:bCs/>
                <w:szCs w:val="21"/>
              </w:rPr>
              <w:t>拒绝进口</w:t>
            </w:r>
          </w:p>
        </w:tc>
        <w:tc>
          <w:tcPr>
            <w:tcW w:w="1380" w:type="dxa"/>
            <w:vAlign w:val="center"/>
          </w:tcPr>
          <w:p>
            <w:pPr>
              <w:jc w:val="center"/>
              <w:rPr>
                <w:rFonts w:hint="eastAsia"/>
                <w:b/>
                <w:bCs/>
                <w:szCs w:val="21"/>
              </w:rPr>
            </w:pPr>
            <w:r>
              <w:rPr>
                <w:rFonts w:hint="eastAsia"/>
                <w:b/>
                <w:bCs/>
                <w:color w:val="FF0000"/>
                <w:szCs w:val="21"/>
                <w:lang w:val="en-US" w:eastAsia="zh-CN"/>
              </w:rPr>
              <w:t>是</w:t>
            </w:r>
          </w:p>
        </w:tc>
        <w:tc>
          <w:tcPr>
            <w:tcW w:w="1510" w:type="dxa"/>
            <w:vAlign w:val="center"/>
          </w:tcPr>
          <w:p>
            <w:pPr>
              <w:jc w:val="center"/>
              <w:rPr>
                <w:rFonts w:hint="eastAsia"/>
                <w:b/>
                <w:bCs/>
                <w:szCs w:val="21"/>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4门更衣柜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750" w:type="dxa"/>
            <w:vAlign w:val="center"/>
          </w:tcPr>
          <w:p>
            <w:pPr>
              <w:jc w:val="center"/>
              <w:rPr>
                <w:rFonts w:hint="eastAsia" w:eastAsia="宋体"/>
                <w:bCs/>
                <w:szCs w:val="21"/>
                <w:lang w:val="en-US" w:eastAsia="zh-CN"/>
              </w:rPr>
            </w:pPr>
            <w:r>
              <w:rPr>
                <w:rFonts w:hint="eastAsia"/>
                <w:bCs/>
                <w:szCs w:val="21"/>
                <w:lang w:val="en-US" w:eastAsia="zh-CN"/>
              </w:rPr>
              <w:t>个</w:t>
            </w:r>
          </w:p>
        </w:tc>
        <w:tc>
          <w:tcPr>
            <w:tcW w:w="1395" w:type="dxa"/>
            <w:vAlign w:val="center"/>
          </w:tcPr>
          <w:p>
            <w:pPr>
              <w:jc w:val="center"/>
              <w:rPr>
                <w:b/>
                <w:bCs/>
                <w:color w:val="FF0000"/>
                <w:szCs w:val="21"/>
                <w:highlight w:val="yellow"/>
              </w:rPr>
            </w:pPr>
            <w:r>
              <w:rPr>
                <w:rFonts w:hint="eastAsia"/>
                <w:b/>
                <w:bCs/>
                <w:szCs w:val="21"/>
              </w:rPr>
              <w:t>拒绝进口</w:t>
            </w:r>
          </w:p>
        </w:tc>
        <w:tc>
          <w:tcPr>
            <w:tcW w:w="1380" w:type="dxa"/>
            <w:vAlign w:val="center"/>
          </w:tcPr>
          <w:p>
            <w:pPr>
              <w:jc w:val="center"/>
              <w:rPr>
                <w:b/>
                <w:bCs/>
                <w:color w:val="FF0000"/>
                <w:szCs w:val="21"/>
                <w:highlight w:val="yellow"/>
              </w:rPr>
            </w:pPr>
            <w:r>
              <w:rPr>
                <w:rFonts w:hint="eastAsia"/>
                <w:b/>
                <w:bCs/>
                <w:color w:val="FF0000"/>
                <w:szCs w:val="21"/>
                <w:lang w:val="en-US" w:eastAsia="zh-CN"/>
              </w:rPr>
              <w:t>是</w:t>
            </w:r>
          </w:p>
        </w:tc>
        <w:tc>
          <w:tcPr>
            <w:tcW w:w="1510" w:type="dxa"/>
            <w:vAlign w:val="center"/>
          </w:tcPr>
          <w:p>
            <w:pPr>
              <w:jc w:val="center"/>
              <w:rPr>
                <w:b/>
                <w:bCs/>
                <w:color w:val="FF0000"/>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6门更衣柜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750" w:type="dxa"/>
            <w:vAlign w:val="center"/>
          </w:tcPr>
          <w:p>
            <w:pPr>
              <w:jc w:val="center"/>
              <w:rPr>
                <w:rFonts w:hint="eastAsia" w:eastAsia="宋体"/>
                <w:bCs/>
                <w:szCs w:val="21"/>
                <w:lang w:val="en-US" w:eastAsia="zh-CN"/>
              </w:rPr>
            </w:pPr>
            <w:r>
              <w:rPr>
                <w:rFonts w:hint="eastAsia"/>
                <w:bCs/>
                <w:szCs w:val="21"/>
                <w:lang w:val="en-US" w:eastAsia="zh-CN"/>
              </w:rPr>
              <w:t>个</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办公室沙发</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750" w:type="dxa"/>
            <w:vAlign w:val="center"/>
          </w:tcPr>
          <w:p>
            <w:pPr>
              <w:jc w:val="center"/>
              <w:rPr>
                <w:rFonts w:hint="eastAsia" w:eastAsia="宋体"/>
                <w:bCs/>
                <w:szCs w:val="21"/>
                <w:lang w:val="en-US" w:eastAsia="zh-CN"/>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办公椅</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茶几</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储物柜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0" w:type="dxa"/>
            <w:vAlign w:val="center"/>
          </w:tcPr>
          <w:p>
            <w:pPr>
              <w:jc w:val="center"/>
              <w:rPr>
                <w:bCs/>
                <w:szCs w:val="21"/>
              </w:rPr>
            </w:pPr>
            <w:r>
              <w:rPr>
                <w:rFonts w:hint="eastAsia"/>
                <w:bCs/>
                <w:szCs w:val="21"/>
                <w:lang w:val="en-US" w:eastAsia="zh-CN"/>
              </w:rPr>
              <w:t>个</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床头柜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750" w:type="dxa"/>
            <w:vAlign w:val="center"/>
          </w:tcPr>
          <w:p>
            <w:pPr>
              <w:jc w:val="center"/>
              <w:rPr>
                <w:bCs/>
                <w:szCs w:val="21"/>
              </w:rPr>
            </w:pPr>
            <w:r>
              <w:rPr>
                <w:rFonts w:hint="eastAsia"/>
                <w:bCs/>
                <w:szCs w:val="21"/>
                <w:lang w:val="en-US" w:eastAsia="zh-CN"/>
              </w:rPr>
              <w:t>个</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电脑桌</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750" w:type="dxa"/>
            <w:vAlign w:val="center"/>
          </w:tcPr>
          <w:p>
            <w:pPr>
              <w:jc w:val="center"/>
              <w:rPr>
                <w:b/>
                <w:bCs w:val="0"/>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工作台</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候诊椅（儿童类）</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患者椅</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33</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患者椅（木质）</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19</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会议椅</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110</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会议桌</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55</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计免接种台</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母婴床</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母婴沙发</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圆桌</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婴儿护理台</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沙发</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双人更衣柜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750" w:type="dxa"/>
            <w:vAlign w:val="center"/>
          </w:tcPr>
          <w:p>
            <w:pPr>
              <w:jc w:val="center"/>
              <w:rPr>
                <w:bCs/>
                <w:szCs w:val="21"/>
              </w:rPr>
            </w:pPr>
            <w:r>
              <w:rPr>
                <w:rFonts w:hint="eastAsia"/>
                <w:bCs/>
                <w:szCs w:val="21"/>
                <w:lang w:val="en-US" w:eastAsia="zh-CN"/>
              </w:rPr>
              <w:t>个</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塑料凳</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34</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文件柜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23</w:t>
            </w:r>
          </w:p>
        </w:tc>
        <w:tc>
          <w:tcPr>
            <w:tcW w:w="750" w:type="dxa"/>
            <w:vAlign w:val="center"/>
          </w:tcPr>
          <w:p>
            <w:pPr>
              <w:jc w:val="center"/>
              <w:rPr>
                <w:bCs/>
                <w:szCs w:val="21"/>
              </w:rPr>
            </w:pPr>
            <w:r>
              <w:rPr>
                <w:rFonts w:hint="eastAsia"/>
                <w:bCs/>
                <w:szCs w:val="21"/>
                <w:lang w:val="en-US" w:eastAsia="zh-CN"/>
              </w:rPr>
              <w:t>个</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无菌柜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w:t>
            </w:r>
          </w:p>
        </w:tc>
        <w:tc>
          <w:tcPr>
            <w:tcW w:w="750" w:type="dxa"/>
            <w:vAlign w:val="center"/>
          </w:tcPr>
          <w:p>
            <w:pPr>
              <w:jc w:val="center"/>
              <w:rPr>
                <w:bCs/>
                <w:szCs w:val="21"/>
              </w:rPr>
            </w:pPr>
            <w:r>
              <w:rPr>
                <w:rFonts w:hint="eastAsia"/>
                <w:bCs/>
                <w:szCs w:val="21"/>
                <w:lang w:val="en-US" w:eastAsia="zh-CN"/>
              </w:rPr>
              <w:t>个</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鞋柜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750" w:type="dxa"/>
            <w:vAlign w:val="center"/>
          </w:tcPr>
          <w:p>
            <w:pPr>
              <w:jc w:val="center"/>
              <w:rPr>
                <w:bCs/>
                <w:szCs w:val="21"/>
              </w:rPr>
            </w:pPr>
            <w:r>
              <w:rPr>
                <w:rFonts w:hint="eastAsia"/>
                <w:bCs/>
                <w:szCs w:val="21"/>
                <w:lang w:val="en-US" w:eastAsia="zh-CN"/>
              </w:rPr>
              <w:t>个</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医生椅</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57</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医生椅（木质）</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医生诊桌</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办公桌</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椅子</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长桌</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诊疗床</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诊疗床（儿童）</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治疗用圆凳</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置物桌</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中医候诊椅</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49</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中医文件柜</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w:t>
            </w:r>
          </w:p>
        </w:tc>
        <w:tc>
          <w:tcPr>
            <w:tcW w:w="750" w:type="dxa"/>
            <w:vAlign w:val="center"/>
          </w:tcPr>
          <w:p>
            <w:pPr>
              <w:jc w:val="center"/>
              <w:rPr>
                <w:bCs/>
                <w:szCs w:val="21"/>
              </w:rPr>
            </w:pPr>
            <w:r>
              <w:rPr>
                <w:rFonts w:hint="eastAsia"/>
                <w:bCs/>
                <w:szCs w:val="21"/>
                <w:lang w:val="en-US" w:eastAsia="zh-CN"/>
              </w:rPr>
              <w:t>个</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中医诊桌</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注射凳</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205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长桌1</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c>
          <w:tcPr>
            <w:tcW w:w="750" w:type="dxa"/>
            <w:vAlign w:val="center"/>
          </w:tcPr>
          <w:p>
            <w:pPr>
              <w:jc w:val="center"/>
              <w:rPr>
                <w:bCs/>
                <w:szCs w:val="21"/>
              </w:rPr>
            </w:pPr>
            <w:r>
              <w:rPr>
                <w:rFonts w:hint="eastAsia"/>
                <w:bCs/>
                <w:szCs w:val="21"/>
                <w:lang w:val="en-US" w:eastAsia="zh-CN"/>
              </w:rPr>
              <w:t>张</w:t>
            </w:r>
          </w:p>
        </w:tc>
        <w:tc>
          <w:tcPr>
            <w:tcW w:w="1395" w:type="dxa"/>
            <w:vAlign w:val="center"/>
          </w:tcPr>
          <w:p>
            <w:pPr>
              <w:jc w:val="center"/>
              <w:rPr>
                <w:b/>
                <w:bCs/>
                <w:szCs w:val="21"/>
                <w:highlight w:val="yellow"/>
              </w:rPr>
            </w:pPr>
            <w:r>
              <w:rPr>
                <w:rFonts w:hint="eastAsia"/>
                <w:b/>
                <w:bCs/>
                <w:szCs w:val="21"/>
              </w:rPr>
              <w:t>拒绝进口</w:t>
            </w:r>
          </w:p>
        </w:tc>
        <w:tc>
          <w:tcPr>
            <w:tcW w:w="1380" w:type="dxa"/>
            <w:vAlign w:val="center"/>
          </w:tcPr>
          <w:p>
            <w:pPr>
              <w:jc w:val="center"/>
              <w:rPr>
                <w:b/>
                <w:bCs/>
                <w:szCs w:val="21"/>
                <w:highlight w:val="yellow"/>
              </w:rPr>
            </w:pPr>
            <w:r>
              <w:rPr>
                <w:rFonts w:hint="eastAsia"/>
                <w:b/>
                <w:bCs/>
                <w:color w:val="FF0000"/>
                <w:szCs w:val="21"/>
                <w:lang w:val="en-US" w:eastAsia="zh-CN"/>
              </w:rPr>
              <w:t>是</w:t>
            </w:r>
          </w:p>
        </w:tc>
        <w:tc>
          <w:tcPr>
            <w:tcW w:w="1510" w:type="dxa"/>
            <w:vAlign w:val="center"/>
          </w:tcPr>
          <w:p>
            <w:pPr>
              <w:jc w:val="center"/>
              <w:rPr>
                <w:b/>
                <w:bCs/>
                <w:szCs w:val="21"/>
                <w:highlight w:val="yellow"/>
              </w:rPr>
            </w:pPr>
            <w:r>
              <w:rPr>
                <w:rFonts w:hint="eastAsia"/>
                <w:b/>
                <w:bCs/>
                <w:color w:val="FF0000"/>
                <w:szCs w:val="21"/>
                <w:lang w:val="en-US" w:eastAsia="zh-CN"/>
              </w:rPr>
              <w:t>工业</w:t>
            </w:r>
          </w:p>
        </w:tc>
      </w:tr>
    </w:tbl>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文件柜   </w:t>
      </w:r>
      <w:r>
        <w:rPr>
          <w:rFonts w:hint="eastAsia" w:ascii="宋体" w:hAnsi="宋体"/>
          <w:b/>
          <w:color w:val="FF0000"/>
          <w:szCs w:val="21"/>
        </w:rPr>
        <w:t>。</w:t>
      </w:r>
    </w:p>
    <w:bookmarkEnd w:id="41"/>
    <w:p>
      <w:pPr>
        <w:rPr>
          <w:rFonts w:ascii="宋体" w:hAnsi="宋体"/>
          <w:b/>
          <w:color w:val="FF0000"/>
          <w:szCs w:val="21"/>
        </w:rPr>
      </w:pPr>
    </w:p>
    <w:p>
      <w:pPr>
        <w:pStyle w:val="9"/>
      </w:pPr>
    </w:p>
    <w:p>
      <w:pPr>
        <w:pStyle w:val="6"/>
        <w:spacing w:before="120" w:beforeLines="50" w:after="120" w:afterLines="50"/>
        <w:rPr>
          <w:sz w:val="28"/>
          <w:szCs w:val="28"/>
        </w:rPr>
      </w:pPr>
      <w:bookmarkStart w:id="43" w:name="_Toc128884461"/>
      <w:r>
        <w:rPr>
          <w:rFonts w:hint="eastAsia"/>
          <w:sz w:val="28"/>
          <w:szCs w:val="28"/>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282" w:type="dxa"/>
            <w:vAlign w:val="center"/>
          </w:tcPr>
          <w:p>
            <w:pPr>
              <w:adjustRightInd w:val="0"/>
              <w:snapToGrid w:val="0"/>
              <w:spacing w:line="360" w:lineRule="auto"/>
              <w:jc w:val="left"/>
              <w:rPr>
                <w:rFonts w:hAnsi="宋体"/>
                <w:kern w:val="0"/>
                <w:szCs w:val="21"/>
              </w:rPr>
            </w:pPr>
            <w:r>
              <w:rPr>
                <w:rFonts w:hint="eastAsia" w:ascii="宋体" w:hAnsi="宋体" w:cs="宋体"/>
                <w:b/>
                <w:bCs/>
                <w:color w:val="FF0000"/>
                <w:szCs w:val="21"/>
              </w:rPr>
              <w:t>9</w:t>
            </w:r>
            <w:r>
              <w:rPr>
                <w:rFonts w:ascii="宋体" w:hAnsi="宋体" w:cs="宋体"/>
                <w:b/>
                <w:bCs/>
                <w:color w:val="FF0000"/>
                <w:szCs w:val="21"/>
              </w:rPr>
              <w:t>.2</w:t>
            </w:r>
            <w:r>
              <w:rPr>
                <w:rFonts w:hint="eastAsia" w:ascii="宋体" w:hAnsi="宋体" w:cs="宋体"/>
                <w:b/>
                <w:bCs/>
                <w:color w:val="FF0000"/>
                <w:szCs w:val="21"/>
              </w:rPr>
              <w:t>★招标文件中涉及提供检测报告的，投标人中标后配合提供检测报告真实性的证明材料，若查验报告为虚假证明，将接受相关部门处罚。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282" w:type="dxa"/>
            <w:vAlign w:val="center"/>
          </w:tcPr>
          <w:p>
            <w:pPr>
              <w:adjustRightInd w:val="0"/>
              <w:snapToGrid w:val="0"/>
              <w:spacing w:line="360" w:lineRule="auto"/>
              <w:jc w:val="left"/>
              <w:rPr>
                <w:rFonts w:hint="eastAsia" w:ascii="宋体" w:hAnsi="宋体" w:cs="宋体"/>
                <w:b/>
                <w:bCs/>
                <w:color w:val="FF0000"/>
                <w:szCs w:val="21"/>
              </w:rPr>
            </w:pPr>
            <w:r>
              <w:rPr>
                <w:rFonts w:hint="eastAsia" w:ascii="宋体" w:hAnsi="宋体" w:cs="宋体"/>
                <w:b/>
                <w:bCs/>
                <w:color w:val="FF0000"/>
                <w:szCs w:val="21"/>
              </w:rPr>
              <w:t>★</w:t>
            </w:r>
            <w:r>
              <w:rPr>
                <w:rFonts w:hint="eastAsia" w:ascii="宋体" w:hAnsi="宋体" w:cs="宋体"/>
                <w:b/>
                <w:bCs/>
                <w:color w:val="FF0000"/>
                <w:szCs w:val="21"/>
                <w:lang w:val="en-US" w:eastAsia="zh-CN"/>
              </w:rPr>
              <w:t>9.4投标人所提供产品需满足相关国家强制标准</w:t>
            </w:r>
          </w:p>
        </w:tc>
      </w:tr>
    </w:tbl>
    <w:p>
      <w:pPr>
        <w:rPr>
          <w:b/>
        </w:rPr>
      </w:pPr>
      <w:r>
        <w:rPr>
          <w:rFonts w:hint="eastAsia"/>
          <w:b/>
        </w:rPr>
        <w:t>注：上表所列内容为不可负偏离条款</w:t>
      </w:r>
      <w:bookmarkEnd w:id="43"/>
      <w:r>
        <w:rPr>
          <w:rFonts w:hint="eastAsia"/>
          <w:b/>
        </w:rPr>
        <w:t>，负偏离将视为未实质性满足招标文件要求作投标无效处理。</w:t>
      </w:r>
    </w:p>
    <w:p>
      <w:pPr>
        <w:rPr>
          <w:b/>
          <w:szCs w:val="21"/>
        </w:rPr>
      </w:pPr>
    </w:p>
    <w:p>
      <w:pPr>
        <w:pStyle w:val="9"/>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4"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4"/>
    <w:p>
      <w:pPr>
        <w:rPr>
          <w:rFonts w:ascii="Times New Roman" w:hAnsi="Times New Roman" w:eastAsia="宋体" w:cs="Times New Roman"/>
          <w:b/>
          <w:szCs w:val="21"/>
        </w:rPr>
      </w:pPr>
    </w:p>
    <w:tbl>
      <w:tblPr>
        <w:tblStyle w:val="44"/>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759"/>
        <w:gridCol w:w="1448"/>
        <w:gridCol w:w="63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849"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w:t>
            </w:r>
          </w:p>
        </w:tc>
        <w:tc>
          <w:tcPr>
            <w:tcW w:w="3705"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2人座候诊椅</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规格：1180*680*780mm（可根据实际需求情况调整）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1、座背椅板：为全新PU材质，模具内一体成型。内层材质采用1.5mm冷轧钢板。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2、扶手脚：高强度铝合金一体成型压铸件，表面采用耐磨的环氧树脂粉末高温静电喷涂。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2"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3、横档：冷轧钢板。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3门更衣柜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规格：900*500*1800mm（可根据实际需求情况调整）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1、采用电解钢板，厚度≥0.8mm。</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2、表面环氧树脂静电粉末喷涂。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3、五金：采用环保阻尼铰链、防锈易消毒型拉手及锁具等五金配件，开合次数超过5万次。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3门文件柜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规格：1200*450*1800mm（可根据实际需求情况调整）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4、五金：采用国标阻尼导轨、拉手及锁具等五金配件，开合次数超过5万次。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3人座候诊椅</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规格：1750*680*780mm（可根据实际需求情况调整）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1、座背椅板：为全新PU材质，模具内一体成型。内层材质采用1.5mm冷轧钢板。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2、扶手脚：高强度铝合金一体成型压铸件，表面采用耐磨的环氧树脂粉末高温静电喷涂。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3、横档：冷轧钢板。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834"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bottom w:val="single" w:color="auto" w:sz="4" w:space="0"/>
              <w:tl2br w:val="nil"/>
              <w:tr2bl w:val="nil"/>
            </w:tcBorders>
            <w:vAlign w:val="center"/>
          </w:tcPr>
          <w:p>
            <w:pPr>
              <w:widowControl/>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▲冷轧钢板检测依据：QB/T 3826-1999《轻工产品金属镀层和化学处理层的耐腐蚀试验方法 中性盐雾试验（NSS）法》、QB/T 3827-1999《轻工产品金属镀层和化学处理层的耐腐蚀试验方法 乙酸盐雾试验（ASS）法》、QB/T 4371-2012《家具抗菌性能的评价》；检测内容或结果满足：乙酸盐雾试验：根据QB/T 3827-1999对样品进行≥</w:t>
            </w:r>
            <w:r>
              <w:rPr>
                <w:rFonts w:hint="eastAsia" w:ascii="宋体" w:hAnsi="宋体" w:cs="宋体"/>
                <w:b/>
                <w:color w:val="FF0000"/>
                <w:kern w:val="0"/>
                <w:szCs w:val="21"/>
                <w:highlight w:val="none"/>
                <w:lang w:val="en-US" w:eastAsia="zh-CN" w:bidi="ar"/>
              </w:rPr>
              <w:t>120</w:t>
            </w:r>
            <w:r>
              <w:rPr>
                <w:rFonts w:hint="eastAsia" w:ascii="宋体" w:hAnsi="宋体" w:cs="宋体"/>
                <w:b/>
                <w:color w:val="FF0000"/>
                <w:kern w:val="0"/>
                <w:szCs w:val="21"/>
                <w:highlight w:val="none"/>
                <w:lang w:bidi="ar"/>
              </w:rPr>
              <w:t>h乙酸盐雾试验（ASS试验），试验后，保护等级、耐蚀等级均达到10级；中性盐雾试验：根据QB/T 3826-1999对样品进行≥</w:t>
            </w:r>
            <w:r>
              <w:rPr>
                <w:rFonts w:hint="eastAsia" w:ascii="宋体" w:hAnsi="宋体" w:cs="宋体"/>
                <w:b/>
                <w:color w:val="FF0000"/>
                <w:kern w:val="0"/>
                <w:szCs w:val="21"/>
                <w:highlight w:val="none"/>
                <w:lang w:val="en-US" w:eastAsia="zh-CN" w:bidi="ar"/>
              </w:rPr>
              <w:t>120</w:t>
            </w:r>
            <w:r>
              <w:rPr>
                <w:rFonts w:hint="eastAsia" w:ascii="宋体" w:hAnsi="宋体" w:cs="宋体"/>
                <w:b/>
                <w:color w:val="FF0000"/>
                <w:kern w:val="0"/>
                <w:szCs w:val="21"/>
                <w:highlight w:val="none"/>
                <w:lang w:bidi="ar"/>
              </w:rPr>
              <w:t>h中性盐雾试验（NSS试验），保护等级、耐蚀等级均达到10级；抗菌性能：大肠杆菌抑菌率≥99%，金黄色葡萄球菌抑菌率≥99%，肺炎克雷伯氏菌抑菌率≥99%，铜绿假单胞菌抑菌率≥99%，鼠伤寒沙门氏菌抑菌率≥99%。</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b/>
                <w:bCs/>
                <w:color w:val="FF0000"/>
                <w:sz w:val="22"/>
                <w:szCs w:val="22"/>
                <w:highlight w:val="none"/>
              </w:rPr>
              <w:t>【</w:t>
            </w: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289"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op w:val="single" w:color="auto" w:sz="4" w:space="0"/>
              <w:tl2br w:val="nil"/>
              <w:tr2bl w:val="nil"/>
            </w:tcBorders>
            <w:vAlign w:val="center"/>
          </w:tcPr>
          <w:p>
            <w:pPr>
              <w:widowControl/>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▲粉末涂料检测依据：HG/T 2006-2022《热固性和热塑性粉末涂料》、HG/T 3950-2007《抗菌涂料》；检测内容或结果满足：附着力（干附着力）：达到0级；耐酸性[3%（质量分数）盐酸溶液]：≥200h无异常；耐碱性[5%（质量分数）氢氧化钠溶液]：≥168h无异常；铅笔硬度（内聚破坏中擦伤）：≥5H；抗细菌性能：大肠杆菌抗细菌率≥99%，金黄色葡萄球菌抗细菌率≥99%。</w:t>
            </w:r>
          </w:p>
          <w:p>
            <w:pPr>
              <w:keepNext w:val="0"/>
              <w:keepLines w:val="0"/>
              <w:widowControl/>
              <w:suppressLineNumbers w:val="0"/>
              <w:jc w:val="both"/>
              <w:textAlignment w:val="center"/>
              <w:rPr>
                <w:rFonts w:hint="default" w:eastAsia="宋体"/>
                <w:b/>
                <w:bCs/>
                <w:color w:val="FF0000"/>
                <w:sz w:val="22"/>
                <w:szCs w:val="22"/>
                <w:highlight w:val="none"/>
                <w:lang w:val="en-US" w:eastAsia="zh-CN"/>
              </w:rPr>
            </w:pPr>
            <w:r>
              <w:rPr>
                <w:rFonts w:hint="eastAsia"/>
                <w:b/>
                <w:bCs/>
                <w:color w:val="FF0000"/>
                <w:sz w:val="22"/>
                <w:szCs w:val="22"/>
                <w:highlight w:val="none"/>
                <w:lang w:eastAsia="zh-CN"/>
              </w:rPr>
              <w:t>【</w:t>
            </w:r>
            <w:r>
              <w:rPr>
                <w:rFonts w:hint="eastAsia"/>
                <w:b/>
                <w:bCs/>
                <w:color w:val="FF0000"/>
                <w:sz w:val="22"/>
                <w:szCs w:val="22"/>
                <w:highlight w:val="none"/>
                <w:lang w:val="en-US" w:eastAsia="zh-CN"/>
              </w:rPr>
              <w:t>投标人承诺在中标后提供2024年1月1日起符合以上要求的第三方检测机构在资质认定证书的能力范围内出具的具有CMA标识的检测报告扫描件，投标时提供承诺函（格式自拟）】中标供应商验收时须提供，作为验收条件的一部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4门更衣柜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规格：900*500*1800mm（可根据实际需求情况调整）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1、采用电解钢板，厚度≥0.8mm。</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2、表面环氧树脂静电粉末喷涂。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3、五金：采用环保阻尼铰链、防锈易消毒型拉手及锁具等五金配件，开合次数超过5万次。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77"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bottom w:val="single" w:color="auto" w:sz="4" w:space="0"/>
              <w:tl2br w:val="nil"/>
              <w:tr2bl w:val="nil"/>
            </w:tcBorders>
            <w:vAlign w:val="center"/>
          </w:tcPr>
          <w:p>
            <w:pPr>
              <w:widowControl/>
              <w:textAlignment w:val="center"/>
              <w:rPr>
                <w:rFonts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▲电解钢板检测依据：QB/T 3827-1999《轻工产品金属镀层和化学处理层的耐腐蚀试验方法 乙酸盐雾试验(ASS)法》、GB/T 35607-2024《绿色产品评价 家具》、QB/T 3826-1999《轻工产品金属镀层和化学处理层的耐腐蚀试验方法 中性盐雾试验(NSS)法》；</w:t>
            </w:r>
            <w:bookmarkStart w:id="45" w:name="OLE_LINK89"/>
            <w:bookmarkStart w:id="46" w:name="OLE_LINK88"/>
            <w:r>
              <w:rPr>
                <w:rFonts w:hint="eastAsia" w:ascii="宋体" w:hAnsi="宋体" w:cs="宋体"/>
                <w:b/>
                <w:color w:val="FF0000"/>
                <w:kern w:val="0"/>
                <w:szCs w:val="21"/>
                <w:highlight w:val="none"/>
                <w:lang w:bidi="ar"/>
              </w:rPr>
              <w:t>检测内容或结果满足：</w:t>
            </w:r>
            <w:bookmarkEnd w:id="45"/>
            <w:bookmarkEnd w:id="46"/>
            <w:r>
              <w:rPr>
                <w:rFonts w:hint="eastAsia" w:ascii="宋体" w:hAnsi="宋体" w:cs="宋体"/>
                <w:b/>
                <w:color w:val="FF0000"/>
                <w:kern w:val="0"/>
                <w:szCs w:val="21"/>
                <w:highlight w:val="none"/>
                <w:lang w:bidi="ar"/>
              </w:rPr>
              <w:t>乙酸盐雾试验：对样品进行≥</w:t>
            </w:r>
            <w:r>
              <w:rPr>
                <w:rFonts w:hint="eastAsia" w:ascii="宋体" w:hAnsi="宋体" w:cs="宋体"/>
                <w:b/>
                <w:color w:val="FF0000"/>
                <w:kern w:val="0"/>
                <w:szCs w:val="21"/>
                <w:highlight w:val="none"/>
                <w:lang w:val="en-US" w:eastAsia="zh-CN" w:bidi="ar"/>
              </w:rPr>
              <w:t>120</w:t>
            </w:r>
            <w:r>
              <w:rPr>
                <w:rFonts w:hint="eastAsia" w:ascii="宋体" w:hAnsi="宋体" w:cs="宋体"/>
                <w:b/>
                <w:color w:val="FF0000"/>
                <w:kern w:val="0"/>
                <w:szCs w:val="21"/>
                <w:highlight w:val="none"/>
                <w:lang w:bidi="ar"/>
              </w:rPr>
              <w:t>h乙酸盐雾试验（ASS），试验后，保护等级、耐蚀等级均达到10级；中性盐雾试验对样品进行≥</w:t>
            </w:r>
            <w:r>
              <w:rPr>
                <w:rFonts w:hint="eastAsia" w:ascii="宋体" w:hAnsi="宋体" w:cs="宋体"/>
                <w:b/>
                <w:color w:val="FF0000"/>
                <w:kern w:val="0"/>
                <w:szCs w:val="21"/>
                <w:highlight w:val="none"/>
                <w:lang w:val="en-US" w:eastAsia="zh-CN" w:bidi="ar"/>
              </w:rPr>
              <w:t>120</w:t>
            </w:r>
            <w:r>
              <w:rPr>
                <w:rFonts w:hint="eastAsia" w:ascii="宋体" w:hAnsi="宋体" w:cs="宋体"/>
                <w:b/>
                <w:color w:val="FF0000"/>
                <w:kern w:val="0"/>
                <w:szCs w:val="21"/>
                <w:highlight w:val="none"/>
                <w:lang w:bidi="ar"/>
              </w:rPr>
              <w:t>h中性盐雾试验（NSS），，保护等级、耐蚀等级均达到10级；家具涂层可迁移元素:铅（Pb）未检出，镉（Cd）未检出， 铬（Cr）未检出，汞（Hg）未检出，砷（As）未检出，锑（Sb）未检出，钡（Ba）未检出，硒（Se）未检出。</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49"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op w:val="single" w:color="auto" w:sz="4" w:space="0"/>
              <w:tl2br w:val="nil"/>
              <w:tr2bl w:val="nil"/>
            </w:tcBorders>
            <w:vAlign w:val="center"/>
          </w:tcPr>
          <w:p>
            <w:pPr>
              <w:widowControl/>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▲柜门铰链检测依据：Q</w:t>
            </w:r>
            <w:r>
              <w:rPr>
                <w:rFonts w:ascii="宋体" w:hAnsi="宋体" w:cs="宋体"/>
                <w:b/>
                <w:color w:val="FF0000"/>
                <w:kern w:val="0"/>
                <w:szCs w:val="21"/>
                <w:highlight w:val="none"/>
                <w:lang w:bidi="ar"/>
              </w:rPr>
              <w:t>B/T 2189-2013</w:t>
            </w:r>
            <w:r>
              <w:rPr>
                <w:rFonts w:hint="eastAsia" w:ascii="宋体" w:hAnsi="宋体" w:cs="宋体"/>
                <w:b/>
                <w:color w:val="FF0000"/>
                <w:kern w:val="0"/>
                <w:szCs w:val="21"/>
                <w:highlight w:val="none"/>
                <w:lang w:bidi="ar"/>
              </w:rPr>
              <w:t xml:space="preserve">《家具五金 </w:t>
            </w:r>
            <w:r>
              <w:rPr>
                <w:rFonts w:ascii="宋体" w:hAnsi="宋体" w:cs="宋体"/>
                <w:b/>
                <w:color w:val="FF0000"/>
                <w:kern w:val="0"/>
                <w:szCs w:val="21"/>
                <w:highlight w:val="none"/>
                <w:lang w:bidi="ar"/>
              </w:rPr>
              <w:t xml:space="preserve"> </w:t>
            </w:r>
            <w:r>
              <w:rPr>
                <w:rFonts w:hint="eastAsia" w:ascii="宋体" w:hAnsi="宋体" w:cs="宋体"/>
                <w:b/>
                <w:color w:val="FF0000"/>
                <w:kern w:val="0"/>
                <w:szCs w:val="21"/>
                <w:highlight w:val="none"/>
                <w:lang w:val="en-US" w:eastAsia="zh-CN" w:bidi="ar"/>
              </w:rPr>
              <w:t>杯状</w:t>
            </w:r>
            <w:r>
              <w:rPr>
                <w:rFonts w:hint="eastAsia" w:ascii="宋体" w:hAnsi="宋体" w:cs="宋体"/>
                <w:b/>
                <w:color w:val="FF0000"/>
                <w:kern w:val="0"/>
                <w:szCs w:val="21"/>
                <w:highlight w:val="none"/>
                <w:lang w:bidi="ar"/>
              </w:rPr>
              <w:t>暗铰链》；检测内容或结果满足：过载：垂直静载荷、水平静载荷检测符合；功能：操作力、垂直静载荷、水平静载荷检测符合，耐久性试验次数≥8</w:t>
            </w:r>
            <w:r>
              <w:rPr>
                <w:rFonts w:ascii="宋体" w:hAnsi="宋体" w:cs="宋体"/>
                <w:b/>
                <w:color w:val="FF0000"/>
                <w:kern w:val="0"/>
                <w:szCs w:val="21"/>
                <w:highlight w:val="none"/>
                <w:lang w:bidi="ar"/>
              </w:rPr>
              <w:t>0000</w:t>
            </w:r>
            <w:r>
              <w:rPr>
                <w:rFonts w:hint="eastAsia" w:ascii="宋体" w:hAnsi="宋体" w:cs="宋体"/>
                <w:b/>
                <w:color w:val="FF0000"/>
                <w:kern w:val="0"/>
                <w:szCs w:val="21"/>
                <w:highlight w:val="none"/>
                <w:lang w:bidi="ar"/>
              </w:rPr>
              <w:t>次检测符合，下沉量≤1</w:t>
            </w:r>
            <w:r>
              <w:rPr>
                <w:rFonts w:ascii="宋体" w:hAnsi="宋体" w:cs="宋体"/>
                <w:b/>
                <w:color w:val="FF0000"/>
                <w:kern w:val="0"/>
                <w:szCs w:val="21"/>
                <w:highlight w:val="none"/>
                <w:lang w:bidi="ar"/>
              </w:rPr>
              <w:t>.5mm</w:t>
            </w:r>
            <w:r>
              <w:rPr>
                <w:rFonts w:hint="eastAsia" w:ascii="宋体" w:hAnsi="宋体" w:cs="宋体"/>
                <w:b/>
                <w:color w:val="FF0000"/>
                <w:kern w:val="0"/>
                <w:szCs w:val="21"/>
                <w:highlight w:val="none"/>
                <w:lang w:bidi="ar"/>
              </w:rPr>
              <w:t>；耐腐蚀检测无锈点。</w:t>
            </w:r>
          </w:p>
          <w:p>
            <w:pPr>
              <w:keepNext w:val="0"/>
              <w:keepLines w:val="0"/>
              <w:widowControl/>
              <w:suppressLineNumbers w:val="0"/>
              <w:jc w:val="both"/>
              <w:textAlignment w:val="center"/>
              <w:rPr>
                <w:rFonts w:hint="eastAsia" w:ascii="宋体" w:hAnsi="宋体" w:cs="宋体"/>
                <w:b/>
                <w:color w:val="FF0000"/>
                <w:kern w:val="0"/>
                <w:szCs w:val="21"/>
                <w:highlight w:val="none"/>
                <w:lang w:bidi="ar"/>
              </w:rPr>
            </w:pPr>
            <w:r>
              <w:rPr>
                <w:rFonts w:hint="eastAsia"/>
                <w:b/>
                <w:bCs/>
                <w:color w:val="FF0000"/>
                <w:sz w:val="22"/>
                <w:szCs w:val="22"/>
                <w:highlight w:val="none"/>
                <w:lang w:eastAsia="zh-CN"/>
              </w:rPr>
              <w:t>【</w:t>
            </w:r>
            <w:r>
              <w:rPr>
                <w:rFonts w:hint="eastAsia"/>
                <w:b/>
                <w:bCs/>
                <w:color w:val="FF0000"/>
                <w:sz w:val="22"/>
                <w:szCs w:val="22"/>
                <w:highlight w:val="none"/>
                <w:lang w:val="en-US" w:eastAsia="zh-CN"/>
              </w:rPr>
              <w:t>投标人承诺在中标后提供2024年1月1日起符合以上要求的第三方检测机构在资质认定证书的能力范围内出具的具有CMA标识的检测报告扫描件，投标时提供承诺函（格式自拟）】中标供应商验收时须提供，作为验收条件的一部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6门更衣柜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规格：900*500*1800mm（可根据实际需求情况调整）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1、采用电解钢板，厚度≥0.8mm。</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4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2、表面环氧树脂静电粉末喷涂，光滑、平整，不易损伤，具有环保、抑菌、防锈、耐腐蚀、绝缘性高、附着力强、耐摩擦等技术特点。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3、五金：采用环保阻尼铰链、防锈易消毒型拉手及锁具等五金配件，开合次数超过5万次。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办公室沙发</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规格：1400*700*810mm（可根据实际需求情况调整）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1、面料：环保布艺，无甲醛含量，无异味，无可分解致癌芳香胺染料未检出。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2、海绵：高弹阻燃海绵。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3、框架：实木板，具有硬度高，密度大，承受力强，选材无结疤，腐朽等现象。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办公椅</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1、椅背：PP背框+特网面料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2、椅座：切割绵+弹力座布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3、扶手：固定扶手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4、底盘：原位锁定底盘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5、气杆：行程100mm沉口40mm三级气杆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6、椅脚：340黑色PA五星脚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7、椅轮：60/25黑色PA轮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bottom w:val="single" w:color="auto" w:sz="4" w:space="0"/>
              <w:tl2br w:val="nil"/>
              <w:tr2bl w:val="nil"/>
            </w:tcBorders>
            <w:vAlign w:val="center"/>
          </w:tcPr>
          <w:p>
            <w:pPr>
              <w:widowControl/>
              <w:textAlignment w:val="center"/>
              <w:rPr>
                <w:rFonts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▲布料检测依据：GB/T 35611-2017《绿色产品评价 纺织产品》、GB/T 33610.2-2017《纺织品 消臭性能的测定 第2部分：检知管法》；检测内容或结果满足：游离甲醛含量：未检出；PH值：4.0~7；可萃取重金属：锑≤1mg/kg，砷、铅、镉、铬、六价铬、钴、铜、镍、汞均未检出；总铅：未检出；总镉：未检出；可分解有害芳香胺染料：未检出；邻苯二甲酸酯总量：未检出；有机锡化合物：三丁基锡、二丁基锡、一丁基锡、三苯基锡均未检出；氯化苯和氯化甲苯总量：未检出；多环芳烃：未检出；含氯酚：五氯苯酚、四氯苯酚（总量）均未检出；残余溶剂：未检出；其他化学残余：富马酸二甲酯未检出，邻苯基苯酚未检出；色牢度： 耐水（变色、沾色）、耐酸性汗渍（变色、沾色）、耐碱性汗渍（变色、沾色）、耐干摩擦、耐湿摩擦均达到4-5级；阻燃整理剂：未检出；消臭性能：氨异味成分浓度减少率≥90%，醋酸异味成分浓度减少率≥90%。</w:t>
            </w:r>
          </w:p>
          <w:p>
            <w:pPr>
              <w:widowControl/>
              <w:textAlignment w:val="center"/>
              <w:rPr>
                <w:rFonts w:hint="eastAsia" w:ascii="宋体" w:hAnsi="宋体" w:cs="宋体"/>
                <w:b/>
                <w:color w:val="FF0000"/>
                <w:kern w:val="0"/>
                <w:szCs w:val="21"/>
                <w:highlight w:val="none"/>
                <w:lang w:bidi="ar"/>
              </w:rPr>
            </w:pPr>
          </w:p>
          <w:p>
            <w:pPr>
              <w:keepNext w:val="0"/>
              <w:keepLines w:val="0"/>
              <w:widowControl/>
              <w:suppressLineNumbers w:val="0"/>
              <w:jc w:val="both"/>
              <w:textAlignment w:val="center"/>
              <w:rPr>
                <w:rFonts w:hint="eastAsia" w:ascii="宋体" w:hAnsi="宋体" w:eastAsia="宋体" w:cs="宋体"/>
                <w:i w:val="0"/>
                <w:iCs w:val="0"/>
                <w:color w:val="FF0000"/>
                <w:sz w:val="21"/>
                <w:szCs w:val="21"/>
                <w:highlight w:val="none"/>
                <w:u w:val="none"/>
              </w:rPr>
            </w:pP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op w:val="single" w:color="auto" w:sz="4" w:space="0"/>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val="en-US" w:eastAsia="zh-CN" w:bidi="ar"/>
              </w:rPr>
            </w:pPr>
            <w:r>
              <w:rPr>
                <w:rFonts w:hint="eastAsia" w:ascii="宋体" w:hAnsi="宋体" w:cs="宋体"/>
                <w:b/>
                <w:color w:val="FF0000"/>
                <w:kern w:val="0"/>
                <w:szCs w:val="21"/>
                <w:highlight w:val="none"/>
                <w:lang w:bidi="ar"/>
              </w:rPr>
              <w:t>▲</w:t>
            </w:r>
            <w:r>
              <w:rPr>
                <w:rFonts w:hint="eastAsia" w:ascii="宋体" w:hAnsi="宋体" w:cs="宋体"/>
                <w:b/>
                <w:color w:val="FF0000"/>
                <w:kern w:val="0"/>
                <w:szCs w:val="21"/>
                <w:highlight w:val="none"/>
                <w:lang w:val="en-US" w:eastAsia="zh-CN" w:bidi="ar"/>
              </w:rPr>
              <w:t>海绵检测依据：GB/T 10802-2023《通用软质聚氨酯泡沫塑料》；检测内容或结果满足：40%压陷硬度偏差±2N内；65%/25%压陷比≥3%，75%压缩永久变形≤8%，回弹率≥50%，拉伸强度≥131kpa,断裂伸长率≥106%，撕裂强度≥3N/cm，湿热老化后拉伸强度≥123kpa，干热老化后拉伸强度变化率±2%，灰分≤0.6%，甲醛散发未检出，燃烧性能检测符合产品应用领域标准要求，表现密度≥45kg/m³。</w:t>
            </w:r>
          </w:p>
          <w:p>
            <w:pPr>
              <w:pStyle w:val="2"/>
              <w:rPr>
                <w:rFonts w:hint="default"/>
                <w:highlight w:val="none"/>
                <w:lang w:val="en-US" w:eastAsia="zh-CN"/>
              </w:rPr>
            </w:pPr>
            <w:r>
              <w:rPr>
                <w:rFonts w:hint="eastAsia"/>
                <w:b/>
                <w:bCs/>
                <w:color w:val="FF0000"/>
                <w:sz w:val="22"/>
                <w:szCs w:val="22"/>
                <w:highlight w:val="none"/>
                <w:lang w:eastAsia="zh-CN"/>
              </w:rPr>
              <w:t>【</w:t>
            </w:r>
            <w:r>
              <w:rPr>
                <w:rFonts w:hint="eastAsia"/>
                <w:b/>
                <w:bCs/>
                <w:color w:val="FF0000"/>
                <w:sz w:val="22"/>
                <w:szCs w:val="22"/>
                <w:highlight w:val="none"/>
                <w:lang w:val="en-US" w:eastAsia="zh-CN"/>
              </w:rPr>
              <w:t>投标人承诺在中标后提供2024年1月1日起符合以上要求的第三方检测机构在资质认定证书的能力范围内出具的具有CMA标识的检测报告扫描件，投标时提供承诺函（格式自拟）】中标供应商验收时须提供，作为验收条件的一部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茶几</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规格：1200*600*500mm（可根据实际需求情况调整）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储物柜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规格：900*450*1000mm（可根据实际需求情况调整）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1、基材：环保EO级以上浸渍胶膜纸饰面实木颗粒板。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4、五金：采用国标阻尼导轨、拉手及锁具等五金配件，开合次数超过5万次。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床头柜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规格：500*400*500mm（可根据实际需求情况调整）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1、基材：环保EO级以上浸渍胶膜纸饰面实木颗粒板。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0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4、五金：采用国标阻尼导轨、拉手及锁具等五金配件，开合次数超过5万次。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电脑桌</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规格：1400*1400*750mm（可根据实际需求情况调整）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 表面环氧树脂静电粉末喷涂。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5、边柜：带主机空格、可选择抽屉或掩门。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工作台</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规格：1000*500*1800mm（可根据实际需求情况调整）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1、柜体采用冷轧钢板，台面采用不锈钢，钢板厚度≥0.8mm。</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3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2、分上下掩门结构，上掩门为透明钢化玻璃(增加钢化玻璃标准)，柜内配2块活动层板，下掩门为钢制，柜内配1块活动层板。柜门表面可选木纹转印工艺(木纹颜色可选，纹理清晰)。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3、表面环氧树脂静电粉末喷涂，光滑、平整，不易损伤，具有环保、抑菌、防锈、耐腐蚀、绝缘性高、附着力强、耐摩擦等技术特点。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候诊椅（儿童类）</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规格：1500*500*450mm（可根据实际需求情况调整）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1、玻璃钢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患者椅</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规格：400*400*420-560mm（可根据实际需求情况调整）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1、座垫采用PU发泡。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0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气压棒：国标气压棒。耐腐蚀100h内，观察在溶液中样板上划道两侧3mm以外，应无鼓泡产生。100h后，检查划道两侧3mm以外，应无锈迹、剥落、起皱、变色和失光等现象；中性盐雾试验（NSS）和乙酸盐雾（ASS）：试验时间：100h,无锈点，评级：涂层对基体金属的防蚀能力10级，涂层本身的耐蚀能力10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患者椅（木质）</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规格：400*400*450mm（可根据实际需求情况调整）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1、采用环保实木，具有硬度高，密度大，承受力强，选材无结疤，腐朽等现象。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2、漆面：采用环保型水性漆，四底两面，开放式涂装效果；无毒无刺激气味，对人体无害，不污染环境。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▲水性漆检测依据：GB/T 35602-2017《绿色产品评价 涂料》；检测内容或结果满足：挥发性有机化合物（VOC）含量：未检出；甲醛含量（乙酰丙酮法）：未检出；挥发性芳香烃含量：未检出；乙二醇醚及其酯含量：乙二醇醚（乙二醇丁醚、乙二醇己醚、乙二醇苯醚、二乙二醇丁醚）、乙二醇醚酯（乙二醇丁醚醋酸酯、二乙二醇丁醚醋酸酯）均未检出；N-甲基吡咯烷酮（NMP）含量：未检出；N,N-二甲基甲酰胺（DMF）含量：未检出；重金属元素含量：铅、镉、六价铬、汞、砷、钡、硒、锑、钴均未检出。</w:t>
            </w:r>
          </w:p>
          <w:p>
            <w:pPr>
              <w:keepNext w:val="0"/>
              <w:keepLines w:val="0"/>
              <w:widowControl/>
              <w:suppressLineNumbers w:val="0"/>
              <w:jc w:val="both"/>
              <w:textAlignment w:val="center"/>
              <w:rPr>
                <w:rFonts w:hint="eastAsia" w:ascii="宋体" w:hAnsi="宋体" w:eastAsia="宋体" w:cs="宋体"/>
                <w:i w:val="0"/>
                <w:iCs w:val="0"/>
                <w:color w:val="FF0000"/>
                <w:sz w:val="21"/>
                <w:szCs w:val="21"/>
                <w:highlight w:val="none"/>
                <w:u w:val="none"/>
              </w:rPr>
            </w:pPr>
            <w:r>
              <w:rPr>
                <w:rFonts w:hint="eastAsia"/>
                <w:b/>
                <w:bCs/>
                <w:color w:val="FF0000"/>
                <w:sz w:val="22"/>
                <w:szCs w:val="22"/>
                <w:highlight w:val="none"/>
              </w:rPr>
              <w:t>【</w:t>
            </w: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会议椅</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1、椅背：黑色PP背框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2、椅座：高回弹中软切割海绵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3、扶手：PP连体固定扶手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4、椅脚：Φ25mm管/1.8mm壁厚黑色烤漆弓形架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会议桌</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规格：1200*400*750mm（可根据实际需求情况调整）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1、基材：采用E0级刨花板基材，经过防潮、防虫、防腐化学处理。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2、贴面材料：采用三聚氰胺饰面纸。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3、封边：封边与贴面同色。</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4、脚架：钢制脚架，金属表面抑菌粉末静电喷涂。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5、五金件：选用连接件，缓冲铰链，喷涂层无漏喷，锈蚀，涂层光滑均匀，色泽一致，无流挂、疙瘩、皱皮、飞漆。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计免接种台</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规格：1400*600*850mm（可根据实际需求情况调整）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1、贴面板材：三聚氰胺纸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0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2、基材：采用E0级刨花板。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3、桌角弧形角，桌面开洞口 下面放垃圾桶和垫高底座，带抽屉，和放主机区域。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母婴床</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规格：1500*500*450mm（可根据实际需求情况调整）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基材：实木框架、陪床垫</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母婴沙发</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单人位</w:t>
            </w:r>
            <w:r>
              <w:rPr>
                <w:rFonts w:hint="eastAsia" w:ascii="宋体" w:hAnsi="宋体" w:eastAsia="宋体" w:cs="宋体"/>
                <w:i w:val="0"/>
                <w:iCs w:val="0"/>
                <w:color w:val="auto"/>
                <w:kern w:val="0"/>
                <w:sz w:val="21"/>
                <w:szCs w:val="21"/>
                <w:highlight w:val="none"/>
                <w:u w:val="none"/>
                <w:lang w:val="en-US" w:eastAsia="zh-CN" w:bidi="ar"/>
              </w:rPr>
              <w:t>（可根据实际需求情况调整）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1、面料：环保布艺，无甲醛含量，无异味，无可分解致癌芳香胺染料未检出。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3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2、海绵：高弹阻燃海绵。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3、框架：实木板，具有硬度高，密度大，承受力强，选材无结疤，腐朽等现象。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圆桌</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规格：直径700*750mm（可根据实际需求情况调整）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1"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婴儿护理台</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1.全新环保PP材质。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沙发</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规格：单人位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1、面料：环保布艺，无甲醛含量，无异味，无可分解致癌芳香胺染料未检出。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1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海绵：高弹阻燃海绵。海绵的40%压陷硬度偏差±2N内；65%/25%压陷比≥3%，75%压缩永久变形≤8%，回弹率≥50%，拉伸强度≥131kpa，断裂伸长率≥106%，撕裂强度≥3N/cm，湿热老化后拉伸强度≥123kpa，湿热老化后拉伸强度变化率±10%，干热老化后拉伸强度≥130KPa，干热老化后拉伸强度变化率±2%，灰分≤0.6%，甲醛散发未检出，燃烧性能检测符合，表观密度≥48kg/m³，需符合检验依据：GB/T 10802-2023标准。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3、框架：实木板，具有硬度高，密度大，承受力强，选材无结疤，腐朽等现象。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双人更衣柜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规格：600*500*1800mm（可根据实际需求情况调整）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1、采用电解钢板，厚度≥0.8mm。</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2、表面环氧树脂静电粉末喷涂。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3、五金：采用环保阻尼铰链、防锈易消毒型拉手及锁具等五金配件，开合次数超过5万次。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塑料凳</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pp材质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规格：900*450*1800mm（可根据实际需求情况调整）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2、分上下掩门结构，上掩门为透明钢化玻璃(增加钢化玻璃标准)，柜内配2块活动层板，下掩门柜内配1块活动层板。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5、五金：采用国标阻尼导轨、拉手及锁具等五金配件，开合次数超过5万次。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1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bottom w:val="single" w:color="auto" w:sz="4" w:space="0"/>
              <w:tl2br w:val="nil"/>
              <w:tr2bl w:val="nil"/>
            </w:tcBorders>
            <w:vAlign w:val="center"/>
          </w:tcPr>
          <w:p>
            <w:pPr>
              <w:widowControl/>
              <w:textAlignment w:val="center"/>
              <w:rPr>
                <w:rFonts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w:t>
            </w:r>
            <w:r>
              <w:rPr>
                <w:rFonts w:hint="eastAsia" w:ascii="宋体" w:hAnsi="宋体" w:cs="宋体"/>
                <w:b/>
                <w:color w:val="FF0000"/>
                <w:kern w:val="0"/>
                <w:szCs w:val="21"/>
                <w:highlight w:val="none"/>
                <w:lang w:val="en-US" w:eastAsia="zh-CN" w:bidi="ar"/>
              </w:rPr>
              <w:t>饰面</w:t>
            </w:r>
            <w:r>
              <w:rPr>
                <w:rFonts w:hint="eastAsia" w:ascii="宋体" w:hAnsi="宋体" w:cs="宋体"/>
                <w:b/>
                <w:color w:val="FF0000"/>
                <w:kern w:val="0"/>
                <w:szCs w:val="21"/>
                <w:highlight w:val="none"/>
                <w:lang w:bidi="ar"/>
              </w:rPr>
              <w:t>刨花板检测依据：GB/T 39600-2021《人造板及其制品甲醛释放量分级》、GB/T 15102-2017《浸渍胶膜纸饰面纤维板和刨花板》、GB/T 17657-2022《人造板及饰面人造板理化性能试验方法》、GB/T 39934-2021《家具中挥发性有机化合物的筛查检测方法 气相色谱-质谱法》、GB/T 36022-2018《木家具中氨释放量试验方法》、LY/T 1985-2011《防腐木材和人造板中五氯苯酚含量的测定方法》；检测内容或结果满足：甲醛释放量：≤0.05mg/m3，符合E0级或ENF级的标准要求；握螺钉力：板面≥1200N，板边≥800N；表面耐磨：磨耗值≤45mg/100r，表面情况检测符合标准要求；静曲强度：≥10MPa；弹性模量：≥2200MPa；内结合强度：≥0.4MPa；表面胶合强度：≥1.2MPa；2h吸水厚度膨胀率：≤2%；；表面耐划痕：≥1.5N表面无大于90%的连续划痕，检测符合或合格；表面耐香烟灼烧：达到5级（5级最优）；表面耐干热：达到5级（5级最优）；表面耐污染腐蚀：达到5级（5级最优）；表面耐冷热循环：无裂纹、鼓泡、变色、起皱等，检测符合或合格；表面耐龟裂：达到5级（5级最优）；表面耐水蒸气：达到5级（5级最优）；耐光色牢度：≥4级；苯乙烯：未检出；三氯乙烯：未检出；四氯乙烯：未检出；氨释放量：未检出；五氯苯酚：未检出。</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op w:val="single" w:color="auto" w:sz="4" w:space="0"/>
              <w:tl2br w:val="nil"/>
              <w:tr2bl w:val="nil"/>
            </w:tcBorders>
            <w:vAlign w:val="center"/>
          </w:tcPr>
          <w:p>
            <w:pPr>
              <w:pStyle w:val="2"/>
              <w:widowControl/>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▲封边条检测依据：QB/T 4463-2013《家具用封边条技术要求》；检测内容或结果满足：耐干热性：应无龟裂、无鼓泡，检测符合或合格；耐磨性：磨30r后应无露底现象，检测符合或合格；耐开裂：达到1级（1级最好，5级最差）；耐冷热循环性：应无龟裂、无鼓泡、无变色、无起皱，检测符合或合格；甲醛释放量：未检出；多溴联苯：未检出；多溴联苯醚：未检出；有害物质限量：可迁移元素（可溶性重金属）钡、铅、镉、锑、硒、汞、砷、铬均未检出；邻苯二甲酸酯（DBP、BBP、DEHP、DNOP、DINP和DIDP的总量）未检出。</w:t>
            </w:r>
          </w:p>
          <w:p>
            <w:pPr>
              <w:pStyle w:val="2"/>
              <w:keepNext w:val="0"/>
              <w:keepLines w:val="0"/>
              <w:widowControl/>
              <w:suppressLineNumbers w:val="0"/>
              <w:jc w:val="both"/>
              <w:textAlignment w:val="center"/>
              <w:rPr>
                <w:rFonts w:hint="eastAsia" w:ascii="宋体" w:hAnsi="宋体" w:cs="宋体"/>
                <w:b/>
                <w:color w:val="FF0000"/>
                <w:kern w:val="0"/>
                <w:szCs w:val="21"/>
                <w:highlight w:val="none"/>
                <w:lang w:bidi="ar"/>
              </w:rPr>
            </w:pPr>
            <w:r>
              <w:rPr>
                <w:rFonts w:hint="eastAsia"/>
                <w:b/>
                <w:bCs/>
                <w:color w:val="FF0000"/>
                <w:sz w:val="22"/>
                <w:szCs w:val="22"/>
                <w:highlight w:val="none"/>
                <w:lang w:eastAsia="zh-CN"/>
              </w:rPr>
              <w:t>【</w:t>
            </w:r>
            <w:r>
              <w:rPr>
                <w:rFonts w:hint="eastAsia"/>
                <w:b/>
                <w:bCs/>
                <w:color w:val="FF0000"/>
                <w:sz w:val="22"/>
                <w:szCs w:val="22"/>
                <w:highlight w:val="none"/>
                <w:lang w:val="en-US" w:eastAsia="zh-CN"/>
              </w:rPr>
              <w:t>投标人承诺在中标后提供2024年1月1日起符合以上要求的第三方检测机构在资质认定证书的能力范围内出具的具有CMA标识的检测报告扫描件，投标时提供承诺函（格式自拟）】中标供应商验收时须提供，作为验收条件的一部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无菌柜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规格：900*450*1800mm（可根据实际需求情况调整）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0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采用304不锈钢经压折、焊接、抛光打磨而成，没有外露点；钢板厚度≥1.0mm金属喷漆（塑）涂层硬度≥5H；耐腐蚀100h内无鼓泡产生，100h后无锈迹、剥落、起皱、变色和失光等现象；大肠杆菌、金黄色葡萄球菌、肺炎克雷伯氏菌、宋氏志贺氏菌、粘质沙雷氏菌、鲍曼不动杆菌、白色葡萄球菌、白色念珠菌、鼠伤寒沙门氏菌、铜绿假单胞菌抑菌率≥99%；化学成分（质量分数）碳≤0.05、硅≤0.5、锰≤1、磷≤0.04、硫≤0.01；规定塑性延伸强度≥300MPa；抗拉强度≥600MPa；断后伸长率≥50%；乙酸盐雾试验（ASS）连续喷雾≥200h，镀（涂）层本身耐腐蚀等级和镀（涂）层对基体保护等级达到10级；中性盐雾试验（NSS）连续喷雾≥200h，镀（涂）层本身耐腐蚀等级和镀（涂）层对基体保护等级达到10级，需符合检验依据：</w:t>
            </w:r>
            <w:r>
              <w:rPr>
                <w:rFonts w:hint="eastAsia"/>
                <w:highlight w:val="none"/>
              </w:rPr>
              <w:t>GB/T 3325-2024</w:t>
            </w:r>
            <w:r>
              <w:rPr>
                <w:rFonts w:hint="eastAsia" w:ascii="宋体" w:hAnsi="宋体" w:eastAsia="宋体" w:cs="宋体"/>
                <w:i w:val="0"/>
                <w:iCs w:val="0"/>
                <w:color w:val="000000"/>
                <w:kern w:val="0"/>
                <w:sz w:val="21"/>
                <w:szCs w:val="21"/>
                <w:highlight w:val="none"/>
                <w:u w:val="none"/>
                <w:lang w:val="en-US" w:eastAsia="zh-CN" w:bidi="ar"/>
              </w:rPr>
              <w:t>、QB/T 3826-1999、QB/T 3827-1999、QB/T 4371-2012、GB/T 3280-2015 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2、活动层板，层板底部需有加强筋，柜内层板可自由调节高度，层板支撑扣，搭配透明钢化玻璃，关门静音。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3、五金：阻尼铰链、锁具等五金配件。（根据采购人需求进行深化设计）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鞋柜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规格：900*450*450mm（可根据实际需求情况调整）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6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双面电解钢板，主体钢板厚度≥1.0mm。电解钢板：乙酸盐雾试验：对样品进行≥200h乙酸盐雾试验（ASS），试验后，保护等级、耐蚀等级均达到10级；中性盐雾试验对样品进行≥200h中性盐雾试验（NSS），保护等级、耐蚀等级均达到10级；家具涂层可迁移元素:铅（Pb）未检出，镉（Cd）未检出， 铬（Cr）未检出，汞（Hg）未检出，砷（As）未检出，锑（Sb）未检出，钡（Ba）未检出，硒（Se）未检出。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2、表面采用静电抗菌粉末喷涂处理，具有环保、抑菌、防锈、耐腐蚀、绝缘性高、附着力强、耐摩擦等技术特点。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3、软包坐垫，表面敷医用超纤皮，内衬实木多层板。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医生椅</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1、椅背：PP背框+特网面料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2、椅座：切割绵+弹力座布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3、扶手：固定扶手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4、底盘：原位锁定底盘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5、气杆：行程100mm沉口40mm三级气杆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6、椅脚：340黑色PA五星脚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7、椅轮：60/25黑色PA轮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医生椅（木质）</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规格：580*490*960mm（可根据实际需求情况调整）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1、采用环保实木，具有硬度高，密度大，承受力强，选材无结疤，腐朽等现象，带坐垫。</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2、漆面：采用环保型水性漆，四底两面，开放式涂装效果；无毒无刺激气味，对人体无害，不污染环境。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医生诊桌</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规格：1400*1400*750mm（可根据实际需求情况调整）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饰面多层实木板甲醛释放量≤0.05mg/m³，符合E0级或ENF级标准要求。含水率：6~10%；表面耐磨：磨耗值≤45mg/100r，表面情况符合标准要求；胶合强度：≥0.7MPa；表面胶合强度：≥1.3MPa；表面耐划痕：≥1.5N表面无大于90%的连续划痕，检测符合标准；表面耐香烟灼烧：达到5级；表面耐干热：达到5级；表面耐污染腐蚀：达到5级；表面耐冷热循环：无裂纹、鼓泡、变色、起皱等，检测符合标准要求；表面耐龟裂：达到5级；表面耐水蒸气：达到5级；耐光色牢度：≥4级；苯乙烯：未检出；三氯乙烯：未检出；四氯乙烯：未检出；氨释放量：未检出；五氯苯酚：未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 表面环氧树脂静电粉末喷涂。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5、边柜：带主机空格、可选择抽屉或掩门。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33</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办公桌</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规格：1400*600*750mm（可根据实际需求情况调整）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 表面环氧树脂静电粉末喷涂。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5、边柜：带主机空格、可选择抽屉或掩门。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椅子</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规格：400*400*420-560mm（可根据实际需求情况调整）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1、座垫采用PU发泡。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0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气压棒：国标气压棒。耐腐蚀：100h内，观察在溶液中样板上划道两侧3mm以外，应无鼓泡产生。100h后，检查划道两侧3mm以外，应无锈迹、剥落、起皱、变色和失光等现象；中性盐雾试验（NSS）和乙酸盐雾（ASS）：试验时间：100h,无锈点，评级：涂层对基体金属的防蚀能力10级，涂层本身的耐蚀能力10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长桌</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规格：1800*600*750mm（可根据实际需求情况调整）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4、脚架：钢制脚架，壁厚≥1.0mm，表面粉末静电喷涂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诊疗床</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规格：1900*650*650mm（可根据实际需求情况调整）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1、床垫 高密度弹力海绵+环保超纤皮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2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2、床架 钢脚，壁厚≥1.0mm，表面环氧树脂静电粉末喷涂，光滑、平整，不易损伤，具有环保、抑菌、防锈、耐腐蚀、绝缘性高、附着力强、耐摩擦等技术特点。粉末涂料：附着力（干附着力）：达到0级；耐酸性[3%（质量分数）盐酸溶液]：≥200h无异常；耐碱性[5%（质量分数）氢氧化钠溶液]：≥168h无异常；铅笔硬度（内聚破坏中擦伤）：≥5H；抗细菌性能：大肠杆菌抗细菌率≥99%，金黄色葡萄球菌抗细菌率≥99%。检测依据：HG/T 2006-2022《热固性和热塑性粉末涂料》、HG/T 3950-2007《抗菌涂料》。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诊疗床（儿童）</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规格：1200*700*850mm（可根据实际需求情况调整）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1、床垫 高密度弹力海绵+环保超纤皮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3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2、床架 钢脚，壁厚≥1.0mm，表面环氧树脂静电粉末喷涂，光滑、平整，不易损伤，具有环保、抑菌、防锈、耐腐蚀、绝缘性高、附着力强、耐摩擦等技术特点。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治疗用圆凳</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规格：400*400*420-560mm（可根据实际需求情况调整）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1、座垫采用PU发泡。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2、气压棒：国标气压棒。</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置物桌</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规格：1200*600*750mm（可根据实际需求情况调整）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86"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中医候诊椅</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1、框架：采用环保实木，采用榫卯结构工艺；具有硬度高，密度大，承受力强，选材无结疤，腐朽等现象。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3、漆面：环保型水性漆，四底两面，开放式涂装效果；无毒无刺激气味，对人体无害，不污染环境。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4、含坐垫</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中医文件柜</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规格：900*450*1800mm（可根据实际需求情况调整）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2、分上下掩门结构，上掩门为透明钢化玻璃(增加钢化玻璃标准)，柜内配2块活动层板，下掩门柜内配1块活动层板。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3、封边：环保PVC 封边条。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5、五金：采用国标阻尼导轨、拉手及锁具等五金配件，开合次数超过5万次。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中医诊桌</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规格：1400*700*750mm（可根据实际需求情况调整）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0"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1、框架：采用环保实木，采用榫卯结构工艺；具有硬度高，密度大，承受力强，选材无结疤，腐朽等现象。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3、漆面：环保型水性漆，四底两面，开放式涂装效果；无毒无刺激气味，对人体无害，不污染环境。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注射凳</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规格：460*510*580mm（可根据实际需求情况调整）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框架：实木板，具有硬度高，密度大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849"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长桌1</w:t>
            </w: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规格：1200*600*750mm（可根据实际需求情况调整）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65" w:hRule="atLeast"/>
        </w:trPr>
        <w:tc>
          <w:tcPr>
            <w:tcW w:w="445"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 封边条：耐干热性：应无龟裂、无鼓泡，检测符合或合格；耐磨性：磨30r后应无露底现象，检测符合或合格；耐开裂：达到1级（1级最好，5级最差）；耐冷热循环性：应无龟裂、无鼓泡、无变色、无起皱，检测符合或合格；甲醛释放量：未检出；多溴联苯：未检出；多溴联苯醚：未检出；有害物质限量：可迁移元素（可溶性重金属）钡、铅、镉、锑、硒、汞、砷、铬均未检出；邻苯二甲酸酯（DBP、BBP、DEHP、DNOP、DINP和DIDP的总量）未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5" w:hRule="atLeast"/>
        </w:trPr>
        <w:tc>
          <w:tcPr>
            <w:tcW w:w="445"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25" w:hRule="atLeast"/>
        </w:trPr>
        <w:tc>
          <w:tcPr>
            <w:tcW w:w="445"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849"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370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4、脚架：钢制脚架，壁厚≥1.0mm，表面粉末静电喷涂</w:t>
            </w:r>
          </w:p>
        </w:tc>
      </w:tr>
    </w:tbl>
    <w:p>
      <w:pPr>
        <w:rPr>
          <w:rFonts w:ascii="Times New Roman" w:hAnsi="Times New Roman" w:eastAsia="宋体" w:cs="Times New Roman"/>
          <w:b/>
          <w:szCs w:val="21"/>
        </w:rPr>
      </w:pPr>
    </w:p>
    <w:p>
      <w:pPr>
        <w:pStyle w:val="2"/>
        <w:rPr>
          <w:rFonts w:ascii="Times New Roman" w:hAnsi="Times New Roman" w:eastAsia="宋体" w:cs="Times New Roman"/>
          <w:b/>
          <w:szCs w:val="21"/>
        </w:rPr>
      </w:pPr>
    </w:p>
    <w:p>
      <w:pPr>
        <w:pStyle w:val="2"/>
        <w:rPr>
          <w:rFonts w:ascii="Times New Roman" w:hAnsi="Times New Roman" w:eastAsia="宋体" w:cs="Times New Roman"/>
          <w:b/>
          <w:szCs w:val="21"/>
        </w:rPr>
      </w:pPr>
    </w:p>
    <w:p>
      <w:pPr>
        <w:pStyle w:val="6"/>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4"/>
        <w:tblW w:w="504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
        <w:gridCol w:w="1407"/>
        <w:gridCol w:w="2"/>
        <w:gridCol w:w="638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dxa"/>
            <w:gridSpan w:val="2"/>
            <w:vAlign w:val="center"/>
          </w:tcPr>
          <w:p>
            <w:pPr>
              <w:jc w:val="center"/>
              <w:rPr>
                <w:rFonts w:ascii="宋体" w:hAnsi="宋体"/>
                <w:b/>
                <w:highlight w:val="none"/>
              </w:rPr>
            </w:pPr>
            <w:r>
              <w:rPr>
                <w:rFonts w:hint="eastAsia" w:ascii="宋体" w:hAnsi="宋体"/>
                <w:b/>
                <w:highlight w:val="none"/>
              </w:rPr>
              <w:t>序号</w:t>
            </w:r>
          </w:p>
        </w:tc>
        <w:tc>
          <w:tcPr>
            <w:tcW w:w="1409" w:type="dxa"/>
            <w:gridSpan w:val="2"/>
            <w:vAlign w:val="center"/>
          </w:tcPr>
          <w:p>
            <w:pPr>
              <w:jc w:val="center"/>
              <w:rPr>
                <w:rFonts w:ascii="宋体" w:hAnsi="宋体"/>
                <w:b/>
                <w:highlight w:val="none"/>
              </w:rPr>
            </w:pPr>
            <w:r>
              <w:rPr>
                <w:rFonts w:hint="eastAsia" w:ascii="宋体" w:hAnsi="宋体"/>
                <w:b/>
                <w:highlight w:val="none"/>
              </w:rPr>
              <w:t>商务需求项</w:t>
            </w:r>
          </w:p>
        </w:tc>
        <w:tc>
          <w:tcPr>
            <w:tcW w:w="6389" w:type="dxa"/>
            <w:gridSpan w:val="2"/>
            <w:vAlign w:val="center"/>
          </w:tcPr>
          <w:p>
            <w:pPr>
              <w:jc w:val="center"/>
              <w:rPr>
                <w:rFonts w:ascii="宋体" w:hAnsi="宋体"/>
                <w:b/>
                <w:highlight w:val="none"/>
              </w:rPr>
            </w:pPr>
            <w:r>
              <w:rPr>
                <w:rFonts w:hint="eastAsia" w:ascii="宋体" w:hAnsi="宋体"/>
                <w:b/>
                <w:highlight w:val="none"/>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11" w:type="dxa"/>
            <w:gridSpan w:val="6"/>
            <w:vAlign w:val="top"/>
          </w:tcPr>
          <w:p>
            <w:pPr>
              <w:rPr>
                <w:rFonts w:ascii="宋体" w:hAnsi="宋体"/>
                <w:b/>
                <w:highlight w:val="none"/>
              </w:rPr>
            </w:pPr>
            <w:r>
              <w:rPr>
                <w:rFonts w:hint="eastAsia" w:ascii="宋体" w:hAnsi="宋体"/>
                <w:b/>
                <w:highlight w:val="none"/>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3" w:type="dxa"/>
            <w:gridSpan w:val="2"/>
            <w:vMerge w:val="restart"/>
            <w:vAlign w:val="center"/>
          </w:tcPr>
          <w:p>
            <w:pPr>
              <w:jc w:val="center"/>
              <w:rPr>
                <w:rFonts w:ascii="宋体" w:hAnsi="宋体"/>
                <w:szCs w:val="21"/>
                <w:highlight w:val="none"/>
              </w:rPr>
            </w:pPr>
            <w:r>
              <w:rPr>
                <w:rFonts w:hint="eastAsia" w:ascii="宋体" w:hAnsi="宋体"/>
                <w:szCs w:val="21"/>
                <w:highlight w:val="none"/>
              </w:rPr>
              <w:t>1</w:t>
            </w:r>
          </w:p>
        </w:tc>
        <w:tc>
          <w:tcPr>
            <w:tcW w:w="1409" w:type="dxa"/>
            <w:gridSpan w:val="2"/>
            <w:vMerge w:val="restart"/>
            <w:vAlign w:val="center"/>
          </w:tcPr>
          <w:p>
            <w:pPr>
              <w:jc w:val="center"/>
              <w:rPr>
                <w:rFonts w:ascii="宋体" w:hAnsi="宋体"/>
                <w:szCs w:val="21"/>
                <w:highlight w:val="none"/>
              </w:rPr>
            </w:pPr>
            <w:r>
              <w:rPr>
                <w:rFonts w:hint="eastAsia" w:ascii="宋体" w:hAnsi="宋体"/>
                <w:szCs w:val="21"/>
                <w:highlight w:val="none"/>
              </w:rPr>
              <w:t>免费保修期</w:t>
            </w:r>
          </w:p>
        </w:tc>
        <w:tc>
          <w:tcPr>
            <w:tcW w:w="6389" w:type="dxa"/>
            <w:gridSpan w:val="2"/>
            <w:vAlign w:val="top"/>
          </w:tcPr>
          <w:p>
            <w:pPr>
              <w:rPr>
                <w:rFonts w:hint="eastAsia" w:ascii="宋体" w:hAnsi="宋体"/>
                <w:bCs/>
                <w:szCs w:val="21"/>
                <w:highlight w:val="none"/>
              </w:rPr>
            </w:pPr>
            <w:r>
              <w:rPr>
                <w:rFonts w:hint="eastAsia" w:ascii="宋体" w:hAnsi="宋体"/>
                <w:bCs/>
                <w:szCs w:val="21"/>
                <w:highlight w:val="none"/>
              </w:rPr>
              <w:t>1.货物免费保修期 3 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3" w:type="dxa"/>
            <w:gridSpan w:val="2"/>
            <w:vMerge w:val="continue"/>
            <w:vAlign w:val="center"/>
          </w:tcPr>
          <w:p>
            <w:pPr>
              <w:jc w:val="center"/>
              <w:rPr>
                <w:rFonts w:ascii="宋体" w:hAnsi="宋体"/>
                <w:b/>
                <w:szCs w:val="21"/>
                <w:highlight w:val="none"/>
              </w:rPr>
            </w:pPr>
          </w:p>
        </w:tc>
        <w:tc>
          <w:tcPr>
            <w:tcW w:w="1409" w:type="dxa"/>
            <w:gridSpan w:val="2"/>
            <w:vMerge w:val="continue"/>
            <w:vAlign w:val="center"/>
          </w:tcPr>
          <w:p>
            <w:pPr>
              <w:rPr>
                <w:rFonts w:ascii="宋体" w:hAnsi="宋体"/>
                <w:szCs w:val="21"/>
                <w:highlight w:val="none"/>
              </w:rPr>
            </w:pPr>
          </w:p>
        </w:tc>
        <w:tc>
          <w:tcPr>
            <w:tcW w:w="6389" w:type="dxa"/>
            <w:gridSpan w:val="2"/>
            <w:vAlign w:val="center"/>
          </w:tcPr>
          <w:p>
            <w:pPr>
              <w:rPr>
                <w:rFonts w:hint="eastAsia" w:ascii="宋体" w:hAnsi="宋体"/>
                <w:bCs/>
                <w:szCs w:val="21"/>
                <w:highlight w:val="none"/>
              </w:rPr>
            </w:pPr>
            <w:r>
              <w:rPr>
                <w:rFonts w:hint="eastAsia" w:ascii="宋体" w:hAnsi="宋体"/>
                <w:bCs/>
                <w:szCs w:val="21"/>
                <w:highlight w:val="none"/>
              </w:rPr>
              <w:t>2.免费保修期内，所有服务及配件全部免费。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dxa"/>
            <w:gridSpan w:val="2"/>
            <w:vAlign w:val="center"/>
          </w:tcPr>
          <w:p>
            <w:pPr>
              <w:jc w:val="center"/>
              <w:rPr>
                <w:rFonts w:ascii="宋体" w:hAnsi="宋体"/>
                <w:b/>
                <w:szCs w:val="21"/>
                <w:highlight w:val="none"/>
              </w:rPr>
            </w:pPr>
            <w:r>
              <w:rPr>
                <w:rFonts w:hint="eastAsia" w:ascii="宋体" w:hAnsi="宋体"/>
                <w:b/>
                <w:szCs w:val="21"/>
                <w:highlight w:val="none"/>
              </w:rPr>
              <w:t>2</w:t>
            </w:r>
          </w:p>
        </w:tc>
        <w:tc>
          <w:tcPr>
            <w:tcW w:w="1409" w:type="dxa"/>
            <w:gridSpan w:val="2"/>
            <w:vAlign w:val="center"/>
          </w:tcPr>
          <w:p>
            <w:pPr>
              <w:rPr>
                <w:rFonts w:ascii="宋体" w:hAnsi="宋体"/>
                <w:szCs w:val="21"/>
                <w:highlight w:val="none"/>
              </w:rPr>
            </w:pPr>
            <w:r>
              <w:rPr>
                <w:rFonts w:hint="eastAsia" w:ascii="宋体" w:hAnsi="宋体"/>
                <w:szCs w:val="21"/>
                <w:highlight w:val="none"/>
              </w:rPr>
              <w:t>维修响应及故障解决时间</w:t>
            </w:r>
          </w:p>
        </w:tc>
        <w:tc>
          <w:tcPr>
            <w:tcW w:w="6389" w:type="dxa"/>
            <w:gridSpan w:val="2"/>
            <w:vAlign w:val="center"/>
          </w:tcPr>
          <w:p>
            <w:pPr>
              <w:rPr>
                <w:rFonts w:ascii="宋体" w:hAnsi="宋体"/>
                <w:bCs/>
                <w:szCs w:val="21"/>
                <w:highlight w:val="none"/>
              </w:rPr>
            </w:pPr>
            <w:r>
              <w:rPr>
                <w:rFonts w:hint="eastAsia" w:ascii="宋体" w:hAnsi="宋体"/>
                <w:bCs/>
                <w:szCs w:val="21"/>
                <w:highlight w:val="none"/>
              </w:rPr>
              <w:t>在免费保修期内，一旦发生质量问题，响应供应商保证在接到维修需求后</w:t>
            </w:r>
            <w:r>
              <w:rPr>
                <w:rFonts w:hint="eastAsia" w:ascii="宋体" w:hAnsi="宋体"/>
                <w:bCs/>
                <w:color w:val="000000"/>
                <w:szCs w:val="21"/>
                <w:highlight w:val="none"/>
                <w:u w:val="single"/>
              </w:rPr>
              <w:t>1</w:t>
            </w:r>
            <w:r>
              <w:rPr>
                <w:rFonts w:hint="eastAsia" w:ascii="宋体" w:hAnsi="宋体"/>
                <w:bCs/>
                <w:szCs w:val="21"/>
                <w:highlight w:val="none"/>
              </w:rPr>
              <w:t>小时内响应维修需求，</w:t>
            </w:r>
            <w:r>
              <w:rPr>
                <w:rFonts w:hint="eastAsia" w:ascii="宋体" w:hAnsi="宋体"/>
                <w:bCs/>
                <w:szCs w:val="21"/>
                <w:highlight w:val="none"/>
                <w:u w:val="single"/>
              </w:rPr>
              <w:t>24</w:t>
            </w:r>
            <w:r>
              <w:rPr>
                <w:rFonts w:hint="eastAsia" w:ascii="宋体" w:hAnsi="宋体"/>
                <w:bCs/>
                <w:szCs w:val="21"/>
                <w:highlight w:val="none"/>
              </w:rPr>
              <w:t>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3" w:type="dxa"/>
            <w:gridSpan w:val="2"/>
            <w:vAlign w:val="center"/>
          </w:tcPr>
          <w:p>
            <w:pPr>
              <w:jc w:val="center"/>
              <w:rPr>
                <w:rFonts w:ascii="宋体" w:hAnsi="宋体"/>
                <w:b/>
                <w:szCs w:val="21"/>
                <w:highlight w:val="none"/>
              </w:rPr>
            </w:pPr>
            <w:r>
              <w:rPr>
                <w:rFonts w:hint="eastAsia" w:ascii="宋体" w:hAnsi="宋体"/>
                <w:szCs w:val="21"/>
                <w:highlight w:val="none"/>
              </w:rPr>
              <w:t>3</w:t>
            </w:r>
          </w:p>
        </w:tc>
        <w:tc>
          <w:tcPr>
            <w:tcW w:w="1409" w:type="dxa"/>
            <w:gridSpan w:val="2"/>
            <w:vAlign w:val="center"/>
          </w:tcPr>
          <w:p>
            <w:pPr>
              <w:jc w:val="center"/>
              <w:rPr>
                <w:rFonts w:ascii="宋体" w:hAnsi="宋体"/>
                <w:b/>
                <w:szCs w:val="21"/>
                <w:highlight w:val="none"/>
              </w:rPr>
            </w:pPr>
            <w:r>
              <w:rPr>
                <w:rFonts w:hint="eastAsia" w:ascii="宋体" w:hAnsi="宋体"/>
                <w:szCs w:val="21"/>
                <w:highlight w:val="none"/>
              </w:rPr>
              <w:t>技术文件</w:t>
            </w:r>
          </w:p>
        </w:tc>
        <w:tc>
          <w:tcPr>
            <w:tcW w:w="6389" w:type="dxa"/>
            <w:gridSpan w:val="2"/>
            <w:vAlign w:val="center"/>
          </w:tcPr>
          <w:p>
            <w:pPr>
              <w:rPr>
                <w:rFonts w:ascii="宋体" w:hAnsi="宋体"/>
                <w:bCs/>
                <w:szCs w:val="21"/>
                <w:highlight w:val="none"/>
              </w:rPr>
            </w:pPr>
            <w:r>
              <w:rPr>
                <w:rFonts w:hint="eastAsia" w:ascii="宋体" w:hAnsi="宋体"/>
                <w:bCs/>
                <w:szCs w:val="21"/>
                <w:highlight w:val="none"/>
              </w:rPr>
              <w:t>供应商应提供全套、完整的书面技术资料，包括产品说明书、操作手册、简单维修说明、图纸等。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Align w:val="center"/>
          </w:tcPr>
          <w:p>
            <w:pPr>
              <w:jc w:val="center"/>
              <w:rPr>
                <w:rFonts w:ascii="宋体" w:hAnsi="宋体"/>
                <w:bCs/>
                <w:szCs w:val="21"/>
                <w:highlight w:val="none"/>
              </w:rPr>
            </w:pPr>
            <w:r>
              <w:rPr>
                <w:rFonts w:hint="eastAsia" w:ascii="宋体" w:hAnsi="宋体"/>
                <w:bCs/>
                <w:szCs w:val="21"/>
                <w:highlight w:val="none"/>
              </w:rPr>
              <w:t>4</w:t>
            </w:r>
          </w:p>
        </w:tc>
        <w:tc>
          <w:tcPr>
            <w:tcW w:w="1408" w:type="dxa"/>
            <w:gridSpan w:val="2"/>
            <w:vAlign w:val="center"/>
          </w:tcPr>
          <w:p>
            <w:pPr>
              <w:jc w:val="center"/>
              <w:rPr>
                <w:rFonts w:ascii="宋体" w:hAnsi="宋体"/>
                <w:bCs/>
                <w:szCs w:val="21"/>
                <w:highlight w:val="none"/>
              </w:rPr>
            </w:pPr>
            <w:r>
              <w:rPr>
                <w:rFonts w:hint="eastAsia" w:ascii="宋体" w:hAnsi="宋体"/>
                <w:szCs w:val="21"/>
                <w:highlight w:val="none"/>
              </w:rPr>
              <w:t>其     他</w:t>
            </w:r>
          </w:p>
        </w:tc>
        <w:tc>
          <w:tcPr>
            <w:tcW w:w="6384" w:type="dxa"/>
            <w:gridSpan w:val="2"/>
            <w:vAlign w:val="center"/>
          </w:tcPr>
          <w:p>
            <w:pPr>
              <w:rPr>
                <w:rFonts w:ascii="宋体" w:hAnsi="宋体"/>
                <w:bCs/>
                <w:szCs w:val="21"/>
                <w:highlight w:val="none"/>
              </w:rPr>
            </w:pPr>
            <w:r>
              <w:rPr>
                <w:rFonts w:hint="eastAsia" w:ascii="宋体" w:hAnsi="宋体" w:cs="宋体"/>
                <w:color w:val="000000"/>
                <w:szCs w:val="21"/>
                <w:highlight w:val="none"/>
              </w:rPr>
              <w:t>响应供应商应按投标文件中的承诺，进行其他售后服务的工作。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604" w:type="dxa"/>
            <w:gridSpan w:val="5"/>
            <w:vAlign w:val="center"/>
          </w:tcPr>
          <w:p>
            <w:pPr>
              <w:rPr>
                <w:rFonts w:hint="eastAsia" w:ascii="宋体" w:hAnsi="宋体" w:cs="宋体"/>
                <w:color w:val="000000"/>
                <w:szCs w:val="21"/>
                <w:highlight w:val="none"/>
              </w:rPr>
            </w:pPr>
            <w:r>
              <w:rPr>
                <w:rFonts w:hint="eastAsia" w:ascii="宋体" w:hAnsi="宋体"/>
                <w:b/>
                <w:highlight w:val="none"/>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restart"/>
            <w:vAlign w:val="center"/>
          </w:tcPr>
          <w:p>
            <w:pPr>
              <w:jc w:val="center"/>
              <w:rPr>
                <w:rFonts w:ascii="宋体" w:hAnsi="宋体"/>
                <w:b/>
                <w:sz w:val="20"/>
                <w:szCs w:val="20"/>
                <w:highlight w:val="none"/>
              </w:rPr>
            </w:pPr>
            <w:r>
              <w:rPr>
                <w:rFonts w:hint="eastAsia" w:ascii="宋体" w:hAnsi="宋体"/>
                <w:b/>
                <w:sz w:val="20"/>
                <w:szCs w:val="20"/>
                <w:highlight w:val="none"/>
              </w:rPr>
              <w:t>1</w:t>
            </w:r>
          </w:p>
        </w:tc>
        <w:tc>
          <w:tcPr>
            <w:tcW w:w="1408" w:type="dxa"/>
            <w:gridSpan w:val="2"/>
            <w:vMerge w:val="restart"/>
            <w:vAlign w:val="center"/>
          </w:tcPr>
          <w:p>
            <w:pPr>
              <w:jc w:val="center"/>
              <w:rPr>
                <w:rFonts w:ascii="宋体" w:hAnsi="宋体"/>
                <w:b/>
                <w:color w:val="000000"/>
                <w:sz w:val="20"/>
                <w:szCs w:val="20"/>
                <w:highlight w:val="none"/>
              </w:rPr>
            </w:pPr>
            <w:r>
              <w:rPr>
                <w:rFonts w:hint="eastAsia" w:ascii="宋体" w:hAnsi="宋体" w:cs="宋体"/>
                <w:b/>
                <w:bCs/>
                <w:color w:val="000000"/>
                <w:sz w:val="20"/>
                <w:szCs w:val="20"/>
                <w:highlight w:val="none"/>
              </w:rPr>
              <w:t>维修零配件、消耗品和延续保修合同的报价</w:t>
            </w:r>
          </w:p>
        </w:tc>
        <w:tc>
          <w:tcPr>
            <w:tcW w:w="6384" w:type="dxa"/>
            <w:gridSpan w:val="2"/>
            <w:vAlign w:val="center"/>
          </w:tcPr>
          <w:p>
            <w:pPr>
              <w:rPr>
                <w:rFonts w:ascii="宋体" w:hAnsi="宋体" w:cs="等线"/>
                <w:b/>
                <w:color w:val="000000"/>
                <w:szCs w:val="21"/>
                <w:highlight w:val="none"/>
              </w:rPr>
            </w:pPr>
            <w:r>
              <w:rPr>
                <w:rFonts w:hint="eastAsia" w:ascii="宋体" w:hAnsi="宋体" w:cs="等线"/>
                <w:color w:val="000000"/>
                <w:szCs w:val="21"/>
                <w:highlight w:val="none"/>
              </w:rPr>
              <w:t>1.1在产品寿命期内，保证备件供应，及时响应维修需求，由设备制造商或中标人及时提供专业售后服务。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highlight w:val="none"/>
              </w:rPr>
            </w:pPr>
          </w:p>
        </w:tc>
        <w:tc>
          <w:tcPr>
            <w:tcW w:w="1408" w:type="dxa"/>
            <w:gridSpan w:val="2"/>
            <w:vMerge w:val="continue"/>
            <w:vAlign w:val="center"/>
          </w:tcPr>
          <w:p>
            <w:pPr>
              <w:rPr>
                <w:rFonts w:ascii="宋体" w:hAnsi="宋体" w:cs="宋体"/>
                <w:color w:val="000000"/>
                <w:sz w:val="20"/>
                <w:szCs w:val="20"/>
                <w:highlight w:val="none"/>
              </w:rPr>
            </w:pPr>
          </w:p>
        </w:tc>
        <w:tc>
          <w:tcPr>
            <w:tcW w:w="6384" w:type="dxa"/>
            <w:gridSpan w:val="2"/>
            <w:vAlign w:val="center"/>
          </w:tcPr>
          <w:p>
            <w:pPr>
              <w:rPr>
                <w:rFonts w:ascii="宋体" w:hAnsi="宋体" w:cs="等线"/>
                <w:b/>
                <w:color w:val="000000"/>
                <w:szCs w:val="21"/>
                <w:highlight w:val="none"/>
              </w:rPr>
            </w:pPr>
            <w:r>
              <w:rPr>
                <w:rFonts w:hint="eastAsia" w:ascii="宋体" w:hAnsi="宋体" w:cs="等线"/>
                <w:color w:val="000000"/>
                <w:szCs w:val="21"/>
                <w:highlight w:val="none"/>
              </w:rPr>
              <w:t>1.2保修期外出现的质量问题，只收取损坏的部件维修或更换的成本费用，价格不高于市场同类型产品的价格。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604" w:type="dxa"/>
            <w:gridSpan w:val="5"/>
            <w:vAlign w:val="center"/>
          </w:tcPr>
          <w:p>
            <w:pPr>
              <w:rPr>
                <w:rFonts w:hint="eastAsia" w:ascii="宋体" w:hAnsi="宋体" w:cs="宋体"/>
                <w:color w:val="000000"/>
                <w:szCs w:val="21"/>
                <w:highlight w:val="none"/>
              </w:rPr>
            </w:pPr>
            <w:r>
              <w:rPr>
                <w:rFonts w:hint="eastAsia" w:ascii="宋体" w:hAnsi="宋体"/>
                <w:b/>
                <w:highlight w:val="none"/>
              </w:rPr>
              <w:t>（三）其他商务条款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restart"/>
            <w:vAlign w:val="center"/>
          </w:tcPr>
          <w:p>
            <w:pPr>
              <w:jc w:val="center"/>
              <w:rPr>
                <w:rFonts w:ascii="宋体" w:hAnsi="宋体"/>
                <w:b/>
                <w:sz w:val="20"/>
                <w:szCs w:val="20"/>
                <w:highlight w:val="none"/>
              </w:rPr>
            </w:pPr>
            <w:r>
              <w:rPr>
                <w:rFonts w:hint="eastAsia" w:ascii="宋体" w:hAnsi="宋体"/>
                <w:b/>
                <w:sz w:val="20"/>
                <w:szCs w:val="20"/>
                <w:highlight w:val="none"/>
              </w:rPr>
              <w:t>1</w:t>
            </w:r>
          </w:p>
          <w:p>
            <w:pPr>
              <w:pStyle w:val="9"/>
              <w:rPr>
                <w:rFonts w:ascii="宋体" w:hAnsi="宋体"/>
                <w:highlight w:val="none"/>
              </w:rPr>
            </w:pPr>
          </w:p>
        </w:tc>
        <w:tc>
          <w:tcPr>
            <w:tcW w:w="1408" w:type="dxa"/>
            <w:gridSpan w:val="2"/>
            <w:vMerge w:val="restart"/>
            <w:vAlign w:val="center"/>
          </w:tcPr>
          <w:p>
            <w:pPr>
              <w:jc w:val="center"/>
              <w:rPr>
                <w:rFonts w:ascii="宋体" w:hAnsi="宋体"/>
                <w:b/>
                <w:sz w:val="20"/>
                <w:szCs w:val="20"/>
                <w:highlight w:val="none"/>
              </w:rPr>
            </w:pPr>
            <w:r>
              <w:rPr>
                <w:rFonts w:hint="eastAsia" w:ascii="宋体" w:hAnsi="宋体"/>
                <w:b/>
                <w:sz w:val="20"/>
                <w:szCs w:val="20"/>
                <w:highlight w:val="none"/>
              </w:rPr>
              <w:t>违约责任</w:t>
            </w:r>
          </w:p>
        </w:tc>
        <w:tc>
          <w:tcPr>
            <w:tcW w:w="6384" w:type="dxa"/>
            <w:gridSpan w:val="2"/>
            <w:vAlign w:val="top"/>
          </w:tcPr>
          <w:p>
            <w:pPr>
              <w:rPr>
                <w:rFonts w:ascii="宋体" w:hAnsi="宋体" w:cs="宋体"/>
                <w:color w:val="000000"/>
                <w:sz w:val="20"/>
                <w:szCs w:val="20"/>
                <w:highlight w:val="none"/>
              </w:rPr>
            </w:pPr>
            <w:r>
              <w:rPr>
                <w:rFonts w:hint="eastAsia" w:ascii="宋体" w:hAnsi="宋体" w:cs="宋体"/>
                <w:color w:val="000000"/>
                <w:sz w:val="20"/>
                <w:szCs w:val="20"/>
                <w:highlight w:val="none"/>
              </w:rPr>
              <w:t>1.1</w:t>
            </w:r>
            <w:r>
              <w:rPr>
                <w:rFonts w:hint="eastAsia" w:ascii="宋体" w:hAnsi="宋体" w:cs="宋体"/>
                <w:szCs w:val="21"/>
                <w:highlight w:val="none"/>
              </w:rPr>
              <w:t>如中标供应商未按照投标文件中承诺的时间交货或提供服务，中标供应商应承担延期交货和延期服务的违约责任， 并赔偿采购人因此造成的实际经济损失，采购人有权终止合同。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b/>
                <w:sz w:val="20"/>
                <w:szCs w:val="20"/>
                <w:highlight w:val="none"/>
              </w:rPr>
            </w:pPr>
          </w:p>
        </w:tc>
        <w:tc>
          <w:tcPr>
            <w:tcW w:w="6384" w:type="dxa"/>
            <w:gridSpan w:val="2"/>
            <w:vAlign w:val="top"/>
          </w:tcPr>
          <w:p>
            <w:pPr>
              <w:rPr>
                <w:rFonts w:ascii="宋体" w:hAnsi="宋体" w:cs="宋体"/>
                <w:color w:val="000000"/>
                <w:sz w:val="20"/>
                <w:szCs w:val="20"/>
                <w:highlight w:val="none"/>
              </w:rPr>
            </w:pPr>
            <w:r>
              <w:rPr>
                <w:rFonts w:hint="eastAsia" w:ascii="宋体" w:hAnsi="宋体" w:cs="宋体"/>
                <w:color w:val="000000"/>
                <w:sz w:val="20"/>
                <w:szCs w:val="20"/>
                <w:highlight w:val="none"/>
              </w:rPr>
              <w:t>1.2</w:t>
            </w:r>
            <w:r>
              <w:rPr>
                <w:rFonts w:hint="eastAsia" w:ascii="宋体" w:hAnsi="宋体" w:cs="宋体"/>
                <w:szCs w:val="21"/>
                <w:highlight w:val="none"/>
              </w:rPr>
              <w:t>中标供应商所交</w:t>
            </w:r>
            <w:r>
              <w:rPr>
                <w:rFonts w:hint="eastAsia" w:ascii="宋体" w:hAnsi="宋体" w:cs="宋体"/>
                <w:szCs w:val="21"/>
                <w:highlight w:val="none"/>
                <w:lang w:val="en-US" w:eastAsia="zh-CN"/>
              </w:rPr>
              <w:t>货物</w:t>
            </w:r>
            <w:r>
              <w:rPr>
                <w:rFonts w:hint="eastAsia" w:ascii="宋体" w:hAnsi="宋体" w:cs="宋体"/>
                <w:szCs w:val="21"/>
                <w:highlight w:val="none"/>
              </w:rPr>
              <w:t>的品种、型号、规格、质量、功能、 技术参数等方面不能实质性满足采购文件要求的，采购人有权拒绝收货，中标供应商向釆购人偿付项目釆购金额【</w:t>
            </w:r>
            <w:r>
              <w:rPr>
                <w:rFonts w:hint="eastAsia" w:ascii="宋体" w:hAnsi="宋体" w:cs="宋体"/>
                <w:szCs w:val="21"/>
                <w:highlight w:val="none"/>
                <w:lang w:val="en-US" w:eastAsia="zh-CN"/>
              </w:rPr>
              <w:t>15</w:t>
            </w:r>
            <w:r>
              <w:rPr>
                <w:rFonts w:hint="eastAsia" w:ascii="宋体" w:hAnsi="宋体" w:cs="宋体"/>
                <w:szCs w:val="21"/>
                <w:highlight w:val="none"/>
              </w:rPr>
              <w:t>】％的违约金。</w:t>
            </w:r>
            <w:r>
              <w:rPr>
                <w:rFonts w:hint="eastAsia" w:ascii="宋体" w:hAnsi="宋体" w:cs="宋体"/>
                <w:color w:val="000000"/>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b/>
                <w:sz w:val="20"/>
                <w:szCs w:val="20"/>
                <w:highlight w:val="none"/>
              </w:rPr>
            </w:pPr>
          </w:p>
        </w:tc>
        <w:tc>
          <w:tcPr>
            <w:tcW w:w="6384" w:type="dxa"/>
            <w:gridSpan w:val="2"/>
            <w:vAlign w:val="top"/>
          </w:tcPr>
          <w:p>
            <w:pPr>
              <w:rPr>
                <w:rFonts w:ascii="宋体" w:hAnsi="宋体" w:cs="宋体"/>
                <w:color w:val="000000"/>
                <w:sz w:val="20"/>
                <w:szCs w:val="20"/>
                <w:highlight w:val="none"/>
              </w:rPr>
            </w:pPr>
            <w:r>
              <w:rPr>
                <w:rFonts w:hint="eastAsia" w:ascii="宋体" w:hAnsi="宋体" w:cs="宋体"/>
                <w:color w:val="000000"/>
                <w:sz w:val="20"/>
                <w:szCs w:val="20"/>
                <w:highlight w:val="none"/>
              </w:rPr>
              <w:t>1.3</w:t>
            </w:r>
            <w:r>
              <w:rPr>
                <w:rFonts w:hint="eastAsia" w:ascii="宋体" w:hAnsi="宋体" w:cs="宋体"/>
                <w:szCs w:val="21"/>
                <w:highlight w:val="none"/>
              </w:rPr>
              <w:t>中标供应商不能交付</w:t>
            </w:r>
            <w:r>
              <w:rPr>
                <w:rFonts w:hint="eastAsia" w:ascii="宋体" w:hAnsi="宋体" w:cs="宋体"/>
                <w:szCs w:val="21"/>
                <w:highlight w:val="none"/>
                <w:lang w:val="en-US" w:eastAsia="zh-CN"/>
              </w:rPr>
              <w:t>货物</w:t>
            </w:r>
            <w:r>
              <w:rPr>
                <w:rFonts w:hint="eastAsia" w:ascii="宋体" w:hAnsi="宋体" w:cs="宋体"/>
                <w:szCs w:val="21"/>
                <w:highlight w:val="none"/>
              </w:rPr>
              <w:t>的，中标供应商向采购人偿付项目采购金额【</w:t>
            </w:r>
            <w:r>
              <w:rPr>
                <w:rFonts w:hint="eastAsia" w:ascii="宋体" w:hAnsi="宋体" w:cs="宋体"/>
                <w:szCs w:val="21"/>
                <w:highlight w:val="none"/>
                <w:lang w:val="en-US" w:eastAsia="zh-CN"/>
              </w:rPr>
              <w:t>15</w:t>
            </w:r>
            <w:r>
              <w:rPr>
                <w:rFonts w:hint="eastAsia" w:ascii="宋体" w:hAnsi="宋体" w:cs="宋体"/>
                <w:szCs w:val="21"/>
                <w:highlight w:val="none"/>
              </w:rPr>
              <w:t>】% 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b/>
                <w:sz w:val="20"/>
                <w:szCs w:val="20"/>
                <w:highlight w:val="none"/>
              </w:rPr>
            </w:pPr>
          </w:p>
        </w:tc>
        <w:tc>
          <w:tcPr>
            <w:tcW w:w="6384" w:type="dxa"/>
            <w:gridSpan w:val="2"/>
            <w:vAlign w:val="top"/>
          </w:tcPr>
          <w:p>
            <w:pPr>
              <w:rPr>
                <w:rFonts w:ascii="宋体" w:hAnsi="宋体" w:cs="宋体"/>
                <w:color w:val="000000"/>
                <w:sz w:val="20"/>
                <w:szCs w:val="20"/>
                <w:highlight w:val="none"/>
              </w:rPr>
            </w:pPr>
            <w:r>
              <w:rPr>
                <w:rFonts w:hint="eastAsia" w:ascii="宋体" w:hAnsi="宋体" w:cs="宋体"/>
                <w:color w:val="000000"/>
                <w:sz w:val="20"/>
                <w:szCs w:val="20"/>
                <w:highlight w:val="none"/>
              </w:rPr>
              <w:t>1.4</w:t>
            </w:r>
            <w:r>
              <w:rPr>
                <w:rFonts w:hint="eastAsia" w:ascii="宋体" w:hAnsi="宋体" w:cs="宋体"/>
                <w:szCs w:val="21"/>
                <w:highlight w:val="none"/>
              </w:rPr>
              <w:t>中标供应商逾期交付货物的，每逾期1天，中标供应商向采购人偿付逾期交货部分货款总额的【5】％的滞纳金。如中标供应商逾期交货达20</w:t>
            </w:r>
            <w:r>
              <w:rPr>
                <w:rFonts w:hint="eastAsia" w:ascii="宋体" w:hAnsi="宋体" w:cs="宋体"/>
                <w:szCs w:val="21"/>
                <w:highlight w:val="none"/>
                <w:lang w:val="zh-CN"/>
              </w:rPr>
              <w:t>天，</w:t>
            </w:r>
            <w:r>
              <w:rPr>
                <w:rFonts w:hint="eastAsia" w:ascii="宋体" w:hAnsi="宋体" w:cs="宋体"/>
                <w:szCs w:val="21"/>
                <w:highlight w:val="none"/>
              </w:rPr>
              <w:t>釆购人有权解除合同。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b/>
                <w:sz w:val="20"/>
                <w:szCs w:val="20"/>
                <w:highlight w:val="none"/>
              </w:rPr>
            </w:pPr>
          </w:p>
        </w:tc>
        <w:tc>
          <w:tcPr>
            <w:tcW w:w="6384" w:type="dxa"/>
            <w:gridSpan w:val="2"/>
            <w:vAlign w:val="top"/>
          </w:tcPr>
          <w:p>
            <w:pPr>
              <w:rPr>
                <w:rFonts w:ascii="宋体" w:hAnsi="宋体" w:cs="宋体"/>
                <w:color w:val="000000"/>
                <w:sz w:val="20"/>
                <w:szCs w:val="20"/>
                <w:highlight w:val="none"/>
              </w:rPr>
            </w:pPr>
            <w:r>
              <w:rPr>
                <w:rFonts w:hint="eastAsia" w:ascii="宋体" w:hAnsi="宋体" w:cs="宋体"/>
                <w:color w:val="000000"/>
                <w:sz w:val="20"/>
                <w:szCs w:val="20"/>
                <w:highlight w:val="none"/>
              </w:rPr>
              <w:t>1.5</w:t>
            </w:r>
            <w:r>
              <w:rPr>
                <w:rFonts w:hint="eastAsia" w:ascii="宋体" w:hAnsi="宋体" w:cs="宋体"/>
                <w:szCs w:val="21"/>
                <w:highlight w:val="none"/>
              </w:rPr>
              <w:t>如经中标供应商两次维修或更换，货物仍不能达到釆购文件要求及投标文件承诺的质量标准，采购人有权退货，中标供应商应退回全部货款并赔偿采购人因此遭受的损失。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b/>
                <w:sz w:val="20"/>
                <w:szCs w:val="20"/>
                <w:highlight w:val="none"/>
              </w:rPr>
            </w:pPr>
          </w:p>
        </w:tc>
        <w:tc>
          <w:tcPr>
            <w:tcW w:w="6384" w:type="dxa"/>
            <w:gridSpan w:val="2"/>
            <w:vAlign w:val="top"/>
          </w:tcPr>
          <w:p>
            <w:pPr>
              <w:rPr>
                <w:rFonts w:hint="eastAsia" w:ascii="宋体" w:hAnsi="宋体" w:cs="宋体"/>
                <w:szCs w:val="21"/>
                <w:highlight w:val="none"/>
              </w:rPr>
            </w:pPr>
            <w:r>
              <w:rPr>
                <w:rFonts w:hint="eastAsia" w:ascii="宋体" w:hAnsi="宋体" w:cs="宋体"/>
                <w:szCs w:val="21"/>
                <w:highlight w:val="none"/>
              </w:rPr>
              <w:t xml:space="preserve">1.6中标供应商在承担上述一项或多项违约责任后，仍应继续履行合同规定的义务（采购人解除合同的除外）。釆购人未能及时追究中标供应商的任何一项违约责任并不表明釆购人放弃追究中标供应商该项或其他违约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restart"/>
            <w:vAlign w:val="center"/>
          </w:tcPr>
          <w:p>
            <w:pPr>
              <w:jc w:val="center"/>
              <w:rPr>
                <w:rFonts w:ascii="宋体" w:hAnsi="宋体"/>
                <w:b/>
                <w:sz w:val="20"/>
                <w:szCs w:val="20"/>
                <w:highlight w:val="none"/>
              </w:rPr>
            </w:pPr>
            <w:r>
              <w:rPr>
                <w:rFonts w:hint="eastAsia" w:ascii="宋体" w:hAnsi="宋体"/>
                <w:b/>
                <w:sz w:val="20"/>
                <w:szCs w:val="20"/>
                <w:highlight w:val="none"/>
              </w:rPr>
              <w:t>2</w:t>
            </w:r>
          </w:p>
        </w:tc>
        <w:tc>
          <w:tcPr>
            <w:tcW w:w="1408" w:type="dxa"/>
            <w:gridSpan w:val="2"/>
            <w:vMerge w:val="restart"/>
            <w:vAlign w:val="center"/>
          </w:tcPr>
          <w:p>
            <w:pPr>
              <w:jc w:val="center"/>
              <w:rPr>
                <w:rFonts w:ascii="宋体" w:hAnsi="宋体"/>
                <w:b/>
                <w:sz w:val="20"/>
                <w:szCs w:val="20"/>
                <w:highlight w:val="none"/>
              </w:rPr>
            </w:pPr>
            <w:r>
              <w:rPr>
                <w:rFonts w:hint="eastAsia" w:ascii="宋体" w:hAnsi="宋体"/>
                <w:b/>
                <w:sz w:val="20"/>
                <w:szCs w:val="20"/>
                <w:highlight w:val="none"/>
              </w:rPr>
              <w:t>交货及付款要求</w:t>
            </w:r>
          </w:p>
        </w:tc>
        <w:tc>
          <w:tcPr>
            <w:tcW w:w="6384" w:type="dxa"/>
            <w:gridSpan w:val="2"/>
            <w:vAlign w:val="center"/>
          </w:tcPr>
          <w:p>
            <w:pPr>
              <w:rPr>
                <w:rFonts w:hint="eastAsia" w:ascii="宋体" w:hAnsi="宋体" w:cs="宋体"/>
                <w:szCs w:val="21"/>
                <w:highlight w:val="none"/>
              </w:rPr>
            </w:pPr>
            <w:r>
              <w:rPr>
                <w:rFonts w:hint="eastAsia" w:ascii="宋体" w:hAnsi="宋体" w:cs="宋体"/>
                <w:szCs w:val="21"/>
                <w:highlight w:val="none"/>
              </w:rPr>
              <w:t>2.1履约时间和地点：投标供应商在签订合同之日起</w:t>
            </w:r>
            <w:r>
              <w:rPr>
                <w:rFonts w:hint="eastAsia" w:ascii="宋体" w:hAnsi="宋体" w:cs="宋体"/>
                <w:szCs w:val="21"/>
                <w:highlight w:val="none"/>
                <w:lang w:val="en-US" w:eastAsia="zh-CN"/>
              </w:rPr>
              <w:t>15</w:t>
            </w:r>
            <w:r>
              <w:rPr>
                <w:rFonts w:hint="eastAsia" w:ascii="宋体" w:hAnsi="宋体" w:cs="宋体"/>
                <w:szCs w:val="21"/>
                <w:highlight w:val="none"/>
              </w:rPr>
              <w:t>天（日历日）内交货，交货地点为采购人指定的各使用单位。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b/>
                <w:sz w:val="20"/>
                <w:szCs w:val="20"/>
                <w:highlight w:val="none"/>
              </w:rPr>
            </w:pPr>
          </w:p>
        </w:tc>
        <w:tc>
          <w:tcPr>
            <w:tcW w:w="6384" w:type="dxa"/>
            <w:gridSpan w:val="2"/>
            <w:vAlign w:val="center"/>
          </w:tcPr>
          <w:p>
            <w:pPr>
              <w:rPr>
                <w:rFonts w:hint="eastAsia" w:ascii="宋体" w:hAnsi="宋体" w:cs="宋体"/>
                <w:szCs w:val="21"/>
                <w:highlight w:val="none"/>
              </w:rPr>
            </w:pPr>
            <w:r>
              <w:rPr>
                <w:rFonts w:hint="eastAsia" w:ascii="宋体" w:hAnsi="宋体"/>
                <w:highlight w:val="none"/>
              </w:rPr>
              <w:t>2.2中标</w:t>
            </w:r>
            <w:r>
              <w:rPr>
                <w:rFonts w:hint="eastAsia" w:ascii="宋体" w:hAnsi="宋体" w:cs="宋体"/>
                <w:szCs w:val="21"/>
                <w:highlight w:val="none"/>
              </w:rPr>
              <w:t>供应商承担设备运输、安装调试、验收检测和提供设备操作说明书、图纸等其他类似的义务。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b/>
                <w:sz w:val="20"/>
                <w:szCs w:val="20"/>
                <w:highlight w:val="none"/>
              </w:rPr>
            </w:pPr>
          </w:p>
        </w:tc>
        <w:tc>
          <w:tcPr>
            <w:tcW w:w="6384" w:type="dxa"/>
            <w:gridSpan w:val="2"/>
            <w:vAlign w:val="center"/>
          </w:tcPr>
          <w:p>
            <w:pPr>
              <w:rPr>
                <w:rFonts w:ascii="宋体" w:hAnsi="宋体"/>
                <w:highlight w:val="none"/>
              </w:rPr>
            </w:pPr>
            <w:r>
              <w:rPr>
                <w:rFonts w:hint="eastAsia" w:ascii="宋体" w:hAnsi="宋体"/>
                <w:highlight w:val="none"/>
              </w:rPr>
              <w:t>2</w:t>
            </w:r>
            <w:r>
              <w:rPr>
                <w:rFonts w:ascii="宋体" w:hAnsi="宋体"/>
                <w:highlight w:val="none"/>
              </w:rPr>
              <w:t>.</w:t>
            </w:r>
            <w:r>
              <w:rPr>
                <w:rFonts w:hint="eastAsia" w:ascii="宋体" w:hAnsi="宋体"/>
                <w:highlight w:val="none"/>
              </w:rPr>
              <w:t>3付款期限和方式：</w:t>
            </w:r>
          </w:p>
          <w:p>
            <w:pPr>
              <w:rPr>
                <w:rFonts w:ascii="宋体" w:hAnsi="宋体"/>
                <w:highlight w:val="none"/>
              </w:rPr>
            </w:pPr>
            <w:r>
              <w:rPr>
                <w:rFonts w:hint="eastAsia" w:ascii="宋体" w:hAnsi="宋体"/>
                <w:highlight w:val="none"/>
              </w:rPr>
              <w:t>2.3.1.签订合同后，采购人向中标供应商预付</w:t>
            </w:r>
            <w:r>
              <w:rPr>
                <w:rFonts w:ascii="宋体" w:hAnsi="宋体"/>
                <w:highlight w:val="none"/>
              </w:rPr>
              <w:t>5</w:t>
            </w:r>
            <w:r>
              <w:rPr>
                <w:rFonts w:hint="eastAsia" w:ascii="宋体" w:hAnsi="宋体"/>
                <w:highlight w:val="none"/>
              </w:rPr>
              <w:t>0%款项，双方验收合格后，一次性支付全部尾款。具体以合同条款约定为准。</w:t>
            </w:r>
          </w:p>
          <w:p>
            <w:pPr>
              <w:rPr>
                <w:rFonts w:ascii="宋体" w:hAnsi="宋体"/>
                <w:b/>
                <w:bCs/>
                <w:highlight w:val="none"/>
              </w:rPr>
            </w:pPr>
            <w:r>
              <w:rPr>
                <w:rFonts w:hint="eastAsia" w:ascii="宋体" w:hAnsi="宋体"/>
                <w:highlight w:val="none"/>
              </w:rPr>
              <w:t>2.3.2.每次付款前，乙方需向甲方提供对应金额的正规发票，乙方逾期提供发票造成甲方逾期付款的，甲方不承担逾期付款的法律责任。</w:t>
            </w:r>
          </w:p>
          <w:p>
            <w:pPr>
              <w:rPr>
                <w:rFonts w:ascii="宋体" w:hAnsi="宋体"/>
                <w:b/>
                <w:bCs/>
                <w:highlight w:val="none"/>
              </w:rPr>
            </w:pPr>
            <w:r>
              <w:rPr>
                <w:rFonts w:hint="eastAsia" w:ascii="宋体" w:hAnsi="宋体"/>
                <w:highlight w:val="none"/>
              </w:rPr>
              <w:t>2.3.3.具体付款方式按深圳市坪山区财政局有关规定执行</w:t>
            </w:r>
            <w:r>
              <w:rPr>
                <w:rFonts w:hint="eastAsia" w:ascii="宋体" w:hAnsi="宋体"/>
                <w:b/>
                <w:bCs/>
                <w:highlight w:val="none"/>
              </w:rPr>
              <w:t>。</w:t>
            </w:r>
          </w:p>
          <w:p>
            <w:pPr>
              <w:rPr>
                <w:rFonts w:ascii="宋体" w:hAnsi="宋体"/>
                <w:highlight w:val="none"/>
              </w:rPr>
            </w:pPr>
            <w:r>
              <w:rPr>
                <w:rFonts w:hint="eastAsia" w:ascii="宋体" w:hAnsi="宋体"/>
                <w:highlight w:val="none"/>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restart"/>
            <w:vAlign w:val="center"/>
          </w:tcPr>
          <w:p>
            <w:pPr>
              <w:jc w:val="center"/>
              <w:rPr>
                <w:rFonts w:ascii="宋体" w:hAnsi="宋体"/>
                <w:b/>
                <w:sz w:val="20"/>
                <w:szCs w:val="20"/>
                <w:highlight w:val="none"/>
              </w:rPr>
            </w:pPr>
            <w:r>
              <w:rPr>
                <w:rFonts w:hint="eastAsia" w:ascii="宋体" w:hAnsi="宋体"/>
                <w:b/>
                <w:sz w:val="20"/>
                <w:szCs w:val="20"/>
                <w:highlight w:val="none"/>
              </w:rPr>
              <w:t>3</w:t>
            </w:r>
          </w:p>
        </w:tc>
        <w:tc>
          <w:tcPr>
            <w:tcW w:w="1408" w:type="dxa"/>
            <w:gridSpan w:val="2"/>
            <w:vMerge w:val="restart"/>
            <w:vAlign w:val="center"/>
          </w:tcPr>
          <w:p>
            <w:pPr>
              <w:jc w:val="center"/>
              <w:rPr>
                <w:rFonts w:ascii="宋体" w:hAnsi="宋体" w:cs="宋体"/>
                <w:b/>
                <w:color w:val="000000"/>
                <w:sz w:val="20"/>
                <w:szCs w:val="20"/>
                <w:highlight w:val="none"/>
              </w:rPr>
            </w:pPr>
            <w:r>
              <w:rPr>
                <w:rFonts w:hint="eastAsia" w:ascii="宋体" w:hAnsi="宋体" w:cs="宋体"/>
                <w:b/>
                <w:color w:val="000000"/>
                <w:sz w:val="20"/>
                <w:szCs w:val="20"/>
                <w:highlight w:val="none"/>
              </w:rPr>
              <w:t>验收条件</w:t>
            </w:r>
          </w:p>
        </w:tc>
        <w:tc>
          <w:tcPr>
            <w:tcW w:w="6384" w:type="dxa"/>
            <w:gridSpan w:val="2"/>
            <w:vAlign w:val="center"/>
          </w:tcPr>
          <w:p>
            <w:pPr>
              <w:rPr>
                <w:rFonts w:ascii="宋体" w:hAnsi="宋体"/>
                <w:highlight w:val="none"/>
              </w:rPr>
            </w:pPr>
            <w:r>
              <w:rPr>
                <w:rFonts w:hint="eastAsia" w:ascii="宋体" w:hAnsi="宋体"/>
                <w:highlight w:val="none"/>
              </w:rPr>
              <w:t xml:space="preserve">3.1中标供应商货物经过双方检验认可后，签署验收报告， 产品保修期自验收合格之日起算，由中标供应商提供产品保修文件。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cs="宋体"/>
                <w:b/>
                <w:color w:val="000000"/>
                <w:sz w:val="20"/>
                <w:szCs w:val="20"/>
                <w:highlight w:val="none"/>
              </w:rPr>
            </w:pPr>
          </w:p>
        </w:tc>
        <w:tc>
          <w:tcPr>
            <w:tcW w:w="6384" w:type="dxa"/>
            <w:gridSpan w:val="2"/>
            <w:vAlign w:val="center"/>
          </w:tcPr>
          <w:p>
            <w:pPr>
              <w:rPr>
                <w:rFonts w:ascii="宋体" w:hAnsi="宋体"/>
                <w:highlight w:val="none"/>
              </w:rPr>
            </w:pPr>
            <w:r>
              <w:rPr>
                <w:rFonts w:hint="eastAsia" w:ascii="宋体" w:hAnsi="宋体"/>
                <w:highlight w:val="none"/>
              </w:rPr>
              <w:t>3.2当满足以下条件时，采购人才向中标供应商签发货物验收报告：</w:t>
            </w:r>
          </w:p>
          <w:p>
            <w:pPr>
              <w:rPr>
                <w:rFonts w:ascii="宋体" w:hAnsi="宋体"/>
                <w:highlight w:val="none"/>
              </w:rPr>
            </w:pPr>
            <w:r>
              <w:rPr>
                <w:rFonts w:hint="eastAsia" w:ascii="宋体" w:hAnsi="宋体"/>
                <w:highlight w:val="none"/>
              </w:rPr>
              <w:t>3.2.1中标供应商已按照合同规定提供了全部产品及完整的技术资料。</w:t>
            </w:r>
          </w:p>
          <w:p>
            <w:pPr>
              <w:rPr>
                <w:rFonts w:ascii="宋体" w:hAnsi="宋体"/>
                <w:highlight w:val="none"/>
              </w:rPr>
            </w:pPr>
            <w:r>
              <w:rPr>
                <w:rFonts w:hint="eastAsia" w:ascii="宋体" w:hAnsi="宋体"/>
                <w:highlight w:val="none"/>
              </w:rPr>
              <w:t xml:space="preserve">3.2.2 货物符合采购文件技术规格书的要求，性能满足要求。 </w:t>
            </w:r>
          </w:p>
          <w:p>
            <w:pPr>
              <w:rPr>
                <w:rFonts w:ascii="宋体" w:hAnsi="宋体"/>
                <w:highlight w:val="none"/>
              </w:rPr>
            </w:pPr>
            <w:r>
              <w:rPr>
                <w:rFonts w:hint="eastAsia" w:ascii="宋体" w:hAnsi="宋体"/>
                <w:highlight w:val="none"/>
              </w:rPr>
              <w:t>3.2.3 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cs="宋体"/>
                <w:b/>
                <w:color w:val="000000"/>
                <w:sz w:val="20"/>
                <w:szCs w:val="20"/>
                <w:highlight w:val="none"/>
              </w:rPr>
            </w:pPr>
          </w:p>
        </w:tc>
        <w:tc>
          <w:tcPr>
            <w:tcW w:w="6384" w:type="dxa"/>
            <w:gridSpan w:val="2"/>
            <w:vAlign w:val="center"/>
          </w:tcPr>
          <w:p>
            <w:pPr>
              <w:rPr>
                <w:rFonts w:ascii="宋体" w:hAnsi="宋体"/>
                <w:highlight w:val="none"/>
              </w:rPr>
            </w:pPr>
            <w:r>
              <w:rPr>
                <w:rFonts w:hint="eastAsia" w:ascii="宋体" w:hAnsi="宋体"/>
                <w:highlight w:val="none"/>
              </w:rPr>
              <w:t>3.3.中标单位需设立售后服务团队，实行全天值班电话和售后服务热线。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cs="宋体"/>
                <w:b/>
                <w:color w:val="000000"/>
                <w:sz w:val="20"/>
                <w:szCs w:val="20"/>
                <w:highlight w:val="none"/>
              </w:rPr>
            </w:pPr>
          </w:p>
        </w:tc>
        <w:tc>
          <w:tcPr>
            <w:tcW w:w="6384" w:type="dxa"/>
            <w:gridSpan w:val="2"/>
            <w:vAlign w:val="center"/>
          </w:tcPr>
          <w:p>
            <w:pPr>
              <w:rPr>
                <w:rFonts w:ascii="宋体" w:hAnsi="宋体"/>
                <w:highlight w:val="none"/>
              </w:rPr>
            </w:pPr>
            <w:r>
              <w:rPr>
                <w:rFonts w:hint="eastAsia" w:ascii="宋体" w:hAnsi="宋体"/>
                <w:highlight w:val="none"/>
              </w:rPr>
              <w:t>3.4.产品经釆购单位验收合格后，在本采购合同规定的质保期内出现质量问题的，非人为及不可抗拒因素（地震、火山、等）造成产品损坏的，中标单位应负责在接到釆购单位的书面通知后的48小时内响应给予解决方案，中标单位免费负责损坏部件进行更换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restart"/>
            <w:vAlign w:val="center"/>
          </w:tcPr>
          <w:p>
            <w:pPr>
              <w:jc w:val="center"/>
              <w:rPr>
                <w:rFonts w:ascii="宋体" w:hAnsi="宋体"/>
                <w:b/>
                <w:sz w:val="20"/>
                <w:szCs w:val="20"/>
                <w:highlight w:val="none"/>
              </w:rPr>
            </w:pPr>
            <w:r>
              <w:rPr>
                <w:rFonts w:hint="eastAsia" w:ascii="宋体" w:hAnsi="宋体"/>
                <w:b/>
                <w:sz w:val="20"/>
                <w:szCs w:val="20"/>
                <w:highlight w:val="none"/>
              </w:rPr>
              <w:t>4</w:t>
            </w:r>
          </w:p>
        </w:tc>
        <w:tc>
          <w:tcPr>
            <w:tcW w:w="1408" w:type="dxa"/>
            <w:gridSpan w:val="2"/>
            <w:vMerge w:val="restart"/>
            <w:vAlign w:val="center"/>
          </w:tcPr>
          <w:p>
            <w:pPr>
              <w:jc w:val="center"/>
              <w:rPr>
                <w:rFonts w:ascii="宋体" w:hAnsi="宋体" w:cs="宋体"/>
                <w:b/>
                <w:color w:val="000000"/>
                <w:sz w:val="20"/>
                <w:szCs w:val="20"/>
                <w:highlight w:val="none"/>
              </w:rPr>
            </w:pPr>
            <w:r>
              <w:rPr>
                <w:rFonts w:hint="eastAsia" w:ascii="宋体" w:hAnsi="宋体" w:cs="宋体"/>
                <w:b/>
                <w:color w:val="000000"/>
                <w:sz w:val="20"/>
                <w:szCs w:val="20"/>
                <w:highlight w:val="none"/>
              </w:rPr>
              <w:t>合同价格</w:t>
            </w:r>
          </w:p>
        </w:tc>
        <w:tc>
          <w:tcPr>
            <w:tcW w:w="6384" w:type="dxa"/>
            <w:gridSpan w:val="2"/>
            <w:vAlign w:val="center"/>
          </w:tcPr>
          <w:p>
            <w:pPr>
              <w:rPr>
                <w:rFonts w:ascii="宋体" w:hAnsi="宋体"/>
                <w:highlight w:val="none"/>
              </w:rPr>
            </w:pPr>
            <w:r>
              <w:rPr>
                <w:rFonts w:hint="eastAsia" w:ascii="宋体" w:hAnsi="宋体"/>
                <w:highlight w:val="none"/>
              </w:rPr>
              <w:t>4.1.本项目价格以人民币为结算币种，价格包含材料费、施工费等所有费用及其增值税及附加。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cs="宋体"/>
                <w:b/>
                <w:color w:val="000000"/>
                <w:sz w:val="20"/>
                <w:szCs w:val="20"/>
                <w:highlight w:val="none"/>
              </w:rPr>
            </w:pPr>
          </w:p>
        </w:tc>
        <w:tc>
          <w:tcPr>
            <w:tcW w:w="6384" w:type="dxa"/>
            <w:gridSpan w:val="2"/>
            <w:vAlign w:val="center"/>
          </w:tcPr>
          <w:p>
            <w:pPr>
              <w:rPr>
                <w:rFonts w:ascii="宋体" w:hAnsi="宋体"/>
                <w:highlight w:val="none"/>
              </w:rPr>
            </w:pPr>
            <w:r>
              <w:rPr>
                <w:rFonts w:hint="eastAsia" w:ascii="宋体" w:hAnsi="宋体"/>
                <w:highlight w:val="none"/>
              </w:rPr>
              <w:t>4.2.中标人负责货物到现场过程中的全部运输及费用，包括装卸车、货物现场的搬运。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cs="宋体"/>
                <w:b/>
                <w:color w:val="000000"/>
                <w:sz w:val="20"/>
                <w:szCs w:val="20"/>
                <w:highlight w:val="none"/>
              </w:rPr>
            </w:pPr>
          </w:p>
        </w:tc>
        <w:tc>
          <w:tcPr>
            <w:tcW w:w="6384" w:type="dxa"/>
            <w:gridSpan w:val="2"/>
            <w:vAlign w:val="center"/>
          </w:tcPr>
          <w:p>
            <w:pPr>
              <w:rPr>
                <w:rFonts w:ascii="宋体" w:hAnsi="宋体"/>
                <w:highlight w:val="none"/>
              </w:rPr>
            </w:pPr>
            <w:r>
              <w:rPr>
                <w:rFonts w:hint="eastAsia" w:ascii="宋体" w:hAnsi="宋体"/>
                <w:highlight w:val="none"/>
              </w:rPr>
              <w:t>4.3.釆用总价合同模式，设备数量按招标要求中货物清单的数量供货。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restart"/>
            <w:vAlign w:val="center"/>
          </w:tcPr>
          <w:p>
            <w:pPr>
              <w:jc w:val="center"/>
              <w:rPr>
                <w:rFonts w:ascii="宋体" w:hAnsi="宋体"/>
                <w:b/>
                <w:sz w:val="20"/>
                <w:szCs w:val="20"/>
                <w:highlight w:val="none"/>
              </w:rPr>
            </w:pPr>
            <w:r>
              <w:rPr>
                <w:rFonts w:hint="eastAsia" w:ascii="宋体" w:hAnsi="宋体"/>
                <w:b/>
                <w:sz w:val="20"/>
                <w:szCs w:val="20"/>
                <w:highlight w:val="none"/>
              </w:rPr>
              <w:t>5</w:t>
            </w:r>
          </w:p>
        </w:tc>
        <w:tc>
          <w:tcPr>
            <w:tcW w:w="1408" w:type="dxa"/>
            <w:gridSpan w:val="2"/>
            <w:vMerge w:val="restart"/>
            <w:vAlign w:val="center"/>
          </w:tcPr>
          <w:p>
            <w:pPr>
              <w:jc w:val="center"/>
              <w:rPr>
                <w:rFonts w:ascii="宋体" w:hAnsi="宋体" w:cs="宋体"/>
                <w:b/>
                <w:color w:val="000000"/>
                <w:sz w:val="20"/>
                <w:szCs w:val="20"/>
                <w:highlight w:val="none"/>
              </w:rPr>
            </w:pPr>
            <w:r>
              <w:rPr>
                <w:rFonts w:hint="eastAsia" w:ascii="宋体" w:hAnsi="宋体" w:cs="宋体"/>
                <w:b/>
                <w:color w:val="000000"/>
                <w:sz w:val="20"/>
                <w:szCs w:val="20"/>
                <w:highlight w:val="none"/>
              </w:rPr>
              <w:t>争议解决方法</w:t>
            </w:r>
          </w:p>
        </w:tc>
        <w:tc>
          <w:tcPr>
            <w:tcW w:w="6384" w:type="dxa"/>
            <w:gridSpan w:val="2"/>
            <w:vAlign w:val="center"/>
          </w:tcPr>
          <w:p>
            <w:pPr>
              <w:rPr>
                <w:rFonts w:ascii="宋体" w:hAnsi="宋体"/>
                <w:highlight w:val="none"/>
              </w:rPr>
            </w:pPr>
            <w:r>
              <w:rPr>
                <w:rFonts w:hint="eastAsia" w:ascii="宋体" w:hAnsi="宋体"/>
                <w:highlight w:val="none"/>
              </w:rPr>
              <w:t>5.1、因货物的质量问题发生争议的，应当邀请国家认可的质量检测机构对货物质量进行鉴定。货物符合标准的，鉴定费由采购方承担；货物不符合质量标准的，鉴定费由响应供应商承担。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ascii="宋体" w:hAnsi="宋体"/>
                <w:b/>
                <w:sz w:val="20"/>
                <w:szCs w:val="20"/>
                <w:highlight w:val="none"/>
              </w:rPr>
            </w:pPr>
          </w:p>
        </w:tc>
        <w:tc>
          <w:tcPr>
            <w:tcW w:w="1408" w:type="dxa"/>
            <w:gridSpan w:val="2"/>
            <w:vMerge w:val="continue"/>
            <w:vAlign w:val="center"/>
          </w:tcPr>
          <w:p>
            <w:pPr>
              <w:jc w:val="center"/>
              <w:rPr>
                <w:rFonts w:ascii="宋体" w:hAnsi="宋体" w:cs="宋体"/>
                <w:b/>
                <w:color w:val="000000"/>
                <w:sz w:val="20"/>
                <w:szCs w:val="20"/>
                <w:highlight w:val="none"/>
              </w:rPr>
            </w:pPr>
          </w:p>
        </w:tc>
        <w:tc>
          <w:tcPr>
            <w:tcW w:w="6384" w:type="dxa"/>
            <w:gridSpan w:val="2"/>
            <w:vAlign w:val="center"/>
          </w:tcPr>
          <w:p>
            <w:pPr>
              <w:rPr>
                <w:rFonts w:ascii="宋体" w:hAnsi="宋体"/>
                <w:highlight w:val="none"/>
              </w:rPr>
            </w:pPr>
            <w:r>
              <w:rPr>
                <w:rFonts w:hint="eastAsia" w:ascii="宋体" w:hAnsi="宋体"/>
                <w:highlight w:val="none"/>
              </w:rPr>
              <w:t>5.2、因履行本合同引起的或与本合同有关的争议，双方应首先通过友好协商解决，如果协商不能解决争议，则向采购方所在地有管辖权的人民法院提起诉讼。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restart"/>
            <w:vAlign w:val="center"/>
          </w:tcPr>
          <w:p>
            <w:pPr>
              <w:jc w:val="center"/>
              <w:rPr>
                <w:rFonts w:ascii="宋体" w:hAnsi="宋体"/>
                <w:b/>
                <w:sz w:val="20"/>
                <w:szCs w:val="20"/>
                <w:highlight w:val="none"/>
              </w:rPr>
            </w:pPr>
            <w:r>
              <w:rPr>
                <w:rFonts w:hint="eastAsia" w:ascii="宋体" w:hAnsi="宋体"/>
                <w:b/>
                <w:sz w:val="20"/>
                <w:szCs w:val="20"/>
                <w:highlight w:val="none"/>
              </w:rPr>
              <w:t>6</w:t>
            </w:r>
          </w:p>
        </w:tc>
        <w:tc>
          <w:tcPr>
            <w:tcW w:w="1408" w:type="dxa"/>
            <w:gridSpan w:val="2"/>
            <w:vMerge w:val="restart"/>
            <w:vAlign w:val="center"/>
          </w:tcPr>
          <w:p>
            <w:pPr>
              <w:jc w:val="center"/>
              <w:rPr>
                <w:rFonts w:ascii="宋体" w:hAnsi="宋体"/>
                <w:color w:val="000000"/>
                <w:sz w:val="20"/>
                <w:szCs w:val="20"/>
                <w:highlight w:val="none"/>
              </w:rPr>
            </w:pPr>
            <w:r>
              <w:rPr>
                <w:rFonts w:hint="eastAsia" w:ascii="宋体" w:hAnsi="宋体" w:cs="宋体"/>
                <w:b/>
                <w:bCs/>
                <w:color w:val="000000"/>
                <w:sz w:val="20"/>
                <w:szCs w:val="20"/>
                <w:highlight w:val="none"/>
              </w:rPr>
              <w:t>运输、安装条件</w:t>
            </w:r>
          </w:p>
        </w:tc>
        <w:tc>
          <w:tcPr>
            <w:tcW w:w="6384" w:type="dxa"/>
            <w:gridSpan w:val="2"/>
            <w:vAlign w:val="center"/>
          </w:tcPr>
          <w:p>
            <w:pPr>
              <w:rPr>
                <w:rFonts w:ascii="宋体" w:hAnsi="宋体"/>
                <w:highlight w:val="none"/>
              </w:rPr>
            </w:pPr>
            <w:r>
              <w:rPr>
                <w:rFonts w:hint="eastAsia" w:ascii="宋体" w:hAnsi="宋体"/>
                <w:highlight w:val="none"/>
              </w:rPr>
              <w:t>6.1 中标供应商在签订合同之日起 3天内向采购方提供</w:t>
            </w:r>
            <w:r>
              <w:rPr>
                <w:rFonts w:hint="eastAsia" w:ascii="宋体" w:hAnsi="宋体"/>
                <w:highlight w:val="none"/>
                <w:lang w:val="en-US" w:eastAsia="zh-CN"/>
              </w:rPr>
              <w:t>货物</w:t>
            </w:r>
            <w:r>
              <w:rPr>
                <w:rFonts w:hint="eastAsia" w:ascii="宋体" w:hAnsi="宋体"/>
                <w:highlight w:val="none"/>
              </w:rPr>
              <w:t>的运行、安装、使用环境要求</w:t>
            </w:r>
            <w:r>
              <w:rPr>
                <w:rFonts w:hint="eastAsia" w:ascii="宋体" w:hAnsi="宋体" w:cs="宋体"/>
                <w:color w:val="000000"/>
                <w:sz w:val="20"/>
                <w:szCs w:val="20"/>
                <w:highlight w:val="none"/>
              </w:rPr>
              <w:t>，且需要配备有专业的运输安装团队</w:t>
            </w: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41" w:hRule="atLeast"/>
        </w:trPr>
        <w:tc>
          <w:tcPr>
            <w:tcW w:w="812" w:type="dxa"/>
            <w:vMerge w:val="continue"/>
            <w:vAlign w:val="center"/>
          </w:tcPr>
          <w:p>
            <w:pPr>
              <w:jc w:val="center"/>
              <w:rPr>
                <w:rFonts w:ascii="宋体" w:hAnsi="宋体"/>
                <w:b/>
                <w:highlight w:val="none"/>
              </w:rPr>
            </w:pPr>
          </w:p>
        </w:tc>
        <w:tc>
          <w:tcPr>
            <w:tcW w:w="1408" w:type="dxa"/>
            <w:gridSpan w:val="2"/>
            <w:vMerge w:val="continue"/>
            <w:vAlign w:val="center"/>
          </w:tcPr>
          <w:p>
            <w:pPr>
              <w:jc w:val="center"/>
              <w:rPr>
                <w:rFonts w:ascii="宋体" w:hAnsi="宋体"/>
                <w:b/>
                <w:highlight w:val="none"/>
              </w:rPr>
            </w:pPr>
          </w:p>
        </w:tc>
        <w:tc>
          <w:tcPr>
            <w:tcW w:w="6384" w:type="dxa"/>
            <w:gridSpan w:val="2"/>
            <w:vAlign w:val="center"/>
          </w:tcPr>
          <w:p>
            <w:pPr>
              <w:rPr>
                <w:rFonts w:ascii="宋体" w:hAnsi="宋体"/>
                <w:highlight w:val="none"/>
              </w:rPr>
            </w:pPr>
            <w:r>
              <w:rPr>
                <w:rFonts w:hint="eastAsia" w:ascii="宋体" w:hAnsi="宋体"/>
                <w:highlight w:val="none"/>
              </w:rPr>
              <w:t>6.2中标单位提供的全部产品，均应按双方约定和产品本身性质所要求的包装标准进行包装，该包装应清晰标识相关信息等，并适应于各种长短途运输、中转搬运以及储存和保管。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Align w:val="center"/>
          </w:tcPr>
          <w:p>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7</w:t>
            </w:r>
          </w:p>
        </w:tc>
        <w:tc>
          <w:tcPr>
            <w:tcW w:w="1408" w:type="dxa"/>
            <w:gridSpan w:val="2"/>
            <w:vAlign w:val="center"/>
          </w:tcPr>
          <w:p>
            <w:pPr>
              <w:jc w:val="center"/>
              <w:rPr>
                <w:rFonts w:ascii="宋体" w:hAnsi="宋体"/>
                <w:b/>
                <w:sz w:val="20"/>
                <w:szCs w:val="20"/>
                <w:highlight w:val="none"/>
              </w:rPr>
            </w:pPr>
            <w:r>
              <w:rPr>
                <w:rFonts w:ascii="宋体" w:hAnsi="宋体"/>
                <w:b/>
                <w:sz w:val="20"/>
                <w:szCs w:val="20"/>
                <w:highlight w:val="none"/>
              </w:rPr>
              <w:t>知识产权</w:t>
            </w:r>
          </w:p>
        </w:tc>
        <w:tc>
          <w:tcPr>
            <w:tcW w:w="6384" w:type="dxa"/>
            <w:gridSpan w:val="2"/>
            <w:vAlign w:val="top"/>
          </w:tcPr>
          <w:p>
            <w:pPr>
              <w:rPr>
                <w:rFonts w:ascii="宋体" w:hAnsi="宋体"/>
                <w:highlight w:val="none"/>
              </w:rPr>
            </w:pPr>
            <w:r>
              <w:rPr>
                <w:rFonts w:hint="eastAsia" w:ascii="宋体" w:hAnsi="宋体"/>
                <w:highlight w:val="none"/>
              </w:rPr>
              <w:t>8.1采购人购买产品后，有权对该产品与其他</w:t>
            </w:r>
            <w:r>
              <w:rPr>
                <w:rFonts w:hint="eastAsia" w:ascii="宋体" w:hAnsi="宋体"/>
                <w:highlight w:val="none"/>
                <w:lang w:val="en-US" w:eastAsia="zh-CN"/>
              </w:rPr>
              <w:t>货物</w:t>
            </w:r>
            <w:r>
              <w:rPr>
                <w:rFonts w:hint="eastAsia" w:ascii="宋体" w:hAnsi="宋体"/>
                <w:highlight w:val="none"/>
              </w:rPr>
              <w:t>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restart"/>
            <w:vAlign w:val="center"/>
          </w:tcPr>
          <w:p>
            <w:pPr>
              <w:jc w:val="center"/>
              <w:rPr>
                <w:rFonts w:hint="eastAsia" w:ascii="宋体" w:hAnsi="宋体" w:eastAsia="宋体"/>
                <w:b/>
                <w:highlight w:val="none"/>
                <w:lang w:eastAsia="zh-CN"/>
              </w:rPr>
            </w:pPr>
            <w:r>
              <w:rPr>
                <w:rFonts w:hint="eastAsia" w:ascii="宋体" w:hAnsi="宋体"/>
                <w:b/>
                <w:highlight w:val="none"/>
                <w:lang w:val="en-US" w:eastAsia="zh-CN"/>
              </w:rPr>
              <w:t>8</w:t>
            </w:r>
          </w:p>
        </w:tc>
        <w:tc>
          <w:tcPr>
            <w:tcW w:w="1408" w:type="dxa"/>
            <w:gridSpan w:val="2"/>
            <w:vMerge w:val="restart"/>
            <w:vAlign w:val="center"/>
          </w:tcPr>
          <w:p>
            <w:pPr>
              <w:jc w:val="center"/>
              <w:rPr>
                <w:rFonts w:ascii="宋体" w:hAnsi="宋体"/>
                <w:b/>
                <w:highlight w:val="none"/>
              </w:rPr>
            </w:pPr>
            <w:r>
              <w:rPr>
                <w:rFonts w:ascii="宋体" w:hAnsi="宋体"/>
                <w:b/>
                <w:color w:val="000000"/>
                <w:sz w:val="20"/>
                <w:szCs w:val="20"/>
                <w:highlight w:val="none"/>
              </w:rPr>
              <w:t>其他</w:t>
            </w:r>
          </w:p>
        </w:tc>
        <w:tc>
          <w:tcPr>
            <w:tcW w:w="6384" w:type="dxa"/>
            <w:gridSpan w:val="2"/>
            <w:vAlign w:val="center"/>
          </w:tcPr>
          <w:p>
            <w:pPr>
              <w:rPr>
                <w:rFonts w:ascii="宋体" w:hAnsi="宋体"/>
                <w:highlight w:val="none"/>
              </w:rPr>
            </w:pPr>
            <w:r>
              <w:rPr>
                <w:rFonts w:hint="eastAsia" w:ascii="宋体" w:hAnsi="宋体"/>
                <w:highlight w:val="none"/>
              </w:rPr>
              <w:t>9.1投标供应商应按其投标文件中的承诺，进行其他售后服务工作。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hint="eastAsia" w:ascii="宋体" w:hAnsi="宋体"/>
                <w:b/>
                <w:highlight w:val="none"/>
              </w:rPr>
            </w:pPr>
          </w:p>
        </w:tc>
        <w:tc>
          <w:tcPr>
            <w:tcW w:w="1408" w:type="dxa"/>
            <w:gridSpan w:val="2"/>
            <w:vMerge w:val="continue"/>
            <w:vAlign w:val="center"/>
          </w:tcPr>
          <w:p>
            <w:pPr>
              <w:jc w:val="center"/>
              <w:rPr>
                <w:rFonts w:ascii="宋体" w:hAnsi="宋体"/>
                <w:b/>
                <w:color w:val="000000"/>
                <w:sz w:val="20"/>
                <w:szCs w:val="20"/>
                <w:highlight w:val="none"/>
              </w:rPr>
            </w:pPr>
          </w:p>
        </w:tc>
        <w:tc>
          <w:tcPr>
            <w:tcW w:w="6384" w:type="dxa"/>
            <w:gridSpan w:val="2"/>
            <w:vAlign w:val="center"/>
          </w:tcPr>
          <w:p>
            <w:pPr>
              <w:rPr>
                <w:rFonts w:hint="eastAsia" w:ascii="宋体" w:hAnsi="宋体"/>
                <w:highlight w:val="none"/>
              </w:rPr>
            </w:pPr>
            <w:r>
              <w:rPr>
                <w:rFonts w:hint="eastAsia" w:ascii="宋体" w:hAnsi="宋体" w:cs="宋体"/>
                <w:b/>
                <w:bCs/>
                <w:color w:val="FF0000"/>
                <w:szCs w:val="21"/>
                <w:highlight w:val="none"/>
              </w:rPr>
              <w:t>9</w:t>
            </w:r>
            <w:r>
              <w:rPr>
                <w:rFonts w:ascii="宋体" w:hAnsi="宋体" w:cs="宋体"/>
                <w:b/>
                <w:bCs/>
                <w:color w:val="FF0000"/>
                <w:szCs w:val="21"/>
                <w:highlight w:val="none"/>
              </w:rPr>
              <w:t>.2</w:t>
            </w:r>
            <w:r>
              <w:rPr>
                <w:rFonts w:hint="eastAsia" w:ascii="宋体" w:hAnsi="宋体" w:cs="宋体"/>
                <w:b/>
                <w:bCs/>
                <w:color w:val="FF0000"/>
                <w:szCs w:val="21"/>
                <w:highlight w:val="none"/>
              </w:rPr>
              <w:t>★招标文件中涉及提供检测报告的，投标人中标后配合提供检测报告真实性的证明材料，若查验报告为虚假证明，将接受相关部门处罚。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hint="eastAsia" w:ascii="宋体" w:hAnsi="宋体"/>
                <w:b/>
                <w:highlight w:val="none"/>
              </w:rPr>
            </w:pPr>
          </w:p>
        </w:tc>
        <w:tc>
          <w:tcPr>
            <w:tcW w:w="1408" w:type="dxa"/>
            <w:gridSpan w:val="2"/>
            <w:vMerge w:val="continue"/>
            <w:vAlign w:val="center"/>
          </w:tcPr>
          <w:p>
            <w:pPr>
              <w:jc w:val="center"/>
              <w:rPr>
                <w:rFonts w:ascii="宋体" w:hAnsi="宋体"/>
                <w:b/>
                <w:color w:val="000000"/>
                <w:sz w:val="20"/>
                <w:szCs w:val="20"/>
                <w:highlight w:val="none"/>
              </w:rPr>
            </w:pPr>
          </w:p>
        </w:tc>
        <w:tc>
          <w:tcPr>
            <w:tcW w:w="6384" w:type="dxa"/>
            <w:gridSpan w:val="2"/>
            <w:vAlign w:val="center"/>
          </w:tcPr>
          <w:p>
            <w:pPr>
              <w:rPr>
                <w:rFonts w:hint="default" w:ascii="宋体" w:hAnsi="宋体" w:eastAsia="宋体" w:cs="宋体"/>
                <w:b/>
                <w:bCs/>
                <w:color w:val="FF0000"/>
                <w:szCs w:val="21"/>
                <w:highlight w:val="none"/>
                <w:lang w:val="en-US" w:eastAsia="zh-CN"/>
              </w:rPr>
            </w:pPr>
            <w:r>
              <w:rPr>
                <w:rFonts w:hint="eastAsia" w:ascii="宋体" w:hAnsi="宋体" w:cs="宋体"/>
                <w:b/>
                <w:bCs/>
                <w:color w:val="FF0000"/>
                <w:szCs w:val="21"/>
                <w:highlight w:val="none"/>
                <w:lang w:val="en-US" w:eastAsia="zh-CN"/>
              </w:rPr>
              <w:t>9.3中标人需根据采购人的要求，对所提供的所有家具在指定位置进行标识标记制作，具体标识标记内容根据采购人合同要求为准。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trPr>
        <w:tc>
          <w:tcPr>
            <w:tcW w:w="812" w:type="dxa"/>
            <w:vMerge w:val="continue"/>
            <w:vAlign w:val="center"/>
          </w:tcPr>
          <w:p>
            <w:pPr>
              <w:jc w:val="center"/>
              <w:rPr>
                <w:rFonts w:hint="eastAsia" w:ascii="宋体" w:hAnsi="宋体"/>
                <w:b/>
                <w:highlight w:val="none"/>
              </w:rPr>
            </w:pPr>
          </w:p>
        </w:tc>
        <w:tc>
          <w:tcPr>
            <w:tcW w:w="1408" w:type="dxa"/>
            <w:gridSpan w:val="2"/>
            <w:vMerge w:val="continue"/>
            <w:vAlign w:val="center"/>
          </w:tcPr>
          <w:p>
            <w:pPr>
              <w:jc w:val="center"/>
              <w:rPr>
                <w:rFonts w:ascii="宋体" w:hAnsi="宋体"/>
                <w:b/>
                <w:color w:val="000000"/>
                <w:sz w:val="20"/>
                <w:szCs w:val="20"/>
                <w:highlight w:val="none"/>
              </w:rPr>
            </w:pPr>
          </w:p>
        </w:tc>
        <w:tc>
          <w:tcPr>
            <w:tcW w:w="6384" w:type="dxa"/>
            <w:gridSpan w:val="2"/>
            <w:vAlign w:val="center"/>
          </w:tcPr>
          <w:p>
            <w:pPr>
              <w:rPr>
                <w:rFonts w:hint="eastAsia" w:ascii="宋体" w:hAnsi="宋体" w:cs="宋体"/>
                <w:b/>
                <w:bCs/>
                <w:color w:val="FF0000"/>
                <w:szCs w:val="21"/>
                <w:highlight w:val="none"/>
                <w:lang w:val="en-US" w:eastAsia="zh-CN"/>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9.4投标人所提供产品需满足相关国家强制标准</w:t>
            </w:r>
          </w:p>
        </w:tc>
      </w:tr>
    </w:tbl>
    <w:p>
      <w:pPr>
        <w:rPr>
          <w:b/>
        </w:rPr>
      </w:pPr>
    </w:p>
    <w:p>
      <w:pPr>
        <w:ind w:firstLine="420" w:firstLineChars="200"/>
        <w:rPr>
          <w:rFonts w:hint="eastAsia" w:ascii="宋体" w:hAnsi="宋体" w:cs="宋体"/>
          <w:kern w:val="0"/>
          <w:lang w:val="en-US" w:eastAsia="zh-CN"/>
        </w:rPr>
      </w:pPr>
      <w:r>
        <w:rPr>
          <w:rFonts w:hint="eastAsia" w:ascii="宋体" w:hAnsi="宋体" w:cs="宋体"/>
          <w:kern w:val="0"/>
          <w:lang w:val="en-US" w:eastAsia="zh-CN"/>
        </w:rPr>
        <w:t>附件：平面图纸：</w:t>
      </w:r>
    </w:p>
    <w:p>
      <w:pPr>
        <w:ind w:firstLine="420" w:firstLineChars="200"/>
        <w:rPr>
          <w:rFonts w:hint="eastAsia" w:ascii="宋体" w:hAnsi="宋体" w:cs="宋体"/>
          <w:kern w:val="0"/>
          <w:lang w:val="en-US" w:eastAsia="zh-CN"/>
        </w:rPr>
      </w:pPr>
      <w:r>
        <w:drawing>
          <wp:inline distT="0" distB="0" distL="114300" distR="114300">
            <wp:extent cx="4302760" cy="4967605"/>
            <wp:effectExtent l="0" t="0" r="2540" b="4445"/>
            <wp:docPr id="7" name="图片 4" descr="43a3fa6a6f3bce8690f0e0ba02fd8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43a3fa6a6f3bce8690f0e0ba02fd8ef"/>
                    <pic:cNvPicPr>
                      <a:picLocks noChangeAspect="1"/>
                    </pic:cNvPicPr>
                  </pic:nvPicPr>
                  <pic:blipFill>
                    <a:blip r:embed="rId8"/>
                    <a:stretch>
                      <a:fillRect/>
                    </a:stretch>
                  </pic:blipFill>
                  <pic:spPr>
                    <a:xfrm>
                      <a:off x="0" y="0"/>
                      <a:ext cx="4302760" cy="4967605"/>
                    </a:xfrm>
                    <a:prstGeom prst="rect">
                      <a:avLst/>
                    </a:prstGeom>
                    <a:noFill/>
                    <a:ln>
                      <a:noFill/>
                    </a:ln>
                  </pic:spPr>
                </pic:pic>
              </a:graphicData>
            </a:graphic>
          </wp:inline>
        </w:drawing>
      </w:r>
    </w:p>
    <w:p>
      <w:pPr>
        <w:ind w:firstLine="420" w:firstLineChars="200"/>
        <w:rPr>
          <w:rFonts w:hint="default" w:ascii="宋体" w:hAnsi="宋体" w:cs="宋体"/>
          <w:kern w:val="0"/>
          <w:lang w:val="en-US" w:eastAsia="zh-CN"/>
        </w:rPr>
      </w:pPr>
      <w:r>
        <w:drawing>
          <wp:inline distT="0" distB="0" distL="114300" distR="114300">
            <wp:extent cx="4918710" cy="3455670"/>
            <wp:effectExtent l="0" t="0" r="15240" b="11430"/>
            <wp:docPr id="6" name="图片 5" descr="56113b3050ddf2ede77247b7cde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56113b3050ddf2ede77247b7cde5735"/>
                    <pic:cNvPicPr>
                      <a:picLocks noChangeAspect="1"/>
                    </pic:cNvPicPr>
                  </pic:nvPicPr>
                  <pic:blipFill>
                    <a:blip r:embed="rId9"/>
                    <a:stretch>
                      <a:fillRect/>
                    </a:stretch>
                  </pic:blipFill>
                  <pic:spPr>
                    <a:xfrm>
                      <a:off x="0" y="0"/>
                      <a:ext cx="4918710" cy="3455670"/>
                    </a:xfrm>
                    <a:prstGeom prst="rect">
                      <a:avLst/>
                    </a:prstGeom>
                    <a:noFill/>
                    <a:ln>
                      <a:noFill/>
                    </a:ln>
                  </pic:spPr>
                </pic:pic>
              </a:graphicData>
            </a:graphic>
          </wp:inline>
        </w:drawing>
      </w:r>
    </w:p>
    <w:p>
      <w:pPr>
        <w:rPr>
          <w:rFonts w:ascii="宋体" w:hAnsi="宋体"/>
          <w:b/>
          <w:bCs/>
          <w:sz w:val="32"/>
          <w:szCs w:val="32"/>
        </w:rPr>
      </w:pPr>
      <w:r>
        <w:drawing>
          <wp:inline distT="0" distB="0" distL="114300" distR="114300">
            <wp:extent cx="3725545" cy="5160010"/>
            <wp:effectExtent l="0" t="0" r="8255" b="2540"/>
            <wp:docPr id="5" name="图片 6" descr="95e5b9675ce28b8bd3e23951a494e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95e5b9675ce28b8bd3e23951a494eae"/>
                    <pic:cNvPicPr>
                      <a:picLocks noChangeAspect="1"/>
                    </pic:cNvPicPr>
                  </pic:nvPicPr>
                  <pic:blipFill>
                    <a:blip r:embed="rId10"/>
                    <a:stretch>
                      <a:fillRect/>
                    </a:stretch>
                  </pic:blipFill>
                  <pic:spPr>
                    <a:xfrm>
                      <a:off x="0" y="0"/>
                      <a:ext cx="3725545" cy="5160010"/>
                    </a:xfrm>
                    <a:prstGeom prst="rect">
                      <a:avLst/>
                    </a:prstGeom>
                    <a:noFill/>
                    <a:ln>
                      <a:noFill/>
                    </a:ln>
                  </pic:spPr>
                </pic:pic>
              </a:graphicData>
            </a:graphic>
          </wp:inline>
        </w:drawing>
      </w:r>
    </w:p>
    <w:p>
      <w:pPr>
        <w:pStyle w:val="8"/>
        <w:spacing w:before="60" w:beforeLines="25" w:after="60" w:afterLines="25"/>
        <w:ind w:firstLine="0" w:firstLineChars="0"/>
        <w:rPr>
          <w:rFonts w:ascii="宋体" w:hAnsi="宋体"/>
          <w:szCs w:val="21"/>
        </w:rPr>
      </w:pPr>
    </w:p>
    <w:p>
      <w:pPr>
        <w:pStyle w:val="6"/>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9"/>
        <w:rPr>
          <w:rFonts w:ascii="宋体" w:hAnsi="宋体"/>
        </w:rPr>
      </w:pPr>
    </w:p>
    <w:p>
      <w:pPr>
        <w:pStyle w:val="37"/>
      </w:pPr>
    </w:p>
    <w:p>
      <w:pPr>
        <w:pStyle w:val="9"/>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7" w:name="_Hlk72257253"/>
      <w:r>
        <w:rPr>
          <w:rFonts w:hint="eastAsia"/>
        </w:rPr>
        <w:t>主要包括以下内容：</w:t>
      </w:r>
    </w:p>
    <w:p>
      <w:pPr>
        <w:ind w:left="718" w:leftChars="342" w:firstLine="1417" w:firstLineChars="675"/>
        <w:rPr>
          <w:szCs w:val="21"/>
        </w:rPr>
      </w:pPr>
      <w:r>
        <w:rPr>
          <w:rFonts w:hint="eastAsia"/>
          <w:szCs w:val="21"/>
        </w:rPr>
        <w:t>（1）</w:t>
      </w:r>
      <w:bookmarkStart w:id="48" w:name="_Hlk72070784"/>
      <w:r>
        <w:rPr>
          <w:rFonts w:hint="eastAsia"/>
          <w:szCs w:val="21"/>
        </w:rPr>
        <w:t>投标函</w:t>
      </w:r>
      <w:bookmarkEnd w:id="48"/>
    </w:p>
    <w:p>
      <w:pPr>
        <w:ind w:left="718" w:leftChars="342" w:firstLine="1417" w:firstLineChars="675"/>
        <w:rPr>
          <w:szCs w:val="21"/>
        </w:rPr>
      </w:pPr>
      <w:r>
        <w:rPr>
          <w:rFonts w:hint="eastAsia"/>
          <w:szCs w:val="21"/>
        </w:rPr>
        <w:t>（2）</w:t>
      </w:r>
      <w:bookmarkStart w:id="49" w:name="_Hlk72062521"/>
      <w:r>
        <w:rPr>
          <w:rFonts w:hint="eastAsia"/>
          <w:szCs w:val="21"/>
        </w:rPr>
        <w:t>采购投标及履约承诺函</w:t>
      </w:r>
      <w:bookmarkEnd w:id="49"/>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50" w:name="_Hlk72257201"/>
      <w:r>
        <w:rPr>
          <w:rFonts w:hint="eastAsia"/>
          <w:szCs w:val="21"/>
        </w:rPr>
        <w:t>（</w:t>
      </w:r>
      <w:r>
        <w:rPr>
          <w:szCs w:val="21"/>
        </w:rPr>
        <w:t>4</w:t>
      </w:r>
      <w:r>
        <w:rPr>
          <w:rFonts w:hint="eastAsia"/>
          <w:szCs w:val="21"/>
        </w:rPr>
        <w:t>）项目详细报价</w:t>
      </w:r>
    </w:p>
    <w:bookmarkEnd w:id="50"/>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51" w:name="OLE_LINK4"/>
      <w:r>
        <w:rPr>
          <w:rFonts w:hint="eastAsia"/>
          <w:szCs w:val="21"/>
        </w:rPr>
        <w:t>技术保障措施</w:t>
      </w:r>
      <w:bookmarkEnd w:id="51"/>
    </w:p>
    <w:p>
      <w:pPr>
        <w:ind w:left="718" w:leftChars="342" w:firstLine="1417" w:firstLineChars="675"/>
        <w:rPr>
          <w:rFonts w:hint="eastAsia"/>
          <w:szCs w:val="21"/>
        </w:rPr>
      </w:pPr>
      <w:r>
        <w:rPr>
          <w:rFonts w:hint="eastAsia"/>
          <w:szCs w:val="21"/>
        </w:rPr>
        <w:t>（</w:t>
      </w:r>
      <w:r>
        <w:rPr>
          <w:rFonts w:hint="eastAsia"/>
          <w:szCs w:val="21"/>
          <w:lang w:val="en-US" w:eastAsia="zh-CN"/>
        </w:rPr>
        <w:t>11</w:t>
      </w:r>
      <w:r>
        <w:rPr>
          <w:rFonts w:hint="eastAsia"/>
          <w:szCs w:val="21"/>
        </w:rPr>
        <w:t>）项目实施方案</w:t>
      </w:r>
    </w:p>
    <w:p>
      <w:pPr>
        <w:ind w:left="718" w:leftChars="342" w:firstLine="1417" w:firstLineChars="675"/>
        <w:rPr>
          <w:rFonts w:hint="eastAsia"/>
          <w:szCs w:val="21"/>
        </w:rPr>
      </w:pPr>
      <w:r>
        <w:rPr>
          <w:rFonts w:hint="eastAsia"/>
          <w:szCs w:val="21"/>
        </w:rPr>
        <w:t>（</w:t>
      </w:r>
      <w:r>
        <w:rPr>
          <w:rFonts w:hint="eastAsia"/>
          <w:szCs w:val="21"/>
          <w:lang w:val="en-US" w:eastAsia="zh-CN"/>
        </w:rPr>
        <w:t>12</w:t>
      </w:r>
      <w:r>
        <w:rPr>
          <w:rFonts w:hint="eastAsia"/>
          <w:szCs w:val="21"/>
        </w:rPr>
        <w:t>）售后服务方案</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）效果图情况</w:t>
      </w:r>
    </w:p>
    <w:p>
      <w:pPr>
        <w:ind w:left="718" w:leftChars="342" w:firstLine="1417" w:firstLineChars="675"/>
        <w:rPr>
          <w:rFonts w:hint="eastAsia"/>
          <w:szCs w:val="21"/>
        </w:rPr>
      </w:pPr>
      <w:r>
        <w:rPr>
          <w:rFonts w:hint="eastAsia"/>
          <w:szCs w:val="21"/>
        </w:rPr>
        <w:t>（</w:t>
      </w:r>
      <w:r>
        <w:rPr>
          <w:rFonts w:hint="eastAsia"/>
          <w:szCs w:val="21"/>
          <w:lang w:val="en-US" w:eastAsia="zh-CN"/>
        </w:rPr>
        <w:t>14</w:t>
      </w:r>
      <w:r>
        <w:rPr>
          <w:rFonts w:hint="eastAsia"/>
          <w:szCs w:val="21"/>
        </w:rPr>
        <w:t>）节能环保情况</w:t>
      </w:r>
    </w:p>
    <w:p>
      <w:pPr>
        <w:ind w:left="718" w:leftChars="342" w:firstLine="1417" w:firstLineChars="675"/>
        <w:rPr>
          <w:rFonts w:hint="eastAsia"/>
          <w:szCs w:val="21"/>
        </w:rPr>
      </w:pPr>
      <w:r>
        <w:rPr>
          <w:rFonts w:hint="eastAsia"/>
          <w:szCs w:val="21"/>
        </w:rPr>
        <w:t>（</w:t>
      </w:r>
      <w:r>
        <w:rPr>
          <w:rFonts w:hint="eastAsia"/>
          <w:szCs w:val="21"/>
          <w:lang w:val="en-US" w:eastAsia="zh-CN"/>
        </w:rPr>
        <w:t>15</w:t>
      </w:r>
      <w:r>
        <w:rPr>
          <w:rFonts w:hint="eastAsia"/>
          <w:szCs w:val="21"/>
        </w:rPr>
        <w:t>）体系认证情况评价</w:t>
      </w:r>
    </w:p>
    <w:p>
      <w:pPr>
        <w:ind w:left="718" w:leftChars="342" w:firstLine="1417" w:firstLineChars="675"/>
        <w:rPr>
          <w:rFonts w:hint="eastAsia"/>
          <w:szCs w:val="21"/>
        </w:rPr>
      </w:pPr>
      <w:r>
        <w:rPr>
          <w:rFonts w:hint="eastAsia"/>
          <w:szCs w:val="21"/>
        </w:rPr>
        <w:t>（</w:t>
      </w:r>
      <w:r>
        <w:rPr>
          <w:rFonts w:hint="eastAsia"/>
          <w:szCs w:val="21"/>
          <w:lang w:val="en-US" w:eastAsia="zh-CN"/>
        </w:rPr>
        <w:t>16</w:t>
      </w:r>
      <w:r>
        <w:rPr>
          <w:rFonts w:hint="eastAsia"/>
          <w:szCs w:val="21"/>
        </w:rPr>
        <w:t>）同类业绩</w:t>
      </w:r>
    </w:p>
    <w:p>
      <w:pPr>
        <w:ind w:left="718" w:leftChars="342" w:firstLine="1417" w:firstLineChars="675"/>
        <w:rPr>
          <w:rFonts w:hint="eastAsia"/>
          <w:szCs w:val="21"/>
        </w:rPr>
      </w:pPr>
      <w:r>
        <w:rPr>
          <w:rFonts w:hint="eastAsia"/>
          <w:szCs w:val="21"/>
        </w:rPr>
        <w:t>（</w:t>
      </w:r>
      <w:r>
        <w:rPr>
          <w:rFonts w:hint="eastAsia"/>
          <w:szCs w:val="21"/>
          <w:lang w:val="en-US" w:eastAsia="zh-CN"/>
        </w:rPr>
        <w:t>17</w:t>
      </w:r>
      <w:r>
        <w:rPr>
          <w:rFonts w:hint="eastAsia"/>
          <w:szCs w:val="21"/>
        </w:rPr>
        <w:t>）诚信情况</w:t>
      </w:r>
    </w:p>
    <w:p>
      <w:pPr>
        <w:ind w:left="718" w:leftChars="342" w:firstLine="1417" w:firstLineChars="675"/>
        <w:rPr>
          <w:rFonts w:hint="eastAsia"/>
          <w:szCs w:val="21"/>
        </w:rPr>
      </w:pPr>
      <w:r>
        <w:rPr>
          <w:rFonts w:hint="eastAsia"/>
          <w:szCs w:val="21"/>
        </w:rPr>
        <w:t>（</w:t>
      </w:r>
      <w:r>
        <w:rPr>
          <w:rFonts w:hint="eastAsia"/>
          <w:szCs w:val="21"/>
          <w:lang w:val="en-US" w:eastAsia="zh-CN"/>
        </w:rPr>
        <w:t>18</w:t>
      </w:r>
      <w:r>
        <w:rPr>
          <w:rFonts w:hint="eastAsia"/>
          <w:szCs w:val="21"/>
        </w:rPr>
        <w:t>）</w:t>
      </w:r>
      <w:bookmarkStart w:id="52" w:name="OLE_LINK5"/>
      <w:r>
        <w:rPr>
          <w:rFonts w:hint="eastAsia"/>
          <w:szCs w:val="21"/>
        </w:rPr>
        <w:t>投标人认为需要加以说明的其他内容</w:t>
      </w:r>
      <w:bookmarkEnd w:id="52"/>
    </w:p>
    <w:p>
      <w:pPr>
        <w:pStyle w:val="9"/>
      </w:pPr>
    </w:p>
    <w:bookmarkEnd w:id="47"/>
    <w:p>
      <w:pPr>
        <w:ind w:left="718" w:leftChars="342" w:firstLine="1417" w:firstLineChars="675"/>
        <w:rPr>
          <w:szCs w:val="21"/>
        </w:rPr>
      </w:pPr>
    </w:p>
    <w:p>
      <w:pPr>
        <w:ind w:firstLine="426" w:firstLineChars="202"/>
        <w:rPr>
          <w:rFonts w:ascii="宋体" w:hAnsi="宋体"/>
          <w:b/>
          <w:szCs w:val="21"/>
        </w:rPr>
      </w:pPr>
      <w:bookmarkStart w:id="53"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4" w:name="_Hlk72263559"/>
      <w:r>
        <w:rPr>
          <w:rFonts w:hint="eastAsia" w:ascii="宋体" w:hAnsi="宋体"/>
          <w:b/>
          <w:szCs w:val="21"/>
        </w:rPr>
        <w:t>2.关于填写“开标一览表”的说明：“开标一览表”中除“投标总价”外，其他信息不作评审依据。</w:t>
      </w:r>
      <w:bookmarkEnd w:id="53"/>
      <w:bookmarkEnd w:id="54"/>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4"/>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5"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6"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7" w:name="_Hlk72263588"/>
      <w:r>
        <w:rPr>
          <w:rFonts w:hint="eastAsia"/>
          <w:szCs w:val="21"/>
        </w:rPr>
        <w:t>愿意按照招标文件要求承包上述项目并修补其任何缺陷。</w:t>
      </w:r>
      <w:bookmarkEnd w:id="57"/>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8"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8"/>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6"/>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5"/>
    <w:p>
      <w:pPr>
        <w:pStyle w:val="4"/>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9"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60" w:name="_Hlk72587269"/>
      <w:bookmarkStart w:id="6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0"/>
      <w:r>
        <w:rPr>
          <w:rFonts w:hint="eastAsia" w:ascii="宋体" w:hAnsi="宋体"/>
          <w:szCs w:val="21"/>
        </w:rPr>
        <w:t>。</w:t>
      </w:r>
    </w:p>
    <w:bookmarkEnd w:id="61"/>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9"/>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4"/>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62"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3" w:name="_Hlk72257908"/>
      <w:r>
        <w:rPr>
          <w:rFonts w:hint="eastAsia" w:ascii="黑体" w:hAnsi="宋体" w:eastAsia="黑体"/>
          <w:bCs/>
          <w:kern w:val="0"/>
          <w:sz w:val="24"/>
          <w:szCs w:val="32"/>
        </w:rPr>
        <w:t>（二）中小企业声明函、残疾人福利性单位声明函及监狱企业声明函</w:t>
      </w:r>
    </w:p>
    <w:bookmarkEnd w:id="62"/>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2"/>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2"/>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9"/>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4"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4"/>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5" w:name="_Hlk73562331"/>
      <w:bookmarkStart w:id="66"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5"/>
    </w:p>
    <w:bookmarkEnd w:id="66"/>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3"/>
    </w:p>
    <w:p>
      <w:pPr>
        <w:pStyle w:val="4"/>
        <w:jc w:val="center"/>
        <w:rPr>
          <w:rFonts w:ascii="黑体" w:eastAsia="黑体"/>
          <w:b w:val="0"/>
          <w:sz w:val="24"/>
          <w:szCs w:val="24"/>
        </w:rPr>
      </w:pPr>
      <w:bookmarkStart w:id="67"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852"/>
        <w:gridCol w:w="852"/>
        <w:gridCol w:w="852"/>
        <w:gridCol w:w="852"/>
        <w:gridCol w:w="852"/>
        <w:gridCol w:w="852"/>
        <w:gridCol w:w="852"/>
        <w:gridCol w:w="852"/>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2人座候诊椅</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3门更衣柜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3门文件柜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3人座候诊椅</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4门更衣柜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6门更衣柜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办公室沙发</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储物柜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床头柜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电脑桌</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候诊椅（儿童类）</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患者椅</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患者椅（木质）</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会议椅</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会议桌</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计免接种台</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母婴床</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母婴沙发</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圆桌</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婴儿护理台</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沙发</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双人更衣柜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塑料凳</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无菌柜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医生椅</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医生椅（木质）</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医生诊桌</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椅子</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长桌</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诊疗床</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诊疗床（儿童）</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治疗用圆凳</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置物桌</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中医候诊椅</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中医文件柜</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中医诊桌</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注射凳</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50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长桌1</w:t>
            </w:r>
          </w:p>
        </w:tc>
        <w:tc>
          <w:tcPr>
            <w:tcW w:w="500" w:type="pct"/>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00" w:type="pct"/>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8"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8"/>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9" w:name="_Hlk72073235"/>
      <w:r>
        <w:rPr>
          <w:rFonts w:hint="eastAsia"/>
          <w:b/>
          <w:sz w:val="24"/>
        </w:rPr>
        <w:t>投标人认为需要涉及的其他内容报价清单</w:t>
      </w:r>
      <w:bookmarkEnd w:id="69"/>
    </w:p>
    <w:p>
      <w:pPr>
        <w:rPr>
          <w:b/>
          <w:bCs/>
        </w:rPr>
      </w:pPr>
    </w:p>
    <w:bookmarkEnd w:id="67"/>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70"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gridSpan w:val="2"/>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4" w:type="dxa"/>
            <w:gridSpan w:val="2"/>
            <w:vAlign w:val="center"/>
          </w:tcPr>
          <w:p>
            <w:pPr>
              <w:jc w:val="center"/>
              <w:rPr>
                <w:rFonts w:hint="eastAsia" w:ascii="宋体" w:hAnsi="宋体" w:eastAsia="宋体" w:cs="宋体"/>
                <w:color w:val="auto"/>
                <w:sz w:val="21"/>
                <w:szCs w:val="21"/>
                <w:vertAlign w:val="baseline"/>
                <w:lang w:val="en-US" w:eastAsia="zh-CN"/>
              </w:rPr>
            </w:pPr>
          </w:p>
        </w:tc>
        <w:tc>
          <w:tcPr>
            <w:tcW w:w="1898" w:type="dxa"/>
            <w:gridSpan w:val="2"/>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2849" w:type="dxa"/>
            <w:gridSpan w:val="2"/>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6" w:type="dxa"/>
            <w:gridSpan w:val="8"/>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4" w:space="0"/>
            </w:tcBorders>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2175" w:type="dxa"/>
            <w:gridSpan w:val="2"/>
            <w:tcBorders>
              <w:bottom w:val="single" w:color="auto" w:sz="4" w:space="0"/>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904" w:type="dxa"/>
            <w:tcBorders>
              <w:bottom w:val="single" w:color="auto" w:sz="4" w:space="0"/>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898" w:type="dxa"/>
            <w:gridSpan w:val="2"/>
            <w:tcBorders>
              <w:bottom w:val="single" w:color="auto" w:sz="4" w:space="0"/>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1429" w:type="dxa"/>
            <w:tcBorders>
              <w:bottom w:val="single" w:color="auto" w:sz="4" w:space="0"/>
            </w:tcBorders>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1420" w:type="dxa"/>
            <w:tcBorders>
              <w:bottom w:val="single" w:color="auto" w:sz="4" w:space="0"/>
            </w:tcBorders>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c>
          <w:tcPr>
            <w:tcW w:w="14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c>
          <w:tcPr>
            <w:tcW w:w="14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tcBorders>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2175" w:type="dxa"/>
            <w:gridSpan w:val="2"/>
            <w:tcBorders>
              <w:top w:val="single" w:color="auto" w:sz="4" w:space="0"/>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904" w:type="dxa"/>
            <w:tcBorders>
              <w:top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c>
          <w:tcPr>
            <w:tcW w:w="1898" w:type="dxa"/>
            <w:gridSpan w:val="2"/>
            <w:tcBorders>
              <w:top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c>
          <w:tcPr>
            <w:tcW w:w="1429" w:type="dxa"/>
            <w:tcBorders>
              <w:top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c>
          <w:tcPr>
            <w:tcW w:w="1420" w:type="dxa"/>
            <w:tcBorders>
              <w:top w:val="single" w:color="auto" w:sz="4" w:space="0"/>
            </w:tcBorders>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2175" w:type="dxa"/>
            <w:gridSpan w:val="2"/>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904" w:type="dxa"/>
            <w:vAlign w:val="center"/>
          </w:tcPr>
          <w:p>
            <w:pPr>
              <w:jc w:val="center"/>
              <w:rPr>
                <w:rFonts w:hint="eastAsia" w:ascii="宋体" w:hAnsi="宋体" w:eastAsia="宋体" w:cs="宋体"/>
                <w:color w:val="auto"/>
                <w:sz w:val="21"/>
                <w:szCs w:val="21"/>
                <w:vertAlign w:val="baseline"/>
                <w:lang w:val="en-US" w:eastAsia="zh-CN"/>
              </w:rPr>
            </w:pPr>
          </w:p>
        </w:tc>
        <w:tc>
          <w:tcPr>
            <w:tcW w:w="1898" w:type="dxa"/>
            <w:gridSpan w:val="2"/>
            <w:vAlign w:val="center"/>
          </w:tcPr>
          <w:p>
            <w:pPr>
              <w:jc w:val="center"/>
              <w:rPr>
                <w:rFonts w:hint="eastAsia" w:ascii="宋体" w:hAnsi="宋体" w:eastAsia="宋体" w:cs="宋体"/>
                <w:color w:val="auto"/>
                <w:sz w:val="21"/>
                <w:szCs w:val="21"/>
                <w:vertAlign w:val="baseline"/>
                <w:lang w:val="en-US" w:eastAsia="zh-CN"/>
              </w:rPr>
            </w:pPr>
          </w:p>
        </w:tc>
        <w:tc>
          <w:tcPr>
            <w:tcW w:w="1429" w:type="dxa"/>
            <w:vAlign w:val="center"/>
          </w:tcPr>
          <w:p>
            <w:pPr>
              <w:jc w:val="center"/>
              <w:rPr>
                <w:rFonts w:hint="eastAsia" w:ascii="宋体" w:hAnsi="宋体" w:eastAsia="宋体" w:cs="宋体"/>
                <w:color w:val="auto"/>
                <w:sz w:val="21"/>
                <w:szCs w:val="21"/>
                <w:vertAlign w:val="baseline"/>
                <w:lang w:val="en-US" w:eastAsia="zh-CN"/>
              </w:rPr>
            </w:pPr>
          </w:p>
        </w:tc>
        <w:tc>
          <w:tcPr>
            <w:tcW w:w="1420" w:type="dxa"/>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2175" w:type="dxa"/>
            <w:gridSpan w:val="2"/>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904" w:type="dxa"/>
            <w:vAlign w:val="center"/>
          </w:tcPr>
          <w:p>
            <w:pPr>
              <w:jc w:val="center"/>
              <w:rPr>
                <w:rFonts w:hint="eastAsia" w:ascii="宋体" w:hAnsi="宋体" w:eastAsia="宋体" w:cs="宋体"/>
                <w:color w:val="auto"/>
                <w:sz w:val="21"/>
                <w:szCs w:val="21"/>
                <w:vertAlign w:val="baseline"/>
                <w:lang w:val="en-US" w:eastAsia="zh-CN"/>
              </w:rPr>
            </w:pPr>
          </w:p>
        </w:tc>
        <w:tc>
          <w:tcPr>
            <w:tcW w:w="1898" w:type="dxa"/>
            <w:gridSpan w:val="2"/>
            <w:vAlign w:val="center"/>
          </w:tcPr>
          <w:p>
            <w:pPr>
              <w:jc w:val="center"/>
              <w:rPr>
                <w:rFonts w:hint="eastAsia" w:ascii="宋体" w:hAnsi="宋体" w:eastAsia="宋体" w:cs="宋体"/>
                <w:color w:val="auto"/>
                <w:sz w:val="21"/>
                <w:szCs w:val="21"/>
                <w:vertAlign w:val="baseline"/>
                <w:lang w:val="en-US" w:eastAsia="zh-CN"/>
              </w:rPr>
            </w:pPr>
          </w:p>
        </w:tc>
        <w:tc>
          <w:tcPr>
            <w:tcW w:w="1429" w:type="dxa"/>
            <w:vAlign w:val="center"/>
          </w:tcPr>
          <w:p>
            <w:pPr>
              <w:jc w:val="center"/>
              <w:rPr>
                <w:rFonts w:hint="eastAsia" w:ascii="宋体" w:hAnsi="宋体" w:eastAsia="宋体" w:cs="宋体"/>
                <w:color w:val="auto"/>
                <w:sz w:val="21"/>
                <w:szCs w:val="21"/>
                <w:vertAlign w:val="baseline"/>
                <w:lang w:val="en-US" w:eastAsia="zh-CN"/>
              </w:rPr>
            </w:pPr>
          </w:p>
        </w:tc>
        <w:tc>
          <w:tcPr>
            <w:tcW w:w="1420" w:type="dxa"/>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6" w:type="dxa"/>
            <w:gridSpan w:val="8"/>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26" w:type="dxa"/>
            <w:gridSpan w:val="8"/>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4" w:space="0"/>
            </w:tcBorders>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2175" w:type="dxa"/>
            <w:gridSpan w:val="2"/>
            <w:tcBorders>
              <w:bottom w:val="single" w:color="auto" w:sz="4" w:space="0"/>
            </w:tcBorders>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656" w:type="dxa"/>
            <w:gridSpan w:val="2"/>
            <w:tcBorders>
              <w:bottom w:val="single" w:color="auto" w:sz="4" w:space="0"/>
            </w:tcBorders>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3995" w:type="dxa"/>
            <w:gridSpan w:val="3"/>
            <w:tcBorders>
              <w:bottom w:val="single" w:color="auto" w:sz="4" w:space="0"/>
            </w:tcBorders>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65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vertAlign w:val="baseline"/>
                <w:lang w:val="en-US" w:eastAsia="zh-CN"/>
              </w:rPr>
            </w:pPr>
          </w:p>
        </w:tc>
        <w:tc>
          <w:tcPr>
            <w:tcW w:w="3995" w:type="dxa"/>
            <w:gridSpan w:val="3"/>
            <w:tcBorders>
              <w:top w:val="single" w:color="auto" w:sz="4" w:space="0"/>
              <w:left w:val="single" w:color="auto" w:sz="4" w:space="0"/>
              <w:bottom w:val="single" w:color="auto" w:sz="4" w:space="0"/>
              <w:right w:val="single" w:color="auto" w:sz="4" w:space="0"/>
            </w:tcBorders>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65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vertAlign w:val="baseline"/>
                <w:lang w:val="en-US" w:eastAsia="zh-CN"/>
              </w:rPr>
            </w:pPr>
          </w:p>
        </w:tc>
        <w:tc>
          <w:tcPr>
            <w:tcW w:w="3995" w:type="dxa"/>
            <w:gridSpan w:val="3"/>
            <w:tcBorders>
              <w:top w:val="single" w:color="auto" w:sz="4" w:space="0"/>
              <w:left w:val="single" w:color="auto" w:sz="4" w:space="0"/>
              <w:bottom w:val="single" w:color="auto" w:sz="4" w:space="0"/>
              <w:right w:val="single" w:color="auto" w:sz="4" w:space="0"/>
            </w:tcBorders>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6" w:type="dxa"/>
            <w:gridSpan w:val="8"/>
            <w:tcBorders>
              <w:top w:val="single" w:color="auto" w:sz="4" w:space="0"/>
              <w:left w:val="single" w:color="auto" w:sz="4" w:space="0"/>
              <w:bottom w:val="single" w:color="auto" w:sz="4" w:space="0"/>
              <w:right w:val="single" w:color="auto" w:sz="4" w:space="0"/>
            </w:tcBorders>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2"/>
        <w:rPr>
          <w:rFonts w:hint="eastAsia" w:ascii="宋体" w:hAnsi="宋体"/>
          <w:b/>
          <w:color w:val="FF0000"/>
          <w:sz w:val="28"/>
          <w:szCs w:val="28"/>
        </w:rPr>
      </w:pPr>
    </w:p>
    <w:p>
      <w:pPr>
        <w:pStyle w:val="4"/>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71" w:name="_Hlk72092499"/>
      <w:r>
        <w:rPr>
          <w:rFonts w:hint="eastAsia" w:ascii="黑体" w:eastAsia="黑体"/>
          <w:b w:val="0"/>
          <w:sz w:val="24"/>
        </w:rPr>
        <w:t>法定代表人（负责人）证明书</w:t>
      </w:r>
      <w:bookmarkEnd w:id="71"/>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9"/>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9"/>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2"/>
        <w:rPr>
          <w:sz w:val="24"/>
        </w:rPr>
      </w:pPr>
    </w:p>
    <w:p>
      <w:pPr>
        <w:pStyle w:val="2"/>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2"/>
        <w:rPr>
          <w:sz w:val="24"/>
        </w:rPr>
      </w:pPr>
    </w:p>
    <w:p>
      <w:pPr>
        <w:pStyle w:val="4"/>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9"/>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9"/>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2"/>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4"/>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72" w:name="_Hlk72092634"/>
      <w:r>
        <w:rPr>
          <w:rFonts w:hint="eastAsia" w:ascii="黑体" w:eastAsia="黑体"/>
          <w:b w:val="0"/>
          <w:kern w:val="0"/>
          <w:sz w:val="24"/>
          <w:szCs w:val="24"/>
        </w:rPr>
        <w:t>实质性条款响应情况表</w:t>
      </w:r>
      <w:bookmarkEnd w:id="72"/>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73"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adjustRightInd w:val="0"/>
              <w:snapToGrid w:val="0"/>
              <w:spacing w:line="360" w:lineRule="auto"/>
              <w:jc w:val="left"/>
              <w:rPr>
                <w:rFonts w:ascii="Times New Roman" w:hAnsi="宋体" w:eastAsia="宋体" w:cs="Times New Roman"/>
                <w:kern w:val="0"/>
                <w:sz w:val="21"/>
                <w:szCs w:val="21"/>
                <w:lang w:val="en-US" w:eastAsia="zh-CN" w:bidi="ar-SA"/>
              </w:rPr>
            </w:pPr>
            <w:r>
              <w:rPr>
                <w:rFonts w:hint="eastAsia" w:ascii="宋体" w:hAnsi="宋体" w:cs="宋体"/>
                <w:b/>
                <w:bCs/>
                <w:color w:val="FF0000"/>
                <w:szCs w:val="21"/>
              </w:rPr>
              <w:t>9</w:t>
            </w:r>
            <w:r>
              <w:rPr>
                <w:rFonts w:ascii="宋体" w:hAnsi="宋体" w:cs="宋体"/>
                <w:b/>
                <w:bCs/>
                <w:color w:val="FF0000"/>
                <w:szCs w:val="21"/>
              </w:rPr>
              <w:t>.2</w:t>
            </w:r>
            <w:r>
              <w:rPr>
                <w:rFonts w:hint="eastAsia" w:ascii="宋体" w:hAnsi="宋体" w:cs="宋体"/>
                <w:b/>
                <w:bCs/>
                <w:color w:val="FF0000"/>
                <w:szCs w:val="21"/>
              </w:rPr>
              <w:t>★招标文件中涉及提供检测报告的，投标人中标后配合提供检测报告真实性的证明材料，若查验报告为虚假证明，将接受相关部门处罚。</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2664" w:type="dxa"/>
            <w:vAlign w:val="center"/>
          </w:tcPr>
          <w:p>
            <w:pPr>
              <w:adjustRightInd w:val="0"/>
              <w:snapToGrid w:val="0"/>
              <w:spacing w:line="360" w:lineRule="auto"/>
              <w:jc w:val="left"/>
              <w:rPr>
                <w:rFonts w:hint="eastAsia" w:ascii="宋体" w:hAnsi="宋体" w:eastAsia="宋体" w:cs="宋体"/>
                <w:b/>
                <w:bCs/>
                <w:color w:val="FF0000"/>
                <w:kern w:val="2"/>
                <w:sz w:val="21"/>
                <w:szCs w:val="21"/>
                <w:lang w:val="en-US" w:eastAsia="zh-CN" w:bidi="ar-SA"/>
              </w:rPr>
            </w:pPr>
            <w:r>
              <w:rPr>
                <w:rFonts w:hint="eastAsia" w:ascii="宋体" w:hAnsi="宋体" w:cs="宋体"/>
                <w:b/>
                <w:bCs/>
                <w:color w:val="FF0000"/>
                <w:szCs w:val="21"/>
              </w:rPr>
              <w:t>★</w:t>
            </w:r>
            <w:r>
              <w:rPr>
                <w:rFonts w:hint="eastAsia" w:ascii="宋体" w:hAnsi="宋体" w:cs="宋体"/>
                <w:b/>
                <w:bCs/>
                <w:color w:val="FF0000"/>
                <w:szCs w:val="21"/>
                <w:lang w:val="en-US" w:eastAsia="zh-CN"/>
              </w:rPr>
              <w:t>9.4投标人所提供产品需满足相关国家强制标准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70"/>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4"/>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636"/>
        <w:gridCol w:w="2437"/>
        <w:gridCol w:w="1672"/>
        <w:gridCol w:w="1672"/>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288"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w:t>
            </w:r>
          </w:p>
        </w:tc>
        <w:tc>
          <w:tcPr>
            <w:tcW w:w="1127"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参数</w:t>
            </w:r>
          </w:p>
        </w:tc>
        <w:tc>
          <w:tcPr>
            <w:tcW w:w="1672" w:type="dxa"/>
            <w:tcBorders>
              <w:tl2br w:val="nil"/>
              <w:tr2bl w:val="nil"/>
            </w:tcBorders>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r>
              <w:rPr>
                <w:rFonts w:hint="eastAsia"/>
                <w:sz w:val="21"/>
                <w:szCs w:val="21"/>
              </w:rPr>
              <w:t>投标技术响应</w:t>
            </w:r>
          </w:p>
        </w:tc>
        <w:tc>
          <w:tcPr>
            <w:tcW w:w="1672" w:type="dxa"/>
            <w:tcBorders>
              <w:tl2br w:val="nil"/>
              <w:tr2bl w:val="nil"/>
            </w:tcBorders>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r>
              <w:rPr>
                <w:rFonts w:hint="eastAsia"/>
                <w:sz w:val="21"/>
                <w:szCs w:val="21"/>
              </w:rPr>
              <w:t>偏离情况</w:t>
            </w:r>
          </w:p>
        </w:tc>
        <w:tc>
          <w:tcPr>
            <w:tcW w:w="1673" w:type="dxa"/>
            <w:tcBorders>
              <w:tl2br w:val="nil"/>
              <w:tr2bl w:val="nil"/>
            </w:tcBorders>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2人座候诊椅</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规格：1180*680*780mm（可根据实际需求情况调整）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1、座背椅板：为全新PU材质，模具内一体成型。内层材质采用1.5mm冷轧钢板。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2、扶手脚：高强度铝合金一体成型压铸件，表面采用耐磨的环氧树脂粉末高温静电喷涂。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3、横档：冷轧钢板。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3门更衣柜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规格：900*500*1800mm（可根据实际需求情况调整）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1、采用电解钢板，厚度≥0.8mm。</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2、表面环氧树脂静电粉末喷涂。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3、五金：采用环保阻尼铰链、防锈易消毒型拉手及锁具等五金配件，开合次数超过5万次。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3门文件柜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规格：1200*450*1800mm（可根据实际需求情况调整）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4、五金：采用国标阻尼导轨、拉手及锁具等五金配件，开合次数超过5万次。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3人座候诊椅</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规格：1750*680*780mm（可根据实际需求情况调整）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1、座背椅板：为全新PU材质，模具内一体成型。内层材质采用1.5mm冷轧钢板。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2、扶手脚：高强度铝合金一体成型压铸件，表面采用耐磨的环氧树脂粉末高温静电喷涂。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3、横档：冷轧钢板。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widowControl/>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▲冷轧钢板检测依据：QB/T 3826-1999《轻工产品金属镀层和化学处理层的耐腐蚀试验方法 中性盐雾试验（NSS）法》、QB/T 3827-1999《轻工产品金属镀层和化学处理层的耐腐蚀试验方法 乙酸盐雾试验（ASS）法》、QB/T 4371-2012《家具抗菌性能的评价》；检测内容或结果满足：乙酸盐雾试验：根据QB/T 3827-1999对样品进行≥</w:t>
            </w:r>
            <w:r>
              <w:rPr>
                <w:rFonts w:hint="eastAsia" w:ascii="宋体" w:hAnsi="宋体" w:cs="宋体"/>
                <w:b/>
                <w:color w:val="FF0000"/>
                <w:kern w:val="0"/>
                <w:szCs w:val="21"/>
                <w:highlight w:val="none"/>
                <w:lang w:val="en-US" w:eastAsia="zh-CN" w:bidi="ar"/>
              </w:rPr>
              <w:t>120</w:t>
            </w:r>
            <w:r>
              <w:rPr>
                <w:rFonts w:hint="eastAsia" w:ascii="宋体" w:hAnsi="宋体" w:cs="宋体"/>
                <w:b/>
                <w:color w:val="FF0000"/>
                <w:kern w:val="0"/>
                <w:szCs w:val="21"/>
                <w:highlight w:val="none"/>
                <w:lang w:bidi="ar"/>
              </w:rPr>
              <w:t>h乙酸盐雾试验（ASS试验），试验后，保护等级、耐蚀等级均达到10级；中性盐雾试验：根据QB/T 3826-1999对样品进行≥</w:t>
            </w:r>
            <w:r>
              <w:rPr>
                <w:rFonts w:hint="eastAsia" w:ascii="宋体" w:hAnsi="宋体" w:cs="宋体"/>
                <w:b/>
                <w:color w:val="FF0000"/>
                <w:kern w:val="0"/>
                <w:szCs w:val="21"/>
                <w:highlight w:val="none"/>
                <w:lang w:val="en-US" w:eastAsia="zh-CN" w:bidi="ar"/>
              </w:rPr>
              <w:t>120</w:t>
            </w:r>
            <w:r>
              <w:rPr>
                <w:rFonts w:hint="eastAsia" w:ascii="宋体" w:hAnsi="宋体" w:cs="宋体"/>
                <w:b/>
                <w:color w:val="FF0000"/>
                <w:kern w:val="0"/>
                <w:szCs w:val="21"/>
                <w:highlight w:val="none"/>
                <w:lang w:bidi="ar"/>
              </w:rPr>
              <w:t>h中性盐雾试验（NSS试验），保护等级、耐蚀等级均达到10级；抗菌性能：大肠杆菌抑菌率≥99%，金黄色葡萄球菌抑菌率≥99%，肺炎克雷伯氏菌抑菌率≥99%，铜绿假单胞菌抑菌率≥99%，鼠伤寒沙门氏菌抑菌率≥99%。</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b/>
                <w:bCs/>
                <w:color w:val="FF0000"/>
                <w:sz w:val="22"/>
                <w:szCs w:val="22"/>
                <w:highlight w:val="none"/>
              </w:rPr>
              <w:t>【</w:t>
            </w: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rPr>
            </w:pP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rPr>
            </w:pP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widowControl/>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▲粉末涂料检测依据：HG/T 2006-2022《热固性和热塑性粉末涂料》、HG/T 3950-2007《抗菌涂料》；检测内容或结果满足：附着力（干附着力）：达到0级；耐酸性[3%（质量分数）盐酸溶液]：≥200h无异常；耐碱性[5%（质量分数）氢氧化钠溶液]：≥168h无异常；铅笔硬度（内聚破坏中擦伤）：≥5H；抗细菌性能：大肠杆菌抗细菌率≥99%，金黄色葡萄球菌抗细菌率≥99%。</w:t>
            </w:r>
          </w:p>
          <w:p>
            <w:pPr>
              <w:keepNext w:val="0"/>
              <w:keepLines w:val="0"/>
              <w:widowControl/>
              <w:suppressLineNumbers w:val="0"/>
              <w:jc w:val="both"/>
              <w:textAlignment w:val="center"/>
              <w:rPr>
                <w:rFonts w:hint="default" w:eastAsia="宋体"/>
                <w:b/>
                <w:bCs/>
                <w:color w:val="FF0000"/>
                <w:sz w:val="22"/>
                <w:szCs w:val="22"/>
                <w:highlight w:val="none"/>
                <w:lang w:val="en-US" w:eastAsia="zh-CN"/>
              </w:rPr>
            </w:pPr>
            <w:r>
              <w:rPr>
                <w:rFonts w:hint="eastAsia"/>
                <w:b/>
                <w:bCs/>
                <w:color w:val="FF0000"/>
                <w:sz w:val="22"/>
                <w:szCs w:val="22"/>
                <w:highlight w:val="none"/>
                <w:lang w:eastAsia="zh-CN"/>
              </w:rPr>
              <w:t>【</w:t>
            </w:r>
            <w:r>
              <w:rPr>
                <w:rFonts w:hint="eastAsia"/>
                <w:b/>
                <w:bCs/>
                <w:color w:val="FF0000"/>
                <w:sz w:val="22"/>
                <w:szCs w:val="22"/>
                <w:highlight w:val="none"/>
                <w:lang w:val="en-US" w:eastAsia="zh-CN"/>
              </w:rPr>
              <w:t>投标人承诺在中标后提供2024年1月1日起符合以上要求的第三方检测机构在资质认定证书的能力范围内出具的具有CMA标识的检测报告扫描件，投标时提供承诺函（格式自拟）】中标供应商验收时须提供，作为验收条件的一部分）</w:t>
            </w: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lang w:eastAsia="zh-CN"/>
              </w:rPr>
            </w:pP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lang w:eastAsia="zh-CN"/>
              </w:rPr>
            </w:pP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4门更衣柜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规格：900*500*1800mm（可根据实际需求情况调整）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1、采用电解钢板，厚度≥0.8mm。</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2、表面环氧树脂静电粉末喷涂。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3、五金：采用环保阻尼铰链、防锈易消毒型拉手及锁具等五金配件，开合次数超过5万次。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widowControl/>
              <w:textAlignment w:val="center"/>
              <w:rPr>
                <w:rFonts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▲电解钢板检测依据：QB/T 3827-1999《轻工产品金属镀层和化学处理层的耐腐蚀试验方法 乙酸盐雾试验(ASS)法》、GB/T 35607-2024《绿色产品评价 家具》、QB/T 3826-1999《轻工产品金属镀层和化学处理层的耐腐蚀试验方法 中性盐雾试验(NSS)法》；检测内容或结果满足：乙酸盐雾试验：对样品进行≥</w:t>
            </w:r>
            <w:r>
              <w:rPr>
                <w:rFonts w:hint="eastAsia" w:ascii="宋体" w:hAnsi="宋体" w:cs="宋体"/>
                <w:b/>
                <w:color w:val="FF0000"/>
                <w:kern w:val="0"/>
                <w:szCs w:val="21"/>
                <w:highlight w:val="none"/>
                <w:lang w:val="en-US" w:eastAsia="zh-CN" w:bidi="ar"/>
              </w:rPr>
              <w:t>120</w:t>
            </w:r>
            <w:r>
              <w:rPr>
                <w:rFonts w:hint="eastAsia" w:ascii="宋体" w:hAnsi="宋体" w:cs="宋体"/>
                <w:b/>
                <w:color w:val="FF0000"/>
                <w:kern w:val="0"/>
                <w:szCs w:val="21"/>
                <w:highlight w:val="none"/>
                <w:lang w:bidi="ar"/>
              </w:rPr>
              <w:t>h乙酸盐雾试验（ASS），试验后，保护等级、耐蚀等级均达到10级；中性盐雾试验对样品进行≥</w:t>
            </w:r>
            <w:r>
              <w:rPr>
                <w:rFonts w:hint="eastAsia" w:ascii="宋体" w:hAnsi="宋体" w:cs="宋体"/>
                <w:b/>
                <w:color w:val="FF0000"/>
                <w:kern w:val="0"/>
                <w:szCs w:val="21"/>
                <w:highlight w:val="none"/>
                <w:lang w:val="en-US" w:eastAsia="zh-CN" w:bidi="ar"/>
              </w:rPr>
              <w:t>120</w:t>
            </w:r>
            <w:r>
              <w:rPr>
                <w:rFonts w:hint="eastAsia" w:ascii="宋体" w:hAnsi="宋体" w:cs="宋体"/>
                <w:b/>
                <w:color w:val="FF0000"/>
                <w:kern w:val="0"/>
                <w:szCs w:val="21"/>
                <w:highlight w:val="none"/>
                <w:lang w:bidi="ar"/>
              </w:rPr>
              <w:t>h中性盐雾试验（NSS），，保护等级、耐蚀等级均达到10级；家具涂层可迁移元素:铅（Pb）未检出，镉（Cd）未检出， 铬（Cr）未检出，汞（Hg）未检出，砷（As）未检出，锑（Sb）未检出，钡（Ba）未检出，硒（Se）未检出。</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widowControl/>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▲柜门铰链检测依据：Q</w:t>
            </w:r>
            <w:r>
              <w:rPr>
                <w:rFonts w:ascii="宋体" w:hAnsi="宋体" w:cs="宋体"/>
                <w:b/>
                <w:color w:val="FF0000"/>
                <w:kern w:val="0"/>
                <w:szCs w:val="21"/>
                <w:highlight w:val="none"/>
                <w:lang w:bidi="ar"/>
              </w:rPr>
              <w:t>B/T 2189-2013</w:t>
            </w:r>
            <w:r>
              <w:rPr>
                <w:rFonts w:hint="eastAsia" w:ascii="宋体" w:hAnsi="宋体" w:cs="宋体"/>
                <w:b/>
                <w:color w:val="FF0000"/>
                <w:kern w:val="0"/>
                <w:szCs w:val="21"/>
                <w:highlight w:val="none"/>
                <w:lang w:bidi="ar"/>
              </w:rPr>
              <w:t xml:space="preserve">《家具五金 </w:t>
            </w:r>
            <w:r>
              <w:rPr>
                <w:rFonts w:ascii="宋体" w:hAnsi="宋体" w:cs="宋体"/>
                <w:b/>
                <w:color w:val="FF0000"/>
                <w:kern w:val="0"/>
                <w:szCs w:val="21"/>
                <w:highlight w:val="none"/>
                <w:lang w:bidi="ar"/>
              </w:rPr>
              <w:t xml:space="preserve"> </w:t>
            </w:r>
            <w:r>
              <w:rPr>
                <w:rFonts w:hint="eastAsia" w:ascii="宋体" w:hAnsi="宋体" w:cs="宋体"/>
                <w:b/>
                <w:color w:val="FF0000"/>
                <w:kern w:val="0"/>
                <w:szCs w:val="21"/>
                <w:highlight w:val="none"/>
                <w:lang w:val="en-US" w:eastAsia="zh-CN" w:bidi="ar"/>
              </w:rPr>
              <w:t>杯状</w:t>
            </w:r>
            <w:r>
              <w:rPr>
                <w:rFonts w:hint="eastAsia" w:ascii="宋体" w:hAnsi="宋体" w:cs="宋体"/>
                <w:b/>
                <w:color w:val="FF0000"/>
                <w:kern w:val="0"/>
                <w:szCs w:val="21"/>
                <w:highlight w:val="none"/>
                <w:lang w:bidi="ar"/>
              </w:rPr>
              <w:t>暗铰链》；检测内容或结果满足：过载：垂直静载荷、水平静载荷检测符合；功能：操作力、垂直静载荷、水平静载荷检测符合，耐久性试验次数≥8</w:t>
            </w:r>
            <w:r>
              <w:rPr>
                <w:rFonts w:ascii="宋体" w:hAnsi="宋体" w:cs="宋体"/>
                <w:b/>
                <w:color w:val="FF0000"/>
                <w:kern w:val="0"/>
                <w:szCs w:val="21"/>
                <w:highlight w:val="none"/>
                <w:lang w:bidi="ar"/>
              </w:rPr>
              <w:t>0000</w:t>
            </w:r>
            <w:r>
              <w:rPr>
                <w:rFonts w:hint="eastAsia" w:ascii="宋体" w:hAnsi="宋体" w:cs="宋体"/>
                <w:b/>
                <w:color w:val="FF0000"/>
                <w:kern w:val="0"/>
                <w:szCs w:val="21"/>
                <w:highlight w:val="none"/>
                <w:lang w:bidi="ar"/>
              </w:rPr>
              <w:t>次检测符合，下沉量≤1</w:t>
            </w:r>
            <w:r>
              <w:rPr>
                <w:rFonts w:ascii="宋体" w:hAnsi="宋体" w:cs="宋体"/>
                <w:b/>
                <w:color w:val="FF0000"/>
                <w:kern w:val="0"/>
                <w:szCs w:val="21"/>
                <w:highlight w:val="none"/>
                <w:lang w:bidi="ar"/>
              </w:rPr>
              <w:t>.5mm</w:t>
            </w:r>
            <w:r>
              <w:rPr>
                <w:rFonts w:hint="eastAsia" w:ascii="宋体" w:hAnsi="宋体" w:cs="宋体"/>
                <w:b/>
                <w:color w:val="FF0000"/>
                <w:kern w:val="0"/>
                <w:szCs w:val="21"/>
                <w:highlight w:val="none"/>
                <w:lang w:bidi="ar"/>
              </w:rPr>
              <w:t>；耐腐蚀检测无锈点。</w:t>
            </w:r>
          </w:p>
          <w:p>
            <w:pPr>
              <w:keepNext w:val="0"/>
              <w:keepLines w:val="0"/>
              <w:widowControl/>
              <w:suppressLineNumbers w:val="0"/>
              <w:jc w:val="both"/>
              <w:textAlignment w:val="center"/>
              <w:rPr>
                <w:rFonts w:hint="eastAsia" w:ascii="宋体" w:hAnsi="宋体" w:cs="宋体"/>
                <w:b/>
                <w:color w:val="FF0000"/>
                <w:kern w:val="0"/>
                <w:szCs w:val="21"/>
                <w:highlight w:val="none"/>
                <w:lang w:bidi="ar"/>
              </w:rPr>
            </w:pPr>
            <w:r>
              <w:rPr>
                <w:rFonts w:hint="eastAsia"/>
                <w:b/>
                <w:bCs/>
                <w:color w:val="FF0000"/>
                <w:sz w:val="22"/>
                <w:szCs w:val="22"/>
                <w:highlight w:val="none"/>
                <w:lang w:eastAsia="zh-CN"/>
              </w:rPr>
              <w:t>【</w:t>
            </w:r>
            <w:r>
              <w:rPr>
                <w:rFonts w:hint="eastAsia"/>
                <w:b/>
                <w:bCs/>
                <w:color w:val="FF0000"/>
                <w:sz w:val="22"/>
                <w:szCs w:val="22"/>
                <w:highlight w:val="none"/>
                <w:lang w:val="en-US" w:eastAsia="zh-CN"/>
              </w:rPr>
              <w:t>投标人承诺在中标后提供2024年1月1日起符合以上要求的第三方检测机构在资质认定证书的能力范围内出具的具有CMA标识的检测报告扫描件，投标时提供承诺函（格式自拟）】中标供应商验收时须提供，作为验收条件的一部分）</w:t>
            </w: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lang w:eastAsia="zh-CN"/>
              </w:rPr>
            </w:pP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lang w:eastAsia="zh-CN"/>
              </w:rPr>
            </w:pP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6门更衣柜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规格：900*500*1800mm（可根据实际需求情况调整）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1、采用电解钢板，厚度≥0.8mm。</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2、表面环氧树脂静电粉末喷涂，光滑、平整，不易损伤，具有环保、抑菌、防锈、耐腐蚀、绝缘性高、附着力强、耐摩擦等技术特点。</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3、五金：采用环保阻尼铰链、防锈易消毒型拉手及锁具等五金配件，开合次数超过5万次。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办公室沙发</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规格：1400*700*810mm（可根据实际需求情况调整）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1、面料：环保布艺，无甲醛含量，无异味，无可分解致癌芳香胺染料未检出。</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2、海绵：高弹阻燃海绵。</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3、框架：实木板，具有硬度高，密度大，承受力强，选材无结疤，腐朽等现象。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办公椅</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1、椅背：PP背框+特网面料</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2、椅座：切割绵+弹力座布</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3、扶手：固定扶手</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4、底盘：原位锁定底盘</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5、气杆：行程100mm沉口40mm三级气杆</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6、椅脚：340黑色PA五星脚</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7、椅轮：60/25黑色PA轮</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widowControl/>
              <w:textAlignment w:val="center"/>
              <w:rPr>
                <w:rFonts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▲布料检测依据：GB/T 35611-2017《绿色产品评价 纺织产品》、GB/T 33610.2-2017《纺织品 消臭性能的测定 第2部分：检知管法》；检测内容或结果满足：游离甲醛含量：未检出；PH值：4.0~7；可萃取重金属：锑≤1mg/kg，砷、铅、镉、铬、六价铬、钴、铜、镍、汞均未检出；总铅：未检出；总镉：未检出；可分解有害芳香胺染料：未检出；邻苯二甲酸酯总量：未检出；有机锡化合物：三丁基锡、二丁基锡、一丁基锡、三苯基锡均未检出；氯化苯和氯化甲苯总量：未检出；多环芳烃：未检出；含氯酚：五氯苯酚、四氯苯酚（总量）均未检出；残余溶剂：未检出；其他化学残余：富马酸二甲酯未检出，邻苯基苯酚未检出；色牢度： 耐水（变色、沾色）、耐酸性汗渍（变色、沾色）、耐碱性汗渍（变色、沾色）、耐干摩擦、耐湿摩擦均达到4-5级；阻燃整理剂：未检出；消臭性能：氨异味成分浓度减少率≥90%，醋酸异味成分浓度减少率≥90%。</w:t>
            </w:r>
          </w:p>
          <w:p>
            <w:pPr>
              <w:widowControl/>
              <w:textAlignment w:val="center"/>
              <w:rPr>
                <w:rFonts w:hint="eastAsia" w:ascii="宋体" w:hAnsi="宋体" w:cs="宋体"/>
                <w:b/>
                <w:color w:val="FF0000"/>
                <w:kern w:val="0"/>
                <w:szCs w:val="21"/>
                <w:highlight w:val="none"/>
                <w:lang w:bidi="ar"/>
              </w:rPr>
            </w:pPr>
          </w:p>
          <w:p>
            <w:pPr>
              <w:keepNext w:val="0"/>
              <w:keepLines w:val="0"/>
              <w:widowControl/>
              <w:suppressLineNumbers w:val="0"/>
              <w:jc w:val="both"/>
              <w:textAlignment w:val="center"/>
              <w:rPr>
                <w:rFonts w:hint="eastAsia" w:ascii="宋体" w:hAnsi="宋体" w:eastAsia="宋体" w:cs="宋体"/>
                <w:i w:val="0"/>
                <w:iCs w:val="0"/>
                <w:color w:val="FF0000"/>
                <w:sz w:val="21"/>
                <w:szCs w:val="21"/>
                <w:highlight w:val="none"/>
                <w:u w:val="none"/>
              </w:rPr>
            </w:pP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val="en-US" w:eastAsia="zh-CN" w:bidi="ar"/>
              </w:rPr>
            </w:pPr>
            <w:r>
              <w:rPr>
                <w:rFonts w:hint="eastAsia" w:ascii="宋体" w:hAnsi="宋体" w:cs="宋体"/>
                <w:b/>
                <w:color w:val="FF0000"/>
                <w:kern w:val="0"/>
                <w:szCs w:val="21"/>
                <w:highlight w:val="none"/>
                <w:lang w:bidi="ar"/>
              </w:rPr>
              <w:t>▲</w:t>
            </w:r>
            <w:r>
              <w:rPr>
                <w:rFonts w:hint="eastAsia" w:ascii="宋体" w:hAnsi="宋体" w:cs="宋体"/>
                <w:b/>
                <w:color w:val="FF0000"/>
                <w:kern w:val="0"/>
                <w:szCs w:val="21"/>
                <w:highlight w:val="none"/>
                <w:lang w:val="en-US" w:eastAsia="zh-CN" w:bidi="ar"/>
              </w:rPr>
              <w:t>海绵检测依据：GB/T 10802-2023《通用软质聚氨酯泡沫塑料》；检测内容或结果满足：40%压陷硬度偏差±2N内；65%/25%压陷比≥3%，75%压缩永久变形≤8%，回弹率≥50%，拉伸强度≥131kpa,断裂伸长率≥106%，撕裂强度≥3N/cm，湿热老化后拉伸强度≥123kpa，干热老化后拉伸强度变化率±2%，灰分≤0.6%，甲醛散发未检出，燃烧性能检测符合产品应用领域标准要求，表现密度≥45kg/m³。</w:t>
            </w:r>
          </w:p>
          <w:p>
            <w:pPr>
              <w:pStyle w:val="2"/>
              <w:rPr>
                <w:rFonts w:hint="default"/>
                <w:highlight w:val="none"/>
                <w:lang w:val="en-US" w:eastAsia="zh-CN"/>
              </w:rPr>
            </w:pPr>
            <w:r>
              <w:rPr>
                <w:rFonts w:hint="eastAsia"/>
                <w:b/>
                <w:bCs/>
                <w:color w:val="FF0000"/>
                <w:sz w:val="22"/>
                <w:szCs w:val="22"/>
                <w:highlight w:val="none"/>
                <w:lang w:eastAsia="zh-CN"/>
              </w:rPr>
              <w:t>【</w:t>
            </w:r>
            <w:r>
              <w:rPr>
                <w:rFonts w:hint="eastAsia"/>
                <w:b/>
                <w:bCs/>
                <w:color w:val="FF0000"/>
                <w:sz w:val="22"/>
                <w:szCs w:val="22"/>
                <w:highlight w:val="none"/>
                <w:lang w:val="en-US" w:eastAsia="zh-CN"/>
              </w:rPr>
              <w:t>投标人承诺在中标后提供2024年1月1日起符合以上要求的第三方检测机构在资质认定证书的能力范围内出具的具有CMA标识的检测报告扫描件，投标时提供承诺函（格式自拟）】中标供应商验收时须提供，作为验收条件的一部分）</w:t>
            </w:r>
          </w:p>
        </w:tc>
        <w:tc>
          <w:tcPr>
            <w:tcW w:w="1128" w:type="pct"/>
            <w:tcBorders>
              <w:tl2br w:val="nil"/>
              <w:tr2bl w:val="nil"/>
            </w:tcBorders>
            <w:vAlign w:val="center"/>
          </w:tcPr>
          <w:p>
            <w:pPr>
              <w:pStyle w:val="2"/>
              <w:rPr>
                <w:rFonts w:hint="eastAsia"/>
                <w:b/>
                <w:bCs/>
                <w:color w:val="FF0000"/>
                <w:sz w:val="22"/>
                <w:szCs w:val="22"/>
                <w:highlight w:val="none"/>
                <w:lang w:eastAsia="zh-CN"/>
              </w:rPr>
            </w:pPr>
          </w:p>
        </w:tc>
        <w:tc>
          <w:tcPr>
            <w:tcW w:w="1128" w:type="pct"/>
            <w:tcBorders>
              <w:tl2br w:val="nil"/>
              <w:tr2bl w:val="nil"/>
            </w:tcBorders>
            <w:vAlign w:val="center"/>
          </w:tcPr>
          <w:p>
            <w:pPr>
              <w:pStyle w:val="2"/>
              <w:rPr>
                <w:rFonts w:hint="eastAsia"/>
                <w:b/>
                <w:bCs/>
                <w:color w:val="FF0000"/>
                <w:sz w:val="22"/>
                <w:szCs w:val="22"/>
                <w:highlight w:val="none"/>
                <w:lang w:eastAsia="zh-CN"/>
              </w:rPr>
            </w:pPr>
          </w:p>
        </w:tc>
        <w:tc>
          <w:tcPr>
            <w:tcW w:w="1128" w:type="pct"/>
            <w:tcBorders>
              <w:tl2br w:val="nil"/>
              <w:tr2bl w:val="nil"/>
            </w:tcBorders>
            <w:vAlign w:val="center"/>
          </w:tcPr>
          <w:p>
            <w:pPr>
              <w:pStyle w:val="2"/>
              <w:rPr>
                <w:rFonts w:hint="eastAsia"/>
                <w:b/>
                <w:bCs/>
                <w:color w:val="FF000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茶几</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规格：1200*600*500mm（可根据实际需求情况调整）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储物柜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规格：900*450*1000mm（可根据实际需求情况调整）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1、基材：环保EO级以上浸渍胶膜纸饰面实木颗粒板。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4、五金：采用国标阻尼导轨、拉手及锁具等五金配件，开合次数超过5万次。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床头柜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规格：500*400*500mm（可根据实际需求情况调整）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1、基材：环保EO级以上浸渍胶膜纸饰面实木颗粒板。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4、五金：采用国标阻尼导轨、拉手及锁具等五金配件，开合次数超过5万次。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电脑桌</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规格：1400*1400*750mm（可根据实际需求情况调整）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 表面环氧树脂静电粉末喷涂。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5、边柜：带主机空格、可选择抽屉或掩门。</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工作台</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规格：1000*500*1800mm（可根据实际需求情况调整）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1、柜体采用冷轧钢板，台面采用不锈钢，钢板厚度≥0.8mm。</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2、分上下掩门结构，上掩门为透明钢化玻璃(增加钢化玻璃标准)，柜内配2块活动层板，下掩门为钢制，柜内配1块活动层板。柜门表面可选木纹转印工艺(木纹颜色可选，纹理清晰)。</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3、表面环氧树脂静电粉末喷涂，光滑、平整，不易损伤，具有环保、抑菌、防锈、耐腐蚀、绝缘性高、附着力强、耐摩擦等技术特点。</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候诊椅（儿童类）</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规格：1500*500*450mm（可根据实际需求情况调整）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1、玻璃钢</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患者椅</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规格：400*400*420-560mm（可根据实际需求情况调整）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1、座垫采用PU发泡。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气压棒：国标气压棒。耐腐蚀100h内，观察在溶液中样板上划道两侧3mm以外，应无鼓泡产生。100h后，检查划道两侧3mm以外，应无锈迹、剥落、起皱、变色和失光等现象；中性盐雾试验（NSS）和乙酸盐雾（ASS）：试验时间：100h,无锈点，评级：涂层对基体金属的防蚀能力10级，涂层本身的耐蚀能力10级。</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患者椅（木质）</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规格：400*400*450mm（可根据实际需求情况调整）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1、采用环保实木，具有硬度高，密度大，承受力强，选材无结疤，腐朽等现象。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2、漆面：采用环保型水性漆，四底两面，开放式涂装效果；无毒无刺激气味，对人体无害，不污染环境。</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▲水性漆检测依据：GB/T 35602-2017《绿色产品评价 涂料》；检测内容或结果满足：挥发性有机化合物（VOC）含量：未检出；甲醛含量（乙酰丙酮法）：未检出；挥发性芳香烃含量：未检出；乙二醇醚及其酯含量：乙二醇醚（乙二醇丁醚、乙二醇己醚、乙二醇苯醚、二乙二醇丁醚）、乙二醇醚酯（乙二醇丁醚醋酸酯、二乙二醇丁醚醋酸酯）均未检出；N-甲基吡咯烷酮（NMP）含量：未检出；N,N-二甲基甲酰胺（DMF）含量：未检出；重金属元素含量：铅、镉、六价铬、汞、砷、钡、硒、锑、钴均未检出。</w:t>
            </w:r>
          </w:p>
          <w:p>
            <w:pPr>
              <w:keepNext w:val="0"/>
              <w:keepLines w:val="0"/>
              <w:widowControl/>
              <w:suppressLineNumbers w:val="0"/>
              <w:jc w:val="both"/>
              <w:textAlignment w:val="center"/>
              <w:rPr>
                <w:rFonts w:hint="eastAsia" w:ascii="宋体" w:hAnsi="宋体" w:eastAsia="宋体" w:cs="宋体"/>
                <w:i w:val="0"/>
                <w:iCs w:val="0"/>
                <w:color w:val="FF0000"/>
                <w:sz w:val="21"/>
                <w:szCs w:val="21"/>
                <w:highlight w:val="none"/>
                <w:u w:val="none"/>
              </w:rPr>
            </w:pPr>
            <w:r>
              <w:rPr>
                <w:rFonts w:hint="eastAsia"/>
                <w:b/>
                <w:bCs/>
                <w:color w:val="FF0000"/>
                <w:sz w:val="22"/>
                <w:szCs w:val="22"/>
                <w:highlight w:val="none"/>
              </w:rPr>
              <w:t>【</w:t>
            </w: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rPr>
            </w:pP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rPr>
            </w:pPr>
          </w:p>
        </w:tc>
        <w:tc>
          <w:tcPr>
            <w:tcW w:w="1128" w:type="pct"/>
            <w:tcBorders>
              <w:tl2br w:val="nil"/>
              <w:tr2bl w:val="nil"/>
            </w:tcBorders>
            <w:vAlign w:val="center"/>
          </w:tcPr>
          <w:p>
            <w:pPr>
              <w:keepNext w:val="0"/>
              <w:keepLines w:val="0"/>
              <w:widowControl/>
              <w:suppressLineNumbers w:val="0"/>
              <w:jc w:val="both"/>
              <w:textAlignment w:val="center"/>
              <w:rPr>
                <w:rFonts w:hint="eastAsia"/>
                <w:b/>
                <w:bCs/>
                <w:color w:val="FF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会议椅</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1、椅背：黑色PP背框</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2、椅座：高回弹中软切割海绵</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3、扶手：PP连体固定扶手</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4、椅脚：Φ25mm管/1.8mm壁厚黑色烤漆弓形架</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会议桌</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规格：1200*400*750mm（可根据实际需求情况调整）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1、基材：采用E0级刨花板基材，经过防潮、防虫、防腐化学处理。</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2、贴面材料：采用三聚氰胺饰面纸。</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3、封边：封边与贴面同色。</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4、脚架：钢制脚架，金属表面抑菌粉末静电喷涂。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5、五金件：选用连接件，缓冲铰链，喷涂层无漏喷，锈蚀，涂层光滑均匀，色泽一致，无流挂、疙瘩、皱皮、飞漆。</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计免接种台</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规格：1400*600*850mm（可根据实际需求情况调整）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1、贴面板材：三聚氰胺纸</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2、基材：采用E0级刨花板。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3、桌角弧形角，桌面开洞口 下面放垃圾桶和垫高底座，带抽屉，和放主机区域。</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母婴床</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规格：1500*500*450mm（可根据实际需求情况调整）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基材：实木框架、陪床垫</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母婴沙发</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单人位</w:t>
            </w:r>
            <w:r>
              <w:rPr>
                <w:rFonts w:hint="eastAsia" w:ascii="宋体" w:hAnsi="宋体" w:eastAsia="宋体" w:cs="宋体"/>
                <w:i w:val="0"/>
                <w:iCs w:val="0"/>
                <w:color w:val="auto"/>
                <w:kern w:val="0"/>
                <w:sz w:val="21"/>
                <w:szCs w:val="21"/>
                <w:highlight w:val="none"/>
                <w:u w:val="none"/>
                <w:lang w:val="en-US" w:eastAsia="zh-CN" w:bidi="ar"/>
              </w:rPr>
              <w:t>（可根据实际需求情况调整）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1、面料：环保布艺，无甲醛含量，无异味，无可分解致癌芳香胺染料未检出。</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2、海绵：高弹阻燃海绵。</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3、框架：实木板，具有硬度高，密度大，承受力强，选材无结疤，腐朽等现象。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圆桌</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规格：直径700*750mm（可根据实际需求情况调整）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婴儿护理台</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1.全新环保PP材质。</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沙发</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规格：单人位</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1、面料：环保布艺，无甲醛含量，无异味，无可分解致癌芳香胺染料未检出。</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海绵：高弹阻燃海绵。海绵的40%压陷硬度偏差±2N内；65%/25%压陷比≥3%，75%压缩永久变形≤8%，回弹率≥50%，拉伸强度≥131kpa，断裂伸长率≥106%，撕裂强度≥3N/cm，湿热老化后拉伸强度≥123kpa，湿热老化后拉伸强度变化率±10%，干热老化后拉伸强度≥130KPa，干热老化后拉伸强度变化率±2%，灰分≤0.6%，甲醛散发未检出，燃烧性能检测符合，表观密度≥48kg/m³，需符合检验依据：GB/T 10802-2023标准。</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3、框架：实木板，具有硬度高，密度大，承受力强，选材无结疤，腐朽等现象。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双人更衣柜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规格：600*500*1800mm（可根据实际需求情况调整）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1、采用电解钢板，厚度≥0.8mm。</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2、表面环氧树脂静电粉末喷涂。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3、五金：采用环保阻尼铰链、防锈易消毒型拉手及锁具等五金配件，开合次数超过5万次。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塑料凳</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pp材质</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规格：900*450*1800mm（可根据实际需求情况调整）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2、分上下掩门结构，上掩门为透明钢化玻璃(增加钢化玻璃标准)，柜内配2块活动层板，下掩门柜内配1块活动层板。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5、五金：采用国标阻尼导轨、拉手及锁具等五金配件，开合次数超过5万次。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widowControl/>
              <w:textAlignment w:val="center"/>
              <w:rPr>
                <w:rFonts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w:t>
            </w:r>
            <w:r>
              <w:rPr>
                <w:rFonts w:hint="eastAsia" w:ascii="宋体" w:hAnsi="宋体" w:cs="宋体"/>
                <w:b/>
                <w:color w:val="FF0000"/>
                <w:kern w:val="0"/>
                <w:szCs w:val="21"/>
                <w:highlight w:val="none"/>
                <w:lang w:val="en-US" w:eastAsia="zh-CN" w:bidi="ar"/>
              </w:rPr>
              <w:t>饰面</w:t>
            </w:r>
            <w:r>
              <w:rPr>
                <w:rFonts w:hint="eastAsia" w:ascii="宋体" w:hAnsi="宋体" w:cs="宋体"/>
                <w:b/>
                <w:color w:val="FF0000"/>
                <w:kern w:val="0"/>
                <w:szCs w:val="21"/>
                <w:highlight w:val="none"/>
                <w:lang w:bidi="ar"/>
              </w:rPr>
              <w:t>刨花板检测依据：GB/T 39600-2021《人造板及其制品甲醛释放量分级》、GB/T 15102-2017《浸渍胶膜纸饰面纤维板和刨花板》、GB/T 17657-2022《人造板及饰面人造板理化性能试验方法》、GB/T 39934-2021《家具中挥发性有机化合物的筛查检测方法 气相色谱-质谱法》、GB/T 36022-2018《木家具中氨释放量试验方法》、LY/T 1985-2011《防腐木材和人造板中五氯苯酚含量的测定方法》；检测内容或结果满足：甲醛释放量：≤0.05mg/m3，符合E0级或ENF级的标准要求；握螺钉力：板面≥1200N，板边≥800N；表面耐磨：磨耗值≤45mg/100r，表面情况检测符合标准要求；静曲强度：≥10MPa；弹性模量：≥2200MPa；内结合强度：≥0.4MPa；表面胶合强度：≥1.2MPa；2h吸水厚度膨胀率：≤2%；；表面耐划痕：≥1.5N表面无大于90%的连续划痕，检测符合或合格；表面耐香烟灼烧：达到5级（5级最优）；表面耐干热：达到5级（5级最优）；表面耐污染腐蚀：达到5级（5级最优）；表面耐冷热循环：无裂纹、鼓泡、变色、起皱等，检测符合或合格；表面耐龟裂：达到5级（5级最优）；表面耐水蒸气：达到5级（5级最优）；耐光色牢度：≥4级；苯乙烯：未检出；三氯乙烯：未检出；四氯乙烯：未检出；氨释放量：未检出；五氯苯酚：未检出。</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b/>
                <w:color w:val="FF0000"/>
                <w:kern w:val="0"/>
                <w:szCs w:val="21"/>
                <w:highlight w:val="none"/>
                <w:lang w:bidi="ar"/>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依据和参数的全部内容；②受检单位（或委托单位）为投标人或产品制造商）。</w:t>
            </w:r>
            <w:r>
              <w:rPr>
                <w:rFonts w:ascii="宋体" w:hAnsi="宋体" w:cs="宋体"/>
                <w:b/>
                <w:color w:val="FF0000"/>
                <w:kern w:val="0"/>
                <w:szCs w:val="21"/>
                <w:highlight w:val="none"/>
                <w:lang w:bidi="ar"/>
              </w:rPr>
              <w:t>】</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cs="宋体"/>
                <w:b/>
                <w:color w:val="FF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pStyle w:val="2"/>
              <w:widowControl/>
              <w:textAlignment w:val="center"/>
              <w:rPr>
                <w:rFonts w:hint="eastAsia" w:ascii="宋体" w:hAnsi="宋体" w:cs="宋体"/>
                <w:b/>
                <w:color w:val="FF0000"/>
                <w:kern w:val="0"/>
                <w:szCs w:val="21"/>
                <w:highlight w:val="none"/>
                <w:lang w:bidi="ar"/>
              </w:rPr>
            </w:pPr>
            <w:r>
              <w:rPr>
                <w:rFonts w:hint="eastAsia" w:ascii="宋体" w:hAnsi="宋体" w:cs="宋体"/>
                <w:b/>
                <w:color w:val="FF0000"/>
                <w:kern w:val="0"/>
                <w:szCs w:val="21"/>
                <w:highlight w:val="none"/>
                <w:lang w:bidi="ar"/>
              </w:rPr>
              <w:t>▲封边条检测依据：QB/T 4463-2013《家具用封边条技术要求》；检测内容或结果满足：耐干热性：应无龟裂、无鼓泡，检测符合或合格；耐磨性：磨30r后应无露底现象，检测符合或合格；耐开裂：达到1级（1级最好，5级最差）；耐冷热循环性：应无龟裂、无鼓泡、无变色、无起皱，检测符合或合格；甲醛释放量：未检出；多溴联苯：未检出；多溴联苯醚：未检出；有害物质限量：可迁移元素（可溶性重金属）钡、铅、镉、锑、硒、汞、砷、铬均未检出；邻苯二甲酸酯（DBP、BBP、DEHP、DNOP、DINP和DIDP的总量）未检出。</w:t>
            </w:r>
          </w:p>
          <w:p>
            <w:pPr>
              <w:pStyle w:val="2"/>
              <w:keepNext w:val="0"/>
              <w:keepLines w:val="0"/>
              <w:widowControl/>
              <w:suppressLineNumbers w:val="0"/>
              <w:jc w:val="both"/>
              <w:textAlignment w:val="center"/>
              <w:rPr>
                <w:rFonts w:hint="eastAsia" w:ascii="宋体" w:hAnsi="宋体" w:cs="宋体"/>
                <w:b/>
                <w:color w:val="FF0000"/>
                <w:kern w:val="0"/>
                <w:szCs w:val="21"/>
                <w:highlight w:val="none"/>
                <w:lang w:bidi="ar"/>
              </w:rPr>
            </w:pPr>
            <w:r>
              <w:rPr>
                <w:rFonts w:hint="eastAsia"/>
                <w:b/>
                <w:bCs/>
                <w:color w:val="FF0000"/>
                <w:sz w:val="22"/>
                <w:szCs w:val="22"/>
                <w:highlight w:val="none"/>
                <w:lang w:eastAsia="zh-CN"/>
              </w:rPr>
              <w:t>【</w:t>
            </w:r>
            <w:r>
              <w:rPr>
                <w:rFonts w:hint="eastAsia"/>
                <w:b/>
                <w:bCs/>
                <w:color w:val="FF0000"/>
                <w:sz w:val="22"/>
                <w:szCs w:val="22"/>
                <w:highlight w:val="none"/>
                <w:lang w:val="en-US" w:eastAsia="zh-CN"/>
              </w:rPr>
              <w:t>投标人承诺在中标后提供2024年1月1日起符合以上要求的第三方检测机构在资质认定证书的能力范围内出具的具有CMA标识的检测报告扫描件，投标时提供承诺函（格式自拟）】中标供应商验收时须提供，作为验收条件的一部分）</w:t>
            </w:r>
          </w:p>
        </w:tc>
        <w:tc>
          <w:tcPr>
            <w:tcW w:w="1128" w:type="pct"/>
            <w:tcBorders>
              <w:tl2br w:val="nil"/>
              <w:tr2bl w:val="nil"/>
            </w:tcBorders>
            <w:vAlign w:val="center"/>
          </w:tcPr>
          <w:p>
            <w:pPr>
              <w:pStyle w:val="2"/>
              <w:keepNext w:val="0"/>
              <w:keepLines w:val="0"/>
              <w:widowControl/>
              <w:suppressLineNumbers w:val="0"/>
              <w:jc w:val="both"/>
              <w:textAlignment w:val="center"/>
              <w:rPr>
                <w:rFonts w:hint="eastAsia"/>
                <w:b/>
                <w:bCs/>
                <w:color w:val="FF0000"/>
                <w:sz w:val="22"/>
                <w:szCs w:val="22"/>
                <w:highlight w:val="none"/>
                <w:lang w:eastAsia="zh-CN"/>
              </w:rPr>
            </w:pPr>
          </w:p>
        </w:tc>
        <w:tc>
          <w:tcPr>
            <w:tcW w:w="1128" w:type="pct"/>
            <w:tcBorders>
              <w:tl2br w:val="nil"/>
              <w:tr2bl w:val="nil"/>
            </w:tcBorders>
            <w:vAlign w:val="center"/>
          </w:tcPr>
          <w:p>
            <w:pPr>
              <w:pStyle w:val="2"/>
              <w:keepNext w:val="0"/>
              <w:keepLines w:val="0"/>
              <w:widowControl/>
              <w:suppressLineNumbers w:val="0"/>
              <w:jc w:val="both"/>
              <w:textAlignment w:val="center"/>
              <w:rPr>
                <w:rFonts w:hint="eastAsia"/>
                <w:b/>
                <w:bCs/>
                <w:color w:val="FF0000"/>
                <w:sz w:val="22"/>
                <w:szCs w:val="22"/>
                <w:highlight w:val="none"/>
                <w:lang w:eastAsia="zh-CN"/>
              </w:rPr>
            </w:pPr>
          </w:p>
        </w:tc>
        <w:tc>
          <w:tcPr>
            <w:tcW w:w="1128" w:type="pct"/>
            <w:tcBorders>
              <w:tl2br w:val="nil"/>
              <w:tr2bl w:val="nil"/>
            </w:tcBorders>
            <w:vAlign w:val="center"/>
          </w:tcPr>
          <w:p>
            <w:pPr>
              <w:pStyle w:val="2"/>
              <w:keepNext w:val="0"/>
              <w:keepLines w:val="0"/>
              <w:widowControl/>
              <w:suppressLineNumbers w:val="0"/>
              <w:jc w:val="both"/>
              <w:textAlignment w:val="center"/>
              <w:rPr>
                <w:rFonts w:hint="eastAsia"/>
                <w:b/>
                <w:bCs/>
                <w:color w:val="FF000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无菌柜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规格：900*450*1800mm（可根据实际需求情况调整）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采用304不锈钢经压折、焊接、抛光打磨而成，没有外露点；钢板厚度≥1.0mm金属喷漆（塑）涂层硬度≥5H；耐腐蚀100h内无鼓泡产生，100h后无锈迹、剥落、起皱、变色和失光等现象；大肠杆菌、金黄色葡萄球菌、肺炎克雷伯氏菌、宋氏志贺氏菌、粘质沙雷氏菌、鲍曼不动杆菌、白色葡萄球菌、白色念珠菌、鼠伤寒沙门氏菌、铜绿假单胞菌抑菌率≥99%；化学成分（质量分数）碳≤0.05、硅≤0.5、锰≤1、磷≤0.04、硫≤0.01；规定塑性延伸强度≥300MPa；抗拉强度≥600MPa；断后伸长率≥50%；乙酸盐雾试验（ASS）连续喷雾≥200h，镀（涂）层本身耐腐蚀等级和镀（涂）层对基体保护等级达到10级；中性盐雾试验（NSS）连续喷雾≥200h，镀（涂）层本身耐腐蚀等级和镀（涂）层对基体保护等级达到10级，需符合检验依据：</w:t>
            </w:r>
            <w:r>
              <w:rPr>
                <w:rFonts w:hint="eastAsia"/>
                <w:highlight w:val="none"/>
              </w:rPr>
              <w:t>GB/T 3325-2024</w:t>
            </w:r>
            <w:r>
              <w:rPr>
                <w:rFonts w:hint="eastAsia" w:ascii="宋体" w:hAnsi="宋体" w:eastAsia="宋体" w:cs="宋体"/>
                <w:i w:val="0"/>
                <w:iCs w:val="0"/>
                <w:color w:val="000000"/>
                <w:kern w:val="0"/>
                <w:sz w:val="21"/>
                <w:szCs w:val="21"/>
                <w:highlight w:val="none"/>
                <w:u w:val="none"/>
                <w:lang w:val="en-US" w:eastAsia="zh-CN" w:bidi="ar"/>
              </w:rPr>
              <w:t>、QB/T 3826-1999、QB/T 3827-1999、QB/T 4371-2012、GB/T 3280-2015 标准。</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2、活动层板，层板底部需有加强筋，柜内层板可自由调节高度，层板支撑扣，搭配透明钢化玻璃，关门静音。</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3、五金：阻尼铰链、锁具等五金配件。（根据采购人需求进行深化设计）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鞋柜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规格：900*450*450mm（可根据实际需求情况调整）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双面电解钢板，主体钢板厚度≥1.0mm。电解钢板：乙酸盐雾试验：对样品进行≥200h乙酸盐雾试验（ASS），试验后，保护等级、耐蚀等级均达到10级；中性盐雾试验对样品进行≥200h中性盐雾试验（NSS），保护等级、耐蚀等级均达到10级；家具涂层可迁移元素:铅（Pb）未检出，镉（Cd）未检出， 铬（Cr）未检出，汞（Hg）未检出，砷（As）未检出，锑（Sb）未检出，钡（Ba）未检出，硒（Se）未检出。</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2、表面采用静电抗菌粉末喷涂处理，具有环保、抑菌、防锈、耐腐蚀、绝缘性高、附着力强、耐摩擦等技术特点。</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3、软包坐垫，表面敷医用超纤皮，内衬实木多层板。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医生椅</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1、椅背：PP背框+特网面料</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2、椅座：切割绵+弹力座布</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3、扶手：固定扶手</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4、底盘：原位锁定底盘</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5、气杆：行程100mm沉口40mm三级气杆</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6、椅脚：340黑色PA五星脚</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7、椅轮：60/25黑色PA轮</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医生椅（木质）</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规格：580*490*960mm（可根据实际需求情况调整）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1、采用环保实木，具有硬度高，密度大，承受力强，选材无结疤，腐朽等现象，带坐垫。</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2、漆面：采用环保型水性漆，四底两面，开放式涂装效果；无毒无刺激气味，对人体无害，不污染环境。</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医生诊桌</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规格：1400*1400*750mm（可根据实际需求情况调整）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饰面多层实木板甲醛释放量≤0.05mg/m³，符合E0级或ENF级标准要求。含水率：6~10%；表面耐磨：磨耗值≤45mg/100r，表面情况符合标准要求；胶合强度：≥0.7MPa；表面胶合强度：≥1.3MPa；表面耐划痕：≥1.5N表面无大于90%的连续划痕，检测符合标准；表面耐香烟灼烧：达到5级；表面耐干热：达到5级；表面耐污染腐蚀：达到5级；表面耐冷热循环：无裂纹、鼓泡、变色、起皱等，检测符合标准要求；表面耐龟裂：达到5级；表面耐水蒸气：达到5级；耐光色牢度：≥4级；苯乙烯：未检出；三氯乙烯：未检出；四氯乙烯：未检出；氨释放量：未检出；五氯苯酚：未检出。</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 表面环氧树脂静电粉末喷涂。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5、边柜：带主机空格、可选择抽屉或掩门。</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33</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办公桌</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规格：1400*600*750mm（可根据实际需求情况调整）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 表面环氧树脂静电粉末喷涂。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5、边柜：带主机空格、可选择抽屉或掩门。</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椅子</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规格：400*400*420-560mm（可根据实际需求情况调整）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1、座垫采用PU发泡。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气压棒：国标气压棒。耐腐蚀：100h内，观察在溶液中样板上划道两侧3mm以外，应无鼓泡产生。100h后，检查划道两侧3mm以外，应无锈迹、剥落、起皱、变色和失光等现象；中性盐雾试验（NSS）和乙酸盐雾（ASS）：试验时间：100h,无锈点，评级：涂层对基体金属的防蚀能力10级，涂层本身的耐蚀能力10级；</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长桌</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规格：1800*600*750mm（可根据实际需求情况调整）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4、脚架：钢制脚架，壁厚≥1.0mm，表面粉末静电喷涂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诊疗床</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规格：1900*650*650mm（可根据实际需求情况调整）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1、床垫 高密度弹力海绵+环保超纤皮</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2、床架 钢脚，壁厚≥1.0mm，表面环氧树脂静电粉末喷涂，光滑、平整，不易损伤，具有环保、抑菌、防锈、耐腐蚀、绝缘性高、附着力强、耐摩擦等技术特点。粉末涂料：附着力（干附着力）：达到0级；耐酸性[3%（质量分数）盐酸溶液]：≥200h无异常；耐碱性[5%（质量分数）氢氧化钠溶液]：≥168h无异常；铅笔硬度（内聚破坏中擦伤）：≥5H；抗细菌性能：大肠杆菌抗细菌率≥99%，金黄色葡萄球菌抗细菌率≥99%。检测依据：HG/T 2006-2022《热固性和热塑性粉末涂料》、HG/T 3950-2007《抗菌涂料》。</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诊疗床（儿童）</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规格：1200*700*850mm（可根据实际需求情况调整）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1、床垫 高密度弹力海绵+环保超纤皮</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2、床架 钢脚，壁厚≥1.0mm，表面环氧树脂静电粉末喷涂，光滑、平整，不易损伤，具有环保、抑菌、防锈、耐腐蚀、绝缘性高、附着力强、耐摩擦等技术特点。</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治疗用圆凳</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规格：400*400*420-560mm（可根据实际需求情况调整）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1、座垫采用PU发泡。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2、气压棒：国标气压棒。</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置物桌</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规格：1200*600*750mm（可根据实际需求情况调整）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中医候诊椅</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规格：常规</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1、框架：采用环保实木，采用榫卯结构工艺；具有硬度高，密度大，承受力强，选材无结疤，腐朽等现象。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3、漆面：环保型水性漆，四底两面，开放式涂装效果；无毒无刺激气味，对人体无害，不污染环境。</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4、含坐垫</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中医文件柜</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规格：900*450*1800mm（可根据实际需求情况调整）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1、基材：采用环保EO级以上浸渍胶膜纸饰面多层实木板。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2、分上下掩门结构，上掩门为透明钢化玻璃(增加钢化玻璃标准)，柜内配2块活动层板，下掩门柜内配1块活动层板。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3、封边：环保PVC 封边条。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5、五金：采用国标阻尼导轨、拉手及锁具等五金配件，开合次数超过5万次。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中医诊桌</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规格：1400*700*750mm（可根据实际需求情况调整）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1、框架：采用环保实木，采用榫卯结构工艺；具有硬度高，密度大，承受力强，选材无结疤，腐朽等现象。</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3、漆面：环保型水性漆，四底两面，开放式涂装效果；无毒无刺激气味，对人体无害，不污染环境。</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注射凳</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规格：460*510*580mm（可根据实际需求情况调整）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center"/>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框架：实木板，具有硬度高，密度大</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88" w:type="pct"/>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长桌1</w:t>
            </w: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规格：1200*600*750mm（可根据实际需求情况调整）</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1、基材：环保EO级以上浸渍胶膜纸饰面多层实木板。</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197"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2、封边：环保PVC 封边条。 封边条：耐干热性：应无龟裂、无鼓泡，检测符合或合格；耐磨性：磨30r后应无露底现象，检测符合或合格；耐开裂：达到1级（1级最好，5级最差）；耐冷热循环性：应无龟裂、无鼓泡、无变色、无起皱，检测符合或合格；甲醛释放量：未检出；多溴联苯：未检出；多溴联苯醚：未检出；有害物质限量：可迁移元素（可溶性重金属）钡、铅、镉、锑、硒、汞、砷、铬均未检出；邻苯二甲酸酯（DBP、BBP、DEHP、DNOP、DINP和DIDP的总量）未检出。</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7"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3、胶粘剂：环保胶粘剂。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288" w:type="pct"/>
            <w:vMerge w:val="continue"/>
            <w:tcBorders>
              <w:tl2br w:val="nil"/>
              <w:tr2bl w:val="nil"/>
            </w:tcBorders>
            <w:vAlign w:val="center"/>
          </w:tcPr>
          <w:p>
            <w:pPr>
              <w:jc w:val="both"/>
              <w:rPr>
                <w:rFonts w:hint="eastAsia" w:ascii="宋体" w:hAnsi="宋体" w:eastAsia="宋体" w:cs="宋体"/>
                <w:i w:val="0"/>
                <w:iCs w:val="0"/>
                <w:color w:val="000000"/>
                <w:sz w:val="21"/>
                <w:szCs w:val="21"/>
                <w:highlight w:val="none"/>
                <w:u w:val="none"/>
              </w:rPr>
            </w:pPr>
          </w:p>
        </w:tc>
        <w:tc>
          <w:tcPr>
            <w:tcW w:w="1127"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4、脚架：钢制脚架，壁厚≥1.0mm，表面粉末静电喷涂</w:t>
            </w: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28"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bl>
    <w:p>
      <w:pPr>
        <w:pStyle w:val="2"/>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4" w:name="_Hlk72095977"/>
      <w:r>
        <w:rPr>
          <w:rFonts w:hint="eastAsia"/>
          <w:sz w:val="21"/>
          <w:szCs w:val="21"/>
        </w:rPr>
        <w:t>证明资料【如有的话，提供的证明资料应统一编号（排序），格式自定】</w:t>
      </w:r>
      <w:bookmarkEnd w:id="74"/>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5" w:name="_Hlk72094407"/>
      <w:r>
        <w:rPr>
          <w:rFonts w:hint="eastAsia"/>
          <w:b w:val="0"/>
          <w:bCs/>
          <w:sz w:val="21"/>
          <w:szCs w:val="21"/>
        </w:rPr>
        <w:t>对应“用户需求书”中的“技术要求”章节</w:t>
      </w:r>
      <w:bookmarkEnd w:id="75"/>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6" w:name="_Hlk72158270"/>
      <w:r>
        <w:rPr>
          <w:rFonts w:hint="eastAsia"/>
          <w:b w:val="0"/>
          <w:bCs/>
          <w:sz w:val="21"/>
          <w:szCs w:val="21"/>
        </w:rPr>
        <w:t>“偏离情况”</w:t>
      </w:r>
      <w:bookmarkEnd w:id="76"/>
      <w:r>
        <w:rPr>
          <w:rFonts w:hint="eastAsia"/>
          <w:b w:val="0"/>
          <w:bCs/>
          <w:sz w:val="21"/>
          <w:szCs w:val="21"/>
        </w:rPr>
        <w:t>一栏填写如实填写“正偏离”、“负偏离”或“无偏离”，其中：</w:t>
      </w:r>
      <w:bookmarkStart w:id="77" w:name="_Hlk72093866"/>
      <w:r>
        <w:rPr>
          <w:rFonts w:hint="eastAsia"/>
          <w:b w:val="0"/>
          <w:bCs/>
          <w:sz w:val="21"/>
          <w:szCs w:val="21"/>
        </w:rPr>
        <w:t>“正偏离”表示“投标响应优于招标技术要求”，“负偏离”表示“投标响应不满足招标技术要求”，“无偏离”表示“投标响应与招标技术要求一致”</w:t>
      </w:r>
      <w:bookmarkEnd w:id="77"/>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8" w:name="_Hlk72096106"/>
      <w:r>
        <w:rPr>
          <w:rFonts w:hint="eastAsia"/>
          <w:b w:val="0"/>
          <w:bCs/>
          <w:sz w:val="21"/>
          <w:szCs w:val="21"/>
        </w:rPr>
        <w:t>证明资料条款响应要求</w:t>
      </w:r>
      <w:bookmarkEnd w:id="78"/>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9"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80" w:name="_Hlk73558164"/>
      <w:r>
        <w:rPr>
          <w:rFonts w:hint="eastAsia"/>
          <w:b w:val="0"/>
          <w:bCs/>
          <w:sz w:val="21"/>
          <w:szCs w:val="21"/>
        </w:rPr>
        <w:t>且投标人在“偏离情况”一栏响应为“正偏离”或“无偏离”的，经评审委员会认定，将判定为负偏离。</w:t>
      </w:r>
      <w:bookmarkEnd w:id="79"/>
      <w:bookmarkEnd w:id="80"/>
    </w:p>
    <w:p>
      <w:pPr>
        <w:ind w:firstLine="420" w:firstLineChars="200"/>
        <w:rPr>
          <w:b w:val="0"/>
          <w:bCs/>
          <w:sz w:val="21"/>
          <w:szCs w:val="21"/>
        </w:rPr>
      </w:pPr>
      <w:r>
        <w:rPr>
          <w:rFonts w:hint="eastAsia"/>
          <w:b w:val="0"/>
          <w:bCs/>
          <w:sz w:val="21"/>
          <w:szCs w:val="21"/>
        </w:rPr>
        <w:t>6、</w:t>
      </w:r>
      <w:bookmarkStart w:id="81" w:name="_Hlk72096137"/>
      <w:r>
        <w:rPr>
          <w:rFonts w:hint="eastAsia"/>
          <w:b w:val="0"/>
          <w:bCs/>
          <w:sz w:val="21"/>
          <w:szCs w:val="21"/>
        </w:rPr>
        <w:t>表后“证明资料”部分内容的编制</w:t>
      </w:r>
      <w:bookmarkEnd w:id="81"/>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2" w:name="_Hlk73558180"/>
      <w:r>
        <w:rPr>
          <w:rFonts w:hint="eastAsia"/>
          <w:b w:val="0"/>
          <w:bCs/>
          <w:sz w:val="21"/>
          <w:szCs w:val="21"/>
        </w:rPr>
        <w:t>未按照招标文件要求在表后放置证明材料的供应商将承担不利后果，经评审委员会认定，相关技术要求将判定为负偏离。</w:t>
      </w:r>
      <w:bookmarkEnd w:id="82"/>
    </w:p>
    <w:p>
      <w:pPr>
        <w:ind w:firstLine="420" w:firstLineChars="200"/>
        <w:rPr>
          <w:b w:val="0"/>
          <w:bCs/>
          <w:sz w:val="21"/>
          <w:szCs w:val="21"/>
        </w:rPr>
      </w:pPr>
      <w:r>
        <w:rPr>
          <w:rFonts w:hint="eastAsia"/>
          <w:b w:val="0"/>
          <w:bCs/>
          <w:sz w:val="21"/>
          <w:szCs w:val="21"/>
        </w:rPr>
        <w:t>7、</w:t>
      </w:r>
      <w:bookmarkStart w:id="83" w:name="_Hlk72096176"/>
      <w:r>
        <w:rPr>
          <w:rFonts w:hint="eastAsia"/>
          <w:b w:val="0"/>
          <w:bCs/>
          <w:sz w:val="21"/>
          <w:szCs w:val="21"/>
        </w:rPr>
        <w:t>证明资料的形式及其它具体要求</w:t>
      </w:r>
      <w:bookmarkEnd w:id="83"/>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4"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4"/>
    </w:p>
    <w:p>
      <w:pPr>
        <w:rPr>
          <w:sz w:val="24"/>
        </w:rPr>
      </w:pPr>
    </w:p>
    <w:p>
      <w:pPr>
        <w:pStyle w:val="4"/>
        <w:jc w:val="center"/>
        <w:rPr>
          <w:rFonts w:hint="eastAsia" w:ascii="黑体" w:hAnsi="宋体" w:eastAsia="黑体"/>
          <w:b w:val="0"/>
          <w:kern w:val="0"/>
          <w:sz w:val="24"/>
          <w:szCs w:val="24"/>
        </w:rPr>
      </w:pPr>
      <w:r>
        <w:rPr>
          <w:rFonts w:hint="eastAsia" w:ascii="黑体" w:hAnsi="宋体" w:eastAsia="黑体"/>
          <w:b w:val="0"/>
          <w:kern w:val="0"/>
          <w:sz w:val="24"/>
          <w:szCs w:val="24"/>
          <w:lang w:val="en-US" w:eastAsia="zh-CN"/>
        </w:rPr>
        <w:t>十、</w:t>
      </w:r>
      <w:r>
        <w:rPr>
          <w:rFonts w:hint="eastAsia" w:ascii="黑体" w:hAnsi="宋体" w:eastAsia="黑体"/>
          <w:b w:val="0"/>
          <w:kern w:val="0"/>
          <w:sz w:val="24"/>
          <w:szCs w:val="24"/>
        </w:rPr>
        <w:t>技术保障措施</w:t>
      </w:r>
    </w:p>
    <w:p>
      <w:pPr>
        <w:pStyle w:val="4"/>
        <w:jc w:val="center"/>
        <w:rPr>
          <w:rFonts w:hint="eastAsia" w:ascii="黑体" w:hAnsi="宋体" w:eastAsia="黑体"/>
          <w:b w:val="0"/>
          <w:kern w:val="0"/>
          <w:sz w:val="24"/>
          <w:szCs w:val="24"/>
        </w:rPr>
      </w:pPr>
      <w:r>
        <w:rPr>
          <w:rFonts w:hint="eastAsia" w:ascii="黑体" w:hAnsi="宋体" w:eastAsia="黑体"/>
          <w:b w:val="0"/>
          <w:kern w:val="0"/>
          <w:sz w:val="24"/>
          <w:szCs w:val="24"/>
          <w:lang w:val="en-US" w:eastAsia="zh-CN"/>
        </w:rPr>
        <w:t>十一、</w:t>
      </w:r>
      <w:r>
        <w:rPr>
          <w:rFonts w:hint="eastAsia" w:ascii="黑体" w:hAnsi="宋体" w:eastAsia="黑体"/>
          <w:b w:val="0"/>
          <w:kern w:val="0"/>
          <w:sz w:val="24"/>
          <w:szCs w:val="24"/>
        </w:rPr>
        <w:t>项目实施方案</w:t>
      </w:r>
    </w:p>
    <w:p>
      <w:pPr>
        <w:pStyle w:val="4"/>
        <w:jc w:val="center"/>
        <w:rPr>
          <w:rFonts w:hint="eastAsia" w:ascii="黑体" w:hAnsi="宋体" w:eastAsia="黑体"/>
          <w:b w:val="0"/>
          <w:kern w:val="0"/>
          <w:sz w:val="24"/>
          <w:szCs w:val="24"/>
        </w:rPr>
      </w:pPr>
      <w:r>
        <w:rPr>
          <w:rFonts w:hint="eastAsia" w:ascii="黑体" w:hAnsi="宋体" w:eastAsia="黑体"/>
          <w:b w:val="0"/>
          <w:kern w:val="0"/>
          <w:sz w:val="24"/>
          <w:szCs w:val="24"/>
          <w:lang w:val="en-US" w:eastAsia="zh-CN"/>
        </w:rPr>
        <w:t>十二、</w:t>
      </w:r>
      <w:r>
        <w:rPr>
          <w:rFonts w:hint="eastAsia" w:ascii="黑体" w:hAnsi="宋体" w:eastAsia="黑体"/>
          <w:b w:val="0"/>
          <w:kern w:val="0"/>
          <w:sz w:val="24"/>
          <w:szCs w:val="24"/>
        </w:rPr>
        <w:t>售后服务方案</w:t>
      </w:r>
    </w:p>
    <w:p>
      <w:pPr>
        <w:pStyle w:val="4"/>
        <w:jc w:val="center"/>
        <w:rPr>
          <w:rFonts w:hint="eastAsia" w:ascii="黑体" w:hAnsi="宋体" w:eastAsia="黑体"/>
          <w:b w:val="0"/>
          <w:kern w:val="0"/>
          <w:sz w:val="24"/>
          <w:szCs w:val="24"/>
        </w:rPr>
      </w:pPr>
      <w:r>
        <w:rPr>
          <w:rFonts w:hint="eastAsia" w:ascii="黑体" w:hAnsi="宋体" w:eastAsia="黑体"/>
          <w:b w:val="0"/>
          <w:kern w:val="0"/>
          <w:sz w:val="24"/>
          <w:szCs w:val="24"/>
          <w:lang w:val="en-US" w:eastAsia="zh-CN"/>
        </w:rPr>
        <w:t>十三、</w:t>
      </w:r>
      <w:r>
        <w:rPr>
          <w:rFonts w:hint="eastAsia" w:ascii="黑体" w:hAnsi="宋体" w:eastAsia="黑体"/>
          <w:b w:val="0"/>
          <w:kern w:val="0"/>
          <w:sz w:val="24"/>
          <w:szCs w:val="24"/>
        </w:rPr>
        <w:t>效果图情况</w:t>
      </w:r>
    </w:p>
    <w:p>
      <w:pPr>
        <w:pStyle w:val="4"/>
        <w:jc w:val="center"/>
        <w:rPr>
          <w:rFonts w:hint="eastAsia" w:ascii="黑体" w:hAnsi="宋体" w:eastAsia="黑体"/>
          <w:b w:val="0"/>
          <w:kern w:val="0"/>
          <w:sz w:val="24"/>
          <w:szCs w:val="24"/>
        </w:rPr>
      </w:pPr>
      <w:r>
        <w:rPr>
          <w:rFonts w:hint="eastAsia" w:ascii="黑体" w:hAnsi="宋体" w:eastAsia="黑体"/>
          <w:b w:val="0"/>
          <w:kern w:val="0"/>
          <w:sz w:val="24"/>
          <w:szCs w:val="24"/>
          <w:lang w:val="en-US" w:eastAsia="zh-CN"/>
        </w:rPr>
        <w:t>十四、</w:t>
      </w:r>
      <w:r>
        <w:rPr>
          <w:rFonts w:hint="eastAsia" w:ascii="黑体" w:hAnsi="宋体" w:eastAsia="黑体"/>
          <w:b w:val="0"/>
          <w:kern w:val="0"/>
          <w:sz w:val="24"/>
          <w:szCs w:val="24"/>
        </w:rPr>
        <w:t>节能环保情况</w:t>
      </w:r>
    </w:p>
    <w:p>
      <w:pPr>
        <w:pStyle w:val="4"/>
        <w:jc w:val="center"/>
        <w:rPr>
          <w:rFonts w:hint="eastAsia" w:ascii="黑体" w:hAnsi="宋体" w:eastAsia="黑体"/>
          <w:b w:val="0"/>
          <w:kern w:val="0"/>
          <w:sz w:val="24"/>
          <w:szCs w:val="24"/>
        </w:rPr>
      </w:pPr>
      <w:r>
        <w:rPr>
          <w:rFonts w:hint="eastAsia" w:ascii="黑体" w:hAnsi="宋体" w:eastAsia="黑体"/>
          <w:b w:val="0"/>
          <w:kern w:val="0"/>
          <w:sz w:val="24"/>
          <w:szCs w:val="24"/>
          <w:lang w:val="en-US" w:eastAsia="zh-CN"/>
        </w:rPr>
        <w:t>十五、</w:t>
      </w:r>
      <w:r>
        <w:rPr>
          <w:rFonts w:hint="eastAsia" w:ascii="黑体" w:hAnsi="宋体" w:eastAsia="黑体"/>
          <w:b w:val="0"/>
          <w:kern w:val="0"/>
          <w:sz w:val="24"/>
          <w:szCs w:val="24"/>
        </w:rPr>
        <w:t>体系认证情况评价</w:t>
      </w:r>
    </w:p>
    <w:p>
      <w:pPr>
        <w:pStyle w:val="4"/>
        <w:jc w:val="center"/>
        <w:rPr>
          <w:rFonts w:hint="eastAsia" w:ascii="黑体" w:hAnsi="宋体" w:eastAsia="黑体"/>
          <w:b w:val="0"/>
          <w:kern w:val="0"/>
          <w:sz w:val="24"/>
          <w:szCs w:val="24"/>
        </w:rPr>
      </w:pPr>
      <w:r>
        <w:rPr>
          <w:rFonts w:hint="eastAsia" w:ascii="黑体" w:hAnsi="宋体" w:eastAsia="黑体"/>
          <w:b w:val="0"/>
          <w:kern w:val="0"/>
          <w:sz w:val="24"/>
          <w:szCs w:val="24"/>
          <w:lang w:val="en-US" w:eastAsia="zh-CN"/>
        </w:rPr>
        <w:t>十六、</w:t>
      </w:r>
      <w:r>
        <w:rPr>
          <w:rFonts w:hint="eastAsia" w:ascii="黑体" w:hAnsi="宋体" w:eastAsia="黑体"/>
          <w:b w:val="0"/>
          <w:kern w:val="0"/>
          <w:sz w:val="24"/>
          <w:szCs w:val="24"/>
        </w:rPr>
        <w:t>同类业绩</w:t>
      </w:r>
    </w:p>
    <w:p>
      <w:pPr>
        <w:pStyle w:val="4"/>
        <w:jc w:val="center"/>
        <w:rPr>
          <w:rFonts w:hint="eastAsia" w:ascii="黑体" w:hAnsi="宋体" w:eastAsia="黑体"/>
          <w:b w:val="0"/>
          <w:kern w:val="0"/>
          <w:sz w:val="24"/>
          <w:szCs w:val="24"/>
        </w:rPr>
      </w:pPr>
      <w:r>
        <w:rPr>
          <w:rFonts w:hint="eastAsia" w:ascii="黑体" w:hAnsi="宋体" w:eastAsia="黑体"/>
          <w:b w:val="0"/>
          <w:kern w:val="0"/>
          <w:sz w:val="24"/>
          <w:szCs w:val="24"/>
          <w:lang w:val="en-US" w:eastAsia="zh-CN"/>
        </w:rPr>
        <w:t>十七、</w:t>
      </w:r>
      <w:r>
        <w:rPr>
          <w:rFonts w:hint="eastAsia" w:ascii="黑体" w:hAnsi="宋体" w:eastAsia="黑体"/>
          <w:b w:val="0"/>
          <w:kern w:val="0"/>
          <w:sz w:val="24"/>
          <w:szCs w:val="24"/>
        </w:rPr>
        <w:t>诚信情况</w:t>
      </w:r>
    </w:p>
    <w:p>
      <w:pPr>
        <w:pStyle w:val="4"/>
        <w:jc w:val="center"/>
        <w:rPr>
          <w:rFonts w:hint="eastAsia" w:ascii="黑体" w:hAnsi="宋体" w:eastAsia="黑体"/>
          <w:b w:val="0"/>
          <w:kern w:val="0"/>
          <w:sz w:val="24"/>
          <w:szCs w:val="24"/>
        </w:rPr>
      </w:pPr>
      <w:r>
        <w:rPr>
          <w:rFonts w:hint="eastAsia" w:ascii="黑体" w:hAnsi="宋体" w:eastAsia="黑体"/>
          <w:b w:val="0"/>
          <w:kern w:val="0"/>
          <w:sz w:val="24"/>
          <w:szCs w:val="24"/>
          <w:lang w:val="en-US" w:eastAsia="zh-CN"/>
        </w:rPr>
        <w:t>十八、</w:t>
      </w:r>
      <w:r>
        <w:rPr>
          <w:rFonts w:hint="eastAsia" w:ascii="黑体" w:hAnsi="宋体" w:eastAsia="黑体"/>
          <w:b w:val="0"/>
          <w:kern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8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6"/>
      </w:pPr>
      <w:r>
        <w:rPr>
          <w:rFonts w:hint="eastAsia"/>
        </w:rPr>
        <w:t>第五章  合同条款及格式</w:t>
      </w:r>
    </w:p>
    <w:p/>
    <w:p>
      <w:pPr>
        <w:jc w:val="center"/>
        <w:outlineLvl w:val="9"/>
      </w:pPr>
      <w:bookmarkStart w:id="85"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9"/>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5"/>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6"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6"/>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7" w:name="_Toc27624"/>
      <w:r>
        <w:rPr>
          <w:rFonts w:hint="eastAsia" w:ascii="黑体" w:hAnsi="黑体" w:eastAsia="黑体" w:cs="Times New Roman"/>
          <w:b w:val="0"/>
          <w:bCs w:val="0"/>
          <w:kern w:val="2"/>
          <w:sz w:val="28"/>
          <w:szCs w:val="28"/>
          <w:lang w:val="en-US" w:eastAsia="zh-CN" w:bidi="ar-SA"/>
        </w:rPr>
        <w:t>第二节 政府采购合同通用条款</w:t>
      </w:r>
      <w:bookmarkEnd w:id="87"/>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8"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8"/>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9"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9"/>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90" w:name="_Hlk72399513"/>
      <w:r>
        <w:rPr>
          <w:rFonts w:hint="eastAsia" w:ascii="宋体" w:hAnsi="宋体" w:eastAsia="宋体" w:cs="Times New Roman"/>
          <w:b/>
          <w:bCs/>
          <w:kern w:val="0"/>
          <w:sz w:val="28"/>
          <w:szCs w:val="28"/>
          <w:lang w:val="en-US" w:eastAsia="zh-CN" w:bidi="ar-SA"/>
        </w:rPr>
        <w:t>总则</w:t>
      </w:r>
    </w:p>
    <w:bookmarkEnd w:id="90"/>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91" w:name="_Hlk72399729"/>
      <w:r>
        <w:rPr>
          <w:rFonts w:hint="eastAsia" w:ascii="宋体" w:hAnsi="宋体" w:eastAsia="宋体" w:cs="Times New Roman"/>
          <w:szCs w:val="21"/>
        </w:rPr>
        <w:t>如有需要，政府集中采购机构可以对通用条款的内容进行补充。</w:t>
      </w:r>
      <w:bookmarkEnd w:id="91"/>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val="en-US" w:eastAsia="zh-CN"/>
        </w:rPr>
        <w:t>坪山</w:t>
      </w:r>
      <w:r>
        <w:rPr>
          <w:rFonts w:hint="eastAsia" w:ascii="宋体" w:hAnsi="宋体" w:eastAsia="宋体" w:cs="Times New Roman"/>
          <w:b/>
          <w:bCs/>
          <w:color w:val="FF0000"/>
          <w:szCs w:val="21"/>
        </w:rPr>
        <w:t>分公司）</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92"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93"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3"/>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92"/>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4"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4"/>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5"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5"/>
    <w:p>
      <w:pPr>
        <w:rPr>
          <w:rFonts w:ascii="黑体" w:hAnsi="宋体" w:eastAsia="黑体" w:cs="Times New Roman"/>
          <w:sz w:val="24"/>
        </w:rPr>
      </w:pPr>
      <w:r>
        <w:rPr>
          <w:rFonts w:hint="eastAsia" w:ascii="黑体" w:hAnsi="宋体" w:eastAsia="黑体" w:cs="Times New Roman"/>
          <w:sz w:val="24"/>
        </w:rPr>
        <w:t>15．</w:t>
      </w:r>
      <w:bookmarkStart w:id="96"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6"/>
    <w:p>
      <w:pPr>
        <w:rPr>
          <w:rFonts w:ascii="黑体" w:hAnsi="宋体" w:eastAsia="黑体" w:cs="Times New Roman"/>
          <w:sz w:val="24"/>
        </w:rPr>
      </w:pPr>
      <w:r>
        <w:rPr>
          <w:rFonts w:hint="eastAsia" w:ascii="黑体" w:hAnsi="宋体" w:eastAsia="黑体" w:cs="Times New Roman"/>
          <w:sz w:val="24"/>
        </w:rPr>
        <w:t>18．</w:t>
      </w:r>
      <w:bookmarkStart w:id="97"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7"/>
    <w:p>
      <w:pPr>
        <w:rPr>
          <w:rFonts w:ascii="黑体" w:hAnsi="宋体" w:eastAsia="黑体" w:cs="Times New Roman"/>
          <w:sz w:val="24"/>
        </w:rPr>
      </w:pPr>
      <w:r>
        <w:rPr>
          <w:rFonts w:hint="eastAsia" w:ascii="黑体" w:hAnsi="宋体" w:eastAsia="黑体" w:cs="Times New Roman"/>
          <w:sz w:val="24"/>
        </w:rPr>
        <w:t>19．</w:t>
      </w:r>
      <w:bookmarkStart w:id="98"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9"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9"/>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8"/>
    <w:p>
      <w:pPr>
        <w:ind w:firstLine="411" w:firstLineChars="196"/>
        <w:rPr>
          <w:rFonts w:ascii="宋体" w:hAnsi="宋体" w:eastAsia="宋体" w:cs="Times New Roman"/>
          <w:szCs w:val="21"/>
        </w:rPr>
      </w:pPr>
      <w:bookmarkStart w:id="100"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100"/>
    <w:p>
      <w:pPr>
        <w:rPr>
          <w:rFonts w:ascii="黑体" w:hAnsi="宋体" w:eastAsia="黑体" w:cs="Times New Roman"/>
          <w:sz w:val="24"/>
        </w:rPr>
      </w:pPr>
      <w:r>
        <w:rPr>
          <w:rFonts w:hint="eastAsia" w:ascii="黑体" w:hAnsi="宋体" w:eastAsia="黑体" w:cs="Times New Roman"/>
          <w:sz w:val="24"/>
        </w:rPr>
        <w:t>21．</w:t>
      </w:r>
      <w:bookmarkStart w:id="101"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1"/>
    <w:p>
      <w:pPr>
        <w:rPr>
          <w:rFonts w:ascii="黑体" w:hAnsi="宋体" w:eastAsia="黑体" w:cs="Times New Roman"/>
          <w:sz w:val="24"/>
        </w:rPr>
      </w:pPr>
      <w:r>
        <w:rPr>
          <w:rFonts w:hint="eastAsia" w:ascii="黑体" w:hAnsi="宋体" w:eastAsia="黑体" w:cs="Times New Roman"/>
          <w:sz w:val="24"/>
        </w:rPr>
        <w:t>23．</w:t>
      </w:r>
      <w:bookmarkStart w:id="102"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102"/>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103"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11"/>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2"/>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103"/>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4"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4"/>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3"/>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5" w:name="_Hlk72436580"/>
      <w:r>
        <w:rPr>
          <w:rFonts w:hint="eastAsia" w:ascii="宋体" w:hAnsi="宋体" w:eastAsia="宋体" w:cs="Times New Roman"/>
        </w:rPr>
        <w:t>评审委员会由采购人代表和评审专家组成。</w:t>
      </w:r>
      <w:bookmarkEnd w:id="105"/>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val="en-US" w:eastAsia="zh-CN"/>
        </w:rPr>
        <w:t>坪山</w:t>
      </w:r>
      <w:r>
        <w:rPr>
          <w:rFonts w:hint="eastAsia" w:ascii="宋体" w:hAnsi="宋体" w:eastAsia="宋体" w:cs="Times New Roman"/>
          <w:b/>
          <w:bCs/>
          <w:color w:val="FF0000"/>
          <w:szCs w:val="21"/>
        </w:rPr>
        <w:t>分公司）</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6"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6"/>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7" w:name="_Toc100052400"/>
      <w:bookmarkStart w:id="108" w:name="_Toc73517673"/>
      <w:bookmarkStart w:id="109" w:name="_Toc73521581"/>
      <w:bookmarkStart w:id="110" w:name="_Toc73518151"/>
      <w:bookmarkStart w:id="111" w:name="_Toc73521669"/>
      <w:r>
        <w:rPr>
          <w:rFonts w:hint="eastAsia" w:ascii="黑体" w:hAnsi="宋体" w:eastAsia="黑体" w:cs="Times New Roman"/>
          <w:sz w:val="24"/>
        </w:rPr>
        <w:t>34．错误的修正</w:t>
      </w:r>
      <w:bookmarkEnd w:id="107"/>
      <w:bookmarkEnd w:id="108"/>
      <w:bookmarkEnd w:id="109"/>
      <w:bookmarkEnd w:id="110"/>
      <w:bookmarkEnd w:id="111"/>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12"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12"/>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13"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4"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4"/>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5"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6"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5"/>
      <w:bookmarkEnd w:id="116"/>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13"/>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7"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7"/>
      <w:bookmarkStart w:id="118"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8"/>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9"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9"/>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20"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20"/>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21" w:name="_Hlk72439043"/>
      <w:r>
        <w:rPr>
          <w:rFonts w:hint="eastAsia" w:ascii="宋体" w:hAnsi="宋体" w:eastAsia="宋体" w:cs="Times New Roman"/>
          <w:b/>
          <w:bCs/>
          <w:kern w:val="0"/>
          <w:sz w:val="28"/>
          <w:szCs w:val="28"/>
          <w:lang w:val="en-US" w:eastAsia="zh-CN" w:bidi="ar-SA"/>
        </w:rPr>
        <w:t>合同的授予与备案</w:t>
      </w:r>
      <w:bookmarkEnd w:id="121"/>
    </w:p>
    <w:p>
      <w:pPr>
        <w:rPr>
          <w:rFonts w:ascii="黑体" w:hAnsi="宋体" w:eastAsia="黑体" w:cs="Times New Roman"/>
          <w:sz w:val="24"/>
        </w:rPr>
      </w:pPr>
      <w:bookmarkStart w:id="122" w:name="_Toc73521586"/>
      <w:bookmarkStart w:id="123" w:name="_Toc73521674"/>
      <w:bookmarkStart w:id="124" w:name="_Toc73518157"/>
      <w:bookmarkStart w:id="125" w:name="_Toc100052408"/>
      <w:bookmarkStart w:id="126" w:name="_Toc73517679"/>
      <w:bookmarkStart w:id="127" w:name="_Hlk72439088"/>
      <w:r>
        <w:rPr>
          <w:rFonts w:hint="eastAsia" w:ascii="黑体" w:hAnsi="宋体" w:eastAsia="黑体" w:cs="Times New Roman"/>
          <w:sz w:val="24"/>
        </w:rPr>
        <w:t>43．合同授予标准</w:t>
      </w:r>
      <w:bookmarkEnd w:id="122"/>
      <w:bookmarkEnd w:id="123"/>
      <w:bookmarkEnd w:id="124"/>
      <w:bookmarkEnd w:id="125"/>
      <w:bookmarkEnd w:id="126"/>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8" w:name="_Toc73518158"/>
      <w:bookmarkStart w:id="129" w:name="_Toc73521587"/>
      <w:bookmarkStart w:id="130" w:name="_Toc73517680"/>
      <w:bookmarkStart w:id="131" w:name="_Toc73521675"/>
      <w:bookmarkStart w:id="132" w:name="_Toc100052409"/>
      <w:r>
        <w:rPr>
          <w:rFonts w:hint="eastAsia" w:ascii="黑体" w:hAnsi="宋体" w:eastAsia="黑体" w:cs="Times New Roman"/>
          <w:sz w:val="24"/>
        </w:rPr>
        <w:t>44．</w:t>
      </w:r>
      <w:bookmarkEnd w:id="128"/>
      <w:bookmarkEnd w:id="129"/>
      <w:bookmarkEnd w:id="130"/>
      <w:bookmarkEnd w:id="131"/>
      <w:bookmarkEnd w:id="132"/>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33" w:name="_Toc100052410"/>
      <w:bookmarkStart w:id="134" w:name="_Toc73517682"/>
      <w:bookmarkStart w:id="135" w:name="_Toc73521589"/>
      <w:bookmarkStart w:id="136" w:name="_Toc73521677"/>
      <w:bookmarkStart w:id="137" w:name="_Toc73518160"/>
      <w:r>
        <w:rPr>
          <w:rFonts w:hint="eastAsia" w:ascii="黑体" w:hAnsi="宋体" w:eastAsia="黑体" w:cs="Times New Roman"/>
          <w:sz w:val="24"/>
        </w:rPr>
        <w:t>45．合同的签订</w:t>
      </w:r>
      <w:bookmarkEnd w:id="133"/>
      <w:bookmarkEnd w:id="134"/>
      <w:bookmarkEnd w:id="135"/>
      <w:bookmarkEnd w:id="136"/>
      <w:bookmarkEnd w:id="137"/>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8" w:name="_Toc73518161"/>
      <w:bookmarkStart w:id="139" w:name="_Toc100052411"/>
      <w:bookmarkStart w:id="140" w:name="_Toc73517683"/>
      <w:bookmarkStart w:id="141" w:name="_Toc73521590"/>
      <w:bookmarkStart w:id="142" w:name="_Toc73521678"/>
      <w:r>
        <w:rPr>
          <w:rFonts w:hint="eastAsia" w:ascii="黑体" w:hAnsi="宋体" w:eastAsia="黑体" w:cs="Times New Roman"/>
          <w:sz w:val="24"/>
        </w:rPr>
        <w:t>46．履约担保</w:t>
      </w:r>
      <w:bookmarkEnd w:id="138"/>
      <w:bookmarkEnd w:id="139"/>
      <w:bookmarkEnd w:id="140"/>
      <w:bookmarkEnd w:id="141"/>
      <w:bookmarkEnd w:id="142"/>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43" w:name="_Hlk72440769"/>
      <w:r>
        <w:rPr>
          <w:rFonts w:hint="eastAsia" w:ascii="宋体" w:hAnsi="宋体" w:eastAsia="宋体" w:cs="Times New Roman"/>
          <w:szCs w:val="21"/>
        </w:rPr>
        <w:t>政府集中采购机构或采购人不予退还其交纳的谈判保证金，情节严重的，并由主管部门</w:t>
      </w:r>
      <w:bookmarkEnd w:id="143"/>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7"/>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4" w:name="_Hlk75374941"/>
      <w:r>
        <w:rPr>
          <w:rFonts w:hint="eastAsia" w:ascii="宋体" w:hAnsi="宋体" w:eastAsia="宋体" w:cs="Times New Roman"/>
          <w:szCs w:val="21"/>
        </w:rPr>
        <w:t>以联合体形式参与的，质疑应当由组成联合体的所有成员共同提出</w:t>
      </w:r>
      <w:bookmarkEnd w:id="144"/>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ascii="宋体" w:hAnsi="宋体" w:eastAsia="宋体" w:cs="Times New Roman"/>
          <w:b/>
          <w:bCs/>
          <w:szCs w:val="21"/>
        </w:rPr>
      </w:pPr>
      <w:r>
        <w:rPr>
          <w:rFonts w:hint="eastAsia" w:ascii="宋体" w:hAnsi="宋体" w:eastAsia="宋体" w:cs="Times New Roman"/>
          <w:b/>
          <w:bCs/>
          <w:szCs w:val="21"/>
        </w:rPr>
        <w:t>地址：深圳公共资源交易中心（深圳交易集团有限公司</w:t>
      </w:r>
      <w:r>
        <w:rPr>
          <w:rFonts w:hint="eastAsia" w:ascii="宋体" w:hAnsi="宋体" w:eastAsia="宋体" w:cs="Times New Roman"/>
          <w:b/>
          <w:bCs/>
          <w:szCs w:val="21"/>
          <w:lang w:val="en-US" w:eastAsia="zh-CN"/>
        </w:rPr>
        <w:t>坪山</w:t>
      </w:r>
      <w:r>
        <w:rPr>
          <w:rFonts w:hint="eastAsia" w:ascii="宋体" w:hAnsi="宋体" w:eastAsia="宋体" w:cs="Times New Roman"/>
          <w:b/>
          <w:bCs/>
          <w:szCs w:val="21"/>
        </w:rPr>
        <w:t>分公司）</w:t>
      </w:r>
      <w:r>
        <w:rPr>
          <w:rFonts w:hint="eastAsia" w:ascii="宋体" w:hAnsi="宋体" w:eastAsia="宋体" w:cs="Times New Roman"/>
          <w:b/>
          <w:bCs/>
          <w:szCs w:val="21"/>
          <w:lang w:eastAsia="zh-CN"/>
        </w:rPr>
        <w:t>。</w:t>
      </w:r>
      <w:r>
        <w:rPr>
          <w:rFonts w:hint="eastAsia" w:ascii="宋体" w:hAnsi="宋体" w:eastAsia="宋体" w:cs="Times New Roman"/>
          <w:b/>
          <w:bCs/>
          <w:szCs w:val="21"/>
        </w:rPr>
        <w:t>质疑咨询电话：0755-</w:t>
      </w:r>
      <w:r>
        <w:rPr>
          <w:rFonts w:hint="eastAsia" w:ascii="宋体" w:hAnsi="宋体" w:eastAsia="宋体" w:cs="Times New Roman"/>
          <w:b/>
          <w:bCs/>
          <w:szCs w:val="21"/>
          <w:lang w:val="en-US" w:eastAsia="zh-CN"/>
        </w:rPr>
        <w:t>28413245</w:t>
      </w:r>
      <w:r>
        <w:rPr>
          <w:rFonts w:hint="eastAsia" w:ascii="宋体" w:hAnsi="宋体" w:eastAsia="宋体" w:cs="Times New Roman"/>
          <w:b/>
          <w:bCs/>
          <w:szCs w:val="21"/>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p/>
    <w:p/>
    <w:p/>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ActionIcon ! importa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9"/>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17"/>
      <w:lvlText w:val=""/>
      <w:lvlJc w:val="left"/>
      <w:pPr>
        <w:tabs>
          <w:tab w:val="left" w:pos="420"/>
        </w:tabs>
        <w:ind w:left="420" w:hanging="420"/>
      </w:pPr>
      <w:rPr>
        <w:rFonts w:hint="default" w:ascii="Wingdings" w:hAnsi="Wingdings"/>
      </w:rPr>
    </w:lvl>
    <w:lvl w:ilvl="1" w:tentative="0">
      <w:start w:val="1"/>
      <w:numFmt w:val="bullet"/>
      <w:pStyle w:val="11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85"/>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7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3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s>
  <w:rsids>
    <w:rsidRoot w:val="00000000"/>
    <w:rsid w:val="09E46EC2"/>
    <w:rsid w:val="1B425573"/>
    <w:rsid w:val="29AB6AA1"/>
    <w:rsid w:val="2A5920BD"/>
    <w:rsid w:val="2CEB30CE"/>
    <w:rsid w:val="47651980"/>
    <w:rsid w:val="56D23A87"/>
    <w:rsid w:val="64326569"/>
    <w:rsid w:val="669C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6"/>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81"/>
    <w:qFormat/>
    <w:uiPriority w:val="0"/>
    <w:pPr>
      <w:adjustRightInd w:val="0"/>
      <w:jc w:val="center"/>
      <w:textAlignment w:val="baseline"/>
      <w:outlineLvl w:val="1"/>
    </w:pPr>
    <w:rPr>
      <w:kern w:val="0"/>
      <w:sz w:val="24"/>
      <w:szCs w:val="20"/>
    </w:rPr>
  </w:style>
  <w:style w:type="paragraph" w:styleId="4">
    <w:name w:val="heading 3"/>
    <w:basedOn w:val="5"/>
    <w:next w:val="1"/>
    <w:link w:val="65"/>
    <w:qFormat/>
    <w:uiPriority w:val="9"/>
    <w:pPr>
      <w:spacing w:before="260" w:after="260" w:line="240" w:lineRule="auto"/>
      <w:outlineLvl w:val="2"/>
    </w:pPr>
    <w:rPr>
      <w:rFonts w:ascii="宋体" w:hAnsi="宋体" w:eastAsia="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90"/>
    <w:qFormat/>
    <w:uiPriority w:val="0"/>
    <w:pPr>
      <w:keepNext/>
      <w:keepLines/>
      <w:spacing w:before="280" w:after="290" w:line="376" w:lineRule="auto"/>
      <w:outlineLvl w:val="4"/>
    </w:pPr>
    <w:rPr>
      <w:b/>
      <w:sz w:val="28"/>
      <w:szCs w:val="20"/>
    </w:rPr>
  </w:style>
  <w:style w:type="paragraph" w:styleId="10">
    <w:name w:val="heading 6"/>
    <w:basedOn w:val="1"/>
    <w:next w:val="8"/>
    <w:link w:val="9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link w:val="94"/>
    <w:qFormat/>
    <w:uiPriority w:val="0"/>
    <w:pPr>
      <w:keepNext/>
      <w:keepLines/>
      <w:spacing w:before="240" w:after="64" w:line="320" w:lineRule="auto"/>
      <w:outlineLvl w:val="6"/>
    </w:pPr>
    <w:rPr>
      <w:b/>
      <w:sz w:val="24"/>
      <w:szCs w:val="20"/>
    </w:rPr>
  </w:style>
  <w:style w:type="paragraph" w:styleId="12">
    <w:name w:val="heading 8"/>
    <w:basedOn w:val="1"/>
    <w:next w:val="8"/>
    <w:link w:val="95"/>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link w:val="96"/>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customStyle="1"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67"/>
    <w:qFormat/>
    <w:uiPriority w:val="0"/>
    <w:pPr>
      <w:ind w:firstLine="420"/>
    </w:pPr>
    <w:rPr>
      <w:szCs w:val="20"/>
    </w:rPr>
  </w:style>
  <w:style w:type="paragraph" w:styleId="9">
    <w:name w:val="Body Text"/>
    <w:basedOn w:val="1"/>
    <w:next w:val="1"/>
    <w:link w:val="102"/>
    <w:qFormat/>
    <w:uiPriority w:val="0"/>
    <w:pPr>
      <w:spacing w:line="360" w:lineRule="auto"/>
    </w:pPr>
    <w:rPr>
      <w:b/>
      <w:bCs/>
      <w:sz w:val="24"/>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4"/>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8"/>
    <w:qFormat/>
    <w:uiPriority w:val="0"/>
    <w:pPr>
      <w:spacing w:after="120"/>
    </w:pPr>
    <w:rPr>
      <w:sz w:val="16"/>
      <w:szCs w:val="16"/>
    </w:rPr>
  </w:style>
  <w:style w:type="paragraph" w:styleId="20">
    <w:name w:val="Body Text Indent"/>
    <w:basedOn w:val="1"/>
    <w:link w:val="89"/>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100"/>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8"/>
    <w:qFormat/>
    <w:uiPriority w:val="0"/>
    <w:rPr>
      <w:rFonts w:ascii="宋体" w:hAnsi="Courier New"/>
      <w:sz w:val="32"/>
      <w:szCs w:val="20"/>
    </w:rPr>
  </w:style>
  <w:style w:type="paragraph" w:styleId="26">
    <w:name w:val="Body Text Indent 2"/>
    <w:basedOn w:val="1"/>
    <w:link w:val="103"/>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9"/>
    <w:semiHidden/>
    <w:qFormat/>
    <w:uiPriority w:val="99"/>
    <w:rPr>
      <w:sz w:val="18"/>
      <w:szCs w:val="18"/>
    </w:rPr>
  </w:style>
  <w:style w:type="paragraph" w:styleId="28">
    <w:name w:val="footer"/>
    <w:basedOn w:val="1"/>
    <w:link w:val="107"/>
    <w:qFormat/>
    <w:uiPriority w:val="0"/>
    <w:pPr>
      <w:tabs>
        <w:tab w:val="center" w:pos="4153"/>
        <w:tab w:val="right" w:pos="8306"/>
      </w:tabs>
      <w:snapToGrid w:val="0"/>
      <w:jc w:val="left"/>
    </w:pPr>
    <w:rPr>
      <w:sz w:val="18"/>
      <w:szCs w:val="18"/>
    </w:rPr>
  </w:style>
  <w:style w:type="paragraph" w:styleId="29">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9"/>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105"/>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106"/>
    <w:qFormat/>
    <w:uiPriority w:val="0"/>
    <w:pPr>
      <w:spacing w:line="360" w:lineRule="auto"/>
    </w:pPr>
    <w:rPr>
      <w:sz w:val="24"/>
    </w:rPr>
  </w:style>
  <w:style w:type="paragraph" w:styleId="38">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97"/>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95"/>
    <w:qFormat/>
    <w:uiPriority w:val="99"/>
    <w:pPr>
      <w:autoSpaceDE/>
      <w:autoSpaceDN/>
      <w:adjustRightInd/>
      <w:textAlignment w:val="auto"/>
    </w:pPr>
    <w:rPr>
      <w:rFonts w:ascii="Times New Roman"/>
      <w:b/>
      <w:bCs/>
      <w:kern w:val="2"/>
      <w:sz w:val="21"/>
      <w:szCs w:val="24"/>
    </w:rPr>
  </w:style>
  <w:style w:type="paragraph" w:styleId="43">
    <w:name w:val="Body Text First Indent"/>
    <w:basedOn w:val="9"/>
    <w:link w:val="140"/>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b/>
      <w:bCs/>
      <w:sz w:val="20"/>
    </w:rPr>
  </w:style>
  <w:style w:type="character" w:styleId="52">
    <w:name w:val="HTML Definition"/>
    <w:basedOn w:val="47"/>
    <w:unhideWhenUsed/>
    <w:qFormat/>
    <w:uiPriority w:val="0"/>
    <w:rPr>
      <w:rFonts w:ascii="ActionIcon ! important" w:hAnsi="ActionIcon ! important" w:eastAsia="ActionIcon ! important" w:cs="ActionIcon ! important"/>
      <w:vanish/>
      <w:color w:val="DE2A2A"/>
      <w:sz w:val="24"/>
      <w:szCs w:val="24"/>
      <w:shd w:val="clear" w:fill="FFFFFF"/>
    </w:rPr>
  </w:style>
  <w:style w:type="character" w:styleId="53">
    <w:name w:val="HTML Typewriter"/>
    <w:basedOn w:val="47"/>
    <w:unhideWhenUsed/>
    <w:qFormat/>
    <w:uiPriority w:val="0"/>
    <w:rPr>
      <w:rFonts w:hint="default" w:ascii="monospace" w:hAnsi="monospace" w:eastAsia="monospace" w:cs="monospace"/>
      <w:sz w:val="20"/>
    </w:rPr>
  </w:style>
  <w:style w:type="character" w:styleId="54">
    <w:name w:val="HTML Acronym"/>
    <w:basedOn w:val="47"/>
    <w:unhideWhenUsed/>
    <w:qFormat/>
    <w:uiPriority w:val="0"/>
  </w:style>
  <w:style w:type="character" w:styleId="55">
    <w:name w:val="HTML Variable"/>
    <w:basedOn w:val="47"/>
    <w:unhideWhenUsed/>
    <w:qFormat/>
    <w:uiPriority w:val="0"/>
  </w:style>
  <w:style w:type="character" w:styleId="56">
    <w:name w:val="Hyperlink"/>
    <w:qFormat/>
    <w:uiPriority w:val="0"/>
    <w:rPr>
      <w:color w:val="0000FF"/>
      <w:u w:val="single"/>
    </w:rPr>
  </w:style>
  <w:style w:type="character" w:styleId="57">
    <w:name w:val="HTML Code"/>
    <w:basedOn w:val="47"/>
    <w:unhideWhenUsed/>
    <w:qFormat/>
    <w:uiPriority w:val="0"/>
    <w:rPr>
      <w:rFonts w:ascii="monospace" w:hAnsi="monospace" w:eastAsia="monospace" w:cs="monospace"/>
      <w:sz w:val="20"/>
    </w:rPr>
  </w:style>
  <w:style w:type="character" w:styleId="58">
    <w:name w:val="annotation reference"/>
    <w:basedOn w:val="47"/>
    <w:qFormat/>
    <w:uiPriority w:val="99"/>
    <w:rPr>
      <w:sz w:val="21"/>
      <w:szCs w:val="21"/>
    </w:rPr>
  </w:style>
  <w:style w:type="character" w:styleId="59">
    <w:name w:val="HTML Cite"/>
    <w:basedOn w:val="47"/>
    <w:unhideWhenUsed/>
    <w:qFormat/>
    <w:uiPriority w:val="0"/>
  </w:style>
  <w:style w:type="character" w:styleId="60">
    <w:name w:val="HTML Keyboard"/>
    <w:basedOn w:val="47"/>
    <w:unhideWhenUsed/>
    <w:qFormat/>
    <w:uiPriority w:val="0"/>
    <w:rPr>
      <w:rFonts w:hint="default" w:ascii="monospace" w:hAnsi="monospace" w:eastAsia="monospace" w:cs="monospace"/>
      <w:sz w:val="20"/>
    </w:rPr>
  </w:style>
  <w:style w:type="character" w:styleId="61">
    <w:name w:val="HTML Sample"/>
    <w:basedOn w:val="47"/>
    <w:unhideWhenUsed/>
    <w:qFormat/>
    <w:uiPriority w:val="0"/>
    <w:rPr>
      <w:rFonts w:hint="default" w:ascii="monospace" w:hAnsi="monospace" w:eastAsia="monospace" w:cs="monospace"/>
    </w:rPr>
  </w:style>
  <w:style w:type="paragraph" w:customStyle="1" w:styleId="62">
    <w:name w:val="Quote"/>
    <w:next w:val="1"/>
    <w:link w:val="448"/>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63">
    <w:name w:val="标题 4 Char"/>
    <w:link w:val="5"/>
    <w:qFormat/>
    <w:uiPriority w:val="9"/>
    <w:rPr>
      <w:rFonts w:ascii="Arial" w:hAnsi="Arial" w:eastAsia="黑体"/>
      <w:b/>
      <w:bCs/>
      <w:kern w:val="2"/>
      <w:sz w:val="28"/>
      <w:szCs w:val="28"/>
      <w:lang w:val="en-US" w:eastAsia="zh-CN" w:bidi="ar-SA"/>
    </w:rPr>
  </w:style>
  <w:style w:type="paragraph" w:customStyle="1" w:styleId="6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5">
    <w:name w:val="标题 3 Char1"/>
    <w:link w:val="4"/>
    <w:qFormat/>
    <w:uiPriority w:val="9"/>
    <w:rPr>
      <w:rFonts w:ascii="宋体" w:hAnsi="宋体" w:eastAsia="宋体"/>
      <w:b/>
      <w:bCs/>
      <w:kern w:val="2"/>
      <w:sz w:val="28"/>
      <w:szCs w:val="32"/>
      <w:lang w:val="en-US" w:eastAsia="zh-CN" w:bidi="ar-SA"/>
    </w:rPr>
  </w:style>
  <w:style w:type="character" w:customStyle="1" w:styleId="66">
    <w:name w:val="标题 1 Char"/>
    <w:link w:val="3"/>
    <w:qFormat/>
    <w:uiPriority w:val="0"/>
    <w:rPr>
      <w:rFonts w:ascii="宋体" w:hAnsi="宋体" w:eastAsia="黑体"/>
      <w:b/>
      <w:bCs/>
      <w:kern w:val="44"/>
      <w:sz w:val="28"/>
      <w:szCs w:val="44"/>
      <w:lang w:val="en-US" w:eastAsia="zh-CN" w:bidi="ar-SA"/>
    </w:rPr>
  </w:style>
  <w:style w:type="character" w:customStyle="1" w:styleId="67">
    <w:name w:val="正文缩进 Char"/>
    <w:link w:val="8"/>
    <w:qFormat/>
    <w:uiPriority w:val="0"/>
    <w:rPr>
      <w:rFonts w:eastAsia="宋体"/>
      <w:kern w:val="2"/>
      <w:sz w:val="21"/>
      <w:lang w:val="en-US" w:eastAsia="zh-CN" w:bidi="ar-SA"/>
    </w:rPr>
  </w:style>
  <w:style w:type="character" w:customStyle="1" w:styleId="68">
    <w:name w:val="标题 3 Char"/>
    <w:qFormat/>
    <w:uiPriority w:val="0"/>
    <w:rPr>
      <w:rFonts w:ascii="黑体" w:eastAsia="黑体"/>
      <w:bCs/>
      <w:sz w:val="30"/>
    </w:rPr>
  </w:style>
  <w:style w:type="paragraph" w:customStyle="1" w:styleId="6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7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6">
    <w:name w:val="自定义正文"/>
    <w:basedOn w:val="1"/>
    <w:qFormat/>
    <w:uiPriority w:val="0"/>
    <w:pPr>
      <w:spacing w:afterLines="50"/>
      <w:ind w:left="600" w:leftChars="600"/>
    </w:pPr>
  </w:style>
  <w:style w:type="paragraph" w:customStyle="1" w:styleId="77">
    <w:name w:val="Char Char Char Char Char"/>
    <w:basedOn w:val="1"/>
    <w:qFormat/>
    <w:uiPriority w:val="0"/>
    <w:rPr>
      <w:rFonts w:ascii="Tahoma" w:hAnsi="Tahoma"/>
      <w:sz w:val="24"/>
      <w:szCs w:val="20"/>
    </w:rPr>
  </w:style>
  <w:style w:type="paragraph" w:customStyle="1" w:styleId="7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9">
    <w:name w:val="Char Char"/>
    <w:basedOn w:val="1"/>
    <w:qFormat/>
    <w:uiPriority w:val="0"/>
    <w:rPr>
      <w:rFonts w:ascii="Tahoma" w:hAnsi="Tahoma"/>
      <w:sz w:val="24"/>
      <w:szCs w:val="20"/>
    </w:rPr>
  </w:style>
  <w:style w:type="paragraph" w:customStyle="1" w:styleId="8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81">
    <w:name w:val="标题 2 Char"/>
    <w:link w:val="6"/>
    <w:qFormat/>
    <w:uiPriority w:val="0"/>
    <w:rPr>
      <w:rFonts w:ascii="宋体" w:hAnsi="宋体" w:eastAsia="宋体"/>
      <w:b/>
      <w:bCs/>
      <w:sz w:val="24"/>
      <w:lang w:val="en-US" w:eastAsia="zh-CN" w:bidi="ar-SA"/>
    </w:rPr>
  </w:style>
  <w:style w:type="paragraph" w:customStyle="1" w:styleId="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List Paragraph"/>
    <w:basedOn w:val="1"/>
    <w:qFormat/>
    <w:uiPriority w:val="0"/>
    <w:pPr>
      <w:ind w:firstLine="420" w:firstLineChars="200"/>
    </w:pPr>
    <w:rPr>
      <w:rFonts w:ascii="Calibri" w:hAnsi="Calibri"/>
      <w:szCs w:val="22"/>
    </w:rPr>
  </w:style>
  <w:style w:type="paragraph" w:customStyle="1" w:styleId="84">
    <w:name w:val="USE 1"/>
    <w:basedOn w:val="1"/>
    <w:qFormat/>
    <w:uiPriority w:val="0"/>
    <w:pPr>
      <w:spacing w:line="200" w:lineRule="atLeast"/>
      <w:jc w:val="left"/>
    </w:pPr>
    <w:rPr>
      <w:rFonts w:ascii="宋体" w:hAnsi="宋体"/>
      <w:b/>
      <w:sz w:val="24"/>
      <w:szCs w:val="28"/>
    </w:rPr>
  </w:style>
  <w:style w:type="paragraph" w:customStyle="1" w:styleId="8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6">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7">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88">
    <w:name w:val="H4 Char2"/>
    <w:qFormat/>
    <w:uiPriority w:val="0"/>
    <w:rPr>
      <w:rFonts w:ascii="Arial" w:hAnsi="Arial" w:eastAsia="黑体"/>
      <w:b/>
      <w:bCs/>
      <w:kern w:val="2"/>
      <w:sz w:val="28"/>
      <w:szCs w:val="28"/>
      <w:lang w:val="en-US" w:eastAsia="zh-CN" w:bidi="ar-SA"/>
    </w:rPr>
  </w:style>
  <w:style w:type="character" w:customStyle="1" w:styleId="89">
    <w:name w:val="正文文本缩进 Char"/>
    <w:link w:val="20"/>
    <w:qFormat/>
    <w:uiPriority w:val="0"/>
    <w:rPr>
      <w:rFonts w:eastAsia="宋体"/>
      <w:kern w:val="2"/>
      <w:sz w:val="21"/>
      <w:szCs w:val="24"/>
      <w:lang w:val="en-US" w:eastAsia="zh-CN" w:bidi="ar-SA"/>
    </w:rPr>
  </w:style>
  <w:style w:type="character" w:customStyle="1" w:styleId="90">
    <w:name w:val="标题 5 Char"/>
    <w:link w:val="7"/>
    <w:qFormat/>
    <w:uiPriority w:val="0"/>
    <w:rPr>
      <w:rFonts w:eastAsia="宋体"/>
      <w:b/>
      <w:kern w:val="2"/>
      <w:sz w:val="28"/>
      <w:lang w:val="en-US" w:eastAsia="zh-CN" w:bidi="ar-SA"/>
    </w:rPr>
  </w:style>
  <w:style w:type="character" w:customStyle="1" w:styleId="91">
    <w:name w:val="第*章 Char"/>
    <w:qFormat/>
    <w:uiPriority w:val="0"/>
    <w:rPr>
      <w:rFonts w:ascii="Arial" w:hAnsi="Arial" w:eastAsia="黑体"/>
      <w:b/>
      <w:bCs/>
      <w:kern w:val="2"/>
      <w:sz w:val="32"/>
      <w:szCs w:val="32"/>
    </w:rPr>
  </w:style>
  <w:style w:type="character" w:customStyle="1" w:styleId="92">
    <w:name w:val="章标题1 Char"/>
    <w:qFormat/>
    <w:uiPriority w:val="0"/>
    <w:rPr>
      <w:rFonts w:eastAsia="宋体"/>
      <w:b/>
      <w:bCs/>
      <w:kern w:val="2"/>
      <w:sz w:val="32"/>
      <w:szCs w:val="32"/>
      <w:lang w:val="en-US" w:eastAsia="zh-CN" w:bidi="ar-SA"/>
    </w:rPr>
  </w:style>
  <w:style w:type="character" w:customStyle="1" w:styleId="93">
    <w:name w:val="标题 6 Char"/>
    <w:link w:val="10"/>
    <w:qFormat/>
    <w:uiPriority w:val="0"/>
    <w:rPr>
      <w:rFonts w:ascii="Arial" w:hAnsi="Arial" w:eastAsia="黑体"/>
      <w:b/>
      <w:kern w:val="2"/>
      <w:sz w:val="24"/>
      <w:lang w:val="en-US" w:eastAsia="zh-CN" w:bidi="ar-SA"/>
    </w:rPr>
  </w:style>
  <w:style w:type="character" w:customStyle="1" w:styleId="94">
    <w:name w:val="标题 7 Char"/>
    <w:link w:val="11"/>
    <w:qFormat/>
    <w:uiPriority w:val="0"/>
    <w:rPr>
      <w:rFonts w:eastAsia="宋体"/>
      <w:b/>
      <w:kern w:val="2"/>
      <w:sz w:val="24"/>
      <w:lang w:val="en-US" w:eastAsia="zh-CN" w:bidi="ar-SA"/>
    </w:rPr>
  </w:style>
  <w:style w:type="character" w:customStyle="1" w:styleId="95">
    <w:name w:val="标题 8 Char"/>
    <w:link w:val="12"/>
    <w:qFormat/>
    <w:uiPriority w:val="0"/>
    <w:rPr>
      <w:rFonts w:ascii="Arial" w:hAnsi="Arial" w:eastAsia="黑体"/>
      <w:kern w:val="2"/>
      <w:sz w:val="24"/>
      <w:lang w:val="en-US" w:eastAsia="zh-CN" w:bidi="ar-SA"/>
    </w:rPr>
  </w:style>
  <w:style w:type="character" w:customStyle="1" w:styleId="96">
    <w:name w:val="标题 9 Char"/>
    <w:link w:val="13"/>
    <w:qFormat/>
    <w:uiPriority w:val="0"/>
    <w:rPr>
      <w:rFonts w:ascii="Arial" w:hAnsi="Arial" w:eastAsia="黑体"/>
      <w:kern w:val="2"/>
      <w:sz w:val="21"/>
      <w:lang w:val="en-US" w:eastAsia="zh-CN" w:bidi="ar-SA"/>
    </w:rPr>
  </w:style>
  <w:style w:type="character" w:customStyle="1" w:styleId="97">
    <w:name w:val="标题 Char"/>
    <w:link w:val="41"/>
    <w:qFormat/>
    <w:uiPriority w:val="0"/>
    <w:rPr>
      <w:rFonts w:ascii="Arial" w:hAnsi="Arial" w:eastAsia="隶书" w:cs="Arial"/>
      <w:b/>
      <w:bCs/>
      <w:kern w:val="2"/>
      <w:sz w:val="32"/>
      <w:szCs w:val="32"/>
      <w:lang w:val="en-US" w:eastAsia="zh-CN" w:bidi="ar-SA"/>
    </w:rPr>
  </w:style>
  <w:style w:type="character" w:customStyle="1" w:styleId="98">
    <w:name w:val="日期 Char"/>
    <w:link w:val="25"/>
    <w:qFormat/>
    <w:uiPriority w:val="0"/>
    <w:rPr>
      <w:rFonts w:ascii="宋体" w:hAnsi="Courier New" w:eastAsia="宋体"/>
      <w:kern w:val="2"/>
      <w:sz w:val="32"/>
      <w:lang w:val="en-US" w:eastAsia="zh-CN" w:bidi="ar-SA"/>
    </w:rPr>
  </w:style>
  <w:style w:type="character" w:customStyle="1" w:styleId="99">
    <w:name w:val="HTML 预设格式 Char"/>
    <w:link w:val="38"/>
    <w:qFormat/>
    <w:uiPriority w:val="0"/>
    <w:rPr>
      <w:rFonts w:ascii="Arial Unicode MS" w:hAnsi="Arial Unicode MS" w:eastAsia="Arial Unicode MS"/>
      <w:color w:val="000000"/>
      <w:lang w:val="en-US" w:eastAsia="zh-CN" w:bidi="ar-SA"/>
    </w:rPr>
  </w:style>
  <w:style w:type="character" w:customStyle="1" w:styleId="100">
    <w:name w:val="纯文本 Char"/>
    <w:link w:val="23"/>
    <w:qFormat/>
    <w:uiPriority w:val="0"/>
    <w:rPr>
      <w:rFonts w:ascii="宋体" w:hAnsi="Courier New" w:eastAsia="宋体"/>
      <w:kern w:val="2"/>
      <w:sz w:val="21"/>
      <w:lang w:val="en-US" w:eastAsia="zh-CN" w:bidi="ar-SA"/>
    </w:rPr>
  </w:style>
  <w:style w:type="character" w:customStyle="1" w:styleId="101">
    <w:name w:val="正文文字首行缩进 Char"/>
    <w:qFormat/>
    <w:uiPriority w:val="0"/>
    <w:rPr>
      <w:kern w:val="2"/>
      <w:sz w:val="21"/>
      <w:szCs w:val="24"/>
    </w:rPr>
  </w:style>
  <w:style w:type="character" w:customStyle="1" w:styleId="102">
    <w:name w:val="正文文本 Char"/>
    <w:link w:val="9"/>
    <w:qFormat/>
    <w:uiPriority w:val="0"/>
    <w:rPr>
      <w:rFonts w:eastAsia="宋体"/>
      <w:b/>
      <w:bCs/>
      <w:kern w:val="2"/>
      <w:sz w:val="24"/>
      <w:szCs w:val="24"/>
      <w:lang w:val="en-US" w:eastAsia="zh-CN" w:bidi="ar-SA"/>
    </w:rPr>
  </w:style>
  <w:style w:type="character" w:customStyle="1" w:styleId="103">
    <w:name w:val="正文文本缩进 2 Char"/>
    <w:link w:val="26"/>
    <w:qFormat/>
    <w:uiPriority w:val="0"/>
    <w:rPr>
      <w:rFonts w:ascii="宋体" w:hAnsi="宋体" w:eastAsia="宋体"/>
      <w:kern w:val="2"/>
      <w:sz w:val="21"/>
      <w:szCs w:val="24"/>
      <w:lang w:val="en-US" w:eastAsia="zh-CN" w:bidi="ar-SA"/>
    </w:rPr>
  </w:style>
  <w:style w:type="character" w:customStyle="1" w:styleId="104">
    <w:name w:val="页眉 Char"/>
    <w:link w:val="29"/>
    <w:qFormat/>
    <w:uiPriority w:val="99"/>
    <w:rPr>
      <w:rFonts w:eastAsia="宋体"/>
      <w:kern w:val="2"/>
      <w:sz w:val="18"/>
      <w:szCs w:val="18"/>
      <w:lang w:val="en-US" w:eastAsia="zh-CN" w:bidi="ar-SA"/>
    </w:rPr>
  </w:style>
  <w:style w:type="character" w:customStyle="1" w:styleId="105">
    <w:name w:val="正文文本缩进 3 Char"/>
    <w:link w:val="34"/>
    <w:qFormat/>
    <w:uiPriority w:val="0"/>
    <w:rPr>
      <w:rFonts w:ascii="宋体" w:eastAsia="宋体"/>
      <w:b/>
      <w:bCs/>
      <w:kern w:val="2"/>
      <w:sz w:val="24"/>
      <w:szCs w:val="24"/>
      <w:lang w:val="en-US" w:eastAsia="zh-CN" w:bidi="ar-SA"/>
    </w:rPr>
  </w:style>
  <w:style w:type="character" w:customStyle="1" w:styleId="106">
    <w:name w:val="正文文本 2 Char"/>
    <w:link w:val="37"/>
    <w:qFormat/>
    <w:uiPriority w:val="0"/>
    <w:rPr>
      <w:rFonts w:eastAsia="宋体"/>
      <w:kern w:val="2"/>
      <w:sz w:val="24"/>
      <w:szCs w:val="24"/>
      <w:lang w:val="en-US" w:eastAsia="zh-CN" w:bidi="ar-SA"/>
    </w:rPr>
  </w:style>
  <w:style w:type="character" w:customStyle="1" w:styleId="107">
    <w:name w:val="页脚 Char"/>
    <w:link w:val="28"/>
    <w:qFormat/>
    <w:uiPriority w:val="0"/>
    <w:rPr>
      <w:rFonts w:eastAsia="宋体"/>
      <w:kern w:val="2"/>
      <w:sz w:val="18"/>
      <w:szCs w:val="18"/>
      <w:lang w:val="en-US" w:eastAsia="zh-CN" w:bidi="ar-SA"/>
    </w:rPr>
  </w:style>
  <w:style w:type="character" w:customStyle="1" w:styleId="108">
    <w:name w:val="正文文本 3 Char"/>
    <w:link w:val="19"/>
    <w:qFormat/>
    <w:uiPriority w:val="0"/>
    <w:rPr>
      <w:rFonts w:eastAsia="宋体"/>
      <w:kern w:val="2"/>
      <w:sz w:val="16"/>
      <w:szCs w:val="16"/>
      <w:lang w:val="en-US" w:eastAsia="zh-CN" w:bidi="ar-SA"/>
    </w:rPr>
  </w:style>
  <w:style w:type="character" w:customStyle="1" w:styleId="109">
    <w:name w:val="批注框文本 Char"/>
    <w:link w:val="27"/>
    <w:semiHidden/>
    <w:qFormat/>
    <w:uiPriority w:val="99"/>
    <w:rPr>
      <w:rFonts w:eastAsia="宋体"/>
      <w:kern w:val="2"/>
      <w:sz w:val="18"/>
      <w:szCs w:val="18"/>
      <w:lang w:val="en-US" w:eastAsia="zh-CN" w:bidi="ar-SA"/>
    </w:rPr>
  </w:style>
  <w:style w:type="paragraph" w:customStyle="1" w:styleId="110">
    <w:name w:val="样式1"/>
    <w:basedOn w:val="41"/>
    <w:qFormat/>
    <w:uiPriority w:val="0"/>
    <w:pPr>
      <w:spacing w:before="120" w:after="120"/>
    </w:pPr>
    <w:rPr>
      <w:rFonts w:eastAsia="黑体"/>
      <w:b w:val="0"/>
      <w:sz w:val="30"/>
      <w:szCs w:val="21"/>
    </w:rPr>
  </w:style>
  <w:style w:type="paragraph" w:customStyle="1" w:styleId="111">
    <w:name w:val="样式2"/>
    <w:basedOn w:val="41"/>
    <w:next w:val="110"/>
    <w:qFormat/>
    <w:uiPriority w:val="0"/>
    <w:pPr>
      <w:spacing w:before="120" w:after="120"/>
    </w:pPr>
    <w:rPr>
      <w:rFonts w:eastAsia="黑体"/>
      <w:b w:val="0"/>
      <w:sz w:val="30"/>
      <w:szCs w:val="30"/>
    </w:rPr>
  </w:style>
  <w:style w:type="character" w:customStyle="1" w:styleId="112">
    <w:name w:val="标题 3 Char Char"/>
    <w:qFormat/>
    <w:uiPriority w:val="0"/>
    <w:rPr>
      <w:rFonts w:eastAsia="宋体"/>
      <w:b/>
      <w:bCs/>
      <w:kern w:val="2"/>
      <w:sz w:val="32"/>
      <w:szCs w:val="32"/>
      <w:lang w:val="en-US" w:eastAsia="zh-CN" w:bidi="ar-SA"/>
    </w:rPr>
  </w:style>
  <w:style w:type="paragraph" w:customStyle="1" w:styleId="11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5">
    <w:name w:val="--规划正文"/>
    <w:basedOn w:val="1"/>
    <w:qFormat/>
    <w:uiPriority w:val="0"/>
    <w:pPr>
      <w:spacing w:line="360" w:lineRule="auto"/>
      <w:ind w:firstLine="200" w:firstLineChars="200"/>
    </w:pPr>
    <w:rPr>
      <w:szCs w:val="20"/>
    </w:rPr>
  </w:style>
  <w:style w:type="paragraph" w:customStyle="1" w:styleId="116">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8">
    <w:name w:val="样式4"/>
    <w:basedOn w:val="1"/>
    <w:qFormat/>
    <w:uiPriority w:val="0"/>
    <w:pPr>
      <w:tabs>
        <w:tab w:val="left" w:pos="842"/>
      </w:tabs>
      <w:spacing w:line="360" w:lineRule="auto"/>
      <w:ind w:left="842" w:hanging="420"/>
    </w:pPr>
    <w:rPr>
      <w:sz w:val="24"/>
    </w:rPr>
  </w:style>
  <w:style w:type="paragraph" w:customStyle="1" w:styleId="119">
    <w:name w:val="文字"/>
    <w:basedOn w:val="1"/>
    <w:qFormat/>
    <w:uiPriority w:val="0"/>
    <w:pPr>
      <w:tabs>
        <w:tab w:val="left" w:pos="8520"/>
      </w:tabs>
      <w:spacing w:line="312" w:lineRule="auto"/>
      <w:ind w:right="-210" w:firstLine="556"/>
    </w:pPr>
    <w:rPr>
      <w:rFonts w:ascii="宋体"/>
      <w:sz w:val="28"/>
      <w:szCs w:val="20"/>
    </w:rPr>
  </w:style>
  <w:style w:type="paragraph" w:customStyle="1" w:styleId="120">
    <w:name w:val="--规划-表格-居左"/>
    <w:basedOn w:val="115"/>
    <w:qFormat/>
    <w:uiPriority w:val="0"/>
    <w:pPr>
      <w:spacing w:line="240" w:lineRule="auto"/>
      <w:ind w:firstLine="0" w:firstLineChars="0"/>
    </w:pPr>
    <w:rPr>
      <w:sz w:val="20"/>
    </w:rPr>
  </w:style>
  <w:style w:type="paragraph" w:customStyle="1" w:styleId="121">
    <w:name w:val="--规划-表格-居中"/>
    <w:basedOn w:val="115"/>
    <w:qFormat/>
    <w:uiPriority w:val="0"/>
    <w:pPr>
      <w:spacing w:line="240" w:lineRule="auto"/>
      <w:ind w:firstLine="0" w:firstLineChars="0"/>
      <w:jc w:val="center"/>
    </w:pPr>
    <w:rPr>
      <w:sz w:val="20"/>
    </w:rPr>
  </w:style>
  <w:style w:type="paragraph" w:customStyle="1" w:styleId="122">
    <w:name w:val="--编号内缩进"/>
    <w:basedOn w:val="1"/>
    <w:qFormat/>
    <w:uiPriority w:val="0"/>
    <w:pPr>
      <w:spacing w:line="360" w:lineRule="auto"/>
      <w:ind w:left="420" w:firstLine="200" w:firstLineChars="200"/>
    </w:pPr>
    <w:rPr>
      <w:szCs w:val="21"/>
    </w:rPr>
  </w:style>
  <w:style w:type="paragraph" w:customStyle="1" w:styleId="123">
    <w:name w:val="--规划-题注"/>
    <w:basedOn w:val="1"/>
    <w:next w:val="115"/>
    <w:qFormat/>
    <w:uiPriority w:val="0"/>
    <w:pPr>
      <w:spacing w:line="360" w:lineRule="auto"/>
      <w:jc w:val="center"/>
    </w:pPr>
    <w:rPr>
      <w:rFonts w:eastAsia="黑体"/>
    </w:rPr>
  </w:style>
  <w:style w:type="paragraph" w:customStyle="1" w:styleId="124">
    <w:name w:val="--规划-图和表"/>
    <w:next w:val="115"/>
    <w:qFormat/>
    <w:uiPriority w:val="0"/>
    <w:pPr>
      <w:jc w:val="center"/>
    </w:pPr>
    <w:rPr>
      <w:rFonts w:ascii="Times New Roman" w:hAnsi="Times New Roman" w:eastAsia="宋体" w:cs="Times New Roman"/>
      <w:kern w:val="2"/>
      <w:sz w:val="21"/>
      <w:lang w:val="en-US" w:eastAsia="zh-CN" w:bidi="ar-SA"/>
    </w:rPr>
  </w:style>
  <w:style w:type="paragraph" w:customStyle="1" w:styleId="125">
    <w:name w:val="--规划-小标题"/>
    <w:basedOn w:val="1"/>
    <w:next w:val="115"/>
    <w:qFormat/>
    <w:uiPriority w:val="0"/>
    <w:pPr>
      <w:keepNext/>
      <w:keepLines/>
      <w:spacing w:line="360" w:lineRule="auto"/>
      <w:outlineLvl w:val="4"/>
    </w:pPr>
    <w:rPr>
      <w:rFonts w:eastAsia="黑体"/>
    </w:rPr>
  </w:style>
  <w:style w:type="paragraph" w:customStyle="1" w:styleId="126">
    <w:name w:val="--规划正文 Char"/>
    <w:basedOn w:val="1"/>
    <w:qFormat/>
    <w:uiPriority w:val="0"/>
    <w:pPr>
      <w:spacing w:line="360" w:lineRule="auto"/>
      <w:ind w:firstLine="200" w:firstLineChars="200"/>
    </w:pPr>
    <w:rPr>
      <w:sz w:val="24"/>
    </w:rPr>
  </w:style>
  <w:style w:type="paragraph" w:customStyle="1" w:styleId="127">
    <w:name w:val="缺省文本"/>
    <w:basedOn w:val="1"/>
    <w:qFormat/>
    <w:uiPriority w:val="0"/>
    <w:pPr>
      <w:autoSpaceDE w:val="0"/>
      <w:autoSpaceDN w:val="0"/>
      <w:adjustRightInd w:val="0"/>
      <w:jc w:val="left"/>
    </w:pPr>
    <w:rPr>
      <w:kern w:val="0"/>
    </w:rPr>
  </w:style>
  <w:style w:type="paragraph" w:customStyle="1" w:styleId="12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9">
    <w:name w:val="--规划正文 Char Char"/>
    <w:qFormat/>
    <w:uiPriority w:val="0"/>
    <w:rPr>
      <w:rFonts w:eastAsia="宋体"/>
      <w:kern w:val="2"/>
      <w:sz w:val="24"/>
      <w:szCs w:val="24"/>
      <w:lang w:val="en-US" w:eastAsia="zh-CN" w:bidi="ar-SA"/>
    </w:rPr>
  </w:style>
  <w:style w:type="paragraph" w:customStyle="1" w:styleId="130">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31">
    <w:name w:val="--规划正文 Char1"/>
    <w:qFormat/>
    <w:uiPriority w:val="0"/>
    <w:rPr>
      <w:rFonts w:eastAsia="宋体"/>
      <w:kern w:val="2"/>
      <w:sz w:val="21"/>
      <w:lang w:val="en-US" w:eastAsia="zh-CN" w:bidi="ar-SA"/>
    </w:rPr>
  </w:style>
  <w:style w:type="paragraph" w:customStyle="1" w:styleId="13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3">
    <w:name w:val="列表项目"/>
    <w:basedOn w:val="1"/>
    <w:qFormat/>
    <w:uiPriority w:val="0"/>
    <w:pPr>
      <w:tabs>
        <w:tab w:val="left" w:pos="420"/>
        <w:tab w:val="left" w:pos="1080"/>
      </w:tabs>
      <w:spacing w:line="288" w:lineRule="auto"/>
      <w:ind w:left="1080" w:hanging="360"/>
    </w:pPr>
    <w:rPr>
      <w:sz w:val="24"/>
      <w:szCs w:val="20"/>
    </w:rPr>
  </w:style>
  <w:style w:type="character" w:customStyle="1" w:styleId="134">
    <w:name w:val="content1"/>
    <w:qFormat/>
    <w:uiPriority w:val="0"/>
    <w:rPr>
      <w:rFonts w:hint="default" w:ascii="??" w:hAnsi="??"/>
      <w:sz w:val="16"/>
      <w:szCs w:val="16"/>
      <w:u w:val="none"/>
    </w:rPr>
  </w:style>
  <w:style w:type="character" w:customStyle="1" w:styleId="135">
    <w:name w:val="unnamed4"/>
    <w:basedOn w:val="47"/>
    <w:qFormat/>
    <w:uiPriority w:val="0"/>
  </w:style>
  <w:style w:type="character" w:customStyle="1" w:styleId="136">
    <w:name w:val="font2"/>
    <w:basedOn w:val="47"/>
    <w:qFormat/>
    <w:uiPriority w:val="0"/>
  </w:style>
  <w:style w:type="character" w:customStyle="1" w:styleId="137">
    <w:name w:val="font41"/>
    <w:qFormat/>
    <w:uiPriority w:val="0"/>
    <w:rPr>
      <w:color w:val="000000"/>
      <w:spacing w:val="260"/>
      <w:sz w:val="18"/>
      <w:szCs w:val="18"/>
      <w:u w:val="none"/>
    </w:rPr>
  </w:style>
  <w:style w:type="paragraph" w:customStyle="1" w:styleId="13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40">
    <w:name w:val="正文首行缩进 Char"/>
    <w:link w:val="43"/>
    <w:qFormat/>
    <w:uiPriority w:val="0"/>
    <w:rPr>
      <w:rFonts w:eastAsia="宋体"/>
      <w:b/>
      <w:bCs/>
      <w:kern w:val="2"/>
      <w:sz w:val="21"/>
      <w:szCs w:val="24"/>
      <w:lang w:val="en-US" w:eastAsia="zh-CN" w:bidi="ar-SA"/>
    </w:rPr>
  </w:style>
  <w:style w:type="paragraph" w:customStyle="1" w:styleId="14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4">
    <w:name w:val="mode"/>
    <w:basedOn w:val="47"/>
    <w:qFormat/>
    <w:uiPriority w:val="0"/>
  </w:style>
  <w:style w:type="paragraph" w:customStyle="1" w:styleId="145">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unnamed3"/>
    <w:basedOn w:val="47"/>
    <w:qFormat/>
    <w:uiPriority w:val="0"/>
  </w:style>
  <w:style w:type="paragraph" w:customStyle="1" w:styleId="147">
    <w:name w:val="8"/>
    <w:basedOn w:val="1"/>
    <w:next w:val="20"/>
    <w:qFormat/>
    <w:uiPriority w:val="0"/>
    <w:pPr>
      <w:spacing w:after="120"/>
      <w:ind w:left="420" w:leftChars="200"/>
    </w:pPr>
  </w:style>
  <w:style w:type="paragraph" w:customStyle="1" w:styleId="14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50">
    <w:name w:val="5"/>
    <w:basedOn w:val="1"/>
    <w:qFormat/>
    <w:uiPriority w:val="0"/>
    <w:pPr>
      <w:autoSpaceDE w:val="0"/>
      <w:autoSpaceDN w:val="0"/>
      <w:adjustRightInd w:val="0"/>
      <w:jc w:val="left"/>
    </w:pPr>
    <w:rPr>
      <w:rFonts w:ascii="宋体"/>
      <w:b/>
      <w:bCs/>
      <w:kern w:val="0"/>
      <w:sz w:val="18"/>
      <w:szCs w:val="18"/>
    </w:rPr>
  </w:style>
  <w:style w:type="paragraph" w:customStyle="1" w:styleId="151">
    <w:name w:val="6"/>
    <w:basedOn w:val="150"/>
    <w:qFormat/>
    <w:uiPriority w:val="0"/>
    <w:pPr>
      <w:spacing w:line="270" w:lineRule="atLeast"/>
      <w:jc w:val="both"/>
    </w:pPr>
    <w:rPr>
      <w:b w:val="0"/>
      <w:bCs w:val="0"/>
    </w:rPr>
  </w:style>
  <w:style w:type="paragraph" w:customStyle="1" w:styleId="15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3">
    <w:name w:val="姜文清定义的正文"/>
    <w:basedOn w:val="1"/>
    <w:qFormat/>
    <w:uiPriority w:val="0"/>
    <w:pPr>
      <w:spacing w:line="240" w:lineRule="atLeast"/>
      <w:ind w:firstLine="567"/>
    </w:pPr>
    <w:rPr>
      <w:szCs w:val="20"/>
    </w:rPr>
  </w:style>
  <w:style w:type="paragraph" w:customStyle="1" w:styleId="15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5">
    <w:name w:val="CM2"/>
    <w:basedOn w:val="154"/>
    <w:next w:val="154"/>
    <w:qFormat/>
    <w:uiPriority w:val="0"/>
    <w:pPr>
      <w:spacing w:line="200" w:lineRule="atLeast"/>
    </w:pPr>
    <w:rPr>
      <w:rFonts w:ascii="Arial" w:hAnsi="Arial" w:eastAsia="宋体" w:cs="Times New Roman"/>
      <w:color w:val="auto"/>
    </w:rPr>
  </w:style>
  <w:style w:type="paragraph" w:customStyle="1" w:styleId="156">
    <w:name w:val="Normal Paragraph"/>
    <w:basedOn w:val="1"/>
    <w:qFormat/>
    <w:uiPriority w:val="0"/>
    <w:pPr>
      <w:widowControl/>
      <w:spacing w:before="120" w:line="360" w:lineRule="auto"/>
      <w:ind w:firstLine="425"/>
    </w:pPr>
    <w:rPr>
      <w:kern w:val="0"/>
      <w:sz w:val="24"/>
    </w:rPr>
  </w:style>
  <w:style w:type="character" w:customStyle="1" w:styleId="157">
    <w:name w:val="blue"/>
    <w:basedOn w:val="47"/>
    <w:qFormat/>
    <w:uiPriority w:val="0"/>
  </w:style>
  <w:style w:type="paragraph" w:customStyle="1" w:styleId="15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9">
    <w:name w:val="font"/>
    <w:basedOn w:val="47"/>
    <w:qFormat/>
    <w:uiPriority w:val="0"/>
  </w:style>
  <w:style w:type="character" w:customStyle="1" w:styleId="160">
    <w:name w:val="font11"/>
    <w:qFormat/>
    <w:uiPriority w:val="0"/>
    <w:rPr>
      <w:rFonts w:hint="default" w:ascii="ˎ̥" w:hAnsi="ˎ̥"/>
    </w:rPr>
  </w:style>
  <w:style w:type="paragraph" w:customStyle="1" w:styleId="16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2">
    <w:name w:val="proddescription"/>
    <w:basedOn w:val="47"/>
    <w:qFormat/>
    <w:uiPriority w:val="0"/>
  </w:style>
  <w:style w:type="character" w:customStyle="1" w:styleId="163">
    <w:name w:val="prodheadlines"/>
    <w:basedOn w:val="47"/>
    <w:qFormat/>
    <w:uiPriority w:val="0"/>
  </w:style>
  <w:style w:type="character" w:customStyle="1" w:styleId="164">
    <w:name w:val="text"/>
    <w:basedOn w:val="47"/>
    <w:qFormat/>
    <w:uiPriority w:val="0"/>
  </w:style>
  <w:style w:type="paragraph" w:customStyle="1" w:styleId="16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段落正文"/>
    <w:basedOn w:val="23"/>
    <w:qFormat/>
    <w:uiPriority w:val="0"/>
    <w:pPr>
      <w:ind w:firstLine="560" w:firstLineChars="200"/>
    </w:pPr>
    <w:rPr>
      <w:sz w:val="28"/>
    </w:rPr>
  </w:style>
  <w:style w:type="character" w:customStyle="1" w:styleId="171">
    <w:name w:val="gray6"/>
    <w:basedOn w:val="47"/>
    <w:qFormat/>
    <w:uiPriority w:val="0"/>
  </w:style>
  <w:style w:type="character" w:customStyle="1" w:styleId="172">
    <w:name w:val="style9"/>
    <w:basedOn w:val="47"/>
    <w:qFormat/>
    <w:uiPriority w:val="0"/>
  </w:style>
  <w:style w:type="paragraph" w:customStyle="1" w:styleId="17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4">
    <w:name w:val="grame"/>
    <w:basedOn w:val="47"/>
    <w:qFormat/>
    <w:uiPriority w:val="0"/>
  </w:style>
  <w:style w:type="paragraph" w:customStyle="1" w:styleId="17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Char1"/>
    <w:basedOn w:val="1"/>
    <w:qFormat/>
    <w:uiPriority w:val="0"/>
    <w:pPr>
      <w:jc w:val="left"/>
    </w:pPr>
    <w:rPr>
      <w:rFonts w:ascii="Tahoma" w:hAnsi="Tahoma"/>
      <w:sz w:val="24"/>
      <w:szCs w:val="20"/>
    </w:rPr>
  </w:style>
  <w:style w:type="paragraph" w:customStyle="1" w:styleId="17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表格字"/>
    <w:basedOn w:val="1"/>
    <w:qFormat/>
    <w:uiPriority w:val="0"/>
    <w:pPr>
      <w:adjustRightInd w:val="0"/>
      <w:jc w:val="center"/>
    </w:pPr>
    <w:rPr>
      <w:rFonts w:ascii="宋体"/>
      <w:sz w:val="24"/>
      <w:szCs w:val="20"/>
    </w:rPr>
  </w:style>
  <w:style w:type="character" w:customStyle="1" w:styleId="185">
    <w:name w:val="样式 小三 加粗"/>
    <w:qFormat/>
    <w:uiPriority w:val="0"/>
    <w:rPr>
      <w:rFonts w:eastAsia="宋体"/>
      <w:b/>
      <w:bCs/>
      <w:sz w:val="32"/>
    </w:rPr>
  </w:style>
  <w:style w:type="paragraph" w:customStyle="1" w:styleId="1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8">
    <w:name w:val="Char Char Char"/>
    <w:basedOn w:val="1"/>
    <w:qFormat/>
    <w:uiPriority w:val="0"/>
    <w:rPr>
      <w:rFonts w:ascii="Tahoma" w:hAnsi="Tahoma"/>
      <w:sz w:val="24"/>
      <w:szCs w:val="20"/>
    </w:rPr>
  </w:style>
  <w:style w:type="paragraph" w:customStyle="1" w:styleId="18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0">
    <w:name w:val="info4"/>
    <w:basedOn w:val="47"/>
    <w:qFormat/>
    <w:uiPriority w:val="0"/>
  </w:style>
  <w:style w:type="paragraph" w:customStyle="1" w:styleId="191">
    <w:name w:val="缩进正文"/>
    <w:basedOn w:val="1"/>
    <w:link w:val="192"/>
    <w:qFormat/>
    <w:uiPriority w:val="0"/>
    <w:pPr>
      <w:ind w:firstLine="560" w:firstLineChars="200"/>
    </w:pPr>
    <w:rPr>
      <w:rFonts w:eastAsia="仿宋_GB2312" w:cs="宋体"/>
      <w:sz w:val="28"/>
      <w:szCs w:val="20"/>
    </w:rPr>
  </w:style>
  <w:style w:type="character" w:customStyle="1" w:styleId="192">
    <w:name w:val="缩进正文 Char"/>
    <w:link w:val="191"/>
    <w:qFormat/>
    <w:uiPriority w:val="0"/>
    <w:rPr>
      <w:rFonts w:eastAsia="仿宋_GB2312" w:cs="宋体"/>
      <w:kern w:val="2"/>
      <w:sz w:val="28"/>
      <w:lang w:val="en-US" w:eastAsia="zh-CN" w:bidi="ar-SA"/>
    </w:rPr>
  </w:style>
  <w:style w:type="paragraph" w:customStyle="1" w:styleId="193">
    <w:name w:val="列出段落1"/>
    <w:basedOn w:val="1"/>
    <w:qFormat/>
    <w:uiPriority w:val="0"/>
    <w:pPr>
      <w:ind w:firstLine="420" w:firstLineChars="200"/>
    </w:pPr>
    <w:rPr>
      <w:rFonts w:ascii="Calibri" w:hAnsi="Calibri" w:cs="Calibri"/>
      <w:szCs w:val="21"/>
    </w:rPr>
  </w:style>
  <w:style w:type="character" w:customStyle="1" w:styleId="194">
    <w:name w:val="批注文字 Char"/>
    <w:basedOn w:val="47"/>
    <w:link w:val="18"/>
    <w:semiHidden/>
    <w:qFormat/>
    <w:uiPriority w:val="99"/>
    <w:rPr>
      <w:rFonts w:ascii="宋体"/>
      <w:sz w:val="34"/>
    </w:rPr>
  </w:style>
  <w:style w:type="character" w:customStyle="1" w:styleId="195">
    <w:name w:val="批注主题 Char"/>
    <w:basedOn w:val="194"/>
    <w:link w:val="42"/>
    <w:qFormat/>
    <w:uiPriority w:val="99"/>
    <w:rPr>
      <w:rFonts w:ascii="宋体"/>
      <w:sz w:val="34"/>
    </w:rPr>
  </w:style>
  <w:style w:type="paragraph" w:customStyle="1" w:styleId="196">
    <w:name w:val="评价"/>
    <w:basedOn w:val="1"/>
    <w:qFormat/>
    <w:uiPriority w:val="0"/>
    <w:pPr>
      <w:spacing w:afterLines="20"/>
      <w:ind w:firstLine="1446" w:firstLineChars="200"/>
    </w:pPr>
    <w:rPr>
      <w:rFonts w:ascii="Calibri" w:hAnsi="Calibri"/>
      <w:sz w:val="24"/>
    </w:rPr>
  </w:style>
  <w:style w:type="paragraph" w:customStyle="1" w:styleId="1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8">
    <w:name w:val="alt-edited1"/>
    <w:qFormat/>
    <w:uiPriority w:val="0"/>
    <w:rPr>
      <w:color w:val="4D90F0"/>
    </w:rPr>
  </w:style>
  <w:style w:type="paragraph" w:customStyle="1" w:styleId="199">
    <w:name w:val="toc 14"/>
    <w:next w:val="1"/>
    <w:qFormat/>
    <w:uiPriority w:val="0"/>
    <w:pPr>
      <w:wordWrap w:val="0"/>
      <w:jc w:val="both"/>
    </w:pPr>
    <w:rPr>
      <w:rFonts w:ascii="Calibri" w:hAnsi="Calibri" w:eastAsia="宋体" w:cs="Times New Roman"/>
      <w:sz w:val="21"/>
      <w:lang w:val="en-US" w:eastAsia="zh-CN" w:bidi="ar-SA"/>
    </w:rPr>
  </w:style>
  <w:style w:type="character" w:customStyle="1" w:styleId="200">
    <w:name w:val="文档结构图 Char1"/>
    <w:semiHidden/>
    <w:qFormat/>
    <w:uiPriority w:val="0"/>
    <w:rPr>
      <w:sz w:val="20"/>
    </w:rPr>
  </w:style>
  <w:style w:type="character" w:customStyle="1" w:styleId="201">
    <w:name w:val="文档结构图 Char"/>
    <w:semiHidden/>
    <w:qFormat/>
    <w:uiPriority w:val="0"/>
    <w:rPr>
      <w:sz w:val="20"/>
    </w:rPr>
  </w:style>
  <w:style w:type="character" w:customStyle="1" w:styleId="202">
    <w:name w:val="short_text"/>
    <w:basedOn w:val="47"/>
    <w:qFormat/>
    <w:uiPriority w:val="0"/>
    <w:rPr>
      <w:sz w:val="20"/>
    </w:rPr>
  </w:style>
  <w:style w:type="character" w:customStyle="1" w:styleId="203">
    <w:name w:val="标题 Char1"/>
    <w:qFormat/>
    <w:uiPriority w:val="0"/>
    <w:rPr>
      <w:b/>
      <w:sz w:val="20"/>
    </w:rPr>
  </w:style>
  <w:style w:type="character" w:customStyle="1" w:styleId="204">
    <w:name w:val="正文文本缩进 3 Char1"/>
    <w:semiHidden/>
    <w:qFormat/>
    <w:uiPriority w:val="0"/>
    <w:rPr>
      <w:sz w:val="20"/>
    </w:rPr>
  </w:style>
  <w:style w:type="character" w:customStyle="1" w:styleId="205">
    <w:name w:val="font21"/>
    <w:qFormat/>
    <w:uiPriority w:val="0"/>
    <w:rPr>
      <w:color w:val="FF0000"/>
      <w:sz w:val="20"/>
      <w:u w:val="none"/>
    </w:rPr>
  </w:style>
  <w:style w:type="character" w:customStyle="1" w:styleId="206">
    <w:name w:val="不明显强调1"/>
    <w:qFormat/>
    <w:uiPriority w:val="0"/>
    <w:rPr>
      <w:i/>
      <w:sz w:val="20"/>
    </w:rPr>
  </w:style>
  <w:style w:type="character" w:customStyle="1" w:styleId="207">
    <w:name w:val="font71"/>
    <w:qFormat/>
    <w:uiPriority w:val="0"/>
    <w:rPr>
      <w:sz w:val="20"/>
      <w:u w:val="none"/>
    </w:rPr>
  </w:style>
  <w:style w:type="character" w:customStyle="1" w:styleId="208">
    <w:name w:val="页眉 Char1"/>
    <w:semiHidden/>
    <w:qFormat/>
    <w:uiPriority w:val="0"/>
    <w:rPr>
      <w:sz w:val="20"/>
    </w:rPr>
  </w:style>
  <w:style w:type="character" w:customStyle="1" w:styleId="209">
    <w:name w:val="正文文本缩进 2 Char1"/>
    <w:semiHidden/>
    <w:qFormat/>
    <w:uiPriority w:val="0"/>
    <w:rPr>
      <w:sz w:val="20"/>
    </w:rPr>
  </w:style>
  <w:style w:type="character" w:customStyle="1" w:styleId="210">
    <w:name w:val="font61"/>
    <w:qFormat/>
    <w:uiPriority w:val="0"/>
    <w:rPr>
      <w:sz w:val="20"/>
      <w:u w:val="none"/>
    </w:rPr>
  </w:style>
  <w:style w:type="character" w:customStyle="1" w:styleId="211">
    <w:name w:val="纯文本 Char1"/>
    <w:semiHidden/>
    <w:qFormat/>
    <w:uiPriority w:val="0"/>
    <w:rPr>
      <w:sz w:val="20"/>
    </w:rPr>
  </w:style>
  <w:style w:type="character" w:customStyle="1" w:styleId="212">
    <w:name w:val="正文文本 3 Char1"/>
    <w:semiHidden/>
    <w:qFormat/>
    <w:uiPriority w:val="0"/>
    <w:rPr>
      <w:sz w:val="20"/>
    </w:rPr>
  </w:style>
  <w:style w:type="character" w:customStyle="1" w:styleId="213">
    <w:name w:val="正文文本缩进 Char1"/>
    <w:semiHidden/>
    <w:qFormat/>
    <w:uiPriority w:val="0"/>
    <w:rPr>
      <w:sz w:val="20"/>
    </w:rPr>
  </w:style>
  <w:style w:type="character" w:customStyle="1" w:styleId="214">
    <w:name w:val="明显参考1"/>
    <w:qFormat/>
    <w:uiPriority w:val="0"/>
    <w:rPr>
      <w:b/>
      <w:sz w:val="20"/>
    </w:rPr>
  </w:style>
  <w:style w:type="character" w:customStyle="1" w:styleId="215">
    <w:name w:val="apple-converted-space"/>
    <w:qFormat/>
    <w:uiPriority w:val="0"/>
    <w:rPr>
      <w:sz w:val="20"/>
    </w:rPr>
  </w:style>
  <w:style w:type="character" w:customStyle="1" w:styleId="216">
    <w:name w:val="书籍标题1"/>
    <w:qFormat/>
    <w:uiPriority w:val="0"/>
    <w:rPr>
      <w:b/>
      <w:i/>
      <w:sz w:val="20"/>
    </w:rPr>
  </w:style>
  <w:style w:type="character" w:customStyle="1" w:styleId="217">
    <w:name w:val="long_text"/>
    <w:qFormat/>
    <w:uiPriority w:val="0"/>
    <w:rPr>
      <w:sz w:val="20"/>
    </w:rPr>
  </w:style>
  <w:style w:type="character" w:customStyle="1" w:styleId="218">
    <w:name w:val="日期 Char1"/>
    <w:semiHidden/>
    <w:qFormat/>
    <w:uiPriority w:val="0"/>
    <w:rPr>
      <w:sz w:val="20"/>
    </w:rPr>
  </w:style>
  <w:style w:type="character" w:customStyle="1" w:styleId="219">
    <w:name w:val="批注文字 Char1"/>
    <w:semiHidden/>
    <w:qFormat/>
    <w:uiPriority w:val="0"/>
    <w:rPr>
      <w:sz w:val="20"/>
    </w:rPr>
  </w:style>
  <w:style w:type="character" w:customStyle="1" w:styleId="220">
    <w:name w:val="明显强调1"/>
    <w:qFormat/>
    <w:uiPriority w:val="0"/>
    <w:rPr>
      <w:i/>
      <w:sz w:val="20"/>
    </w:rPr>
  </w:style>
  <w:style w:type="character" w:customStyle="1" w:styleId="221">
    <w:name w:val="16"/>
    <w:qFormat/>
    <w:uiPriority w:val="0"/>
    <w:rPr>
      <w:b/>
      <w:color w:val="FF0356"/>
      <w:sz w:val="20"/>
    </w:rPr>
  </w:style>
  <w:style w:type="character" w:customStyle="1" w:styleId="222">
    <w:name w:val="批注主题 Char1"/>
    <w:semiHidden/>
    <w:qFormat/>
    <w:uiPriority w:val="0"/>
    <w:rPr>
      <w:b/>
      <w:sz w:val="20"/>
    </w:rPr>
  </w:style>
  <w:style w:type="character" w:customStyle="1" w:styleId="223">
    <w:name w:val="正文文本 2 Char1"/>
    <w:semiHidden/>
    <w:qFormat/>
    <w:uiPriority w:val="0"/>
    <w:rPr>
      <w:sz w:val="20"/>
    </w:rPr>
  </w:style>
  <w:style w:type="character" w:customStyle="1" w:styleId="224">
    <w:name w:val="font31"/>
    <w:qFormat/>
    <w:uiPriority w:val="0"/>
    <w:rPr>
      <w:color w:val="FF0000"/>
      <w:sz w:val="20"/>
      <w:u w:val="none"/>
      <w:vertAlign w:val="superscript"/>
    </w:rPr>
  </w:style>
  <w:style w:type="character" w:customStyle="1" w:styleId="225">
    <w:name w:val="不明显参考1"/>
    <w:qFormat/>
    <w:uiPriority w:val="0"/>
    <w:rPr>
      <w:sz w:val="20"/>
    </w:rPr>
  </w:style>
  <w:style w:type="character" w:customStyle="1" w:styleId="226">
    <w:name w:val="HTML 预设格式 Char1"/>
    <w:semiHidden/>
    <w:qFormat/>
    <w:uiPriority w:val="0"/>
    <w:rPr>
      <w:sz w:val="20"/>
    </w:rPr>
  </w:style>
  <w:style w:type="character" w:customStyle="1" w:styleId="227">
    <w:name w:val="font01"/>
    <w:basedOn w:val="47"/>
    <w:qFormat/>
    <w:uiPriority w:val="0"/>
    <w:rPr>
      <w:color w:val="FF0000"/>
      <w:sz w:val="20"/>
      <w:u w:val="none"/>
      <w:vertAlign w:val="superscript"/>
    </w:rPr>
  </w:style>
  <w:style w:type="character" w:customStyle="1" w:styleId="228">
    <w:name w:val="页脚 Char1"/>
    <w:semiHidden/>
    <w:qFormat/>
    <w:uiPriority w:val="0"/>
    <w:rPr>
      <w:sz w:val="20"/>
    </w:rPr>
  </w:style>
  <w:style w:type="character" w:customStyle="1" w:styleId="229">
    <w:name w:val="批注框文本 Char1"/>
    <w:semiHidden/>
    <w:qFormat/>
    <w:uiPriority w:val="0"/>
    <w:rPr>
      <w:sz w:val="20"/>
    </w:rPr>
  </w:style>
  <w:style w:type="paragraph" w:customStyle="1" w:styleId="230">
    <w:name w:val="列出段落2"/>
    <w:basedOn w:val="1"/>
    <w:next w:val="231"/>
    <w:qFormat/>
    <w:uiPriority w:val="0"/>
    <w:pPr>
      <w:ind w:firstLine="420"/>
    </w:pPr>
    <w:rPr>
      <w:rFonts w:hAnsi="Calibri"/>
      <w:kern w:val="0"/>
      <w:szCs w:val="20"/>
    </w:rPr>
  </w:style>
  <w:style w:type="paragraph" w:customStyle="1" w:styleId="231">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32">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33">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34">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35">
    <w:name w:val="xl86"/>
    <w:basedOn w:val="1"/>
    <w:next w:val="236"/>
    <w:qFormat/>
    <w:uiPriority w:val="0"/>
    <w:pPr>
      <w:widowControl/>
      <w:shd w:val="clear" w:color="000000" w:fill="FFFFFF"/>
      <w:spacing w:before="280" w:after="280"/>
      <w:jc w:val="center"/>
    </w:pPr>
    <w:rPr>
      <w:rFonts w:ascii="宋体" w:hAnsi="Calibri"/>
      <w:kern w:val="0"/>
      <w:sz w:val="20"/>
      <w:szCs w:val="20"/>
    </w:rPr>
  </w:style>
  <w:style w:type="paragraph" w:customStyle="1" w:styleId="236">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37">
    <w:name w:val="TOC Heading4"/>
    <w:next w:val="1"/>
    <w:qFormat/>
    <w:uiPriority w:val="0"/>
    <w:pPr>
      <w:wordWrap w:val="0"/>
    </w:pPr>
    <w:rPr>
      <w:rFonts w:ascii="Calibri" w:hAnsi="Calibri" w:eastAsia="宋体" w:cs="Times New Roman"/>
      <w:sz w:val="32"/>
      <w:lang w:val="en-US" w:eastAsia="zh-CN" w:bidi="ar-SA"/>
    </w:rPr>
  </w:style>
  <w:style w:type="paragraph" w:customStyle="1" w:styleId="238">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9">
    <w:name w:val="TOC Heading2"/>
    <w:next w:val="1"/>
    <w:qFormat/>
    <w:uiPriority w:val="0"/>
    <w:pPr>
      <w:wordWrap w:val="0"/>
    </w:pPr>
    <w:rPr>
      <w:rFonts w:ascii="Calibri" w:hAnsi="Calibri" w:eastAsia="宋体" w:cs="Times New Roman"/>
      <w:sz w:val="32"/>
      <w:lang w:val="en-US" w:eastAsia="zh-CN" w:bidi="ar-SA"/>
    </w:rPr>
  </w:style>
  <w:style w:type="paragraph" w:customStyle="1" w:styleId="240">
    <w:name w:val="TOC Heading1"/>
    <w:next w:val="1"/>
    <w:qFormat/>
    <w:uiPriority w:val="0"/>
    <w:pPr>
      <w:wordWrap w:val="0"/>
    </w:pPr>
    <w:rPr>
      <w:rFonts w:ascii="Calibri" w:hAnsi="Calibri" w:eastAsia="宋体" w:cs="Times New Roman"/>
      <w:sz w:val="32"/>
      <w:lang w:val="en-US" w:eastAsia="zh-CN" w:bidi="ar-SA"/>
    </w:rPr>
  </w:style>
  <w:style w:type="paragraph" w:customStyle="1" w:styleId="241">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42">
    <w:name w:val="font7"/>
    <w:basedOn w:val="1"/>
    <w:next w:val="243"/>
    <w:qFormat/>
    <w:uiPriority w:val="0"/>
    <w:pPr>
      <w:widowControl/>
      <w:spacing w:before="280" w:after="280"/>
    </w:pPr>
    <w:rPr>
      <w:rFonts w:ascii="Arial" w:hAnsi="Calibri"/>
      <w:kern w:val="0"/>
      <w:sz w:val="18"/>
      <w:szCs w:val="20"/>
    </w:rPr>
  </w:style>
  <w:style w:type="paragraph" w:customStyle="1" w:styleId="243">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44">
    <w:name w:val="xl113"/>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Heading10"/>
    <w:next w:val="1"/>
    <w:qFormat/>
    <w:uiPriority w:val="0"/>
    <w:pPr>
      <w:wordWrap w:val="0"/>
    </w:pPr>
    <w:rPr>
      <w:rFonts w:ascii="Calibri" w:hAnsi="Calibri" w:eastAsia="宋体" w:cs="Times New Roman"/>
      <w:sz w:val="32"/>
      <w:lang w:val="en-US" w:eastAsia="zh-CN" w:bidi="ar-SA"/>
    </w:rPr>
  </w:style>
  <w:style w:type="paragraph" w:customStyle="1" w:styleId="246">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47">
    <w:name w:val="xl73"/>
    <w:basedOn w:val="1"/>
    <w:next w:val="248"/>
    <w:qFormat/>
    <w:uiPriority w:val="0"/>
    <w:pPr>
      <w:widowControl/>
      <w:shd w:val="clear" w:color="000000" w:fill="FFFFFF"/>
      <w:spacing w:before="280" w:after="280"/>
      <w:jc w:val="center"/>
    </w:pPr>
    <w:rPr>
      <w:rFonts w:ascii="宋体" w:hAnsi="Calibri"/>
      <w:kern w:val="0"/>
      <w:sz w:val="20"/>
      <w:szCs w:val="20"/>
    </w:rPr>
  </w:style>
  <w:style w:type="paragraph" w:customStyle="1" w:styleId="248">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9">
    <w:name w:val="xl79"/>
    <w:basedOn w:val="1"/>
    <w:next w:val="250"/>
    <w:qFormat/>
    <w:uiPriority w:val="0"/>
    <w:pPr>
      <w:widowControl/>
      <w:shd w:val="clear" w:color="000000" w:fill="FFFFFF"/>
      <w:spacing w:before="280" w:after="280"/>
    </w:pPr>
    <w:rPr>
      <w:rFonts w:ascii="宋体" w:hAnsi="Calibri"/>
      <w:b/>
      <w:kern w:val="0"/>
      <w:sz w:val="20"/>
      <w:szCs w:val="20"/>
    </w:rPr>
  </w:style>
  <w:style w:type="paragraph" w:customStyle="1" w:styleId="250">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51">
    <w:name w:val="toc 11"/>
    <w:next w:val="1"/>
    <w:qFormat/>
    <w:uiPriority w:val="0"/>
    <w:pPr>
      <w:wordWrap w:val="0"/>
      <w:jc w:val="both"/>
    </w:pPr>
    <w:rPr>
      <w:rFonts w:ascii="Calibri" w:hAnsi="Calibri" w:eastAsia="宋体" w:cs="Times New Roman"/>
      <w:sz w:val="21"/>
      <w:lang w:val="en-US" w:eastAsia="zh-CN" w:bidi="ar-SA"/>
    </w:rPr>
  </w:style>
  <w:style w:type="paragraph" w:customStyle="1" w:styleId="252">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53">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54">
    <w:name w:val="xl112"/>
    <w:basedOn w:val="1"/>
    <w:next w:val="253"/>
    <w:qFormat/>
    <w:uiPriority w:val="0"/>
    <w:pPr>
      <w:widowControl/>
      <w:shd w:val="clear" w:color="000000" w:fill="FFFFFF"/>
      <w:spacing w:before="280" w:after="280"/>
      <w:jc w:val="center"/>
    </w:pPr>
    <w:rPr>
      <w:rFonts w:ascii="宋体" w:hAnsi="Calibri"/>
      <w:b/>
      <w:kern w:val="0"/>
      <w:sz w:val="20"/>
      <w:szCs w:val="20"/>
    </w:rPr>
  </w:style>
  <w:style w:type="paragraph" w:customStyle="1" w:styleId="255">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56">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57">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8">
    <w:name w:val="xl74"/>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61">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62">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63">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列出段落5"/>
    <w:basedOn w:val="1"/>
    <w:next w:val="265"/>
    <w:qFormat/>
    <w:uiPriority w:val="0"/>
    <w:pPr>
      <w:ind w:firstLine="420"/>
    </w:pPr>
    <w:rPr>
      <w:rFonts w:hAnsi="Calibri"/>
      <w:kern w:val="0"/>
      <w:szCs w:val="20"/>
    </w:rPr>
  </w:style>
  <w:style w:type="paragraph" w:customStyle="1" w:styleId="265">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66">
    <w:name w:val="xl66"/>
    <w:basedOn w:val="1"/>
    <w:next w:val="267"/>
    <w:qFormat/>
    <w:uiPriority w:val="0"/>
    <w:pPr>
      <w:widowControl/>
      <w:shd w:val="clear" w:color="000000" w:fill="FFFFFF"/>
      <w:spacing w:before="280" w:after="280"/>
    </w:pPr>
    <w:rPr>
      <w:rFonts w:ascii="宋体" w:hAnsi="Calibri"/>
      <w:kern w:val="0"/>
      <w:sz w:val="20"/>
      <w:szCs w:val="20"/>
    </w:rPr>
  </w:style>
  <w:style w:type="paragraph" w:customStyle="1" w:styleId="267">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3"/>
    <w:next w:val="1"/>
    <w:qFormat/>
    <w:uiPriority w:val="0"/>
    <w:pPr>
      <w:wordWrap w:val="0"/>
    </w:pPr>
    <w:rPr>
      <w:rFonts w:ascii="Calibri" w:hAnsi="Calibri" w:eastAsia="宋体" w:cs="Times New Roman"/>
      <w:sz w:val="32"/>
      <w:lang w:val="en-US" w:eastAsia="zh-CN" w:bidi="ar-SA"/>
    </w:rPr>
  </w:style>
  <w:style w:type="paragraph" w:customStyle="1" w:styleId="269">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70">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71">
    <w:name w:val="xl84"/>
    <w:basedOn w:val="1"/>
    <w:next w:val="272"/>
    <w:qFormat/>
    <w:uiPriority w:val="0"/>
    <w:pPr>
      <w:widowControl/>
      <w:shd w:val="clear" w:color="000000" w:fill="FFFFFF"/>
      <w:spacing w:before="280" w:after="280"/>
      <w:jc w:val="center"/>
    </w:pPr>
    <w:rPr>
      <w:rFonts w:ascii="宋体" w:hAnsi="Calibri"/>
      <w:kern w:val="0"/>
      <w:sz w:val="20"/>
      <w:szCs w:val="20"/>
    </w:rPr>
  </w:style>
  <w:style w:type="paragraph" w:customStyle="1" w:styleId="272">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73">
    <w:name w:val="xl81"/>
    <w:basedOn w:val="1"/>
    <w:next w:val="274"/>
    <w:qFormat/>
    <w:uiPriority w:val="0"/>
    <w:pPr>
      <w:widowControl/>
      <w:shd w:val="clear" w:color="000000" w:fill="FFFFFF"/>
      <w:spacing w:before="280" w:after="280"/>
    </w:pPr>
    <w:rPr>
      <w:rFonts w:ascii="宋体" w:hAnsi="Calibri"/>
      <w:kern w:val="0"/>
      <w:sz w:val="20"/>
      <w:szCs w:val="20"/>
    </w:rPr>
  </w:style>
  <w:style w:type="paragraph" w:customStyle="1" w:styleId="274">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75">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76">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77">
    <w:name w:val="TOC Heading12"/>
    <w:next w:val="1"/>
    <w:qFormat/>
    <w:uiPriority w:val="0"/>
    <w:pPr>
      <w:wordWrap w:val="0"/>
    </w:pPr>
    <w:rPr>
      <w:rFonts w:ascii="Calibri" w:hAnsi="Calibri" w:eastAsia="宋体" w:cs="Times New Roman"/>
      <w:sz w:val="32"/>
      <w:lang w:val="en-US" w:eastAsia="zh-CN" w:bidi="ar-SA"/>
    </w:rPr>
  </w:style>
  <w:style w:type="paragraph" w:customStyle="1" w:styleId="278">
    <w:name w:val="TOC Heading8"/>
    <w:next w:val="1"/>
    <w:qFormat/>
    <w:uiPriority w:val="0"/>
    <w:pPr>
      <w:wordWrap w:val="0"/>
    </w:pPr>
    <w:rPr>
      <w:rFonts w:ascii="Calibri" w:hAnsi="Calibri" w:eastAsia="宋体" w:cs="Times New Roman"/>
      <w:sz w:val="32"/>
      <w:lang w:val="en-US" w:eastAsia="zh-CN" w:bidi="ar-SA"/>
    </w:rPr>
  </w:style>
  <w:style w:type="paragraph" w:customStyle="1" w:styleId="279">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80">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81">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82">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83">
    <w:name w:val="xl116"/>
    <w:basedOn w:val="1"/>
    <w:next w:val="284"/>
    <w:qFormat/>
    <w:uiPriority w:val="0"/>
    <w:pPr>
      <w:widowControl/>
      <w:shd w:val="clear" w:color="000000" w:fill="FFFFFF"/>
      <w:spacing w:before="280" w:after="280"/>
      <w:jc w:val="center"/>
    </w:pPr>
    <w:rPr>
      <w:rFonts w:ascii="Arial Narrow" w:hAnsi="Calibri"/>
      <w:kern w:val="0"/>
      <w:sz w:val="20"/>
      <w:szCs w:val="20"/>
    </w:rPr>
  </w:style>
  <w:style w:type="paragraph" w:customStyle="1" w:styleId="284">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85">
    <w:name w:val="font8"/>
    <w:basedOn w:val="1"/>
    <w:next w:val="286"/>
    <w:qFormat/>
    <w:uiPriority w:val="0"/>
    <w:pPr>
      <w:widowControl/>
      <w:spacing w:before="280" w:after="280"/>
    </w:pPr>
    <w:rPr>
      <w:rFonts w:ascii="Arial" w:hAnsi="Calibri"/>
      <w:kern w:val="0"/>
      <w:sz w:val="20"/>
      <w:szCs w:val="20"/>
    </w:rPr>
  </w:style>
  <w:style w:type="paragraph" w:customStyle="1" w:styleId="286">
    <w:name w:val="TOC Heading11"/>
    <w:next w:val="1"/>
    <w:qFormat/>
    <w:uiPriority w:val="0"/>
    <w:pPr>
      <w:wordWrap w:val="0"/>
    </w:pPr>
    <w:rPr>
      <w:rFonts w:ascii="Calibri" w:hAnsi="Calibri" w:eastAsia="宋体" w:cs="Times New Roman"/>
      <w:sz w:val="32"/>
      <w:lang w:val="en-US" w:eastAsia="zh-CN" w:bidi="ar-SA"/>
    </w:rPr>
  </w:style>
  <w:style w:type="paragraph" w:customStyle="1" w:styleId="287">
    <w:name w:val="xl69"/>
    <w:basedOn w:val="1"/>
    <w:next w:val="288"/>
    <w:qFormat/>
    <w:uiPriority w:val="0"/>
    <w:pPr>
      <w:widowControl/>
      <w:shd w:val="clear" w:color="000000" w:fill="FFFFFF"/>
      <w:spacing w:before="280" w:after="280"/>
    </w:pPr>
    <w:rPr>
      <w:rFonts w:ascii="宋体" w:hAnsi="Calibri"/>
      <w:b/>
      <w:kern w:val="0"/>
      <w:sz w:val="20"/>
      <w:szCs w:val="20"/>
    </w:rPr>
  </w:style>
  <w:style w:type="paragraph" w:customStyle="1" w:styleId="288">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9">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90">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91">
    <w:name w:val="列出段落3"/>
    <w:basedOn w:val="1"/>
    <w:next w:val="292"/>
    <w:qFormat/>
    <w:uiPriority w:val="0"/>
    <w:pPr>
      <w:ind w:firstLine="420"/>
    </w:pPr>
    <w:rPr>
      <w:rFonts w:hAnsi="Calibri"/>
      <w:kern w:val="0"/>
      <w:szCs w:val="20"/>
    </w:rPr>
  </w:style>
  <w:style w:type="paragraph" w:customStyle="1" w:styleId="292">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标题1"/>
    <w:next w:val="1"/>
    <w:qFormat/>
    <w:uiPriority w:val="0"/>
    <w:pPr>
      <w:wordWrap w:val="0"/>
    </w:pPr>
    <w:rPr>
      <w:rFonts w:ascii="Calibri" w:hAnsi="Calibri" w:eastAsia="宋体" w:cs="Times New Roman"/>
      <w:sz w:val="32"/>
      <w:lang w:val="en-US" w:eastAsia="zh-CN" w:bidi="ar-SA"/>
    </w:rPr>
  </w:style>
  <w:style w:type="paragraph" w:customStyle="1" w:styleId="294">
    <w:name w:val="TOC Heading5"/>
    <w:next w:val="1"/>
    <w:qFormat/>
    <w:uiPriority w:val="0"/>
    <w:pPr>
      <w:wordWrap w:val="0"/>
    </w:pPr>
    <w:rPr>
      <w:rFonts w:ascii="Calibri" w:hAnsi="Calibri" w:eastAsia="宋体" w:cs="Times New Roman"/>
      <w:sz w:val="32"/>
      <w:lang w:val="en-US" w:eastAsia="zh-CN" w:bidi="ar-SA"/>
    </w:rPr>
  </w:style>
  <w:style w:type="paragraph" w:customStyle="1" w:styleId="295">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96">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97">
    <w:name w:val="xl115"/>
    <w:basedOn w:val="1"/>
    <w:next w:val="298"/>
    <w:qFormat/>
    <w:uiPriority w:val="0"/>
    <w:pPr>
      <w:widowControl/>
      <w:shd w:val="clear" w:color="000000" w:fill="FFFFFF"/>
      <w:spacing w:before="280" w:after="280"/>
      <w:jc w:val="center"/>
    </w:pPr>
    <w:rPr>
      <w:rFonts w:ascii="宋体" w:hAnsi="Calibri"/>
      <w:b/>
      <w:kern w:val="0"/>
      <w:sz w:val="20"/>
      <w:szCs w:val="20"/>
    </w:rPr>
  </w:style>
  <w:style w:type="paragraph" w:customStyle="1" w:styleId="298">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9">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300">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301">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302">
    <w:name w:val="xl93"/>
    <w:basedOn w:val="1"/>
    <w:next w:val="303"/>
    <w:qFormat/>
    <w:uiPriority w:val="0"/>
    <w:pPr>
      <w:widowControl/>
      <w:shd w:val="clear" w:color="000000" w:fill="FFFFFF"/>
      <w:spacing w:before="280" w:after="280"/>
      <w:jc w:val="center"/>
    </w:pPr>
    <w:rPr>
      <w:rFonts w:ascii="宋体" w:hAnsi="Calibri"/>
      <w:kern w:val="0"/>
      <w:sz w:val="20"/>
      <w:szCs w:val="20"/>
    </w:rPr>
  </w:style>
  <w:style w:type="paragraph" w:customStyle="1" w:styleId="303">
    <w:name w:val="toc 112"/>
    <w:next w:val="1"/>
    <w:qFormat/>
    <w:uiPriority w:val="0"/>
    <w:pPr>
      <w:wordWrap w:val="0"/>
      <w:jc w:val="both"/>
    </w:pPr>
    <w:rPr>
      <w:rFonts w:ascii="Calibri" w:hAnsi="Calibri" w:eastAsia="宋体" w:cs="Times New Roman"/>
      <w:sz w:val="21"/>
      <w:lang w:val="en-US" w:eastAsia="zh-CN" w:bidi="ar-SA"/>
    </w:rPr>
  </w:style>
  <w:style w:type="paragraph" w:customStyle="1" w:styleId="304">
    <w:name w:val="xl96"/>
    <w:basedOn w:val="1"/>
    <w:next w:val="255"/>
    <w:qFormat/>
    <w:uiPriority w:val="0"/>
    <w:pPr>
      <w:widowControl/>
      <w:shd w:val="clear" w:color="000000" w:fill="FFFFFF"/>
      <w:spacing w:before="280" w:after="280"/>
      <w:jc w:val="center"/>
    </w:pPr>
    <w:rPr>
      <w:rFonts w:ascii="宋体" w:hAnsi="Calibri"/>
      <w:kern w:val="0"/>
      <w:sz w:val="20"/>
      <w:szCs w:val="20"/>
    </w:rPr>
  </w:style>
  <w:style w:type="paragraph" w:customStyle="1" w:styleId="305">
    <w:name w:val="xl106"/>
    <w:basedOn w:val="1"/>
    <w:next w:val="289"/>
    <w:qFormat/>
    <w:uiPriority w:val="0"/>
    <w:pPr>
      <w:widowControl/>
      <w:shd w:val="clear" w:color="000000" w:fill="FFFFFF"/>
      <w:spacing w:before="280" w:after="280"/>
    </w:pPr>
    <w:rPr>
      <w:rFonts w:ascii="宋体" w:hAnsi="Calibri"/>
      <w:kern w:val="0"/>
      <w:sz w:val="20"/>
      <w:szCs w:val="20"/>
    </w:rPr>
  </w:style>
  <w:style w:type="paragraph" w:customStyle="1" w:styleId="306">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307">
    <w:name w:val="TOC Heading14"/>
    <w:next w:val="1"/>
    <w:qFormat/>
    <w:uiPriority w:val="0"/>
    <w:pPr>
      <w:wordWrap w:val="0"/>
    </w:pPr>
    <w:rPr>
      <w:rFonts w:ascii="Calibri" w:hAnsi="Calibri" w:eastAsia="宋体" w:cs="Times New Roman"/>
      <w:sz w:val="32"/>
      <w:lang w:val="en-US" w:eastAsia="zh-CN" w:bidi="ar-SA"/>
    </w:rPr>
  </w:style>
  <w:style w:type="paragraph" w:customStyle="1" w:styleId="308">
    <w:name w:val="Char Char Char Char Char Char Char1"/>
    <w:basedOn w:val="1"/>
    <w:next w:val="309"/>
    <w:qFormat/>
    <w:uiPriority w:val="0"/>
    <w:pPr>
      <w:widowControl/>
      <w:spacing w:after="160" w:line="240" w:lineRule="exact"/>
    </w:pPr>
    <w:rPr>
      <w:rFonts w:hAnsi="Calibri"/>
      <w:kern w:val="0"/>
      <w:szCs w:val="20"/>
    </w:rPr>
  </w:style>
  <w:style w:type="paragraph" w:customStyle="1" w:styleId="309">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10">
    <w:name w:val="列出段落4"/>
    <w:basedOn w:val="1"/>
    <w:next w:val="311"/>
    <w:qFormat/>
    <w:uiPriority w:val="0"/>
    <w:pPr>
      <w:ind w:firstLine="420"/>
    </w:pPr>
    <w:rPr>
      <w:rFonts w:hAnsi="Calibri"/>
      <w:kern w:val="0"/>
      <w:szCs w:val="20"/>
    </w:rPr>
  </w:style>
  <w:style w:type="paragraph" w:customStyle="1" w:styleId="311">
    <w:name w:val="TOC Heading9"/>
    <w:next w:val="1"/>
    <w:qFormat/>
    <w:uiPriority w:val="0"/>
    <w:pPr>
      <w:wordWrap w:val="0"/>
    </w:pPr>
    <w:rPr>
      <w:rFonts w:ascii="Calibri" w:hAnsi="Calibri" w:eastAsia="宋体" w:cs="Times New Roman"/>
      <w:sz w:val="32"/>
      <w:lang w:val="en-US" w:eastAsia="zh-CN" w:bidi="ar-SA"/>
    </w:rPr>
  </w:style>
  <w:style w:type="paragraph" w:customStyle="1" w:styleId="312">
    <w:name w:val="xl71"/>
    <w:basedOn w:val="1"/>
    <w:next w:val="313"/>
    <w:qFormat/>
    <w:uiPriority w:val="0"/>
    <w:pPr>
      <w:widowControl/>
      <w:shd w:val="clear" w:color="000000" w:fill="FFFFFF"/>
      <w:spacing w:before="280" w:after="280"/>
    </w:pPr>
    <w:rPr>
      <w:rFonts w:ascii="宋体" w:hAnsi="Calibri"/>
      <w:kern w:val="0"/>
      <w:sz w:val="24"/>
      <w:szCs w:val="20"/>
    </w:rPr>
  </w:style>
  <w:style w:type="paragraph" w:customStyle="1" w:styleId="313">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14">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15">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16">
    <w:name w:val="xl108"/>
    <w:basedOn w:val="1"/>
    <w:next w:val="317"/>
    <w:qFormat/>
    <w:uiPriority w:val="0"/>
    <w:pPr>
      <w:widowControl/>
      <w:shd w:val="clear" w:color="000000" w:fill="FFFFFF"/>
      <w:spacing w:before="280" w:after="280"/>
    </w:pPr>
    <w:rPr>
      <w:rFonts w:ascii="宋体" w:hAnsi="Calibri"/>
      <w:kern w:val="0"/>
      <w:sz w:val="18"/>
      <w:szCs w:val="20"/>
    </w:rPr>
  </w:style>
  <w:style w:type="paragraph" w:customStyle="1" w:styleId="317">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8">
    <w:name w:val="TOC Heading7"/>
    <w:next w:val="1"/>
    <w:qFormat/>
    <w:uiPriority w:val="0"/>
    <w:pPr>
      <w:wordWrap w:val="0"/>
    </w:pPr>
    <w:rPr>
      <w:rFonts w:ascii="Calibri" w:hAnsi="Calibri" w:eastAsia="宋体" w:cs="Times New Roman"/>
      <w:sz w:val="32"/>
      <w:lang w:val="en-US" w:eastAsia="zh-CN" w:bidi="ar-SA"/>
    </w:rPr>
  </w:style>
  <w:style w:type="character" w:customStyle="1" w:styleId="319">
    <w:name w:val="副标题 Char"/>
    <w:basedOn w:val="47"/>
    <w:link w:val="32"/>
    <w:qFormat/>
    <w:uiPriority w:val="0"/>
    <w:rPr>
      <w:rFonts w:ascii="Calibri" w:hAnsi="Calibri"/>
      <w:sz w:val="24"/>
    </w:rPr>
  </w:style>
  <w:style w:type="paragraph" w:customStyle="1" w:styleId="320">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23">
    <w:name w:val="列出段落6"/>
    <w:basedOn w:val="1"/>
    <w:next w:val="324"/>
    <w:qFormat/>
    <w:uiPriority w:val="0"/>
    <w:pPr>
      <w:ind w:firstLine="420"/>
    </w:pPr>
    <w:rPr>
      <w:rFonts w:hAnsi="Calibri"/>
      <w:kern w:val="0"/>
      <w:szCs w:val="20"/>
    </w:rPr>
  </w:style>
  <w:style w:type="paragraph" w:customStyle="1" w:styleId="324">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25">
    <w:name w:val="xl80"/>
    <w:basedOn w:val="1"/>
    <w:next w:val="326"/>
    <w:qFormat/>
    <w:uiPriority w:val="0"/>
    <w:pPr>
      <w:widowControl/>
      <w:shd w:val="clear" w:color="000000" w:fill="FFFFFF"/>
      <w:spacing w:before="280" w:after="280"/>
      <w:jc w:val="center"/>
    </w:pPr>
    <w:rPr>
      <w:rFonts w:ascii="宋体" w:hAnsi="Calibri"/>
      <w:b/>
      <w:kern w:val="0"/>
      <w:sz w:val="20"/>
      <w:szCs w:val="20"/>
    </w:rPr>
  </w:style>
  <w:style w:type="paragraph" w:customStyle="1" w:styleId="326">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27">
    <w:name w:val="Char Char Char Char1"/>
    <w:basedOn w:val="1"/>
    <w:next w:val="328"/>
    <w:qFormat/>
    <w:uiPriority w:val="0"/>
    <w:pPr>
      <w:widowControl/>
      <w:spacing w:after="160" w:line="240" w:lineRule="exact"/>
    </w:pPr>
    <w:rPr>
      <w:rFonts w:ascii="Verdana" w:hAnsi="Calibri" w:eastAsia="仿宋_GB2312"/>
      <w:kern w:val="0"/>
      <w:sz w:val="24"/>
      <w:szCs w:val="20"/>
    </w:rPr>
  </w:style>
  <w:style w:type="paragraph" w:customStyle="1" w:styleId="328">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9">
    <w:name w:val="xl102"/>
    <w:basedOn w:val="1"/>
    <w:next w:val="330"/>
    <w:qFormat/>
    <w:uiPriority w:val="0"/>
    <w:pPr>
      <w:widowControl/>
      <w:shd w:val="clear" w:color="000000" w:fill="FFFFFF"/>
      <w:spacing w:before="280" w:after="280"/>
      <w:jc w:val="right"/>
    </w:pPr>
    <w:rPr>
      <w:rFonts w:ascii="宋体" w:hAnsi="Calibri"/>
      <w:kern w:val="0"/>
      <w:sz w:val="20"/>
      <w:szCs w:val="20"/>
    </w:rPr>
  </w:style>
  <w:style w:type="paragraph" w:customStyle="1" w:styleId="330">
    <w:name w:val="toc 17"/>
    <w:next w:val="1"/>
    <w:qFormat/>
    <w:uiPriority w:val="0"/>
    <w:pPr>
      <w:wordWrap w:val="0"/>
      <w:jc w:val="both"/>
    </w:pPr>
    <w:rPr>
      <w:rFonts w:ascii="Calibri" w:hAnsi="Calibri" w:eastAsia="宋体" w:cs="Times New Roman"/>
      <w:sz w:val="21"/>
      <w:lang w:val="en-US" w:eastAsia="zh-CN" w:bidi="ar-SA"/>
    </w:rPr>
  </w:style>
  <w:style w:type="paragraph" w:customStyle="1" w:styleId="331">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32">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33">
    <w:name w:val="xl65"/>
    <w:basedOn w:val="1"/>
    <w:next w:val="234"/>
    <w:qFormat/>
    <w:uiPriority w:val="0"/>
    <w:pPr>
      <w:widowControl/>
      <w:shd w:val="clear" w:color="000000" w:fill="FFFFFF"/>
      <w:spacing w:before="280" w:after="280"/>
      <w:jc w:val="center"/>
    </w:pPr>
    <w:rPr>
      <w:rFonts w:ascii="宋体" w:hAnsi="Calibri"/>
      <w:kern w:val="0"/>
      <w:sz w:val="20"/>
      <w:szCs w:val="20"/>
    </w:rPr>
  </w:style>
  <w:style w:type="paragraph" w:customStyle="1" w:styleId="334">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35">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36">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37">
    <w:name w:val="xl75"/>
    <w:basedOn w:val="1"/>
    <w:next w:val="338"/>
    <w:qFormat/>
    <w:uiPriority w:val="0"/>
    <w:pPr>
      <w:widowControl/>
      <w:shd w:val="clear" w:color="000000" w:fill="FFFFFF"/>
      <w:spacing w:before="280" w:after="280"/>
    </w:pPr>
    <w:rPr>
      <w:rFonts w:ascii="宋体" w:hAnsi="Calibri"/>
      <w:kern w:val="0"/>
      <w:sz w:val="20"/>
      <w:szCs w:val="20"/>
    </w:rPr>
  </w:style>
  <w:style w:type="paragraph" w:customStyle="1" w:styleId="338">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9">
    <w:name w:val="toc 19"/>
    <w:next w:val="1"/>
    <w:qFormat/>
    <w:uiPriority w:val="0"/>
    <w:pPr>
      <w:wordWrap w:val="0"/>
      <w:jc w:val="both"/>
    </w:pPr>
    <w:rPr>
      <w:rFonts w:ascii="Calibri" w:hAnsi="Calibri" w:eastAsia="宋体" w:cs="Times New Roman"/>
      <w:sz w:val="21"/>
      <w:lang w:val="en-US" w:eastAsia="zh-CN" w:bidi="ar-SA"/>
    </w:rPr>
  </w:style>
  <w:style w:type="paragraph" w:customStyle="1" w:styleId="340">
    <w:name w:val="TOC Heading6"/>
    <w:next w:val="1"/>
    <w:qFormat/>
    <w:uiPriority w:val="0"/>
    <w:pPr>
      <w:wordWrap w:val="0"/>
    </w:pPr>
    <w:rPr>
      <w:rFonts w:ascii="Calibri" w:hAnsi="Calibri" w:eastAsia="宋体" w:cs="Times New Roman"/>
      <w:sz w:val="32"/>
      <w:lang w:val="en-US" w:eastAsia="zh-CN" w:bidi="ar-SA"/>
    </w:rPr>
  </w:style>
  <w:style w:type="paragraph" w:customStyle="1" w:styleId="341">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42">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43">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44">
    <w:name w:val="xl104"/>
    <w:basedOn w:val="1"/>
    <w:next w:val="345"/>
    <w:qFormat/>
    <w:uiPriority w:val="0"/>
    <w:pPr>
      <w:widowControl/>
      <w:shd w:val="clear" w:color="000000" w:fill="FFFFFF"/>
      <w:spacing w:before="280" w:after="280"/>
      <w:jc w:val="center"/>
    </w:pPr>
    <w:rPr>
      <w:rFonts w:ascii="宋体" w:hAnsi="Calibri"/>
      <w:kern w:val="0"/>
      <w:sz w:val="20"/>
      <w:szCs w:val="20"/>
    </w:rPr>
  </w:style>
  <w:style w:type="paragraph" w:customStyle="1" w:styleId="345">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46">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47">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8">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50">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51">
    <w:name w:val="无间隔1"/>
    <w:next w:val="346"/>
    <w:qFormat/>
    <w:uiPriority w:val="0"/>
    <w:pPr>
      <w:widowControl w:val="0"/>
      <w:jc w:val="both"/>
    </w:pPr>
    <w:rPr>
      <w:rFonts w:ascii="Calibri" w:hAnsi="Calibri" w:eastAsia="宋体" w:cs="Times New Roman"/>
      <w:sz w:val="22"/>
      <w:lang w:val="en-US" w:eastAsia="zh-CN" w:bidi="ar-SA"/>
    </w:rPr>
  </w:style>
  <w:style w:type="paragraph" w:customStyle="1" w:styleId="352">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3">
    <w:name w:val="xl105"/>
    <w:basedOn w:val="1"/>
    <w:next w:val="354"/>
    <w:qFormat/>
    <w:uiPriority w:val="0"/>
    <w:pPr>
      <w:widowControl/>
      <w:shd w:val="clear" w:color="000000" w:fill="FFFFFF"/>
      <w:spacing w:before="280" w:after="280"/>
    </w:pPr>
    <w:rPr>
      <w:rFonts w:ascii="宋体" w:hAnsi="Calibri"/>
      <w:kern w:val="0"/>
      <w:sz w:val="18"/>
      <w:szCs w:val="20"/>
    </w:rPr>
  </w:style>
  <w:style w:type="paragraph" w:customStyle="1" w:styleId="354">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6">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57">
    <w:name w:val="xl111"/>
    <w:basedOn w:val="1"/>
    <w:next w:val="358"/>
    <w:qFormat/>
    <w:uiPriority w:val="0"/>
    <w:pPr>
      <w:widowControl/>
      <w:shd w:val="clear" w:color="000000" w:fill="FFFFFF"/>
      <w:spacing w:before="280" w:after="280"/>
      <w:jc w:val="center"/>
    </w:pPr>
    <w:rPr>
      <w:rFonts w:ascii="宋体" w:hAnsi="Calibri"/>
      <w:b/>
      <w:kern w:val="0"/>
      <w:sz w:val="20"/>
      <w:szCs w:val="20"/>
    </w:rPr>
  </w:style>
  <w:style w:type="paragraph" w:customStyle="1" w:styleId="358">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9">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60">
    <w:name w:val="p0"/>
    <w:basedOn w:val="1"/>
    <w:next w:val="361"/>
    <w:qFormat/>
    <w:uiPriority w:val="0"/>
    <w:pPr>
      <w:widowControl/>
      <w:spacing w:before="280" w:after="280"/>
    </w:pPr>
    <w:rPr>
      <w:rFonts w:ascii="宋体" w:hAnsi="Calibri"/>
      <w:kern w:val="0"/>
      <w:sz w:val="24"/>
      <w:szCs w:val="20"/>
    </w:rPr>
  </w:style>
  <w:style w:type="paragraph" w:customStyle="1" w:styleId="361">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62">
    <w:name w:val="列出段落11"/>
    <w:basedOn w:val="1"/>
    <w:next w:val="363"/>
    <w:qFormat/>
    <w:uiPriority w:val="0"/>
    <w:pPr>
      <w:widowControl/>
      <w:spacing w:line="360" w:lineRule="auto"/>
      <w:ind w:firstLine="420"/>
    </w:pPr>
    <w:rPr>
      <w:rFonts w:hAnsi="Calibri" w:eastAsia="微软雅黑"/>
      <w:kern w:val="0"/>
      <w:sz w:val="24"/>
      <w:szCs w:val="20"/>
    </w:rPr>
  </w:style>
  <w:style w:type="paragraph" w:customStyle="1" w:styleId="363">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64">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65">
    <w:name w:val="xl91"/>
    <w:basedOn w:val="1"/>
    <w:next w:val="262"/>
    <w:qFormat/>
    <w:uiPriority w:val="0"/>
    <w:pPr>
      <w:widowControl/>
      <w:shd w:val="clear" w:color="000000" w:fill="FFFFFF"/>
      <w:spacing w:before="280" w:after="280"/>
    </w:pPr>
    <w:rPr>
      <w:rFonts w:ascii="宋体" w:hAnsi="Calibri"/>
      <w:kern w:val="0"/>
      <w:sz w:val="20"/>
      <w:szCs w:val="20"/>
    </w:rPr>
  </w:style>
  <w:style w:type="paragraph" w:customStyle="1" w:styleId="366">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67">
    <w:name w:val="_Style 1"/>
    <w:basedOn w:val="1"/>
    <w:next w:val="368"/>
    <w:qFormat/>
    <w:uiPriority w:val="0"/>
    <w:pPr>
      <w:ind w:firstLine="420"/>
    </w:pPr>
    <w:rPr>
      <w:rFonts w:hAnsi="Calibri"/>
      <w:kern w:val="0"/>
      <w:szCs w:val="20"/>
    </w:rPr>
  </w:style>
  <w:style w:type="paragraph" w:customStyle="1" w:styleId="368">
    <w:name w:val="TOC Heading13"/>
    <w:next w:val="1"/>
    <w:qFormat/>
    <w:uiPriority w:val="0"/>
    <w:pPr>
      <w:wordWrap w:val="0"/>
    </w:pPr>
    <w:rPr>
      <w:rFonts w:ascii="Calibri" w:hAnsi="Calibri" w:eastAsia="宋体" w:cs="Times New Roman"/>
      <w:sz w:val="32"/>
      <w:lang w:val="en-US" w:eastAsia="zh-CN" w:bidi="ar-SA"/>
    </w:rPr>
  </w:style>
  <w:style w:type="paragraph" w:customStyle="1" w:styleId="369">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70">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71">
    <w:name w:val="x_msonormal"/>
    <w:basedOn w:val="1"/>
    <w:next w:val="321"/>
    <w:qFormat/>
    <w:uiPriority w:val="0"/>
    <w:pPr>
      <w:widowControl/>
      <w:spacing w:before="280" w:after="280"/>
    </w:pPr>
    <w:rPr>
      <w:rFonts w:ascii="PMingLiU" w:hAnsi="Calibri" w:eastAsia="PMingLiU"/>
      <w:kern w:val="0"/>
      <w:sz w:val="24"/>
      <w:szCs w:val="20"/>
    </w:rPr>
  </w:style>
  <w:style w:type="paragraph" w:customStyle="1" w:styleId="372">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73">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74">
    <w:name w:val="TOC Heading17"/>
    <w:next w:val="1"/>
    <w:qFormat/>
    <w:uiPriority w:val="0"/>
    <w:pPr>
      <w:wordWrap w:val="0"/>
    </w:pPr>
    <w:rPr>
      <w:rFonts w:ascii="Calibri" w:hAnsi="Calibri" w:eastAsia="宋体" w:cs="Times New Roman"/>
      <w:sz w:val="32"/>
      <w:lang w:val="en-US" w:eastAsia="zh-CN" w:bidi="ar-SA"/>
    </w:rPr>
  </w:style>
  <w:style w:type="paragraph" w:customStyle="1" w:styleId="375">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76">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77">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8">
    <w:name w:val="xl118"/>
    <w:basedOn w:val="1"/>
    <w:next w:val="252"/>
    <w:qFormat/>
    <w:uiPriority w:val="0"/>
    <w:pPr>
      <w:widowControl/>
      <w:shd w:val="clear" w:color="000000" w:fill="FFFFFF"/>
      <w:spacing w:before="280" w:after="280"/>
      <w:jc w:val="center"/>
    </w:pPr>
    <w:rPr>
      <w:rFonts w:ascii="宋体" w:hAnsi="Calibri"/>
      <w:b/>
      <w:kern w:val="0"/>
      <w:sz w:val="20"/>
      <w:szCs w:val="20"/>
    </w:rPr>
  </w:style>
  <w:style w:type="paragraph" w:customStyle="1" w:styleId="379">
    <w:name w:val="xl83"/>
    <w:basedOn w:val="1"/>
    <w:next w:val="307"/>
    <w:qFormat/>
    <w:uiPriority w:val="0"/>
    <w:pPr>
      <w:widowControl/>
      <w:shd w:val="clear" w:color="000000" w:fill="FFFFFF"/>
      <w:spacing w:before="280" w:after="280"/>
    </w:pPr>
    <w:rPr>
      <w:rFonts w:ascii="宋体" w:hAnsi="Calibri"/>
      <w:kern w:val="0"/>
      <w:sz w:val="20"/>
      <w:szCs w:val="20"/>
    </w:rPr>
  </w:style>
  <w:style w:type="paragraph" w:customStyle="1" w:styleId="380">
    <w:name w:val="xl103"/>
    <w:basedOn w:val="1"/>
    <w:next w:val="381"/>
    <w:qFormat/>
    <w:uiPriority w:val="0"/>
    <w:pPr>
      <w:widowControl/>
      <w:shd w:val="clear" w:color="000000" w:fill="FFFFFF"/>
      <w:spacing w:before="280" w:after="280"/>
    </w:pPr>
    <w:rPr>
      <w:rFonts w:ascii="宋体" w:hAnsi="Calibri"/>
      <w:kern w:val="0"/>
      <w:sz w:val="20"/>
      <w:szCs w:val="20"/>
    </w:rPr>
  </w:style>
  <w:style w:type="paragraph" w:customStyle="1" w:styleId="381">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82">
    <w:name w:val="xl68"/>
    <w:basedOn w:val="1"/>
    <w:next w:val="383"/>
    <w:qFormat/>
    <w:uiPriority w:val="0"/>
    <w:pPr>
      <w:widowControl/>
      <w:shd w:val="clear" w:color="000000" w:fill="FFFFFF"/>
      <w:spacing w:before="280" w:after="280"/>
    </w:pPr>
    <w:rPr>
      <w:rFonts w:ascii="宋体" w:hAnsi="Calibri"/>
      <w:b/>
      <w:kern w:val="0"/>
      <w:sz w:val="20"/>
      <w:szCs w:val="20"/>
    </w:rPr>
  </w:style>
  <w:style w:type="paragraph" w:customStyle="1" w:styleId="383">
    <w:name w:val="TOC Heading16"/>
    <w:next w:val="1"/>
    <w:qFormat/>
    <w:uiPriority w:val="0"/>
    <w:pPr>
      <w:wordWrap w:val="0"/>
    </w:pPr>
    <w:rPr>
      <w:rFonts w:ascii="Calibri" w:hAnsi="Calibri" w:eastAsia="宋体" w:cs="Times New Roman"/>
      <w:sz w:val="32"/>
      <w:lang w:val="en-US" w:eastAsia="zh-CN" w:bidi="ar-SA"/>
    </w:rPr>
  </w:style>
  <w:style w:type="paragraph" w:customStyle="1" w:styleId="384">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85">
    <w:name w:val="xl94"/>
    <w:basedOn w:val="1"/>
    <w:next w:val="276"/>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xl92"/>
    <w:basedOn w:val="1"/>
    <w:next w:val="388"/>
    <w:qFormat/>
    <w:uiPriority w:val="0"/>
    <w:pPr>
      <w:widowControl/>
      <w:shd w:val="clear" w:color="000000" w:fill="FFFFFF"/>
      <w:spacing w:before="280" w:after="280"/>
    </w:pPr>
    <w:rPr>
      <w:rFonts w:ascii="宋体" w:hAnsi="Calibri"/>
      <w:kern w:val="0"/>
      <w:sz w:val="20"/>
      <w:szCs w:val="20"/>
    </w:rPr>
  </w:style>
  <w:style w:type="paragraph" w:customStyle="1" w:styleId="38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9">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90">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91">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92">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xl110"/>
    <w:basedOn w:val="1"/>
    <w:next w:val="350"/>
    <w:qFormat/>
    <w:uiPriority w:val="0"/>
    <w:pPr>
      <w:widowControl/>
      <w:shd w:val="clear" w:color="000000" w:fill="FFFFFF"/>
      <w:spacing w:before="280" w:after="280"/>
      <w:jc w:val="center"/>
    </w:pPr>
    <w:rPr>
      <w:rFonts w:ascii="宋体" w:hAnsi="Calibri"/>
      <w:kern w:val="0"/>
      <w:sz w:val="20"/>
      <w:szCs w:val="20"/>
    </w:rPr>
  </w:style>
  <w:style w:type="paragraph" w:customStyle="1" w:styleId="395">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96">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97">
    <w:name w:val="xl85"/>
    <w:basedOn w:val="1"/>
    <w:next w:val="398"/>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9">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400">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403">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404">
    <w:name w:val="xl99"/>
    <w:basedOn w:val="1"/>
    <w:next w:val="389"/>
    <w:qFormat/>
    <w:uiPriority w:val="0"/>
    <w:pPr>
      <w:widowControl/>
      <w:shd w:val="clear" w:color="000000" w:fill="FFFFFF"/>
      <w:spacing w:before="280" w:after="280"/>
    </w:pPr>
    <w:rPr>
      <w:rFonts w:ascii="宋体" w:hAnsi="Calibri"/>
      <w:kern w:val="0"/>
      <w:sz w:val="18"/>
      <w:szCs w:val="20"/>
    </w:rPr>
  </w:style>
  <w:style w:type="paragraph" w:customStyle="1" w:styleId="405">
    <w:name w:val="xl97"/>
    <w:basedOn w:val="1"/>
    <w:next w:val="277"/>
    <w:qFormat/>
    <w:uiPriority w:val="0"/>
    <w:pPr>
      <w:widowControl/>
      <w:shd w:val="clear" w:color="000000" w:fill="FFFFFF"/>
      <w:spacing w:before="280" w:after="280"/>
      <w:jc w:val="center"/>
    </w:pPr>
    <w:rPr>
      <w:rFonts w:ascii="宋体" w:hAnsi="Calibri"/>
      <w:kern w:val="0"/>
      <w:sz w:val="20"/>
      <w:szCs w:val="20"/>
    </w:rPr>
  </w:style>
  <w:style w:type="paragraph" w:customStyle="1" w:styleId="406">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407">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8">
    <w:name w:val="TOC Heading15"/>
    <w:next w:val="1"/>
    <w:qFormat/>
    <w:uiPriority w:val="0"/>
    <w:pPr>
      <w:wordWrap w:val="0"/>
    </w:pPr>
    <w:rPr>
      <w:rFonts w:ascii="Calibri" w:hAnsi="Calibri" w:eastAsia="宋体" w:cs="Times New Roman"/>
      <w:sz w:val="32"/>
      <w:lang w:val="en-US" w:eastAsia="zh-CN" w:bidi="ar-SA"/>
    </w:rPr>
  </w:style>
  <w:style w:type="paragraph" w:customStyle="1" w:styleId="409">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10">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11">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12">
    <w:name w:val="toc 12"/>
    <w:next w:val="1"/>
    <w:qFormat/>
    <w:uiPriority w:val="0"/>
    <w:pPr>
      <w:wordWrap w:val="0"/>
      <w:jc w:val="both"/>
    </w:pPr>
    <w:rPr>
      <w:rFonts w:ascii="Calibri" w:hAnsi="Calibri" w:eastAsia="宋体" w:cs="Times New Roman"/>
      <w:sz w:val="21"/>
      <w:lang w:val="en-US" w:eastAsia="zh-CN" w:bidi="ar-SA"/>
    </w:rPr>
  </w:style>
  <w:style w:type="paragraph" w:customStyle="1" w:styleId="413">
    <w:name w:val="xl95"/>
    <w:basedOn w:val="1"/>
    <w:next w:val="414"/>
    <w:qFormat/>
    <w:uiPriority w:val="0"/>
    <w:pPr>
      <w:widowControl/>
      <w:shd w:val="clear" w:color="000000" w:fill="FFFFFF"/>
      <w:spacing w:before="280" w:after="280"/>
    </w:pPr>
    <w:rPr>
      <w:rFonts w:ascii="宋体" w:hAnsi="Calibri"/>
      <w:kern w:val="0"/>
      <w:sz w:val="20"/>
      <w:szCs w:val="20"/>
    </w:rPr>
  </w:style>
  <w:style w:type="paragraph" w:customStyle="1" w:styleId="414">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15">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16">
    <w:name w:val="xl67"/>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17">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8">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9">
    <w:name w:val="正文 A"/>
    <w:next w:val="336"/>
    <w:qFormat/>
    <w:uiPriority w:val="0"/>
    <w:rPr>
      <w:rFonts w:ascii="Arial" w:hAnsi="Calibri" w:eastAsia="Arial Unicode MS" w:cs="Times New Roman"/>
      <w:color w:val="000000"/>
      <w:sz w:val="21"/>
      <w:lang w:val="en-US" w:eastAsia="zh-CN" w:bidi="ar-SA"/>
    </w:rPr>
  </w:style>
  <w:style w:type="paragraph" w:customStyle="1" w:styleId="420">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22">
    <w:name w:val="xl88"/>
    <w:basedOn w:val="1"/>
    <w:next w:val="408"/>
    <w:qFormat/>
    <w:uiPriority w:val="0"/>
    <w:pPr>
      <w:widowControl/>
      <w:shd w:val="clear" w:color="000000" w:fill="FFFFFF"/>
      <w:spacing w:before="280" w:after="280"/>
      <w:jc w:val="center"/>
    </w:pPr>
    <w:rPr>
      <w:rFonts w:ascii="宋体" w:hAnsi="Calibri"/>
      <w:kern w:val="0"/>
      <w:sz w:val="20"/>
      <w:szCs w:val="20"/>
    </w:rPr>
  </w:style>
  <w:style w:type="paragraph" w:customStyle="1" w:styleId="423">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24">
    <w:name w:val="xl100"/>
    <w:basedOn w:val="1"/>
    <w:next w:val="425"/>
    <w:qFormat/>
    <w:uiPriority w:val="0"/>
    <w:pPr>
      <w:widowControl/>
      <w:shd w:val="clear" w:color="000000" w:fill="FFFFFF"/>
      <w:spacing w:before="280" w:after="280"/>
    </w:pPr>
    <w:rPr>
      <w:rFonts w:ascii="宋体" w:hAnsi="Calibri"/>
      <w:kern w:val="0"/>
      <w:sz w:val="20"/>
      <w:szCs w:val="20"/>
    </w:rPr>
  </w:style>
  <w:style w:type="paragraph" w:customStyle="1" w:styleId="425">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26">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27">
    <w:name w:val="xl114"/>
    <w:basedOn w:val="1"/>
    <w:next w:val="279"/>
    <w:qFormat/>
    <w:uiPriority w:val="0"/>
    <w:pPr>
      <w:widowControl/>
      <w:shd w:val="clear" w:color="000000" w:fill="FFFFFF"/>
      <w:spacing w:before="280" w:after="280"/>
      <w:jc w:val="center"/>
    </w:pPr>
    <w:rPr>
      <w:rFonts w:ascii="宋体" w:hAnsi="Calibri"/>
      <w:b/>
      <w:kern w:val="0"/>
      <w:sz w:val="20"/>
      <w:szCs w:val="20"/>
    </w:rPr>
  </w:style>
  <w:style w:type="paragraph" w:customStyle="1" w:styleId="428">
    <w:name w:val="xl107"/>
    <w:basedOn w:val="1"/>
    <w:next w:val="429"/>
    <w:qFormat/>
    <w:uiPriority w:val="0"/>
    <w:pPr>
      <w:widowControl/>
      <w:shd w:val="clear" w:color="000000" w:fill="FFFFFF"/>
      <w:spacing w:before="280" w:after="280"/>
    </w:pPr>
    <w:rPr>
      <w:rFonts w:ascii="宋体" w:hAnsi="Calibri"/>
      <w:kern w:val="0"/>
      <w:sz w:val="20"/>
      <w:szCs w:val="20"/>
    </w:rPr>
  </w:style>
  <w:style w:type="paragraph" w:customStyle="1" w:styleId="429">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30">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31">
    <w:name w:val="xl90"/>
    <w:basedOn w:val="1"/>
    <w:next w:val="233"/>
    <w:qFormat/>
    <w:uiPriority w:val="0"/>
    <w:pPr>
      <w:widowControl/>
      <w:shd w:val="clear" w:color="000000" w:fill="FFFFFF"/>
      <w:spacing w:before="280" w:after="280"/>
    </w:pPr>
    <w:rPr>
      <w:rFonts w:ascii="宋体" w:hAnsi="Calibri"/>
      <w:kern w:val="0"/>
      <w:sz w:val="18"/>
      <w:szCs w:val="20"/>
    </w:rPr>
  </w:style>
  <w:style w:type="paragraph" w:customStyle="1" w:styleId="432">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33">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35">
    <w:name w:val="xl117"/>
    <w:basedOn w:val="1"/>
    <w:next w:val="332"/>
    <w:qFormat/>
    <w:uiPriority w:val="0"/>
    <w:pPr>
      <w:widowControl/>
      <w:shd w:val="clear" w:color="000000" w:fill="FFFFFF"/>
      <w:spacing w:before="280" w:after="280"/>
      <w:jc w:val="center"/>
    </w:pPr>
    <w:rPr>
      <w:rFonts w:ascii="Arial Narrow" w:hAnsi="Calibri"/>
      <w:kern w:val="0"/>
      <w:sz w:val="24"/>
      <w:szCs w:val="20"/>
    </w:rPr>
  </w:style>
  <w:style w:type="paragraph" w:customStyle="1" w:styleId="436">
    <w:name w:val="p15"/>
    <w:basedOn w:val="1"/>
    <w:next w:val="257"/>
    <w:qFormat/>
    <w:uiPriority w:val="0"/>
    <w:pPr>
      <w:widowControl/>
      <w:ind w:firstLine="420"/>
    </w:pPr>
    <w:rPr>
      <w:rFonts w:hAnsi="Calibri"/>
      <w:kern w:val="0"/>
      <w:szCs w:val="20"/>
    </w:rPr>
  </w:style>
  <w:style w:type="paragraph" w:customStyle="1" w:styleId="437">
    <w:name w:val="xl87"/>
    <w:basedOn w:val="1"/>
    <w:next w:val="438"/>
    <w:qFormat/>
    <w:uiPriority w:val="0"/>
    <w:pPr>
      <w:widowControl/>
      <w:shd w:val="clear" w:color="000000" w:fill="FFFFFF"/>
      <w:spacing w:before="280" w:after="280"/>
    </w:pPr>
    <w:rPr>
      <w:rFonts w:ascii="Arial" w:hAnsi="Calibri"/>
      <w:kern w:val="0"/>
      <w:sz w:val="18"/>
      <w:szCs w:val="20"/>
    </w:rPr>
  </w:style>
  <w:style w:type="paragraph" w:customStyle="1" w:styleId="43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9">
    <w:name w:val="列出段落7"/>
    <w:basedOn w:val="1"/>
    <w:next w:val="421"/>
    <w:qFormat/>
    <w:uiPriority w:val="0"/>
    <w:pPr>
      <w:ind w:firstLine="420"/>
    </w:pPr>
    <w:rPr>
      <w:rFonts w:hAnsi="Calibri"/>
      <w:kern w:val="0"/>
      <w:szCs w:val="20"/>
    </w:rPr>
  </w:style>
  <w:style w:type="paragraph" w:customStyle="1" w:styleId="440">
    <w:name w:val="xl78"/>
    <w:basedOn w:val="1"/>
    <w:next w:val="411"/>
    <w:qFormat/>
    <w:uiPriority w:val="0"/>
    <w:pPr>
      <w:widowControl/>
      <w:shd w:val="clear" w:color="000000" w:fill="FFFFFF"/>
      <w:spacing w:before="280" w:after="280"/>
    </w:pPr>
    <w:rPr>
      <w:rFonts w:ascii="宋体" w:hAnsi="Calibri"/>
      <w:b/>
      <w:kern w:val="0"/>
      <w:sz w:val="20"/>
      <w:szCs w:val="20"/>
    </w:rPr>
  </w:style>
  <w:style w:type="paragraph" w:customStyle="1" w:styleId="44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42">
    <w:name w:val="xl89"/>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4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4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4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4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47">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8">
    <w:name w:val="引用 Char"/>
    <w:basedOn w:val="47"/>
    <w:link w:val="62"/>
    <w:qFormat/>
    <w:uiPriority w:val="0"/>
    <w:rPr>
      <w:rFonts w:ascii="Calibri" w:hAnsi="Calibri"/>
      <w:i/>
      <w:sz w:val="21"/>
    </w:rPr>
  </w:style>
  <w:style w:type="paragraph" w:customStyle="1" w:styleId="449">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50">
    <w:name w:val="xl119"/>
    <w:basedOn w:val="1"/>
    <w:next w:val="426"/>
    <w:qFormat/>
    <w:uiPriority w:val="0"/>
    <w:pPr>
      <w:widowControl/>
      <w:shd w:val="clear" w:color="000000" w:fill="FFFFFF"/>
      <w:spacing w:before="280" w:after="280"/>
      <w:jc w:val="center"/>
    </w:pPr>
    <w:rPr>
      <w:rFonts w:ascii="宋体" w:hAnsi="Calibri"/>
      <w:b/>
      <w:kern w:val="0"/>
      <w:sz w:val="20"/>
      <w:szCs w:val="20"/>
    </w:rPr>
  </w:style>
  <w:style w:type="paragraph" w:customStyle="1" w:styleId="451">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52">
    <w:name w:val="xl109"/>
    <w:basedOn w:val="1"/>
    <w:next w:val="399"/>
    <w:qFormat/>
    <w:uiPriority w:val="0"/>
    <w:pPr>
      <w:widowControl/>
      <w:shd w:val="clear" w:color="000000" w:fill="FFFFFF"/>
      <w:spacing w:before="280" w:after="280"/>
    </w:pPr>
    <w:rPr>
      <w:rFonts w:ascii="宋体" w:hAnsi="Calibri"/>
      <w:kern w:val="0"/>
      <w:sz w:val="20"/>
      <w:szCs w:val="20"/>
    </w:rPr>
  </w:style>
  <w:style w:type="paragraph" w:customStyle="1" w:styleId="453">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xl76"/>
    <w:basedOn w:val="1"/>
    <w:next w:val="407"/>
    <w:qFormat/>
    <w:uiPriority w:val="0"/>
    <w:pPr>
      <w:widowControl/>
      <w:shd w:val="clear" w:color="000000" w:fill="FFFFFF"/>
      <w:spacing w:before="280" w:after="280"/>
      <w:jc w:val="center"/>
    </w:pPr>
    <w:rPr>
      <w:rFonts w:ascii="宋体" w:hAnsi="Calibri"/>
      <w:b/>
      <w:kern w:val="0"/>
      <w:sz w:val="20"/>
      <w:szCs w:val="20"/>
    </w:rPr>
  </w:style>
  <w:style w:type="paragraph" w:customStyle="1" w:styleId="455">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56">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57">
    <w:name w:val="xl70"/>
    <w:basedOn w:val="1"/>
    <w:next w:val="384"/>
    <w:qFormat/>
    <w:uiPriority w:val="0"/>
    <w:pPr>
      <w:widowControl/>
      <w:shd w:val="clear" w:color="000000" w:fill="FFFFFF"/>
      <w:spacing w:before="280" w:after="280"/>
    </w:pPr>
    <w:rPr>
      <w:rFonts w:ascii="宋体" w:hAnsi="Calibri"/>
      <w:kern w:val="0"/>
      <w:sz w:val="20"/>
      <w:szCs w:val="20"/>
    </w:rPr>
  </w:style>
  <w:style w:type="paragraph" w:customStyle="1" w:styleId="458">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9">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0">
    <w:name w:val="xl98"/>
    <w:basedOn w:val="1"/>
    <w:next w:val="402"/>
    <w:qFormat/>
    <w:uiPriority w:val="0"/>
    <w:pPr>
      <w:widowControl/>
      <w:shd w:val="clear" w:color="000000" w:fill="FFFFFF"/>
      <w:spacing w:before="280" w:after="280"/>
      <w:jc w:val="center"/>
    </w:pPr>
    <w:rPr>
      <w:rFonts w:ascii="宋体" w:hAnsi="Calibri"/>
      <w:kern w:val="0"/>
      <w:sz w:val="20"/>
      <w:szCs w:val="20"/>
    </w:rPr>
  </w:style>
  <w:style w:type="paragraph" w:customStyle="1" w:styleId="461">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toc 13"/>
    <w:next w:val="1"/>
    <w:qFormat/>
    <w:uiPriority w:val="0"/>
    <w:pPr>
      <w:wordWrap w:val="0"/>
      <w:jc w:val="both"/>
    </w:pPr>
    <w:rPr>
      <w:rFonts w:ascii="Calibri" w:hAnsi="Calibri" w:eastAsia="宋体" w:cs="Times New Roman"/>
      <w:sz w:val="21"/>
      <w:lang w:val="en-US" w:eastAsia="zh-CN" w:bidi="ar-SA"/>
    </w:rPr>
  </w:style>
  <w:style w:type="paragraph" w:customStyle="1" w:styleId="463">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64">
    <w:name w:val="xl101"/>
    <w:basedOn w:val="1"/>
    <w:next w:val="433"/>
    <w:qFormat/>
    <w:uiPriority w:val="0"/>
    <w:pPr>
      <w:widowControl/>
      <w:spacing w:before="280" w:after="280"/>
    </w:pPr>
    <w:rPr>
      <w:rFonts w:ascii="宋体" w:hAnsi="Calibri"/>
      <w:kern w:val="0"/>
      <w:sz w:val="20"/>
      <w:szCs w:val="20"/>
    </w:rPr>
  </w:style>
  <w:style w:type="paragraph" w:customStyle="1" w:styleId="465">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toc 715"/>
    <w:next w:val="1"/>
    <w:qFormat/>
    <w:uiPriority w:val="0"/>
    <w:pPr>
      <w:wordWrap w:val="0"/>
      <w:ind w:left="2550"/>
      <w:jc w:val="both"/>
    </w:pPr>
    <w:rPr>
      <w:rFonts w:ascii="Calibri" w:hAnsi="Calibri" w:eastAsia="宋体" w:cs="Times New Roman"/>
      <w:sz w:val="21"/>
      <w:lang w:val="en-US" w:eastAsia="zh-CN" w:bidi="ar-SA"/>
    </w:rPr>
  </w:style>
  <w:style w:type="paragraph" w:customStyle="1" w:styleId="467">
    <w:name w:val="Intense Quote"/>
    <w:next w:val="1"/>
    <w:link w:val="468"/>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8">
    <w:name w:val="明显引用 Char"/>
    <w:basedOn w:val="47"/>
    <w:link w:val="467"/>
    <w:qFormat/>
    <w:uiPriority w:val="0"/>
    <w:rPr>
      <w:rFonts w:ascii="Calibri" w:hAnsi="Calibri"/>
      <w:i/>
      <w:sz w:val="21"/>
    </w:rPr>
  </w:style>
  <w:style w:type="paragraph" w:customStyle="1" w:styleId="469">
    <w:name w:val="Char Char Char Char Char Char Char"/>
    <w:basedOn w:val="1"/>
    <w:next w:val="453"/>
    <w:qFormat/>
    <w:uiPriority w:val="0"/>
    <w:pPr>
      <w:widowControl/>
      <w:spacing w:after="160" w:line="240" w:lineRule="exact"/>
    </w:pPr>
    <w:rPr>
      <w:rFonts w:hAnsi="Calibri"/>
      <w:kern w:val="0"/>
      <w:szCs w:val="20"/>
    </w:rPr>
  </w:style>
  <w:style w:type="paragraph" w:customStyle="1" w:styleId="470">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71">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72">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73">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74">
    <w:name w:val="xl64"/>
    <w:basedOn w:val="1"/>
    <w:next w:val="449"/>
    <w:qFormat/>
    <w:uiPriority w:val="0"/>
    <w:pPr>
      <w:widowControl/>
      <w:shd w:val="clear" w:color="000000" w:fill="FFFFFF"/>
      <w:spacing w:before="280" w:after="280"/>
    </w:pPr>
    <w:rPr>
      <w:rFonts w:ascii="宋体" w:hAnsi="Calibri"/>
      <w:kern w:val="0"/>
      <w:sz w:val="20"/>
      <w:szCs w:val="20"/>
    </w:rPr>
  </w:style>
  <w:style w:type="paragraph" w:customStyle="1" w:styleId="475">
    <w:name w:val="xl82"/>
    <w:basedOn w:val="1"/>
    <w:next w:val="295"/>
    <w:qFormat/>
    <w:uiPriority w:val="0"/>
    <w:pPr>
      <w:widowControl/>
      <w:shd w:val="clear" w:color="000000" w:fill="FFFFFF"/>
      <w:spacing w:before="280" w:after="280"/>
    </w:pPr>
    <w:rPr>
      <w:rFonts w:ascii="宋体" w:hAnsi="Calibri"/>
      <w:kern w:val="0"/>
      <w:sz w:val="20"/>
      <w:szCs w:val="20"/>
    </w:rPr>
  </w:style>
  <w:style w:type="paragraph" w:customStyle="1" w:styleId="476">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77">
    <w:name w:val="xl77"/>
    <w:basedOn w:val="1"/>
    <w:next w:val="443"/>
    <w:qFormat/>
    <w:uiPriority w:val="0"/>
    <w:pPr>
      <w:widowControl/>
      <w:shd w:val="clear" w:color="000000" w:fill="FFFFFF"/>
      <w:spacing w:before="280" w:after="280"/>
      <w:jc w:val="center"/>
    </w:pPr>
    <w:rPr>
      <w:rFonts w:ascii="宋体" w:hAnsi="Calibri"/>
      <w:kern w:val="0"/>
      <w:sz w:val="20"/>
      <w:szCs w:val="20"/>
    </w:rPr>
  </w:style>
  <w:style w:type="character" w:customStyle="1" w:styleId="478">
    <w:name w:val="正文缩进 Char1"/>
    <w:qFormat/>
    <w:uiPriority w:val="0"/>
    <w:rPr>
      <w:rFonts w:eastAsia="宋体"/>
      <w:kern w:val="2"/>
      <w:sz w:val="21"/>
      <w:lang w:val="en-US" w:eastAsia="zh-CN" w:bidi="ar-SA"/>
    </w:rPr>
  </w:style>
  <w:style w:type="character" w:customStyle="1" w:styleId="479">
    <w:name w:val="fielderror"/>
    <w:basedOn w:val="47"/>
    <w:qFormat/>
    <w:uiPriority w:val="0"/>
    <w:rPr>
      <w:color w:val="800000"/>
    </w:rPr>
  </w:style>
  <w:style w:type="character" w:customStyle="1" w:styleId="480">
    <w:name w:val="hilite6"/>
    <w:basedOn w:val="47"/>
    <w:qFormat/>
    <w:uiPriority w:val="0"/>
    <w:rPr>
      <w:color w:val="000000"/>
    </w:rPr>
  </w:style>
  <w:style w:type="character" w:customStyle="1" w:styleId="481">
    <w:name w:val="active6"/>
    <w:basedOn w:val="47"/>
    <w:qFormat/>
    <w:uiPriority w:val="0"/>
    <w:rPr>
      <w:color w:val="FFFFFF"/>
    </w:rPr>
  </w:style>
  <w:style w:type="character" w:customStyle="1" w:styleId="482">
    <w:name w:val="inline-help"/>
    <w:basedOn w:val="47"/>
    <w:qFormat/>
    <w:uiPriority w:val="0"/>
  </w:style>
  <w:style w:type="character" w:customStyle="1" w:styleId="483">
    <w:name w:val="active"/>
    <w:basedOn w:val="47"/>
    <w:qFormat/>
    <w:uiPriority w:val="0"/>
    <w:rPr>
      <w:color w:val="FFFFFF"/>
    </w:rPr>
  </w:style>
  <w:style w:type="table" w:customStyle="1" w:styleId="484">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86">
    <w:name w:val="hover"/>
    <w:basedOn w:val="47"/>
    <w:qFormat/>
    <w:uiPriority w:val="0"/>
    <w:rPr>
      <w:color w:val="2590EB"/>
    </w:rPr>
  </w:style>
  <w:style w:type="character" w:customStyle="1" w:styleId="487">
    <w:name w:val="hover1"/>
    <w:basedOn w:val="47"/>
    <w:qFormat/>
    <w:uiPriority w:val="0"/>
  </w:style>
  <w:style w:type="character" w:customStyle="1" w:styleId="488">
    <w:name w:val="hover2"/>
    <w:basedOn w:val="47"/>
    <w:qFormat/>
    <w:uiPriority w:val="0"/>
    <w:rPr>
      <w:color w:val="2590EB"/>
      <w:shd w:val="clear" w:fill="E9F4FD"/>
    </w:rPr>
  </w:style>
  <w:style w:type="character" w:customStyle="1" w:styleId="489">
    <w:name w:val="hover3"/>
    <w:basedOn w:val="47"/>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105</Pages>
  <Words>69363</Words>
  <Characters>74753</Characters>
  <Lines>368</Lines>
  <Paragraphs>103</Paragraphs>
  <TotalTime>16</TotalTime>
  <ScaleCrop>false</ScaleCrop>
  <LinksUpToDate>false</LinksUpToDate>
  <CharactersWithSpaces>78592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2021-05-07T21:47:00Z</dcterms:created>
  <dc:creator>thsware</dc:creator>
  <cp:lastModifiedBy>MusicTing</cp:lastModifiedBy>
  <cp:lastPrinted>2021-05-17T03:04:00Z</cp:lastPrinted>
  <dcterms:modified xsi:type="dcterms:W3CDTF">2025-09-19T03:36:00Z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FA63C1A5C59A4215A37799A1FDD69B22_13</vt:lpwstr>
  </property>
  <property fmtid="{D5CDD505-2E9C-101B-9397-08002B2CF9AE}" pid="4" name="KSOTemplateDocerSaveRecord">
    <vt:lpwstr>eyJoZGlkIjoiMjkzMjVhNzdlZWYxZmYwZTdjNWNhZTU5YWNkM2VjZWUiLCJ1c2VySWQiOiI3MzM5NDE5MDQifQ==</vt:lpwstr>
  </property>
</Properties>
</file>