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ACAC5">
      <w:pPr>
        <w:widowControl w:val="0"/>
        <w:ind w:firstLine="3654" w:firstLineChars="1300"/>
        <w:jc w:val="both"/>
        <w:rPr>
          <w:rFonts w:ascii="宋体" w:hAnsi="宋体" w:eastAsia="宋体"/>
          <w:color w:val="FF0000"/>
          <w:kern w:val="2"/>
          <w:sz w:val="21"/>
          <w:szCs w:val="21"/>
          <w:lang w:eastAsia="zh-CN"/>
        </w:rPr>
      </w:pPr>
      <w:r>
        <w:rPr>
          <w:rFonts w:hint="eastAsia" w:ascii="宋体" w:hAnsi="宋体" w:eastAsia="黑体" w:cstheme="minorBidi"/>
          <w:b/>
          <w:bCs/>
          <w:color w:val="FF0000"/>
          <w:kern w:val="44"/>
          <w:sz w:val="28"/>
          <w:szCs w:val="44"/>
          <w:lang w:eastAsia="zh-CN"/>
        </w:rPr>
        <w:t>特别警示条款</w:t>
      </w:r>
    </w:p>
    <w:p w14:paraId="3B3D3A30">
      <w:pPr>
        <w:widowControl w:val="0"/>
        <w:pBdr>
          <w:top w:val="none" w:color="auto" w:sz="0" w:space="1"/>
          <w:left w:val="none" w:color="auto" w:sz="0" w:space="4"/>
          <w:bottom w:val="none" w:color="auto" w:sz="0" w:space="1"/>
          <w:right w:val="none" w:color="auto" w:sz="0" w:space="4"/>
        </w:pBdr>
        <w:spacing w:after="240" w:afterLines="100" w:line="400" w:lineRule="exact"/>
        <w:ind w:firstLine="422" w:firstLineChars="200"/>
        <w:jc w:val="both"/>
        <w:rPr>
          <w:rFonts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405"/>
      </w:tblGrid>
      <w:tr w14:paraId="5C9D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790802E6">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7711" w:type="dxa"/>
            <w:tcBorders>
              <w:tl2br w:val="nil"/>
              <w:tr2bl w:val="nil"/>
            </w:tcBorders>
            <w:vAlign w:val="center"/>
          </w:tcPr>
          <w:p w14:paraId="28362B47">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15D8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22F0B2BA">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7711" w:type="dxa"/>
            <w:tcBorders>
              <w:tl2br w:val="nil"/>
              <w:tr2bl w:val="nil"/>
            </w:tcBorders>
            <w:vAlign w:val="center"/>
          </w:tcPr>
          <w:p w14:paraId="271C5174">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302F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623C8F71">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7711" w:type="dxa"/>
            <w:tcBorders>
              <w:tl2br w:val="nil"/>
              <w:tr2bl w:val="nil"/>
            </w:tcBorders>
            <w:vAlign w:val="center"/>
          </w:tcPr>
          <w:p w14:paraId="7D415998">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参与本项目政府采购活动时，与其他投标供应商存在单位负责人为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122F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32130B44">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7711" w:type="dxa"/>
            <w:tcBorders>
              <w:tl2br w:val="nil"/>
              <w:tr2bl w:val="nil"/>
            </w:tcBorders>
            <w:vAlign w:val="center"/>
          </w:tcPr>
          <w:p w14:paraId="45F96976">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0C0B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09B6E1E5">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7711" w:type="dxa"/>
            <w:tcBorders>
              <w:tl2br w:val="nil"/>
              <w:tr2bl w:val="nil"/>
            </w:tcBorders>
            <w:vAlign w:val="center"/>
          </w:tcPr>
          <w:p w14:paraId="18508AA4">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（“文件制作机器码”“文件创建标识码”一致）。</w:t>
            </w:r>
          </w:p>
        </w:tc>
      </w:tr>
      <w:tr w14:paraId="6F77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364E94BB">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7711" w:type="dxa"/>
            <w:tcBorders>
              <w:tl2br w:val="nil"/>
              <w:tr2bl w:val="nil"/>
            </w:tcBorders>
            <w:vAlign w:val="center"/>
          </w:tcPr>
          <w:p w14:paraId="2F2DD573">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5B32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14B350C1">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7711" w:type="dxa"/>
            <w:tcBorders>
              <w:tl2br w:val="nil"/>
              <w:tr2bl w:val="nil"/>
            </w:tcBorders>
            <w:vAlign w:val="center"/>
          </w:tcPr>
          <w:p w14:paraId="3E2854F8">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5BC9460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p>
    <w:p w14:paraId="3C6002F5">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w:t>
      </w:r>
      <w:r>
        <w:rPr>
          <w:rFonts w:hint="eastAsia" w:ascii="宋体" w:hAnsi="宋体" w:eastAsia="宋体" w:cstheme="minorBidi"/>
          <w:b/>
          <w:bCs/>
          <w:color w:val="FF0000"/>
          <w:kern w:val="2"/>
          <w:sz w:val="20"/>
          <w:szCs w:val="20"/>
          <w:lang w:eastAsia="zh-CN"/>
        </w:rPr>
        <w:t>《深圳经济特区政府采购条例》第五十七条</w:t>
      </w:r>
      <w:r>
        <w:rPr>
          <w:rFonts w:hint="eastAsia" w:ascii="宋体" w:hAnsi="宋体" w:eastAsia="宋体" w:cstheme="minorBidi"/>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AD3567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（一）在采购活动中应当回避而未回避的；</w:t>
      </w:r>
    </w:p>
    <w:p w14:paraId="6585E49C">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（二）未按本条例规定签订、履行采购合同，造成严重后果的；</w:t>
      </w:r>
    </w:p>
    <w:p w14:paraId="0B76C086">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（三）隐瞒真实情况，提供虚假资料的；</w:t>
      </w:r>
    </w:p>
    <w:p w14:paraId="0FB8099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（四）以非法手段排斥其他供应商参与竞争的；</w:t>
      </w:r>
    </w:p>
    <w:p w14:paraId="3640CB48">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（五）与其他采购参加人串通投标的；</w:t>
      </w:r>
    </w:p>
    <w:p w14:paraId="30084C1E">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（六）恶意投诉的；</w:t>
      </w:r>
    </w:p>
    <w:p w14:paraId="7FBB07D2">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（七）向采购项目相关人行贿或者提供其他不当利益的；</w:t>
      </w:r>
    </w:p>
    <w:p w14:paraId="1D82D85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（八）阻碍、抗拒主管部门监督检查的；</w:t>
      </w:r>
    </w:p>
    <w:p w14:paraId="60F4AA8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（九）其他违反本条例规定的行为。</w:t>
      </w:r>
    </w:p>
    <w:p w14:paraId="174AA9D5">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二、《深圳经济特区政府采购条例实施细则》第七十五条 </w:t>
      </w:r>
      <w:r>
        <w:rPr>
          <w:rFonts w:hint="eastAsia" w:ascii="宋体" w:hAnsi="宋体" w:eastAsia="宋体" w:cstheme="minorBidi"/>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EFED8A7">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三、《深圳经济特区政府采购条例实施细则》第七十七条 </w:t>
      </w:r>
      <w:r>
        <w:rPr>
          <w:rFonts w:hint="eastAsia" w:ascii="宋体" w:hAnsi="宋体" w:eastAsia="宋体" w:cstheme="minorBidi"/>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5BD698C">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投标供应商不能提供项目负责人或者主要技术人员的劳动合同、社会保险等劳动关系证明材料的，视为存在前款第（三）项规定的情形。</w:t>
      </w:r>
    </w:p>
    <w:p w14:paraId="61D72E39">
      <w:pPr>
        <w:widowControl w:val="0"/>
        <w:pBdr>
          <w:top w:val="none" w:color="auto" w:sz="0" w:space="1"/>
          <w:left w:val="none" w:color="auto" w:sz="0" w:space="4"/>
          <w:bottom w:val="none" w:color="auto" w:sz="0" w:space="1"/>
          <w:right w:val="none" w:color="auto" w:sz="0" w:space="4"/>
        </w:pBdr>
        <w:ind w:firstLine="400" w:firstLineChars="200"/>
        <w:jc w:val="both"/>
        <w:rPr>
          <w:rFonts w:ascii="Calibri" w:hAnsi="Calibri" w:eastAsia="宋体"/>
          <w:bCs/>
          <w:color w:val="FF0000"/>
          <w:kern w:val="2"/>
          <w:sz w:val="20"/>
          <w:szCs w:val="20"/>
          <w:lang w:eastAsia="zh-CN"/>
        </w:rPr>
      </w:pPr>
      <w:r>
        <w:rPr>
          <w:rFonts w:hint="eastAsia" w:ascii="Calibri" w:hAnsi="Calibri" w:eastAsia="宋体" w:cstheme="minorBidi"/>
          <w:bCs/>
          <w:color w:val="FF0000"/>
          <w:kern w:val="2"/>
          <w:sz w:val="20"/>
          <w:szCs w:val="20"/>
          <w:lang w:eastAsia="zh-CN"/>
        </w:rPr>
        <w:t>四</w:t>
      </w:r>
      <w:r>
        <w:rPr>
          <w:rFonts w:hint="eastAsia" w:hAnsi="Calibri" w:eastAsia="宋体" w:cstheme="minorBidi"/>
          <w:bCs/>
          <w:color w:val="FF0000"/>
          <w:kern w:val="2"/>
          <w:sz w:val="20"/>
          <w:szCs w:val="20"/>
          <w:lang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02008F2D">
      <w:pPr>
        <w:widowControl w:val="0"/>
        <w:pBdr>
          <w:top w:val="none" w:color="auto" w:sz="0" w:space="1"/>
          <w:left w:val="none" w:color="auto" w:sz="0" w:space="4"/>
          <w:bottom w:val="none" w:color="auto" w:sz="0" w:space="1"/>
          <w:right w:val="none" w:color="auto" w:sz="0" w:space="4"/>
        </w:pBdr>
        <w:ind w:firstLine="400" w:firstLineChars="200"/>
        <w:jc w:val="both"/>
        <w:rPr>
          <w:rFonts w:ascii="Calibri"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25858AE5">
      <w:pPr>
        <w:widowControl w:val="0"/>
        <w:pBdr>
          <w:top w:val="none" w:color="auto" w:sz="0" w:space="1"/>
          <w:left w:val="none" w:color="auto" w:sz="0" w:space="4"/>
          <w:bottom w:val="none" w:color="auto" w:sz="0" w:space="1"/>
          <w:right w:val="none" w:color="auto" w:sz="0" w:space="4"/>
        </w:pBdr>
        <w:ind w:firstLine="400" w:firstLineChars="200"/>
        <w:jc w:val="both"/>
        <w:rPr>
          <w:rFonts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theme="minorBidi"/>
          <w:color w:val="FF0000"/>
          <w:kern w:val="2"/>
          <w:sz w:val="20"/>
          <w:szCs w:val="20"/>
          <w:lang w:eastAsia="zh-CN"/>
        </w:rPr>
        <w:t>取消参与本市政府采购资格</w:t>
      </w:r>
      <w:r>
        <w:rPr>
          <w:rFonts w:hint="eastAsia" w:ascii="Calibri" w:hAnsi="宋体" w:eastAsia="宋体" w:cstheme="minorBidi"/>
          <w:color w:val="FF0000"/>
          <w:kern w:val="2"/>
          <w:sz w:val="20"/>
          <w:szCs w:val="20"/>
          <w:lang w:eastAsia="zh-CN"/>
        </w:rPr>
        <w:t>、</w:t>
      </w:r>
      <w:r>
        <w:rPr>
          <w:rFonts w:hint="eastAsia" w:ascii="宋体" w:hAnsi="宋体" w:eastAsia="宋体" w:cstheme="minorBidi"/>
          <w:color w:val="FF0000"/>
          <w:kern w:val="2"/>
          <w:sz w:val="20"/>
          <w:szCs w:val="20"/>
          <w:lang w:eastAsia="zh-CN"/>
        </w:rPr>
        <w:t>依法吊销其营业</w:t>
      </w:r>
      <w:r>
        <w:rPr>
          <w:rFonts w:hint="eastAsia" w:ascii="Calibri" w:hAnsi="宋体" w:eastAsia="宋体" w:cstheme="minorBidi"/>
          <w:color w:val="FF0000"/>
          <w:kern w:val="2"/>
          <w:sz w:val="20"/>
          <w:szCs w:val="20"/>
          <w:lang w:eastAsia="zh-CN"/>
        </w:rPr>
        <w:t>执照等行政处罚，</w:t>
      </w:r>
      <w:r>
        <w:rPr>
          <w:rFonts w:hint="eastAsia" w:ascii="宋体" w:hAnsi="宋体" w:eastAsia="宋体" w:cstheme="minorBidi"/>
          <w:color w:val="FF0000"/>
          <w:kern w:val="2"/>
          <w:sz w:val="20"/>
          <w:szCs w:val="20"/>
          <w:lang w:eastAsia="zh-CN"/>
        </w:rPr>
        <w:t>构成犯罪的，依法追究刑事责任</w:t>
      </w:r>
      <w:r>
        <w:rPr>
          <w:rFonts w:hint="eastAsia" w:hAnsi="Calibri" w:eastAsia="宋体" w:cstheme="minorBidi"/>
          <w:bCs/>
          <w:color w:val="FF0000"/>
          <w:kern w:val="2"/>
          <w:sz w:val="20"/>
          <w:szCs w:val="20"/>
          <w:lang w:eastAsia="zh-CN"/>
        </w:rPr>
        <w:t>，请各供应商独立编制、上传投标文件，妥善保管和使用电子秘钥。</w:t>
      </w:r>
    </w:p>
    <w:p w14:paraId="21F6BB13">
      <w:pPr>
        <w:keepNext w:val="0"/>
        <w:keepLines w:val="0"/>
        <w:pageBreakBefore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81FF908">
      <w:pPr>
        <w:keepNext w:val="0"/>
        <w:keepLines w:val="0"/>
        <w:pageBreakBefore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rPr>
        <w:t>投标供应商应严格核实所提交检测报告的真实性，投标供应商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1CA905EB">
      <w:pPr>
        <w:widowControl w:val="0"/>
        <w:pBdr>
          <w:top w:val="none" w:color="auto" w:sz="0" w:space="1"/>
          <w:left w:val="none" w:color="auto" w:sz="0" w:space="4"/>
          <w:bottom w:val="none" w:color="auto" w:sz="0" w:space="1"/>
          <w:right w:val="none" w:color="auto" w:sz="0" w:space="4"/>
        </w:pBdr>
        <w:jc w:val="both"/>
        <w:rPr>
          <w:rFonts w:ascii="Calibri" w:hAnsi="Calibri" w:eastAsia="宋体"/>
          <w:bCs/>
          <w:color w:val="FF0000"/>
          <w:kern w:val="2"/>
          <w:sz w:val="20"/>
          <w:szCs w:val="20"/>
          <w:lang w:eastAsia="zh-CN"/>
        </w:rPr>
      </w:pPr>
    </w:p>
    <w:p w14:paraId="3DC1AAC5">
      <w:pPr>
        <w:pBdr>
          <w:top w:val="none" w:color="auto" w:sz="0" w:space="1"/>
          <w:left w:val="none" w:color="auto" w:sz="0" w:space="4"/>
          <w:bottom w:val="none" w:color="auto" w:sz="0" w:space="1"/>
          <w:right w:val="none" w:color="auto" w:sz="0" w:space="4"/>
        </w:pBdr>
        <w:spacing w:before="100" w:beforeAutospacing="1" w:afterAutospacing="1"/>
        <w:jc w:val="both"/>
        <w:outlineLvl w:val="1"/>
        <w:rPr>
          <w:rFonts w:ascii="黑体" w:hAnsi="宋体" w:eastAsia="黑体" w:cs="黑体"/>
          <w:sz w:val="40"/>
          <w:szCs w:val="40"/>
          <w:lang w:eastAsia="zh-CN"/>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eastAsia="宋体"/>
          <w:b/>
          <w:color w:val="FF0000"/>
          <w:kern w:val="2"/>
          <w:sz w:val="21"/>
          <w:lang w:eastAsia="zh-CN"/>
        </w:rPr>
        <w:t>注：“特别警示条款”和《政府采购违法行为风险知悉确认书》用于对供应商违法行为的提醒，不作为供应商资格性审查及符合性审查条件。</w:t>
      </w:r>
    </w:p>
    <w:p w14:paraId="007D8EF9">
      <w:pPr>
        <w:spacing w:beforeAutospacing="1" w:afterAutospacing="1"/>
        <w:jc w:val="center"/>
        <w:outlineLvl w:val="0"/>
        <w:rPr>
          <w:rFonts w:ascii="黑体" w:hAnsi="宋体" w:eastAsia="黑体" w:cs="黑体"/>
          <w:sz w:val="40"/>
          <w:szCs w:val="40"/>
          <w:lang w:eastAsia="zh-CN"/>
        </w:rPr>
      </w:pPr>
      <w:r>
        <w:rPr>
          <w:rFonts w:hint="eastAsia" w:ascii="黑体" w:hAnsi="宋体" w:eastAsia="黑体" w:cs="黑体"/>
          <w:sz w:val="40"/>
          <w:szCs w:val="40"/>
          <w:lang w:eastAsia="zh-CN"/>
        </w:rPr>
        <w:t>招标文件信息</w:t>
      </w:r>
    </w:p>
    <w:tbl>
      <w:tblPr>
        <w:tblStyle w:val="11"/>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6" w:type="dxa"/>
          <w:left w:w="36" w:type="dxa"/>
          <w:bottom w:w="36" w:type="dxa"/>
          <w:right w:w="36" w:type="dxa"/>
        </w:tblCellMar>
      </w:tblPr>
      <w:tblGrid>
        <w:gridCol w:w="2993"/>
        <w:gridCol w:w="5739"/>
      </w:tblGrid>
      <w:tr w14:paraId="2BCB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0D3551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项目编号：</w:t>
            </w:r>
          </w:p>
        </w:tc>
        <w:tc>
          <w:tcPr>
            <w:tcW w:w="3285" w:type="pct"/>
            <w:vAlign w:val="center"/>
          </w:tcPr>
          <w:p w14:paraId="6175A04B">
            <w:pPr>
              <w:widowControl w:val="0"/>
              <w:spacing w:line="290" w:lineRule="exact"/>
              <w:jc w:val="center"/>
              <w:rPr>
                <w:rFonts w:hint="default" w:ascii="宋体" w:hAnsi="宋体" w:eastAsia="宋体"/>
                <w:kern w:val="2"/>
                <w:sz w:val="28"/>
                <w:szCs w:val="28"/>
                <w:lang w:val="en-US" w:eastAsia="zh-CN"/>
              </w:rPr>
            </w:pPr>
            <w:r>
              <w:rPr>
                <w:rFonts w:hint="eastAsia" w:ascii="宋体" w:hAnsi="宋体" w:eastAsia="宋体"/>
                <w:kern w:val="2"/>
                <w:sz w:val="28"/>
                <w:szCs w:val="28"/>
                <w:lang w:eastAsia="zh-CN"/>
              </w:rPr>
              <w:t>LHAZXCG-2025-00096</w:t>
            </w:r>
          </w:p>
        </w:tc>
      </w:tr>
      <w:tr w14:paraId="0FFF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47EE3AE0">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项目名称：</w:t>
            </w:r>
          </w:p>
        </w:tc>
        <w:tc>
          <w:tcPr>
            <w:tcW w:w="3285" w:type="pct"/>
            <w:vAlign w:val="center"/>
          </w:tcPr>
          <w:p w14:paraId="0C18D4AC">
            <w:pPr>
              <w:widowControl w:val="0"/>
              <w:spacing w:line="290" w:lineRule="exact"/>
              <w:jc w:val="center"/>
              <w:rPr>
                <w:rFonts w:ascii="宋体" w:hAnsi="宋体" w:eastAsia="宋体"/>
                <w:kern w:val="2"/>
                <w:sz w:val="28"/>
                <w:szCs w:val="28"/>
                <w:lang w:eastAsia="zh-CN"/>
              </w:rPr>
            </w:pPr>
            <w:r>
              <w:rPr>
                <w:rFonts w:hint="eastAsia" w:ascii="宋体" w:hAnsi="宋体" w:eastAsia="宋体"/>
                <w:kern w:val="2"/>
                <w:sz w:val="28"/>
                <w:szCs w:val="28"/>
                <w:lang w:eastAsia="zh-CN"/>
              </w:rPr>
              <w:t>深圳市龙华区行知小学午休课桌椅采购</w:t>
            </w:r>
          </w:p>
        </w:tc>
      </w:tr>
      <w:tr w14:paraId="2020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311E148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包</w:t>
            </w:r>
            <w:r>
              <w:rPr>
                <w:rFonts w:hint="eastAsia" w:ascii="宋体" w:hAnsi="宋体" w:eastAsia="宋体"/>
                <w:kern w:val="2"/>
                <w:sz w:val="28"/>
                <w:szCs w:val="28"/>
                <w:lang w:eastAsia="zh-CN"/>
              </w:rPr>
              <w:t xml:space="preserve">    </w:t>
            </w:r>
            <w:r>
              <w:rPr>
                <w:rFonts w:ascii="宋体" w:hAnsi="宋体" w:eastAsia="宋体"/>
                <w:kern w:val="2"/>
                <w:sz w:val="28"/>
                <w:szCs w:val="28"/>
                <w:lang w:eastAsia="zh-CN"/>
              </w:rPr>
              <w:t>号：</w:t>
            </w:r>
          </w:p>
        </w:tc>
        <w:tc>
          <w:tcPr>
            <w:tcW w:w="3285" w:type="pct"/>
            <w:vAlign w:val="center"/>
          </w:tcPr>
          <w:p w14:paraId="713AE277">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A</w:t>
            </w:r>
          </w:p>
        </w:tc>
      </w:tr>
      <w:tr w14:paraId="4BAA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961894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项目类型：</w:t>
            </w:r>
          </w:p>
        </w:tc>
        <w:tc>
          <w:tcPr>
            <w:tcW w:w="3285" w:type="pct"/>
            <w:vAlign w:val="center"/>
          </w:tcPr>
          <w:p w14:paraId="10A4E45C">
            <w:pPr>
              <w:widowControl w:val="0"/>
              <w:spacing w:line="290" w:lineRule="exact"/>
              <w:jc w:val="center"/>
              <w:rPr>
                <w:rFonts w:ascii="宋体" w:hAnsi="宋体" w:eastAsia="宋体"/>
                <w:kern w:val="2"/>
                <w:sz w:val="28"/>
                <w:szCs w:val="28"/>
                <w:lang w:eastAsia="zh-CN"/>
              </w:rPr>
            </w:pPr>
            <w:r>
              <w:rPr>
                <w:rFonts w:hint="eastAsia" w:ascii="宋体" w:hAnsi="宋体" w:eastAsia="宋体"/>
                <w:kern w:val="2"/>
                <w:sz w:val="28"/>
                <w:szCs w:val="28"/>
                <w:lang w:eastAsia="zh-CN"/>
              </w:rPr>
              <w:t>货物</w:t>
            </w:r>
            <w:r>
              <w:rPr>
                <w:rFonts w:ascii="宋体" w:hAnsi="宋体" w:eastAsia="宋体"/>
                <w:kern w:val="2"/>
                <w:sz w:val="28"/>
                <w:szCs w:val="28"/>
                <w:lang w:eastAsia="zh-CN"/>
              </w:rPr>
              <w:t>类</w:t>
            </w:r>
          </w:p>
        </w:tc>
      </w:tr>
      <w:tr w14:paraId="1F11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5B7B266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采购方式：</w:t>
            </w:r>
          </w:p>
        </w:tc>
        <w:tc>
          <w:tcPr>
            <w:tcW w:w="3285" w:type="pct"/>
            <w:vAlign w:val="center"/>
          </w:tcPr>
          <w:p w14:paraId="15AB9788">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公开招标</w:t>
            </w:r>
          </w:p>
        </w:tc>
      </w:tr>
      <w:tr w14:paraId="5109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8A9B032">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货币类型：</w:t>
            </w:r>
          </w:p>
        </w:tc>
        <w:tc>
          <w:tcPr>
            <w:tcW w:w="3285" w:type="pct"/>
            <w:vAlign w:val="center"/>
          </w:tcPr>
          <w:p w14:paraId="0CDF472E">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人民币</w:t>
            </w:r>
          </w:p>
        </w:tc>
      </w:tr>
      <w:tr w14:paraId="187C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57BEB9BC">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评标方法：</w:t>
            </w:r>
          </w:p>
        </w:tc>
        <w:tc>
          <w:tcPr>
            <w:tcW w:w="3285" w:type="pct"/>
            <w:vAlign w:val="center"/>
          </w:tcPr>
          <w:p w14:paraId="30BF3326">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综合评分法</w:t>
            </w:r>
          </w:p>
        </w:tc>
      </w:tr>
    </w:tbl>
    <w:p w14:paraId="078FED1E">
      <w:pPr>
        <w:widowControl w:val="0"/>
        <w:tabs>
          <w:tab w:val="left" w:pos="2790"/>
        </w:tabs>
        <w:snapToGrid w:val="0"/>
        <w:spacing w:line="440" w:lineRule="exact"/>
        <w:rPr>
          <w:rFonts w:ascii="宋体" w:hAnsi="宋体" w:eastAsia="宋体"/>
          <w:kern w:val="2"/>
          <w:sz w:val="30"/>
          <w:szCs w:val="30"/>
          <w:lang w:eastAsia="zh-CN"/>
        </w:rPr>
      </w:pPr>
    </w:p>
    <w:p w14:paraId="5F3242CF">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6"/>
        <w:gridCol w:w="8100"/>
      </w:tblGrid>
      <w:tr w14:paraId="3BFC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79B360D">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8088F11">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425C01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524ACAE">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8669" w:type="dxa"/>
            <w:tcBorders>
              <w:top w:val="single" w:color="000000" w:sz="8" w:space="0"/>
              <w:left w:val="single" w:color="000000" w:sz="8" w:space="0"/>
              <w:bottom w:val="single" w:color="000000" w:sz="8" w:space="0"/>
              <w:right w:val="single" w:color="000000" w:sz="8" w:space="0"/>
            </w:tcBorders>
          </w:tcPr>
          <w:p w14:paraId="068B444E">
            <w:pPr>
              <w:widowControl w:val="0"/>
              <w:spacing w:line="290" w:lineRule="exact"/>
              <w:jc w:val="both"/>
              <w:rPr>
                <w:rFonts w:ascii="宋体" w:hAnsi="宋体" w:eastAsia="宋体" w:cs="宋体"/>
                <w:kern w:val="2"/>
                <w:sz w:val="21"/>
                <w:szCs w:val="21"/>
                <w:lang w:eastAsia="zh-CN"/>
              </w:rPr>
            </w:pPr>
            <w:bookmarkStart w:id="0" w:name="OLE_LINK1"/>
            <w:r>
              <w:rPr>
                <w:rFonts w:ascii="宋体" w:hAnsi="宋体" w:eastAsia="宋体" w:cs="宋体"/>
                <w:sz w:val="21"/>
                <w:szCs w:val="21"/>
                <w:lang w:eastAsia="zh-CN" w:bidi="ar"/>
              </w:rPr>
              <w:t>投标人不</w:t>
            </w:r>
            <w:r>
              <w:rPr>
                <w:rFonts w:hint="eastAsia" w:ascii="宋体" w:hAnsi="宋体" w:eastAsia="宋体" w:cs="宋体"/>
                <w:sz w:val="21"/>
                <w:szCs w:val="21"/>
                <w:lang w:eastAsia="zh-CN" w:bidi="ar"/>
              </w:rPr>
              <w:t>符合</w:t>
            </w:r>
            <w:r>
              <w:rPr>
                <w:rFonts w:ascii="宋体" w:hAnsi="宋体" w:eastAsia="宋体" w:cs="宋体"/>
                <w:sz w:val="21"/>
                <w:szCs w:val="21"/>
                <w:lang w:eastAsia="zh-CN" w:bidi="ar"/>
              </w:rPr>
              <w:t>资格要求，或未提交相应的资格证明资料（详见招标公告</w:t>
            </w:r>
            <w:r>
              <w:rPr>
                <w:rFonts w:hint="eastAsia" w:ascii="宋体" w:hAnsi="宋体" w:eastAsia="宋体" w:cstheme="minorBidi"/>
                <w:kern w:val="2"/>
                <w:sz w:val="21"/>
                <w:szCs w:val="21"/>
                <w:lang w:eastAsia="zh-CN"/>
              </w:rPr>
              <w:t>投标人资格要求，即申请人的资格要求</w:t>
            </w:r>
            <w:r>
              <w:rPr>
                <w:rFonts w:ascii="宋体" w:hAnsi="宋体" w:eastAsia="宋体" w:cs="宋体"/>
                <w:sz w:val="21"/>
                <w:szCs w:val="21"/>
                <w:lang w:eastAsia="zh-CN" w:bidi="ar"/>
              </w:rPr>
              <w:t>）</w:t>
            </w:r>
            <w:bookmarkEnd w:id="0"/>
          </w:p>
        </w:tc>
      </w:tr>
    </w:tbl>
    <w:p w14:paraId="4DDAE376">
      <w:pPr>
        <w:widowControl w:val="0"/>
        <w:tabs>
          <w:tab w:val="left" w:pos="2790"/>
        </w:tabs>
        <w:snapToGrid w:val="0"/>
        <w:jc w:val="center"/>
        <w:rPr>
          <w:rFonts w:ascii="黑体" w:hAnsi="黑体" w:eastAsia="黑体"/>
          <w:kern w:val="2"/>
          <w:sz w:val="40"/>
          <w:szCs w:val="40"/>
          <w:lang w:eastAsia="zh-CN"/>
        </w:rPr>
      </w:pPr>
    </w:p>
    <w:p w14:paraId="025FC9D5">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80"/>
        <w:gridCol w:w="8076"/>
      </w:tblGrid>
      <w:tr w14:paraId="2B8631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C3F89BA">
            <w:pPr>
              <w:jc w:val="center"/>
              <w:rPr>
                <w:rFonts w:ascii="Calibri" w:hAnsi="Calibri"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F1C69C8">
            <w:pPr>
              <w:jc w:val="center"/>
              <w:rPr>
                <w:rFonts w:ascii="Calibri" w:hAnsi="Calibri" w:eastAsia="宋体"/>
                <w:kern w:val="2"/>
                <w:sz w:val="28"/>
                <w:szCs w:val="28"/>
                <w:lang w:eastAsia="zh-CN"/>
              </w:rPr>
            </w:pPr>
            <w:r>
              <w:rPr>
                <w:rFonts w:ascii="宋体" w:hAnsi="宋体" w:eastAsia="宋体" w:cs="宋体"/>
                <w:sz w:val="28"/>
                <w:szCs w:val="28"/>
                <w:lang w:eastAsia="zh-CN" w:bidi="ar"/>
              </w:rPr>
              <w:t>内容</w:t>
            </w:r>
          </w:p>
        </w:tc>
      </w:tr>
      <w:tr w14:paraId="5BECAA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1A6A6">
            <w:pPr>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129ECC8">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不得将一个包的内容拆开投标；</w:t>
            </w:r>
          </w:p>
        </w:tc>
      </w:tr>
      <w:tr w14:paraId="2B318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26080">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0C219AC">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对同一项目投标时，不得提供两套以上的投标方案（招标文件另有规定的除外）；</w:t>
            </w:r>
          </w:p>
        </w:tc>
      </w:tr>
      <w:tr w14:paraId="14C0A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E8023">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BD14A67">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分项报价或投标总价不得高于相应预算金额（或设定的预算金额下的最高限价）；</w:t>
            </w:r>
          </w:p>
        </w:tc>
      </w:tr>
      <w:tr w14:paraId="64BAA9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300FC">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188F49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23B1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260DC">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7F0D3D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32116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3ECE7">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8DF32D1">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未按招标文件所提供的样式填写《投标函》；未按招标文件所提供的《政府采购投标及履约承诺函》进行承诺；未按招标文件对投标文件组成的要求提供投标文件；</w:t>
            </w:r>
          </w:p>
        </w:tc>
      </w:tr>
      <w:tr w14:paraId="5A9C2E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DB641">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F10017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采购标的/服务</w:t>
            </w:r>
            <w:r>
              <w:rPr>
                <w:rFonts w:hint="eastAsia" w:hAnsi="Calibri" w:eastAsia="宋体" w:cstheme="minorBidi"/>
                <w:kern w:val="2"/>
                <w:sz w:val="21"/>
                <w:szCs w:val="22"/>
                <w:lang w:eastAsia="zh-CN"/>
              </w:rPr>
              <w:t>清单</w:t>
            </w:r>
            <w:r>
              <w:rPr>
                <w:rFonts w:hint="eastAsia" w:ascii="Calibri" w:hAnsi="Calibri" w:eastAsia="宋体" w:cstheme="minorBidi"/>
                <w:kern w:val="2"/>
                <w:sz w:val="21"/>
                <w:szCs w:val="22"/>
                <w:lang w:eastAsia="zh-CN"/>
              </w:rPr>
              <w:t>/报价等任意一类</w:t>
            </w:r>
            <w:r>
              <w:rPr>
                <w:rFonts w:hint="eastAsia" w:hAnsi="Calibri" w:eastAsia="宋体" w:cstheme="minorBidi"/>
                <w:kern w:val="2"/>
                <w:sz w:val="21"/>
                <w:szCs w:val="22"/>
                <w:lang w:eastAsia="zh-CN"/>
              </w:rPr>
              <w:t>有缺漏项或响应不全</w:t>
            </w:r>
            <w:r>
              <w:rPr>
                <w:rFonts w:hint="eastAsia" w:ascii="Calibri" w:hAnsi="Calibri" w:eastAsia="宋体" w:cstheme="minorBidi"/>
                <w:kern w:val="2"/>
                <w:sz w:val="21"/>
                <w:szCs w:val="22"/>
                <w:lang w:eastAsia="zh-CN"/>
              </w:rPr>
              <w:t>，或者对招标文件规定的项目需求内容或者需求数量进行修改</w:t>
            </w:r>
            <w:r>
              <w:rPr>
                <w:rFonts w:hint="eastAsia" w:ascii="Calibri" w:hAnsi="Calibri" w:eastAsia="宋体" w:cstheme="minorBidi"/>
                <w:kern w:val="2"/>
                <w:sz w:val="21"/>
                <w:szCs w:val="21"/>
                <w:lang w:eastAsia="zh-CN"/>
              </w:rPr>
              <w:t>，评审委员会判定投标响应不满足采购需求</w:t>
            </w:r>
            <w:r>
              <w:rPr>
                <w:rFonts w:hint="eastAsia" w:ascii="Calibri" w:hAnsi="Calibri" w:eastAsia="宋体" w:cstheme="minorBidi"/>
                <w:kern w:val="2"/>
                <w:sz w:val="21"/>
                <w:szCs w:val="22"/>
                <w:lang w:eastAsia="zh-CN"/>
              </w:rPr>
              <w:t>；</w:t>
            </w:r>
          </w:p>
        </w:tc>
      </w:tr>
      <w:tr w14:paraId="65DC1E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54ACD">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0A499B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投标文件存在列放位置错误，导致属于信息公开情形的没有被公开；</w:t>
            </w:r>
          </w:p>
        </w:tc>
      </w:tr>
      <w:tr w14:paraId="2BEB38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69CED">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661AE7">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投标文件电子文档不得带病毒；</w:t>
            </w:r>
          </w:p>
        </w:tc>
      </w:tr>
      <w:tr w14:paraId="49111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35E6A">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936004F">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投标文件用不属于本公司的电子密钥或电子营业执照进行加密的；</w:t>
            </w:r>
          </w:p>
        </w:tc>
      </w:tr>
      <w:tr w14:paraId="5512EA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AD5C3">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75C5DDE">
            <w:pPr>
              <w:textAlignment w:val="top"/>
              <w:rPr>
                <w:rFonts w:ascii="Calibri" w:hAnsi="Calibri" w:eastAsia="宋体"/>
                <w:kern w:val="2"/>
                <w:sz w:val="21"/>
                <w:lang w:eastAsia="zh-CN"/>
              </w:rPr>
            </w:pPr>
            <w:r>
              <w:rPr>
                <w:rFonts w:hint="eastAsia" w:eastAsia="宋体"/>
                <w:kern w:val="2"/>
                <w:sz w:val="21"/>
                <w:lang w:eastAsia="zh-CN"/>
              </w:rPr>
              <w:t>不同投标供应商投标文件“文件制作机器码”一致；</w:t>
            </w:r>
          </w:p>
        </w:tc>
      </w:tr>
      <w:tr w14:paraId="650507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E5ED4">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A3BC7AE">
            <w:pPr>
              <w:textAlignment w:val="top"/>
              <w:rPr>
                <w:rFonts w:ascii="Calibri" w:hAnsi="Calibri" w:eastAsia="宋体"/>
                <w:kern w:val="2"/>
                <w:sz w:val="21"/>
                <w:lang w:eastAsia="zh-CN"/>
              </w:rPr>
            </w:pPr>
            <w:r>
              <w:rPr>
                <w:rFonts w:hint="eastAsia" w:eastAsia="宋体"/>
                <w:kern w:val="2"/>
                <w:sz w:val="21"/>
                <w:lang w:eastAsia="zh-CN"/>
              </w:rPr>
              <w:t>不同投标供应商投标文件“文件创建标识码”一致；</w:t>
            </w:r>
          </w:p>
        </w:tc>
      </w:tr>
      <w:tr w14:paraId="6FB175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14B72">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7680BB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法律、法规、规章、规范性文件规定的其他情形。</w:t>
            </w:r>
          </w:p>
        </w:tc>
      </w:tr>
    </w:tbl>
    <w:p w14:paraId="03E5733B">
      <w:pPr>
        <w:widowControl w:val="0"/>
        <w:tabs>
          <w:tab w:val="left" w:pos="2790"/>
        </w:tabs>
        <w:snapToGrid w:val="0"/>
        <w:rPr>
          <w:rFonts w:ascii="Calibri" w:hAnsi="Calibri" w:eastAsia="宋体"/>
          <w:kern w:val="2"/>
          <w:lang w:eastAsia="zh-CN"/>
        </w:rPr>
      </w:pPr>
    </w:p>
    <w:p w14:paraId="3C7C7A4E">
      <w:pPr>
        <w:widowControl w:val="0"/>
        <w:tabs>
          <w:tab w:val="left" w:pos="2790"/>
        </w:tabs>
        <w:snapToGrid w:val="0"/>
        <w:rPr>
          <w:rFonts w:ascii="Calibri" w:hAnsi="Calibri" w:eastAsia="宋体"/>
          <w:kern w:val="2"/>
          <w:lang w:eastAsia="zh-CN"/>
        </w:rPr>
      </w:pPr>
    </w:p>
    <w:p w14:paraId="35083726">
      <w:pPr>
        <w:widowControl w:val="0"/>
        <w:tabs>
          <w:tab w:val="left" w:pos="2790"/>
        </w:tabs>
        <w:snapToGrid w:val="0"/>
        <w:rPr>
          <w:rFonts w:ascii="Calibri" w:hAnsi="Calibri" w:eastAsia="宋体"/>
          <w:kern w:val="2"/>
          <w:lang w:eastAsia="zh-CN"/>
        </w:rPr>
      </w:pPr>
    </w:p>
    <w:p w14:paraId="0F703ECE">
      <w:pPr>
        <w:widowControl w:val="0"/>
        <w:tabs>
          <w:tab w:val="left" w:pos="2790"/>
        </w:tabs>
        <w:snapToGrid w:val="0"/>
        <w:rPr>
          <w:rFonts w:ascii="Calibri" w:hAnsi="Calibri" w:eastAsia="宋体"/>
          <w:kern w:val="2"/>
          <w:lang w:eastAsia="zh-CN"/>
        </w:rPr>
      </w:pPr>
    </w:p>
    <w:p w14:paraId="00D4502E">
      <w:pPr>
        <w:spacing w:before="100" w:beforeAutospacing="1" w:afterAutospacing="1"/>
        <w:jc w:val="center"/>
        <w:outlineLvl w:val="0"/>
        <w:rPr>
          <w:rFonts w:ascii="黑体" w:hAnsi="宋体" w:eastAsia="黑体"/>
          <w:kern w:val="2"/>
          <w:sz w:val="40"/>
          <w:szCs w:val="40"/>
          <w:lang w:eastAsia="zh-CN"/>
        </w:rPr>
      </w:pPr>
      <w:r>
        <w:rPr>
          <w:rFonts w:hint="eastAsia" w:ascii="黑体" w:hAnsi="黑体" w:eastAsia="黑体" w:cstheme="minorBidi"/>
          <w:kern w:val="2"/>
          <w:sz w:val="40"/>
          <w:szCs w:val="40"/>
          <w:lang w:eastAsia="zh-CN"/>
        </w:rPr>
        <w:t>评标信息</w:t>
      </w:r>
    </w:p>
    <w:tbl>
      <w:tblPr>
        <w:tblStyle w:val="11"/>
        <w:tblW w:w="5000" w:type="pct"/>
        <w:jc w:val="center"/>
        <w:tblCellSpacing w:w="0" w:type="dxa"/>
        <w:tblLayout w:type="fixed"/>
        <w:tblCellMar>
          <w:top w:w="45" w:type="dxa"/>
          <w:left w:w="45" w:type="dxa"/>
          <w:bottom w:w="45" w:type="dxa"/>
          <w:right w:w="45" w:type="dxa"/>
        </w:tblCellMar>
      </w:tblPr>
      <w:tblGrid>
        <w:gridCol w:w="8730"/>
      </w:tblGrid>
      <w:tr w14:paraId="21985CD2">
        <w:trPr>
          <w:tblCellSpacing w:w="0" w:type="dxa"/>
          <w:jc w:val="center"/>
        </w:trPr>
        <w:tc>
          <w:tcPr>
            <w:tcW w:w="9078" w:type="dxa"/>
            <w:shd w:val="clear" w:color="auto" w:fill="auto"/>
            <w:vAlign w:val="center"/>
          </w:tcPr>
          <w:p w14:paraId="19AB9045">
            <w:pPr>
              <w:widowControl w:val="0"/>
              <w:rPr>
                <w:rFonts w:ascii="宋体" w:hAnsi="Calibri" w:eastAsia="宋体"/>
                <w:b/>
                <w:bCs/>
                <w:kern w:val="2"/>
                <w:szCs w:val="22"/>
                <w:lang w:eastAsia="zh-CN"/>
              </w:rPr>
            </w:pPr>
            <w:r>
              <w:rPr>
                <w:rFonts w:ascii="Calibri" w:hAnsi="Calibri" w:eastAsia="宋体" w:cstheme="minorBidi"/>
                <w:b/>
                <w:bCs/>
                <w:kern w:val="2"/>
                <w:sz w:val="21"/>
                <w:szCs w:val="22"/>
                <w:lang w:eastAsia="zh-CN"/>
              </w:rPr>
              <w:t>评标方法：综合评分法</w:t>
            </w:r>
          </w:p>
        </w:tc>
      </w:tr>
      <w:tr w14:paraId="3943EB6B">
        <w:tblPrEx>
          <w:tblCellMar>
            <w:top w:w="45" w:type="dxa"/>
            <w:left w:w="45" w:type="dxa"/>
            <w:bottom w:w="45" w:type="dxa"/>
            <w:right w:w="45" w:type="dxa"/>
          </w:tblCellMar>
        </w:tblPrEx>
        <w:trPr>
          <w:tblCellSpacing w:w="0" w:type="dxa"/>
          <w:jc w:val="center"/>
        </w:trPr>
        <w:tc>
          <w:tcPr>
            <w:tcW w:w="9078" w:type="dxa"/>
            <w:shd w:val="clear" w:color="auto" w:fill="auto"/>
            <w:vAlign w:val="center"/>
          </w:tcPr>
          <w:p w14:paraId="401A0FB6">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综合评分法，</w:t>
            </w:r>
            <w:r>
              <w:rPr>
                <w:rFonts w:hint="eastAsia" w:ascii="Calibri" w:hAnsi="Calibri" w:eastAsia="宋体" w:cstheme="minorBidi"/>
                <w:kern w:val="2"/>
                <w:sz w:val="21"/>
                <w:szCs w:val="21"/>
                <w:lang w:eastAsia="zh-CN"/>
              </w:rPr>
              <w:t>是指投标文件满足招标文件全部实质性要求，且按照评审因素的量化指标评审得分排名前列</w:t>
            </w:r>
            <w:r>
              <w:rPr>
                <w:rFonts w:ascii="Calibri" w:hAnsi="Calibri" w:eastAsia="宋体" w:cstheme="minorBidi"/>
                <w:kern w:val="2"/>
                <w:sz w:val="21"/>
                <w:szCs w:val="21"/>
                <w:lang w:eastAsia="zh-CN"/>
              </w:rPr>
              <w:t>的投标人为中标候选人的评标方法。</w:t>
            </w:r>
            <w:r>
              <w:rPr>
                <w:rFonts w:hint="eastAsia" w:ascii="Calibri" w:hAnsi="Calibri" w:eastAsia="宋体" w:cstheme="minorBidi"/>
                <w:kern w:val="2"/>
                <w:sz w:val="21"/>
                <w:szCs w:val="21"/>
                <w:lang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他投标无效。</w:t>
            </w:r>
          </w:p>
          <w:p w14:paraId="767AD8E7">
            <w:pPr>
              <w:widowControl w:val="0"/>
              <w:ind w:firstLine="420"/>
              <w:jc w:val="both"/>
              <w:rPr>
                <w:rFonts w:ascii="Calibri" w:hAnsi="Calibri" w:eastAsia="宋体"/>
                <w:kern w:val="2"/>
                <w:sz w:val="21"/>
                <w:szCs w:val="22"/>
                <w:lang w:eastAsia="zh-CN"/>
              </w:rPr>
            </w:pPr>
          </w:p>
          <w:p w14:paraId="44AAC11E">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价格分计算方法：</w:t>
            </w:r>
          </w:p>
          <w:p w14:paraId="302A2B83">
            <w:pPr>
              <w:spacing w:before="100"/>
              <w:ind w:left="420"/>
              <w:rPr>
                <w:rFonts w:ascii="宋体" w:hAnsi="宋体" w:eastAsia="宋体"/>
                <w:kern w:val="2"/>
                <w:sz w:val="21"/>
                <w:szCs w:val="21"/>
                <w:lang w:eastAsia="zh-CN"/>
              </w:rPr>
            </w:pPr>
            <w:r>
              <w:rPr>
                <w:rFonts w:ascii="宋体" w:hAnsi="宋体" w:eastAsia="宋体" w:cstheme="minorBidi"/>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投标报价得分=(评标基准价／投标报价)×100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评标总得分＝F1×A1＋F2×A2＋……＋Fn×An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F1、F2……Fn分别为各项评审因素的得分；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A1、A2、……An 分别为各项评审因素所占的权重(A1＋A2＋……＋An＝1)。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评标过程中，不得去掉报价中的最高报价和最低报价。</w:t>
            </w:r>
          </w:p>
          <w:p w14:paraId="0E298A48">
            <w:pPr>
              <w:spacing w:before="100"/>
              <w:ind w:left="420"/>
              <w:rPr>
                <w:rFonts w:ascii="宋体" w:hAnsi="宋体" w:eastAsia="宋体"/>
                <w:kern w:val="2"/>
                <w:lang w:eastAsia="zh-CN"/>
              </w:rPr>
            </w:pPr>
            <w:r>
              <w:rPr>
                <w:rFonts w:hint="eastAsia" w:ascii="宋体" w:hAnsi="宋体" w:eastAsia="宋体" w:cstheme="minorBidi"/>
                <w:kern w:val="2"/>
                <w:sz w:val="21"/>
                <w:szCs w:val="21"/>
                <w:lang w:eastAsia="zh-CN"/>
              </w:rPr>
              <w:t>因落实政府采购政策进行价格调整的，以调整后的价格计算评标基准价和投标报价。</w:t>
            </w:r>
          </w:p>
        </w:tc>
      </w:tr>
    </w:tbl>
    <w:p w14:paraId="2D85796A">
      <w:pPr>
        <w:widowControl w:val="0"/>
        <w:jc w:val="both"/>
        <w:rPr>
          <w:rFonts w:ascii="Calibri" w:hAnsi="Calibri" w:eastAsia="宋体"/>
          <w:kern w:val="2"/>
          <w:sz w:val="21"/>
          <w:szCs w:val="22"/>
          <w:lang w:eastAsia="zh-CN"/>
        </w:rPr>
      </w:pPr>
    </w:p>
    <w:p w14:paraId="2243D04D">
      <w:pPr>
        <w:widowControl w:val="0"/>
        <w:jc w:val="both"/>
        <w:rPr>
          <w:rFonts w:ascii="Calibri" w:hAnsi="Calibri" w:eastAsia="宋体"/>
          <w:kern w:val="2"/>
          <w:sz w:val="21"/>
          <w:szCs w:val="22"/>
          <w:lang w:eastAsia="zh-CN"/>
        </w:rPr>
      </w:pPr>
    </w:p>
    <w:p w14:paraId="61D41FFD">
      <w:pPr>
        <w:widowControl w:val="0"/>
        <w:jc w:val="both"/>
        <w:rPr>
          <w:rFonts w:ascii="Calibri" w:hAnsi="Calibri" w:eastAsia="宋体"/>
          <w:kern w:val="2"/>
          <w:sz w:val="21"/>
          <w:szCs w:val="22"/>
          <w:lang w:eastAsia="zh-CN"/>
        </w:rPr>
      </w:pPr>
    </w:p>
    <w:tbl>
      <w:tblPr>
        <w:tblStyle w:val="11"/>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722"/>
        <w:gridCol w:w="1398"/>
        <w:gridCol w:w="1317"/>
        <w:gridCol w:w="5013"/>
      </w:tblGrid>
      <w:tr w14:paraId="412D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Align w:val="center"/>
          </w:tcPr>
          <w:p w14:paraId="64BED336">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3437" w:type="dxa"/>
            <w:gridSpan w:val="3"/>
            <w:vAlign w:val="center"/>
          </w:tcPr>
          <w:p w14:paraId="1E1E59AF">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评分项</w:t>
            </w:r>
          </w:p>
        </w:tc>
        <w:tc>
          <w:tcPr>
            <w:tcW w:w="5013" w:type="dxa"/>
            <w:vAlign w:val="center"/>
          </w:tcPr>
          <w:p w14:paraId="34BB03E3">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rPr>
              <w:t>权重</w:t>
            </w:r>
            <w:r>
              <w:rPr>
                <w:rFonts w:hint="eastAsia" w:ascii="宋体" w:hAnsi="宋体" w:eastAsia="宋体" w:cs="宋体"/>
                <w:b/>
                <w:bCs/>
                <w:sz w:val="21"/>
                <w:szCs w:val="21"/>
                <w:lang w:eastAsia="zh-CN"/>
              </w:rPr>
              <w:t>（%）</w:t>
            </w:r>
          </w:p>
        </w:tc>
      </w:tr>
      <w:tr w14:paraId="3CA8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Align w:val="center"/>
          </w:tcPr>
          <w:p w14:paraId="7CB82739">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1</w:t>
            </w:r>
          </w:p>
        </w:tc>
        <w:tc>
          <w:tcPr>
            <w:tcW w:w="3437" w:type="dxa"/>
            <w:gridSpan w:val="3"/>
            <w:vAlign w:val="center"/>
          </w:tcPr>
          <w:p w14:paraId="7DAF738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价格</w:t>
            </w:r>
          </w:p>
        </w:tc>
        <w:tc>
          <w:tcPr>
            <w:tcW w:w="5013" w:type="dxa"/>
            <w:vAlign w:val="center"/>
          </w:tcPr>
          <w:p w14:paraId="5ACB31CE">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30</w:t>
            </w:r>
          </w:p>
        </w:tc>
      </w:tr>
      <w:tr w14:paraId="2CBF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06" w:type="dxa"/>
            <w:vAlign w:val="center"/>
          </w:tcPr>
          <w:p w14:paraId="0B79E101">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2</w:t>
            </w:r>
          </w:p>
        </w:tc>
        <w:tc>
          <w:tcPr>
            <w:tcW w:w="3437" w:type="dxa"/>
            <w:gridSpan w:val="3"/>
            <w:vAlign w:val="center"/>
          </w:tcPr>
          <w:p w14:paraId="60DDDB17">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技术部分</w:t>
            </w:r>
          </w:p>
        </w:tc>
        <w:tc>
          <w:tcPr>
            <w:tcW w:w="5013" w:type="dxa"/>
            <w:vAlign w:val="center"/>
          </w:tcPr>
          <w:p w14:paraId="76428402">
            <w:pPr>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41</w:t>
            </w:r>
          </w:p>
        </w:tc>
      </w:tr>
      <w:tr w14:paraId="61C8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06" w:type="dxa"/>
            <w:vMerge w:val="restart"/>
            <w:vAlign w:val="center"/>
          </w:tcPr>
          <w:p w14:paraId="428C252A">
            <w:pPr>
              <w:spacing w:line="360" w:lineRule="auto"/>
              <w:jc w:val="center"/>
              <w:rPr>
                <w:rFonts w:ascii="宋体" w:hAnsi="宋体" w:eastAsia="宋体" w:cs="宋体"/>
                <w:sz w:val="21"/>
                <w:szCs w:val="21"/>
              </w:rPr>
            </w:pPr>
          </w:p>
        </w:tc>
        <w:tc>
          <w:tcPr>
            <w:tcW w:w="722" w:type="dxa"/>
            <w:vAlign w:val="center"/>
          </w:tcPr>
          <w:p w14:paraId="1523052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98" w:type="dxa"/>
            <w:vAlign w:val="center"/>
          </w:tcPr>
          <w:p w14:paraId="5832BEDC">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评分因素</w:t>
            </w:r>
          </w:p>
        </w:tc>
        <w:tc>
          <w:tcPr>
            <w:tcW w:w="1317" w:type="dxa"/>
            <w:vAlign w:val="center"/>
          </w:tcPr>
          <w:p w14:paraId="10A36499">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权重(%)</w:t>
            </w:r>
          </w:p>
        </w:tc>
        <w:tc>
          <w:tcPr>
            <w:tcW w:w="5013" w:type="dxa"/>
            <w:vAlign w:val="center"/>
          </w:tcPr>
          <w:p w14:paraId="433DD362">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评分准则</w:t>
            </w:r>
          </w:p>
        </w:tc>
      </w:tr>
      <w:tr w14:paraId="7E4A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06" w:type="dxa"/>
            <w:vMerge w:val="continue"/>
            <w:shd w:val="clear" w:color="auto" w:fill="auto"/>
            <w:vAlign w:val="center"/>
          </w:tcPr>
          <w:p w14:paraId="57116DF9">
            <w:pPr>
              <w:keepNext/>
              <w:keepLines/>
              <w:pageBreakBefore w:val="0"/>
              <w:kinsoku/>
              <w:overflowPunct/>
              <w:topLinePunct w:val="0"/>
              <w:bidi w:val="0"/>
              <w:spacing w:before="260" w:after="260" w:line="360" w:lineRule="auto"/>
              <w:jc w:val="center"/>
              <w:textAlignment w:val="auto"/>
              <w:outlineLvl w:val="2"/>
              <w:rPr>
                <w:rFonts w:ascii="宋体" w:hAnsi="宋体" w:eastAsia="宋体" w:cs="宋体"/>
                <w:sz w:val="21"/>
                <w:szCs w:val="21"/>
              </w:rPr>
            </w:pPr>
          </w:p>
        </w:tc>
        <w:tc>
          <w:tcPr>
            <w:tcW w:w="722" w:type="dxa"/>
            <w:shd w:val="clear" w:color="auto" w:fill="auto"/>
            <w:vAlign w:val="center"/>
          </w:tcPr>
          <w:p w14:paraId="4ADF8314">
            <w:pPr>
              <w:pageBreakBefore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sz w:val="21"/>
                <w:szCs w:val="21"/>
              </w:rPr>
              <w:t>1</w:t>
            </w:r>
          </w:p>
        </w:tc>
        <w:tc>
          <w:tcPr>
            <w:tcW w:w="1398" w:type="dxa"/>
            <w:shd w:val="clear" w:color="auto" w:fill="auto"/>
            <w:vAlign w:val="center"/>
          </w:tcPr>
          <w:p w14:paraId="3AFD00B3">
            <w:pPr>
              <w:pageBreakBefore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cs="宋体"/>
                <w:kern w:val="0"/>
                <w:sz w:val="21"/>
                <w:szCs w:val="21"/>
              </w:rPr>
              <w:t>技术规格偏离情况</w:t>
            </w:r>
          </w:p>
        </w:tc>
        <w:tc>
          <w:tcPr>
            <w:tcW w:w="1317" w:type="dxa"/>
            <w:shd w:val="clear" w:color="auto" w:fill="auto"/>
            <w:vAlign w:val="center"/>
          </w:tcPr>
          <w:p w14:paraId="35A87147">
            <w:pPr>
              <w:pageBreakBefore w:val="0"/>
              <w:kinsoku/>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eastAsia="宋体"/>
                <w:sz w:val="21"/>
                <w:szCs w:val="21"/>
                <w:lang w:val="en-US" w:eastAsia="zh-CN"/>
              </w:rPr>
              <w:t>34</w:t>
            </w:r>
          </w:p>
        </w:tc>
        <w:tc>
          <w:tcPr>
            <w:tcW w:w="5013" w:type="dxa"/>
            <w:shd w:val="clear" w:color="auto" w:fill="FFFFFF"/>
            <w:vAlign w:val="center"/>
          </w:tcPr>
          <w:p w14:paraId="3CF7B8BE">
            <w:pPr>
              <w:pStyle w:val="5"/>
              <w:pageBreakBefore w:val="0"/>
              <w:kinsoku/>
              <w:overflowPunct/>
              <w:topLinePunct w:val="0"/>
              <w:bidi w:val="0"/>
              <w:spacing w:line="360" w:lineRule="auto"/>
              <w:jc w:val="both"/>
              <w:textAlignment w:val="auto"/>
              <w:rPr>
                <w:rFonts w:hint="eastAsia"/>
                <w:b/>
                <w:bCs/>
                <w:sz w:val="21"/>
                <w:szCs w:val="21"/>
              </w:rPr>
            </w:pPr>
            <w:r>
              <w:rPr>
                <w:rFonts w:hint="eastAsia"/>
                <w:b/>
                <w:bCs/>
                <w:sz w:val="21"/>
                <w:szCs w:val="21"/>
              </w:rPr>
              <w:t>考察内容：</w:t>
            </w:r>
          </w:p>
          <w:p w14:paraId="6B409737">
            <w:pPr>
              <w:pStyle w:val="5"/>
              <w:pageBreakBefore w:val="0"/>
              <w:kinsoku/>
              <w:overflowPunct/>
              <w:topLinePunct w:val="0"/>
              <w:bidi w:val="0"/>
              <w:spacing w:line="360" w:lineRule="auto"/>
              <w:jc w:val="both"/>
              <w:textAlignment w:val="auto"/>
              <w:rPr>
                <w:rFonts w:hint="eastAsia"/>
                <w:b w:val="0"/>
                <w:bCs w:val="0"/>
                <w:sz w:val="21"/>
                <w:szCs w:val="21"/>
              </w:rPr>
            </w:pPr>
            <w:r>
              <w:rPr>
                <w:rFonts w:hint="eastAsia"/>
                <w:b w:val="0"/>
                <w:bCs w:val="0"/>
                <w:sz w:val="21"/>
                <w:szCs w:val="21"/>
              </w:rPr>
              <w:t>评审委员会根据《技术规格偏离表》（以下简称“偏离表”）响应情况进行打分，全部满足的得100分，</w:t>
            </w:r>
            <w:r>
              <w:rPr>
                <w:rFonts w:hint="eastAsia"/>
                <w:b w:val="0"/>
                <w:bCs w:val="0"/>
                <w:sz w:val="21"/>
                <w:szCs w:val="21"/>
                <w:lang w:val="en-US" w:eastAsia="zh-CN"/>
              </w:rPr>
              <w:t>除实质性条款外，</w:t>
            </w:r>
            <w:r>
              <w:rPr>
                <w:rFonts w:hint="eastAsia"/>
                <w:b w:val="0"/>
                <w:bCs w:val="0"/>
                <w:sz w:val="21"/>
                <w:szCs w:val="21"/>
              </w:rPr>
              <w:t>一般参数每负偏离一项扣3分，重点技术参数▲项每负偏离一项扣20分。扣完为止。</w:t>
            </w:r>
          </w:p>
          <w:p w14:paraId="297670D1">
            <w:pPr>
              <w:pStyle w:val="5"/>
              <w:pageBreakBefore w:val="0"/>
              <w:kinsoku/>
              <w:overflowPunct/>
              <w:topLinePunct w:val="0"/>
              <w:bidi w:val="0"/>
              <w:spacing w:line="360" w:lineRule="auto"/>
              <w:jc w:val="both"/>
              <w:textAlignment w:val="auto"/>
              <w:rPr>
                <w:rFonts w:hint="eastAsia"/>
                <w:b/>
                <w:bCs/>
                <w:sz w:val="21"/>
                <w:szCs w:val="21"/>
              </w:rPr>
            </w:pPr>
            <w:r>
              <w:rPr>
                <w:rFonts w:hint="eastAsia"/>
                <w:b/>
                <w:bCs/>
                <w:sz w:val="21"/>
                <w:szCs w:val="21"/>
              </w:rPr>
              <w:t>评审标准：</w:t>
            </w:r>
          </w:p>
          <w:p w14:paraId="4EE1F149">
            <w:pPr>
              <w:pStyle w:val="5"/>
              <w:pageBreakBefore w:val="0"/>
              <w:kinsoku/>
              <w:overflowPunct/>
              <w:topLinePunct w:val="0"/>
              <w:bidi w:val="0"/>
              <w:spacing w:line="360" w:lineRule="auto"/>
              <w:jc w:val="both"/>
              <w:textAlignment w:val="auto"/>
              <w:rPr>
                <w:rFonts w:hint="eastAsia" w:ascii="宋体" w:hAnsi="宋体" w:eastAsia="宋体" w:cs="宋体"/>
                <w:sz w:val="21"/>
                <w:szCs w:val="21"/>
              </w:rPr>
            </w:pPr>
            <w:r>
              <w:rPr>
                <w:rFonts w:hint="eastAsia"/>
                <w:b w:val="0"/>
                <w:bCs w:val="0"/>
                <w:sz w:val="21"/>
                <w:szCs w:val="21"/>
              </w:rPr>
              <w:t>偏离表应如实对应填写所投产品的具体参数。如要求提供“厂家网站截图/说明书/厂家出具的参数文件/检验报告”等证明资料的，需按要求提供相关证明资料；提供的证明资料与所填写内容不一致的，以证明资料为准。证明材料不能满足招标要求的，该项按负偏离处理。未提供或未按要求提供或提供的不清晰导致专家无法判断的，不得分</w:t>
            </w:r>
            <w:r>
              <w:rPr>
                <w:rFonts w:hint="eastAsia"/>
                <w:b w:val="0"/>
                <w:bCs w:val="0"/>
                <w:sz w:val="21"/>
                <w:szCs w:val="21"/>
                <w:lang w:eastAsia="zh-CN"/>
              </w:rPr>
              <w:t>。</w:t>
            </w:r>
            <w:r>
              <w:rPr>
                <w:rFonts w:hint="eastAsia"/>
                <w:b w:val="0"/>
                <w:bCs w:val="0"/>
                <w:sz w:val="21"/>
                <w:szCs w:val="21"/>
              </w:rPr>
              <w:t>投标人的“技术规格响应情况”“技术规格偏离情况”等与客观实际保持一致，响应不实且情节严重的，经查实，将依法记入供应商诚信档案或受到行政处罚。</w:t>
            </w:r>
          </w:p>
        </w:tc>
      </w:tr>
      <w:tr w14:paraId="19A2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Merge w:val="continue"/>
            <w:vAlign w:val="center"/>
          </w:tcPr>
          <w:p w14:paraId="2D0A6A8C">
            <w:pPr>
              <w:pageBreakBefore w:val="0"/>
              <w:kinsoku/>
              <w:overflowPunct/>
              <w:topLinePunct w:val="0"/>
              <w:bidi w:val="0"/>
              <w:spacing w:line="360" w:lineRule="auto"/>
              <w:jc w:val="center"/>
              <w:textAlignment w:val="auto"/>
              <w:rPr>
                <w:rFonts w:ascii="宋体" w:hAnsi="宋体" w:eastAsia="宋体" w:cs="宋体"/>
                <w:sz w:val="21"/>
                <w:szCs w:val="21"/>
                <w:lang w:eastAsia="zh-CN"/>
              </w:rPr>
            </w:pPr>
          </w:p>
        </w:tc>
        <w:tc>
          <w:tcPr>
            <w:tcW w:w="722" w:type="dxa"/>
            <w:vAlign w:val="center"/>
          </w:tcPr>
          <w:p w14:paraId="56F496B1">
            <w:pPr>
              <w:pageBreakBefore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olor w:val="auto"/>
                <w:sz w:val="21"/>
                <w:szCs w:val="21"/>
                <w:lang w:val="en-US" w:eastAsia="zh-CN"/>
              </w:rPr>
              <w:t>2</w:t>
            </w:r>
          </w:p>
        </w:tc>
        <w:tc>
          <w:tcPr>
            <w:tcW w:w="1398" w:type="dxa"/>
            <w:vAlign w:val="center"/>
          </w:tcPr>
          <w:p w14:paraId="09B314AC">
            <w:pPr>
              <w:pageBreakBefore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rPr>
              <w:t>售后服务方案</w:t>
            </w:r>
          </w:p>
        </w:tc>
        <w:tc>
          <w:tcPr>
            <w:tcW w:w="1317" w:type="dxa"/>
            <w:vAlign w:val="center"/>
          </w:tcPr>
          <w:p w14:paraId="02FA821A">
            <w:pPr>
              <w:pageBreakBefore w:val="0"/>
              <w:kinsoku/>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color w:val="auto"/>
                <w:sz w:val="21"/>
                <w:szCs w:val="21"/>
                <w:lang w:val="en-US" w:eastAsia="zh-CN"/>
              </w:rPr>
              <w:t>7</w:t>
            </w:r>
          </w:p>
        </w:tc>
        <w:tc>
          <w:tcPr>
            <w:tcW w:w="5013" w:type="dxa"/>
            <w:vAlign w:val="center"/>
          </w:tcPr>
          <w:p w14:paraId="3A3AB902">
            <w:pPr>
              <w:pageBreakBefore w:val="0"/>
              <w:kinsoku/>
              <w:overflowPunct/>
              <w:topLinePunct w:val="0"/>
              <w:autoSpaceDE w:val="0"/>
              <w:autoSpaceDN w:val="0"/>
              <w:bidi w:val="0"/>
              <w:adjustRightInd w:val="0"/>
              <w:spacing w:line="360" w:lineRule="auto"/>
              <w:jc w:val="both"/>
              <w:textAlignment w:val="auto"/>
              <w:rPr>
                <w:rFonts w:hint="eastAsia" w:ascii="宋体" w:hAnsi="宋体" w:cs="宋体"/>
                <w:b/>
                <w:bCs/>
                <w:color w:val="auto"/>
                <w:sz w:val="21"/>
                <w:szCs w:val="21"/>
              </w:rPr>
            </w:pPr>
            <w:r>
              <w:rPr>
                <w:rFonts w:hint="eastAsia" w:ascii="宋体" w:hAnsi="宋体" w:cs="宋体"/>
                <w:b/>
                <w:bCs/>
                <w:color w:val="auto"/>
                <w:sz w:val="21"/>
                <w:szCs w:val="21"/>
              </w:rPr>
              <w:t>评审内容：</w:t>
            </w:r>
          </w:p>
          <w:p w14:paraId="705DF17B">
            <w:pPr>
              <w:pageBreakBefore w:val="0"/>
              <w:kinsoku/>
              <w:overflowPunct/>
              <w:topLinePunct w:val="0"/>
              <w:autoSpaceDE w:val="0"/>
              <w:autoSpaceDN w:val="0"/>
              <w:bidi w:val="0"/>
              <w:adjustRightInd w:val="0"/>
              <w:spacing w:line="360" w:lineRule="auto"/>
              <w:jc w:val="both"/>
              <w:textAlignment w:val="auto"/>
              <w:rPr>
                <w:rFonts w:hint="eastAsia" w:ascii="宋体" w:hAnsi="宋体" w:cs="宋体"/>
                <w:color w:val="auto"/>
                <w:sz w:val="21"/>
                <w:szCs w:val="21"/>
              </w:rPr>
            </w:pPr>
            <w:r>
              <w:rPr>
                <w:rFonts w:hint="eastAsia" w:ascii="宋体" w:hAnsi="宋体" w:cs="宋体"/>
                <w:color w:val="auto"/>
                <w:sz w:val="21"/>
                <w:szCs w:val="21"/>
              </w:rPr>
              <w:t xml:space="preserve">投标人在投标文件中详细说明服务保障措施： </w:t>
            </w:r>
          </w:p>
          <w:p w14:paraId="5E257170">
            <w:pPr>
              <w:pageBreakBefore w:val="0"/>
              <w:kinsoku/>
              <w:overflowPunct/>
              <w:topLinePunct w:val="0"/>
              <w:autoSpaceDE w:val="0"/>
              <w:autoSpaceDN w:val="0"/>
              <w:bidi w:val="0"/>
              <w:adjustRightInd w:val="0"/>
              <w:spacing w:line="360" w:lineRule="auto"/>
              <w:jc w:val="both"/>
              <w:textAlignment w:val="auto"/>
              <w:rPr>
                <w:rFonts w:hint="eastAsia" w:ascii="宋体" w:hAnsi="宋体" w:cs="宋体"/>
                <w:color w:val="auto"/>
                <w:sz w:val="21"/>
                <w:szCs w:val="21"/>
              </w:rPr>
            </w:pPr>
            <w:r>
              <w:rPr>
                <w:rFonts w:hint="eastAsia" w:ascii="宋体" w:hAnsi="宋体" w:cs="宋体"/>
                <w:color w:val="auto"/>
                <w:sz w:val="21"/>
                <w:szCs w:val="21"/>
              </w:rPr>
              <w:t xml:space="preserve">1、安装与调试服务； </w:t>
            </w:r>
          </w:p>
          <w:p w14:paraId="668BC693">
            <w:pPr>
              <w:pageBreakBefore w:val="0"/>
              <w:kinsoku/>
              <w:overflowPunct/>
              <w:topLinePunct w:val="0"/>
              <w:autoSpaceDE w:val="0"/>
              <w:autoSpaceDN w:val="0"/>
              <w:bidi w:val="0"/>
              <w:adjustRightInd w:val="0"/>
              <w:spacing w:line="360" w:lineRule="auto"/>
              <w:jc w:val="both"/>
              <w:textAlignment w:val="auto"/>
              <w:rPr>
                <w:rFonts w:hint="eastAsia" w:ascii="宋体" w:hAnsi="宋体" w:cs="宋体"/>
                <w:color w:val="auto"/>
                <w:sz w:val="21"/>
                <w:szCs w:val="21"/>
              </w:rPr>
            </w:pPr>
            <w:r>
              <w:rPr>
                <w:rFonts w:hint="eastAsia" w:ascii="宋体" w:hAnsi="宋体" w:cs="宋体"/>
                <w:color w:val="auto"/>
                <w:sz w:val="21"/>
                <w:szCs w:val="21"/>
              </w:rPr>
              <w:t xml:space="preserve">2、维修与质保服务； </w:t>
            </w:r>
          </w:p>
          <w:p w14:paraId="07E5CA06">
            <w:pPr>
              <w:pageBreakBefore w:val="0"/>
              <w:kinsoku/>
              <w:overflowPunct/>
              <w:topLinePunct w:val="0"/>
              <w:autoSpaceDE w:val="0"/>
              <w:autoSpaceDN w:val="0"/>
              <w:bidi w:val="0"/>
              <w:adjustRightInd w:val="0"/>
              <w:spacing w:line="360" w:lineRule="auto"/>
              <w:jc w:val="both"/>
              <w:textAlignment w:val="auto"/>
              <w:rPr>
                <w:rFonts w:hint="eastAsia" w:ascii="宋体" w:hAnsi="宋体" w:cs="宋体"/>
                <w:color w:val="auto"/>
                <w:sz w:val="21"/>
                <w:szCs w:val="21"/>
              </w:rPr>
            </w:pPr>
            <w:r>
              <w:rPr>
                <w:rFonts w:hint="eastAsia" w:ascii="宋体" w:hAnsi="宋体" w:cs="宋体"/>
                <w:color w:val="auto"/>
                <w:sz w:val="21"/>
                <w:szCs w:val="21"/>
              </w:rPr>
              <w:t xml:space="preserve">3、零部件供应与更换； </w:t>
            </w:r>
          </w:p>
          <w:p w14:paraId="2C0C003F">
            <w:pPr>
              <w:pageBreakBefore w:val="0"/>
              <w:kinsoku/>
              <w:overflowPunct/>
              <w:topLinePunct w:val="0"/>
              <w:autoSpaceDE w:val="0"/>
              <w:autoSpaceDN w:val="0"/>
              <w:bidi w:val="0"/>
              <w:adjustRightInd w:val="0"/>
              <w:spacing w:line="360" w:lineRule="auto"/>
              <w:jc w:val="both"/>
              <w:textAlignment w:val="auto"/>
              <w:rPr>
                <w:rFonts w:hint="eastAsia" w:ascii="宋体" w:hAnsi="宋体" w:cs="宋体"/>
                <w:color w:val="auto"/>
                <w:sz w:val="21"/>
                <w:szCs w:val="21"/>
              </w:rPr>
            </w:pPr>
            <w:r>
              <w:rPr>
                <w:rFonts w:hint="eastAsia" w:ascii="宋体" w:hAnsi="宋体" w:cs="宋体"/>
                <w:color w:val="auto"/>
                <w:sz w:val="21"/>
                <w:szCs w:val="21"/>
              </w:rPr>
              <w:t xml:space="preserve">4、定期巡检与使用指导。 </w:t>
            </w:r>
          </w:p>
          <w:p w14:paraId="7F86EEAE">
            <w:pPr>
              <w:pageBreakBefore w:val="0"/>
              <w:kinsoku/>
              <w:overflowPunct/>
              <w:topLinePunct w:val="0"/>
              <w:autoSpaceDE w:val="0"/>
              <w:autoSpaceDN w:val="0"/>
              <w:bidi w:val="0"/>
              <w:adjustRightInd w:val="0"/>
              <w:spacing w:line="360" w:lineRule="auto"/>
              <w:jc w:val="both"/>
              <w:textAlignment w:val="auto"/>
              <w:rPr>
                <w:rFonts w:hint="eastAsia" w:ascii="宋体" w:hAnsi="宋体" w:cs="宋体"/>
                <w:b/>
                <w:bCs/>
                <w:color w:val="auto"/>
                <w:sz w:val="21"/>
                <w:szCs w:val="21"/>
              </w:rPr>
            </w:pPr>
            <w:r>
              <w:rPr>
                <w:rFonts w:hint="eastAsia" w:ascii="宋体" w:hAnsi="宋体" w:cs="宋体"/>
                <w:b/>
                <w:bCs/>
                <w:color w:val="auto"/>
                <w:sz w:val="21"/>
                <w:szCs w:val="21"/>
              </w:rPr>
              <w:t>评审标准：</w:t>
            </w:r>
          </w:p>
          <w:p w14:paraId="3B3A25A7">
            <w:pPr>
              <w:pageBreakBefore w:val="0"/>
              <w:kinsoku/>
              <w:overflowPunct/>
              <w:topLinePunct w:val="0"/>
              <w:autoSpaceDE w:val="0"/>
              <w:autoSpaceDN w:val="0"/>
              <w:bidi w:val="0"/>
              <w:adjustRightInd w:val="0"/>
              <w:spacing w:line="360" w:lineRule="auto"/>
              <w:jc w:val="both"/>
              <w:textAlignment w:val="auto"/>
              <w:rPr>
                <w:rFonts w:hint="eastAsia" w:ascii="宋体" w:hAnsi="宋体" w:cs="宋体"/>
                <w:color w:val="auto"/>
                <w:sz w:val="21"/>
                <w:szCs w:val="21"/>
              </w:rPr>
            </w:pPr>
            <w:r>
              <w:rPr>
                <w:rFonts w:hint="eastAsia" w:ascii="宋体" w:hAnsi="宋体" w:cs="宋体"/>
                <w:color w:val="auto"/>
                <w:sz w:val="21"/>
                <w:szCs w:val="21"/>
              </w:rPr>
              <w:t>同时提供上述四项内容的，得</w:t>
            </w:r>
            <w:r>
              <w:rPr>
                <w:rFonts w:hint="eastAsia" w:ascii="宋体" w:hAnsi="宋体" w:cs="宋体"/>
                <w:color w:val="auto"/>
                <w:sz w:val="21"/>
                <w:szCs w:val="21"/>
                <w:lang w:val="en-US" w:eastAsia="zh-CN"/>
              </w:rPr>
              <w:t>40</w:t>
            </w:r>
            <w:r>
              <w:rPr>
                <w:rFonts w:hint="eastAsia" w:ascii="宋体" w:hAnsi="宋体" w:cs="宋体"/>
                <w:color w:val="auto"/>
                <w:sz w:val="21"/>
                <w:szCs w:val="21"/>
              </w:rPr>
              <w:t xml:space="preserve">分，缺一项整项不得分。在此基础上，评审小组根据招标文件的采购需求和投标文件响应情况，对方案的合理性、可行性进行分档评分。 </w:t>
            </w:r>
          </w:p>
          <w:p w14:paraId="0F5B601D">
            <w:pPr>
              <w:pageBreakBefore w:val="0"/>
              <w:kinsoku/>
              <w:overflowPunct/>
              <w:topLinePunct w:val="0"/>
              <w:autoSpaceDE w:val="0"/>
              <w:autoSpaceDN w:val="0"/>
              <w:bidi w:val="0"/>
              <w:adjustRightInd w:val="0"/>
              <w:spacing w:line="360" w:lineRule="auto"/>
              <w:jc w:val="both"/>
              <w:textAlignment w:val="auto"/>
              <w:rPr>
                <w:rFonts w:hint="eastAsia" w:ascii="宋体" w:hAnsi="宋体" w:cs="宋体"/>
                <w:color w:val="auto"/>
                <w:sz w:val="21"/>
                <w:szCs w:val="21"/>
              </w:rPr>
            </w:pPr>
            <w:r>
              <w:rPr>
                <w:rFonts w:hint="eastAsia" w:ascii="宋体" w:hAnsi="宋体" w:cs="宋体"/>
                <w:color w:val="auto"/>
                <w:sz w:val="21"/>
                <w:szCs w:val="21"/>
              </w:rPr>
              <w:t>1、方案整体内容全面、具体、针对性强、科学合理、可操作性强评价为优的，得</w:t>
            </w:r>
            <w:r>
              <w:rPr>
                <w:rFonts w:hint="eastAsia" w:ascii="宋体" w:hAnsi="宋体" w:cs="宋体"/>
                <w:color w:val="auto"/>
                <w:sz w:val="21"/>
                <w:szCs w:val="21"/>
                <w:lang w:val="en-US" w:eastAsia="zh-CN"/>
              </w:rPr>
              <w:t>60</w:t>
            </w:r>
            <w:r>
              <w:rPr>
                <w:rFonts w:hint="eastAsia" w:ascii="宋体" w:hAnsi="宋体" w:cs="宋体"/>
                <w:color w:val="auto"/>
                <w:sz w:val="21"/>
                <w:szCs w:val="21"/>
              </w:rPr>
              <w:t xml:space="preserve">分； </w:t>
            </w:r>
          </w:p>
          <w:p w14:paraId="7D3E5110">
            <w:pPr>
              <w:pageBreakBefore w:val="0"/>
              <w:kinsoku/>
              <w:overflowPunct/>
              <w:topLinePunct w:val="0"/>
              <w:autoSpaceDE w:val="0"/>
              <w:autoSpaceDN w:val="0"/>
              <w:bidi w:val="0"/>
              <w:adjustRightInd w:val="0"/>
              <w:spacing w:line="360" w:lineRule="auto"/>
              <w:jc w:val="both"/>
              <w:textAlignment w:val="auto"/>
              <w:rPr>
                <w:rFonts w:hint="eastAsia" w:ascii="宋体" w:hAnsi="宋体" w:cs="宋体"/>
                <w:color w:val="auto"/>
                <w:sz w:val="21"/>
                <w:szCs w:val="21"/>
              </w:rPr>
            </w:pPr>
            <w:r>
              <w:rPr>
                <w:rFonts w:hint="eastAsia" w:ascii="宋体" w:hAnsi="宋体" w:cs="宋体"/>
                <w:color w:val="auto"/>
                <w:sz w:val="21"/>
                <w:szCs w:val="21"/>
              </w:rPr>
              <w:t xml:space="preserve">2、内容一般、但具有针对性、可操作性评价为良的，得40分； </w:t>
            </w:r>
          </w:p>
          <w:p w14:paraId="70C2DA82">
            <w:pPr>
              <w:pageBreakBefore w:val="0"/>
              <w:kinsoku/>
              <w:overflowPunct/>
              <w:topLinePunct w:val="0"/>
              <w:autoSpaceDE w:val="0"/>
              <w:autoSpaceDN w:val="0"/>
              <w:bidi w:val="0"/>
              <w:adjustRightInd w:val="0"/>
              <w:spacing w:line="360" w:lineRule="auto"/>
              <w:jc w:val="both"/>
              <w:textAlignment w:val="auto"/>
              <w:rPr>
                <w:rFonts w:hint="eastAsia" w:ascii="宋体" w:hAnsi="宋体" w:cs="宋体"/>
                <w:color w:val="auto"/>
                <w:sz w:val="21"/>
                <w:szCs w:val="21"/>
              </w:rPr>
            </w:pPr>
            <w:r>
              <w:rPr>
                <w:rFonts w:hint="eastAsia" w:ascii="宋体" w:hAnsi="宋体" w:cs="宋体"/>
                <w:color w:val="auto"/>
                <w:sz w:val="21"/>
                <w:szCs w:val="21"/>
              </w:rPr>
              <w:t xml:space="preserve">3、内容具有一定的针对性和可操作性评价为中的，得20分； </w:t>
            </w:r>
          </w:p>
          <w:p w14:paraId="0FD8D82A">
            <w:pPr>
              <w:pageBreakBefore w:val="0"/>
              <w:kinsoku/>
              <w:overflowPunct/>
              <w:topLinePunct w:val="0"/>
              <w:autoSpaceDE w:val="0"/>
              <w:autoSpaceDN w:val="0"/>
              <w:bidi w:val="0"/>
              <w:adjustRightInd w:val="0"/>
              <w:spacing w:line="360" w:lineRule="auto"/>
              <w:jc w:val="both"/>
              <w:textAlignment w:val="auto"/>
              <w:rPr>
                <w:rFonts w:hint="eastAsia" w:ascii="宋体" w:hAnsi="宋体" w:cs="宋体"/>
                <w:color w:val="auto"/>
                <w:sz w:val="21"/>
                <w:szCs w:val="21"/>
              </w:rPr>
            </w:pPr>
            <w:r>
              <w:rPr>
                <w:rFonts w:hint="eastAsia" w:ascii="宋体" w:hAnsi="宋体" w:cs="宋体"/>
                <w:color w:val="auto"/>
                <w:sz w:val="21"/>
                <w:szCs w:val="21"/>
              </w:rPr>
              <w:t xml:space="preserve">4、方案不合理、无针对性、无可操作性，评审为差的，得0分。 </w:t>
            </w:r>
          </w:p>
          <w:p w14:paraId="799012BB">
            <w:pPr>
              <w:pStyle w:val="5"/>
              <w:pageBreakBefore w:val="0"/>
              <w:kinsoku/>
              <w:overflowPunct/>
              <w:topLinePunct w:val="0"/>
              <w:bidi w:val="0"/>
              <w:spacing w:line="360" w:lineRule="auto"/>
              <w:jc w:val="both"/>
              <w:textAlignment w:val="auto"/>
              <w:rPr>
                <w:rFonts w:hint="eastAsia" w:ascii="宋体" w:hAnsi="宋体" w:eastAsia="宋体" w:cs="宋体"/>
                <w:bCs/>
                <w:sz w:val="21"/>
                <w:szCs w:val="21"/>
                <w:lang w:eastAsia="zh-CN"/>
              </w:rPr>
            </w:pPr>
            <w:r>
              <w:rPr>
                <w:rFonts w:hint="eastAsia" w:ascii="宋体" w:hAnsi="宋体" w:cs="宋体"/>
                <w:color w:val="auto"/>
                <w:sz w:val="21"/>
                <w:szCs w:val="21"/>
              </w:rPr>
              <w:t>不提供或提供的不符合要求或提供不清晰导致专家无法判断的均不得分。</w:t>
            </w:r>
          </w:p>
        </w:tc>
      </w:tr>
      <w:tr w14:paraId="6D23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06" w:type="dxa"/>
            <w:vAlign w:val="center"/>
          </w:tcPr>
          <w:p w14:paraId="38DB90FD">
            <w:pPr>
              <w:pageBreakBefore w:val="0"/>
              <w:kinsoku/>
              <w:overflowPunct/>
              <w:topLinePunct w:val="0"/>
              <w:bidi w:val="0"/>
              <w:spacing w:line="360" w:lineRule="auto"/>
              <w:jc w:val="center"/>
              <w:textAlignment w:val="auto"/>
              <w:rPr>
                <w:rFonts w:ascii="宋体" w:hAnsi="宋体" w:eastAsia="宋体" w:cs="宋体"/>
                <w:b/>
                <w:bCs/>
                <w:sz w:val="21"/>
                <w:szCs w:val="21"/>
              </w:rPr>
            </w:pPr>
            <w:r>
              <w:rPr>
                <w:rFonts w:hint="eastAsia" w:ascii="宋体" w:hAnsi="宋体" w:eastAsia="宋体" w:cs="宋体"/>
                <w:b/>
                <w:bCs/>
                <w:sz w:val="21"/>
                <w:szCs w:val="21"/>
              </w:rPr>
              <w:t>3</w:t>
            </w:r>
          </w:p>
        </w:tc>
        <w:tc>
          <w:tcPr>
            <w:tcW w:w="3437" w:type="dxa"/>
            <w:gridSpan w:val="3"/>
            <w:vAlign w:val="center"/>
          </w:tcPr>
          <w:p w14:paraId="3382BAE6">
            <w:pPr>
              <w:pageBreakBefore w:val="0"/>
              <w:kinsoku/>
              <w:overflowPunct/>
              <w:topLinePunct w:val="0"/>
              <w:bidi w:val="0"/>
              <w:spacing w:line="360" w:lineRule="auto"/>
              <w:jc w:val="center"/>
              <w:textAlignment w:val="auto"/>
              <w:rPr>
                <w:rFonts w:ascii="宋体" w:hAnsi="宋体" w:eastAsia="宋体" w:cs="宋体"/>
                <w:b/>
                <w:bCs/>
                <w:sz w:val="21"/>
                <w:szCs w:val="21"/>
              </w:rPr>
            </w:pPr>
            <w:r>
              <w:rPr>
                <w:rFonts w:hint="eastAsia" w:ascii="宋体" w:hAnsi="宋体" w:eastAsia="宋体" w:cs="宋体"/>
                <w:b/>
                <w:bCs/>
                <w:sz w:val="21"/>
                <w:szCs w:val="21"/>
              </w:rPr>
              <w:t>商务评分部分</w:t>
            </w:r>
          </w:p>
        </w:tc>
        <w:tc>
          <w:tcPr>
            <w:tcW w:w="5013" w:type="dxa"/>
            <w:vAlign w:val="center"/>
          </w:tcPr>
          <w:p w14:paraId="5EEB17A7">
            <w:pPr>
              <w:pageBreakBefore w:val="0"/>
              <w:kinsoku/>
              <w:overflowPunct/>
              <w:topLinePunct w:val="0"/>
              <w:bidi w:val="0"/>
              <w:spacing w:line="360" w:lineRule="auto"/>
              <w:jc w:val="center"/>
              <w:textAlignment w:val="auto"/>
              <w:rPr>
                <w:rFonts w:ascii="宋体" w:hAnsi="宋体" w:eastAsia="宋体" w:cs="宋体"/>
                <w:b/>
                <w:bCs/>
                <w:sz w:val="21"/>
                <w:szCs w:val="21"/>
              </w:rPr>
            </w:pPr>
            <w:r>
              <w:rPr>
                <w:rFonts w:hint="eastAsia" w:ascii="宋体" w:hAnsi="宋体" w:eastAsia="宋体" w:cs="宋体"/>
                <w:b/>
                <w:bCs/>
                <w:sz w:val="21"/>
                <w:szCs w:val="21"/>
                <w:lang w:val="en-US" w:eastAsia="zh-CN"/>
              </w:rPr>
              <w:t>29</w:t>
            </w:r>
            <w:r>
              <w:rPr>
                <w:rFonts w:hint="eastAsia" w:ascii="宋体" w:hAnsi="宋体" w:eastAsia="宋体" w:cs="宋体"/>
                <w:b/>
                <w:bCs/>
                <w:sz w:val="21"/>
                <w:szCs w:val="21"/>
              </w:rPr>
              <w:t>分</w:t>
            </w:r>
          </w:p>
        </w:tc>
      </w:tr>
      <w:tr w14:paraId="3828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06" w:type="dxa"/>
            <w:vMerge w:val="restart"/>
            <w:vAlign w:val="center"/>
          </w:tcPr>
          <w:p w14:paraId="16D4A827">
            <w:pPr>
              <w:keepNext/>
              <w:keepLines/>
              <w:pageBreakBefore w:val="0"/>
              <w:kinsoku/>
              <w:overflowPunct/>
              <w:topLinePunct w:val="0"/>
              <w:bidi w:val="0"/>
              <w:spacing w:before="340" w:after="330" w:line="360" w:lineRule="auto"/>
              <w:jc w:val="center"/>
              <w:textAlignment w:val="auto"/>
              <w:outlineLvl w:val="0"/>
              <w:rPr>
                <w:rFonts w:ascii="宋体" w:hAnsi="宋体" w:eastAsia="宋体" w:cs="宋体"/>
                <w:sz w:val="21"/>
                <w:szCs w:val="21"/>
              </w:rPr>
            </w:pPr>
          </w:p>
        </w:tc>
        <w:tc>
          <w:tcPr>
            <w:tcW w:w="722" w:type="dxa"/>
            <w:vAlign w:val="center"/>
          </w:tcPr>
          <w:p w14:paraId="29A62495">
            <w:pPr>
              <w:pageBreakBefore w:val="0"/>
              <w:kinsoku/>
              <w:overflowPunct/>
              <w:topLinePunct w:val="0"/>
              <w:bidi w:val="0"/>
              <w:spacing w:line="360" w:lineRule="auto"/>
              <w:jc w:val="center"/>
              <w:textAlignment w:val="auto"/>
              <w:rPr>
                <w:rFonts w:ascii="宋体" w:hAnsi="宋体" w:eastAsia="宋体" w:cs="宋体"/>
                <w:b/>
                <w:bCs/>
                <w:sz w:val="21"/>
                <w:szCs w:val="21"/>
              </w:rPr>
            </w:pPr>
            <w:r>
              <w:rPr>
                <w:rFonts w:hint="eastAsia" w:ascii="宋体" w:hAnsi="宋体" w:eastAsia="宋体" w:cs="宋体"/>
                <w:b/>
                <w:bCs/>
                <w:sz w:val="21"/>
                <w:szCs w:val="21"/>
              </w:rPr>
              <w:t>序号</w:t>
            </w:r>
          </w:p>
        </w:tc>
        <w:tc>
          <w:tcPr>
            <w:tcW w:w="1398" w:type="dxa"/>
            <w:vAlign w:val="center"/>
          </w:tcPr>
          <w:p w14:paraId="0390478A">
            <w:pPr>
              <w:pageBreakBefore w:val="0"/>
              <w:kinsoku/>
              <w:overflowPunct/>
              <w:topLinePunct w:val="0"/>
              <w:bidi w:val="0"/>
              <w:spacing w:line="360" w:lineRule="auto"/>
              <w:jc w:val="center"/>
              <w:textAlignment w:val="auto"/>
              <w:rPr>
                <w:rFonts w:ascii="宋体" w:hAnsi="宋体" w:eastAsia="宋体" w:cs="宋体"/>
                <w:b/>
                <w:bCs/>
                <w:sz w:val="21"/>
                <w:szCs w:val="21"/>
              </w:rPr>
            </w:pPr>
            <w:r>
              <w:rPr>
                <w:rFonts w:hint="eastAsia" w:ascii="宋体" w:hAnsi="宋体" w:eastAsia="宋体" w:cs="宋体"/>
                <w:b/>
                <w:bCs/>
                <w:sz w:val="21"/>
                <w:szCs w:val="21"/>
              </w:rPr>
              <w:t>评分因素</w:t>
            </w:r>
          </w:p>
        </w:tc>
        <w:tc>
          <w:tcPr>
            <w:tcW w:w="1317" w:type="dxa"/>
            <w:vAlign w:val="center"/>
          </w:tcPr>
          <w:p w14:paraId="1B9D66EB">
            <w:pPr>
              <w:pageBreakBefore w:val="0"/>
              <w:kinsoku/>
              <w:overflowPunct/>
              <w:topLinePunct w:val="0"/>
              <w:bidi w:val="0"/>
              <w:spacing w:line="360" w:lineRule="auto"/>
              <w:jc w:val="center"/>
              <w:textAlignment w:val="auto"/>
              <w:rPr>
                <w:rFonts w:ascii="宋体" w:hAnsi="宋体" w:eastAsia="宋体" w:cs="宋体"/>
                <w:b/>
                <w:bCs/>
                <w:sz w:val="21"/>
                <w:szCs w:val="21"/>
              </w:rPr>
            </w:pPr>
            <w:r>
              <w:rPr>
                <w:rFonts w:hint="eastAsia" w:ascii="宋体" w:hAnsi="宋体" w:eastAsia="宋体" w:cs="宋体"/>
                <w:b/>
                <w:bCs/>
                <w:sz w:val="21"/>
                <w:szCs w:val="21"/>
              </w:rPr>
              <w:t>权重(%)</w:t>
            </w:r>
          </w:p>
        </w:tc>
        <w:tc>
          <w:tcPr>
            <w:tcW w:w="5013" w:type="dxa"/>
            <w:vAlign w:val="center"/>
          </w:tcPr>
          <w:p w14:paraId="63B0263F">
            <w:pPr>
              <w:pageBreakBefore w:val="0"/>
              <w:kinsoku/>
              <w:overflowPunct/>
              <w:topLinePunct w:val="0"/>
              <w:bidi w:val="0"/>
              <w:spacing w:line="360" w:lineRule="auto"/>
              <w:jc w:val="center"/>
              <w:textAlignment w:val="auto"/>
              <w:rPr>
                <w:rFonts w:ascii="宋体" w:hAnsi="宋体" w:eastAsia="宋体" w:cs="宋体"/>
                <w:b/>
                <w:bCs/>
                <w:sz w:val="21"/>
                <w:szCs w:val="21"/>
              </w:rPr>
            </w:pPr>
            <w:r>
              <w:rPr>
                <w:rFonts w:hint="eastAsia" w:ascii="宋体" w:hAnsi="宋体" w:eastAsia="宋体" w:cs="宋体"/>
                <w:b/>
                <w:bCs/>
                <w:sz w:val="21"/>
                <w:szCs w:val="21"/>
              </w:rPr>
              <w:t>评分准则</w:t>
            </w:r>
          </w:p>
        </w:tc>
      </w:tr>
      <w:tr w14:paraId="3A8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continue"/>
            <w:vAlign w:val="center"/>
          </w:tcPr>
          <w:p w14:paraId="798A6279">
            <w:pPr>
              <w:keepNext/>
              <w:keepLines/>
              <w:pageBreakBefore w:val="0"/>
              <w:kinsoku/>
              <w:overflowPunct/>
              <w:topLinePunct w:val="0"/>
              <w:bidi w:val="0"/>
              <w:spacing w:before="340" w:after="330" w:line="360" w:lineRule="auto"/>
              <w:jc w:val="center"/>
              <w:textAlignment w:val="auto"/>
              <w:outlineLvl w:val="0"/>
              <w:rPr>
                <w:rFonts w:ascii="宋体" w:hAnsi="宋体" w:eastAsia="宋体" w:cs="宋体"/>
                <w:sz w:val="21"/>
                <w:szCs w:val="21"/>
              </w:rPr>
            </w:pPr>
          </w:p>
        </w:tc>
        <w:tc>
          <w:tcPr>
            <w:tcW w:w="722" w:type="dxa"/>
            <w:vAlign w:val="center"/>
          </w:tcPr>
          <w:p w14:paraId="6A3D7D22">
            <w:pPr>
              <w:pageBreakBefore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1</w:t>
            </w:r>
          </w:p>
        </w:tc>
        <w:tc>
          <w:tcPr>
            <w:tcW w:w="1398" w:type="dxa"/>
            <w:vAlign w:val="center"/>
          </w:tcPr>
          <w:p w14:paraId="535A417C">
            <w:pPr>
              <w:pageBreakBefore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体系认证</w:t>
            </w:r>
          </w:p>
        </w:tc>
        <w:tc>
          <w:tcPr>
            <w:tcW w:w="1317" w:type="dxa"/>
            <w:vAlign w:val="center"/>
          </w:tcPr>
          <w:p w14:paraId="2BEFF70A">
            <w:pPr>
              <w:pageBreakBefore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5</w:t>
            </w:r>
          </w:p>
        </w:tc>
        <w:tc>
          <w:tcPr>
            <w:tcW w:w="5013" w:type="dxa"/>
            <w:vAlign w:val="center"/>
          </w:tcPr>
          <w:p w14:paraId="1C87EE75">
            <w:pPr>
              <w:pageBreakBefore w:val="0"/>
              <w:widowControl/>
              <w:tabs>
                <w:tab w:val="left" w:pos="426"/>
              </w:tabs>
              <w:kinsoku/>
              <w:overflowPunct/>
              <w:topLinePunct w:val="0"/>
              <w:bidi w:val="0"/>
              <w:adjustRightInd w:val="0"/>
              <w:snapToGrid w:val="0"/>
              <w:spacing w:line="360" w:lineRule="auto"/>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考察内容：</w:t>
            </w:r>
          </w:p>
          <w:p w14:paraId="44E6CE25">
            <w:pPr>
              <w:pageBreakBefore w:val="0"/>
              <w:widowControl/>
              <w:tabs>
                <w:tab w:val="left" w:pos="426"/>
              </w:tabs>
              <w:kinsoku/>
              <w:overflowPunct/>
              <w:topLinePunct w:val="0"/>
              <w:bidi w:val="0"/>
              <w:adjustRightInd w:val="0"/>
              <w:snapToGrid w:val="0"/>
              <w:spacing w:line="360" w:lineRule="auto"/>
              <w:jc w:val="both"/>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投标人具有以下有效期内的资质证书：</w:t>
            </w:r>
          </w:p>
          <w:p w14:paraId="79E158FE">
            <w:pPr>
              <w:pageBreakBefore w:val="0"/>
              <w:widowControl/>
              <w:tabs>
                <w:tab w:val="left" w:pos="426"/>
              </w:tabs>
              <w:kinsoku/>
              <w:overflowPunct/>
              <w:topLinePunct w:val="0"/>
              <w:bidi w:val="0"/>
              <w:adjustRightInd w:val="0"/>
              <w:snapToGrid w:val="0"/>
              <w:spacing w:line="360" w:lineRule="auto"/>
              <w:jc w:val="both"/>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1、ISO9001质量管理体系认证证书（证书覆盖范围包含但不限于家具</w:t>
            </w:r>
            <w:r>
              <w:rPr>
                <w:rFonts w:hint="eastAsia" w:ascii="宋体" w:hAnsi="宋体" w:eastAsia="宋体" w:cs="宋体"/>
                <w:b w:val="0"/>
                <w:bCs w:val="0"/>
                <w:color w:val="auto"/>
                <w:sz w:val="21"/>
                <w:szCs w:val="21"/>
                <w:lang w:val="en-US" w:eastAsia="zh-CN"/>
              </w:rPr>
              <w:t>类</w:t>
            </w:r>
            <w:r>
              <w:rPr>
                <w:rFonts w:hint="eastAsia" w:ascii="宋体" w:hAnsi="宋体" w:eastAsia="宋体" w:cs="宋体"/>
                <w:b w:val="0"/>
                <w:bCs w:val="0"/>
                <w:color w:val="auto"/>
                <w:sz w:val="21"/>
                <w:szCs w:val="21"/>
              </w:rPr>
              <w:t>的设计和销售）。</w:t>
            </w:r>
          </w:p>
          <w:p w14:paraId="25D66CFF">
            <w:pPr>
              <w:pageBreakBefore w:val="0"/>
              <w:widowControl/>
              <w:tabs>
                <w:tab w:val="left" w:pos="426"/>
              </w:tabs>
              <w:kinsoku/>
              <w:overflowPunct/>
              <w:topLinePunct w:val="0"/>
              <w:bidi w:val="0"/>
              <w:adjustRightInd w:val="0"/>
              <w:snapToGrid w:val="0"/>
              <w:spacing w:line="360" w:lineRule="auto"/>
              <w:jc w:val="both"/>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2、ISO14001环境管理体系认证证书（证书覆盖范围包含但不限于家具</w:t>
            </w:r>
            <w:r>
              <w:rPr>
                <w:rFonts w:hint="eastAsia" w:ascii="宋体" w:hAnsi="宋体" w:eastAsia="宋体" w:cs="宋体"/>
                <w:b w:val="0"/>
                <w:bCs w:val="0"/>
                <w:color w:val="auto"/>
                <w:sz w:val="21"/>
                <w:szCs w:val="21"/>
                <w:lang w:val="en-US" w:eastAsia="zh-CN"/>
              </w:rPr>
              <w:t>类</w:t>
            </w:r>
            <w:r>
              <w:rPr>
                <w:rFonts w:hint="eastAsia" w:ascii="宋体" w:hAnsi="宋体" w:eastAsia="宋体" w:cs="宋体"/>
                <w:b w:val="0"/>
                <w:bCs w:val="0"/>
                <w:color w:val="auto"/>
                <w:sz w:val="21"/>
                <w:szCs w:val="21"/>
              </w:rPr>
              <w:t>的设计和销售）。</w:t>
            </w:r>
          </w:p>
          <w:p w14:paraId="422EAC03">
            <w:pPr>
              <w:pageBreakBefore w:val="0"/>
              <w:widowControl/>
              <w:tabs>
                <w:tab w:val="left" w:pos="426"/>
              </w:tabs>
              <w:kinsoku/>
              <w:overflowPunct/>
              <w:topLinePunct w:val="0"/>
              <w:bidi w:val="0"/>
              <w:adjustRightInd w:val="0"/>
              <w:snapToGrid w:val="0"/>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rPr>
              <w:t>3、IS045001职业健康安全管理体系认证证书</w:t>
            </w:r>
            <w:r>
              <w:rPr>
                <w:rFonts w:hint="eastAsia" w:ascii="宋体" w:hAnsi="宋体" w:eastAsia="宋体" w:cs="宋体"/>
                <w:color w:val="auto"/>
                <w:sz w:val="21"/>
                <w:szCs w:val="21"/>
              </w:rPr>
              <w:t>（证书覆盖范围包含但不限于</w:t>
            </w:r>
            <w:r>
              <w:rPr>
                <w:rFonts w:hint="eastAsia" w:ascii="宋体" w:hAnsi="宋体" w:eastAsia="宋体" w:cs="宋体"/>
                <w:b w:val="0"/>
                <w:bCs w:val="0"/>
                <w:color w:val="auto"/>
                <w:sz w:val="21"/>
                <w:szCs w:val="21"/>
              </w:rPr>
              <w:t>家具</w:t>
            </w:r>
            <w:r>
              <w:rPr>
                <w:rFonts w:hint="eastAsia" w:ascii="宋体" w:hAnsi="宋体" w:eastAsia="宋体" w:cs="宋体"/>
                <w:b w:val="0"/>
                <w:bCs w:val="0"/>
                <w:color w:val="auto"/>
                <w:sz w:val="21"/>
                <w:szCs w:val="21"/>
                <w:lang w:val="en-US" w:eastAsia="zh-CN"/>
              </w:rPr>
              <w:t>类</w:t>
            </w:r>
            <w:r>
              <w:rPr>
                <w:rFonts w:hint="eastAsia" w:ascii="宋体" w:hAnsi="宋体" w:eastAsia="宋体" w:cs="宋体"/>
                <w:color w:val="auto"/>
                <w:sz w:val="21"/>
                <w:szCs w:val="21"/>
              </w:rPr>
              <w:t>的设计和销售）。</w:t>
            </w:r>
          </w:p>
          <w:p w14:paraId="5A78A2EA">
            <w:pPr>
              <w:pageBreakBefore w:val="0"/>
              <w:widowControl/>
              <w:tabs>
                <w:tab w:val="left" w:pos="426"/>
              </w:tabs>
              <w:kinsoku/>
              <w:overflowPunct/>
              <w:topLinePunct w:val="0"/>
              <w:bidi w:val="0"/>
              <w:adjustRightInd w:val="0"/>
              <w:snapToGrid w:val="0"/>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证明文件：</w:t>
            </w:r>
          </w:p>
          <w:p w14:paraId="753C2565">
            <w:pPr>
              <w:pStyle w:val="5"/>
              <w:pageBreakBefore w:val="0"/>
              <w:kinsoku/>
              <w:overflowPunct/>
              <w:topLinePunct w:val="0"/>
              <w:bidi w:val="0"/>
              <w:spacing w:line="360"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color w:val="auto"/>
                <w:sz w:val="21"/>
                <w:szCs w:val="21"/>
                <w:lang w:bidi="ar"/>
              </w:rPr>
              <w:t>根据投标人所具备的证书情况进行评分，</w:t>
            </w:r>
            <w:r>
              <w:rPr>
                <w:rFonts w:hint="eastAsia" w:ascii="宋体" w:hAnsi="宋体" w:eastAsia="宋体" w:cs="宋体"/>
                <w:color w:val="auto"/>
                <w:sz w:val="21"/>
                <w:szCs w:val="21"/>
                <w:lang w:val="en-US" w:eastAsia="zh-CN"/>
              </w:rPr>
              <w:t>投标人每提供一项证书得34分，最高得100分。</w:t>
            </w:r>
            <w:r>
              <w:rPr>
                <w:rFonts w:hint="eastAsia" w:ascii="宋体" w:hAnsi="宋体" w:eastAsia="宋体" w:cs="宋体"/>
                <w:color w:val="auto"/>
                <w:sz w:val="21"/>
                <w:szCs w:val="21"/>
              </w:rPr>
              <w:t>提供有效期内的体系认证证书扫描件</w:t>
            </w:r>
            <w:r>
              <w:rPr>
                <w:rFonts w:hint="eastAsia" w:ascii="宋体" w:hAnsi="宋体" w:eastAsia="宋体" w:cs="宋体"/>
                <w:color w:val="auto"/>
                <w:kern w:val="0"/>
                <w:sz w:val="21"/>
                <w:szCs w:val="21"/>
              </w:rPr>
              <w:t>及在全国认证认可信息公共服务平台（认e云）（http://cx.cnca.cn/CertECloud/index/index/page）查询有效的截图</w:t>
            </w:r>
            <w:r>
              <w:rPr>
                <w:rFonts w:hint="eastAsia" w:ascii="宋体" w:hAnsi="宋体" w:eastAsia="宋体" w:cs="宋体"/>
                <w:color w:val="auto"/>
                <w:sz w:val="21"/>
                <w:szCs w:val="21"/>
              </w:rPr>
              <w:t>。（未提供或未按要求提供或提供的不清晰导致专家无法判断的，不得分）</w:t>
            </w:r>
          </w:p>
        </w:tc>
      </w:tr>
      <w:tr w14:paraId="7480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continue"/>
            <w:vAlign w:val="center"/>
          </w:tcPr>
          <w:p w14:paraId="52E7E7C2">
            <w:pPr>
              <w:keepNext/>
              <w:keepLines/>
              <w:pageBreakBefore w:val="0"/>
              <w:kinsoku/>
              <w:overflowPunct/>
              <w:topLinePunct w:val="0"/>
              <w:bidi w:val="0"/>
              <w:spacing w:before="340" w:after="330" w:line="360" w:lineRule="auto"/>
              <w:jc w:val="center"/>
              <w:textAlignment w:val="auto"/>
              <w:outlineLvl w:val="0"/>
              <w:rPr>
                <w:rFonts w:ascii="宋体" w:hAnsi="宋体" w:eastAsia="宋体" w:cs="宋体"/>
                <w:sz w:val="21"/>
                <w:szCs w:val="21"/>
              </w:rPr>
            </w:pPr>
          </w:p>
        </w:tc>
        <w:tc>
          <w:tcPr>
            <w:tcW w:w="722" w:type="dxa"/>
            <w:vAlign w:val="center"/>
          </w:tcPr>
          <w:p w14:paraId="5CD3B78C">
            <w:pPr>
              <w:pageBreakBefore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2</w:t>
            </w:r>
          </w:p>
        </w:tc>
        <w:tc>
          <w:tcPr>
            <w:tcW w:w="1398" w:type="dxa"/>
            <w:vAlign w:val="center"/>
          </w:tcPr>
          <w:p w14:paraId="513E7131">
            <w:pPr>
              <w:pageBreakBefore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同类项目业绩</w:t>
            </w:r>
          </w:p>
        </w:tc>
        <w:tc>
          <w:tcPr>
            <w:tcW w:w="1317" w:type="dxa"/>
            <w:vAlign w:val="center"/>
          </w:tcPr>
          <w:p w14:paraId="67E5A2A4">
            <w:pPr>
              <w:pageBreakBefore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15</w:t>
            </w:r>
          </w:p>
        </w:tc>
        <w:tc>
          <w:tcPr>
            <w:tcW w:w="5013" w:type="dxa"/>
            <w:vAlign w:val="center"/>
          </w:tcPr>
          <w:p w14:paraId="7F3F5091">
            <w:pPr>
              <w:pStyle w:val="2"/>
              <w:pageBreakBefore w:val="0"/>
              <w:kinsoku/>
              <w:overflowPunct/>
              <w:topLinePunct w:val="0"/>
              <w:bidi w:val="0"/>
              <w:spacing w:line="360"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b w:val="0"/>
                <w:bCs w:val="0"/>
                <w:color w:val="auto"/>
                <w:sz w:val="21"/>
                <w:szCs w:val="21"/>
                <w:lang w:bidi="ar"/>
              </w:rPr>
              <w:t>2021年1月1日至本项目投标截止之日（以合同落款时间为准）投标人具有学校</w:t>
            </w:r>
            <w:r>
              <w:rPr>
                <w:rFonts w:hint="eastAsia" w:ascii="宋体" w:hAnsi="宋体" w:eastAsia="宋体" w:cs="宋体"/>
                <w:b w:val="0"/>
                <w:bCs w:val="0"/>
                <w:color w:val="auto"/>
                <w:sz w:val="21"/>
                <w:szCs w:val="21"/>
                <w:lang w:val="en-US" w:eastAsia="zh-CN" w:bidi="ar"/>
              </w:rPr>
              <w:t>课桌椅</w:t>
            </w:r>
            <w:r>
              <w:rPr>
                <w:rFonts w:hint="eastAsia" w:ascii="宋体" w:hAnsi="宋体" w:eastAsia="宋体" w:cs="宋体"/>
                <w:b w:val="0"/>
                <w:bCs w:val="0"/>
                <w:color w:val="auto"/>
                <w:sz w:val="21"/>
                <w:szCs w:val="21"/>
                <w:lang w:bidi="ar"/>
              </w:rPr>
              <w:t>中标项目经验,每提供1个有效业绩得</w:t>
            </w:r>
            <w:r>
              <w:rPr>
                <w:rFonts w:hint="eastAsia" w:ascii="宋体" w:hAnsi="宋体" w:eastAsia="宋体" w:cs="宋体"/>
                <w:b w:val="0"/>
                <w:bCs w:val="0"/>
                <w:color w:val="auto"/>
                <w:sz w:val="21"/>
                <w:szCs w:val="21"/>
                <w:lang w:val="en-US" w:eastAsia="zh-CN" w:bidi="ar"/>
              </w:rPr>
              <w:t>20</w:t>
            </w:r>
            <w:r>
              <w:rPr>
                <w:rFonts w:hint="eastAsia" w:ascii="宋体" w:hAnsi="宋体" w:eastAsia="宋体" w:cs="宋体"/>
                <w:b w:val="0"/>
                <w:bCs w:val="0"/>
                <w:color w:val="auto"/>
                <w:sz w:val="21"/>
                <w:szCs w:val="21"/>
                <w:lang w:bidi="ar"/>
              </w:rPr>
              <w:t>分，最高得100分，未提供的不得分。（提供中标通知书和合同关键页，原件备查。未提供或提供的不符合要求或提供不清晰导致专家无法判断的均不得分）</w:t>
            </w:r>
          </w:p>
        </w:tc>
      </w:tr>
      <w:tr w14:paraId="3EC7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Merge w:val="continue"/>
            <w:vAlign w:val="center"/>
          </w:tcPr>
          <w:p w14:paraId="4D7B2C24">
            <w:pPr>
              <w:keepNext/>
              <w:keepLines/>
              <w:pageBreakBefore w:val="0"/>
              <w:kinsoku/>
              <w:overflowPunct/>
              <w:topLinePunct w:val="0"/>
              <w:bidi w:val="0"/>
              <w:spacing w:before="340" w:after="330" w:line="360" w:lineRule="auto"/>
              <w:jc w:val="center"/>
              <w:textAlignment w:val="auto"/>
              <w:outlineLvl w:val="0"/>
              <w:rPr>
                <w:rFonts w:ascii="宋体" w:hAnsi="宋体" w:eastAsia="宋体" w:cs="宋体"/>
                <w:sz w:val="21"/>
                <w:szCs w:val="21"/>
              </w:rPr>
            </w:pPr>
          </w:p>
        </w:tc>
        <w:tc>
          <w:tcPr>
            <w:tcW w:w="722" w:type="dxa"/>
            <w:vAlign w:val="center"/>
          </w:tcPr>
          <w:p w14:paraId="0F0B3BE3">
            <w:pPr>
              <w:pageBreakBefore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3</w:t>
            </w:r>
          </w:p>
        </w:tc>
        <w:tc>
          <w:tcPr>
            <w:tcW w:w="1398" w:type="dxa"/>
            <w:vAlign w:val="center"/>
          </w:tcPr>
          <w:p w14:paraId="5E53F083">
            <w:pPr>
              <w:pageBreakBefore w:val="0"/>
              <w:kinsoku/>
              <w:overflowPunct/>
              <w:topLinePunct w:val="0"/>
              <w:bidi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auto"/>
                <w:sz w:val="21"/>
                <w:szCs w:val="21"/>
              </w:rPr>
              <w:t>履约评价情况</w:t>
            </w:r>
          </w:p>
        </w:tc>
        <w:tc>
          <w:tcPr>
            <w:tcW w:w="1317" w:type="dxa"/>
            <w:vAlign w:val="center"/>
          </w:tcPr>
          <w:p w14:paraId="4BD21BCD">
            <w:pPr>
              <w:pageBreakBefore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4</w:t>
            </w:r>
          </w:p>
        </w:tc>
        <w:tc>
          <w:tcPr>
            <w:tcW w:w="5013" w:type="dxa"/>
            <w:vAlign w:val="top"/>
          </w:tcPr>
          <w:p w14:paraId="63007EA4">
            <w:pPr>
              <w:pageBreakBefore w:val="0"/>
              <w:kinsoku/>
              <w:overflowPunct/>
              <w:topLinePunct w:val="0"/>
              <w:bidi w:val="0"/>
              <w:snapToGrid w:val="0"/>
              <w:spacing w:line="360"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color w:val="auto"/>
                <w:sz w:val="21"/>
                <w:szCs w:val="21"/>
                <w:lang w:bidi="ar"/>
              </w:rPr>
              <w:t>投标人具有上述同类项目经验并经评审委员会认定为有效的业绩，同时经</w:t>
            </w:r>
            <w:r>
              <w:rPr>
                <w:rFonts w:hint="eastAsia" w:ascii="宋体" w:hAnsi="宋体" w:eastAsia="宋体" w:cs="宋体"/>
                <w:color w:val="auto"/>
                <w:sz w:val="21"/>
                <w:szCs w:val="21"/>
                <w:lang w:val="en-US" w:eastAsia="zh-CN" w:bidi="ar"/>
              </w:rPr>
              <w:t>合同甲方</w:t>
            </w:r>
            <w:r>
              <w:rPr>
                <w:rFonts w:hint="eastAsia" w:ascii="宋体" w:hAnsi="宋体" w:eastAsia="宋体" w:cs="宋体"/>
                <w:color w:val="auto"/>
                <w:sz w:val="21"/>
                <w:szCs w:val="21"/>
                <w:lang w:bidi="ar"/>
              </w:rPr>
              <w:t>考核评价为优或满意的同等最高评价每提供1项得2</w:t>
            </w:r>
            <w:r>
              <w:rPr>
                <w:rFonts w:hint="eastAsia" w:ascii="宋体" w:hAnsi="宋体" w:eastAsia="宋体" w:cs="宋体"/>
                <w:color w:val="auto"/>
                <w:sz w:val="21"/>
                <w:szCs w:val="21"/>
                <w:lang w:val="en-US" w:eastAsia="zh-CN" w:bidi="ar"/>
              </w:rPr>
              <w:t>0</w:t>
            </w:r>
            <w:r>
              <w:rPr>
                <w:rFonts w:hint="eastAsia" w:ascii="宋体" w:hAnsi="宋体" w:eastAsia="宋体" w:cs="宋体"/>
                <w:color w:val="auto"/>
                <w:sz w:val="21"/>
                <w:szCs w:val="21"/>
                <w:lang w:bidi="ar"/>
              </w:rPr>
              <w:t>分，满分100分。（提供盖有</w:t>
            </w:r>
            <w:r>
              <w:rPr>
                <w:rFonts w:hint="eastAsia" w:ascii="宋体" w:hAnsi="宋体" w:eastAsia="宋体" w:cs="宋体"/>
                <w:color w:val="auto"/>
                <w:sz w:val="21"/>
                <w:szCs w:val="21"/>
                <w:lang w:val="en-US" w:eastAsia="zh-CN" w:bidi="ar"/>
              </w:rPr>
              <w:t>合同甲方</w:t>
            </w:r>
            <w:r>
              <w:rPr>
                <w:rFonts w:hint="eastAsia" w:ascii="宋体" w:hAnsi="宋体" w:eastAsia="宋体" w:cs="宋体"/>
                <w:color w:val="auto"/>
                <w:sz w:val="21"/>
                <w:szCs w:val="21"/>
                <w:lang w:bidi="ar"/>
              </w:rPr>
              <w:t>公章的履约评价扫描件，原件备查。不提供或提供的不符合要求或提供不清晰导致专家无法判断的均不得分）</w:t>
            </w:r>
          </w:p>
        </w:tc>
      </w:tr>
      <w:tr w14:paraId="1D34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06" w:type="dxa"/>
            <w:vAlign w:val="center"/>
          </w:tcPr>
          <w:p w14:paraId="72A7A9F1">
            <w:pPr>
              <w:keepNext/>
              <w:keepLines/>
              <w:pageBreakBefore w:val="0"/>
              <w:kinsoku/>
              <w:overflowPunct/>
              <w:topLinePunct w:val="0"/>
              <w:bidi w:val="0"/>
              <w:spacing w:before="260" w:after="260" w:line="360" w:lineRule="auto"/>
              <w:jc w:val="center"/>
              <w:textAlignment w:val="auto"/>
              <w:outlineLvl w:val="2"/>
              <w:rPr>
                <w:rFonts w:ascii="宋体" w:hAnsi="宋体" w:eastAsia="宋体" w:cs="宋体"/>
                <w:sz w:val="21"/>
                <w:szCs w:val="21"/>
                <w:lang w:eastAsia="zh-CN"/>
              </w:rPr>
            </w:pPr>
            <w:r>
              <w:rPr>
                <w:rFonts w:hint="eastAsia" w:ascii="宋体" w:hAnsi="宋体" w:eastAsia="宋体" w:cs="宋体"/>
                <w:sz w:val="21"/>
                <w:szCs w:val="21"/>
                <w:lang w:eastAsia="zh-CN"/>
              </w:rPr>
              <w:t>4</w:t>
            </w:r>
          </w:p>
        </w:tc>
        <w:tc>
          <w:tcPr>
            <w:tcW w:w="3437" w:type="dxa"/>
            <w:gridSpan w:val="3"/>
            <w:vAlign w:val="center"/>
          </w:tcPr>
          <w:p w14:paraId="5D1593A9">
            <w:pPr>
              <w:pageBreakBefore w:val="0"/>
              <w:kinsoku/>
              <w:overflowPunct/>
              <w:topLinePunct w:val="0"/>
              <w:bidi w:val="0"/>
              <w:spacing w:line="360" w:lineRule="auto"/>
              <w:jc w:val="center"/>
              <w:textAlignment w:val="auto"/>
              <w:rPr>
                <w:rFonts w:ascii="宋体" w:hAnsi="宋体" w:eastAsia="宋体" w:cs="宋体"/>
                <w:sz w:val="21"/>
                <w:szCs w:val="21"/>
              </w:rPr>
            </w:pPr>
            <w:r>
              <w:rPr>
                <w:rFonts w:hint="eastAsia" w:ascii="宋体" w:hAnsi="宋体" w:eastAsia="宋体" w:cs="宋体"/>
                <w:b/>
                <w:bCs/>
                <w:sz w:val="21"/>
                <w:szCs w:val="21"/>
                <w:lang w:eastAsia="zh-CN"/>
              </w:rPr>
              <w:t>其他</w:t>
            </w:r>
            <w:r>
              <w:rPr>
                <w:rFonts w:hint="eastAsia" w:ascii="宋体" w:hAnsi="宋体" w:eastAsia="宋体" w:cs="宋体"/>
                <w:b/>
                <w:bCs/>
                <w:sz w:val="21"/>
                <w:szCs w:val="21"/>
              </w:rPr>
              <w:t>部分</w:t>
            </w:r>
          </w:p>
        </w:tc>
        <w:tc>
          <w:tcPr>
            <w:tcW w:w="5013" w:type="dxa"/>
            <w:vAlign w:val="center"/>
          </w:tcPr>
          <w:p w14:paraId="02C7A3A6">
            <w:pPr>
              <w:pageBreakBefore w:val="0"/>
              <w:kinsoku/>
              <w:overflowPunct/>
              <w:topLinePunct w:val="0"/>
              <w:bidi w:val="0"/>
              <w:spacing w:line="360" w:lineRule="auto"/>
              <w:jc w:val="center"/>
              <w:textAlignment w:val="auto"/>
              <w:rPr>
                <w:rFonts w:ascii="宋体" w:hAnsi="宋体" w:eastAsia="宋体" w:cs="宋体"/>
                <w:sz w:val="21"/>
                <w:szCs w:val="21"/>
                <w:lang w:bidi="ar"/>
              </w:rPr>
            </w:pPr>
            <w:r>
              <w:rPr>
                <w:rFonts w:hint="eastAsia" w:ascii="宋体" w:hAnsi="宋体" w:eastAsia="宋体" w:cs="宋体"/>
                <w:b/>
                <w:bCs/>
                <w:sz w:val="21"/>
                <w:szCs w:val="21"/>
                <w:lang w:eastAsia="zh-CN"/>
              </w:rPr>
              <w:t>5</w:t>
            </w:r>
            <w:r>
              <w:rPr>
                <w:rFonts w:hint="eastAsia" w:ascii="宋体" w:hAnsi="宋体" w:eastAsia="宋体" w:cs="宋体"/>
                <w:b/>
                <w:bCs/>
                <w:sz w:val="21"/>
                <w:szCs w:val="21"/>
              </w:rPr>
              <w:t>分</w:t>
            </w:r>
          </w:p>
        </w:tc>
      </w:tr>
      <w:tr w14:paraId="6833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restart"/>
            <w:vAlign w:val="center"/>
          </w:tcPr>
          <w:p w14:paraId="3540F825">
            <w:pPr>
              <w:pageBreakBefore w:val="0"/>
              <w:kinsoku/>
              <w:overflowPunct/>
              <w:topLinePunct w:val="0"/>
              <w:bidi w:val="0"/>
              <w:spacing w:line="360" w:lineRule="auto"/>
              <w:jc w:val="center"/>
              <w:textAlignment w:val="auto"/>
              <w:rPr>
                <w:rFonts w:ascii="宋体" w:hAnsi="宋体" w:eastAsia="宋体" w:cs="宋体"/>
                <w:b/>
                <w:bCs/>
                <w:sz w:val="21"/>
                <w:szCs w:val="21"/>
                <w:lang w:eastAsia="zh-CN"/>
              </w:rPr>
            </w:pPr>
          </w:p>
        </w:tc>
        <w:tc>
          <w:tcPr>
            <w:tcW w:w="722" w:type="dxa"/>
            <w:vAlign w:val="center"/>
          </w:tcPr>
          <w:p w14:paraId="1E2D51B0">
            <w:pPr>
              <w:pageBreakBefore w:val="0"/>
              <w:kinsoku/>
              <w:overflowPunct/>
              <w:topLinePunct w:val="0"/>
              <w:bidi w:val="0"/>
              <w:spacing w:line="360" w:lineRule="auto"/>
              <w:jc w:val="center"/>
              <w:textAlignment w:val="auto"/>
              <w:rPr>
                <w:rFonts w:ascii="宋体" w:hAnsi="宋体" w:eastAsia="宋体" w:cs="宋体"/>
                <w:b/>
                <w:bCs/>
                <w:sz w:val="21"/>
                <w:szCs w:val="21"/>
                <w:lang w:eastAsia="zh-CN"/>
              </w:rPr>
            </w:pPr>
            <w:r>
              <w:rPr>
                <w:rFonts w:hint="eastAsia" w:ascii="宋体" w:hAnsi="宋体" w:eastAsia="宋体" w:cs="宋体"/>
                <w:b/>
                <w:bCs/>
                <w:sz w:val="21"/>
                <w:szCs w:val="21"/>
                <w:lang w:eastAsia="zh-CN"/>
              </w:rPr>
              <w:t>序号</w:t>
            </w:r>
          </w:p>
        </w:tc>
        <w:tc>
          <w:tcPr>
            <w:tcW w:w="1398" w:type="dxa"/>
            <w:vAlign w:val="center"/>
          </w:tcPr>
          <w:p w14:paraId="0F722AF4">
            <w:pPr>
              <w:pageBreakBefore w:val="0"/>
              <w:kinsoku/>
              <w:overflowPunct/>
              <w:topLinePunct w:val="0"/>
              <w:bidi w:val="0"/>
              <w:spacing w:line="360" w:lineRule="auto"/>
              <w:jc w:val="center"/>
              <w:textAlignment w:val="auto"/>
              <w:rPr>
                <w:rFonts w:ascii="宋体" w:hAnsi="宋体" w:eastAsia="宋体" w:cs="宋体"/>
                <w:b/>
                <w:bCs/>
                <w:sz w:val="21"/>
                <w:szCs w:val="21"/>
                <w:lang w:eastAsia="zh-CN"/>
              </w:rPr>
            </w:pPr>
            <w:r>
              <w:rPr>
                <w:rFonts w:hint="eastAsia" w:ascii="宋体" w:hAnsi="宋体" w:eastAsia="宋体" w:cs="宋体"/>
                <w:b/>
                <w:bCs/>
                <w:sz w:val="21"/>
                <w:szCs w:val="21"/>
                <w:lang w:eastAsia="zh-CN"/>
              </w:rPr>
              <w:t>评分因素</w:t>
            </w:r>
          </w:p>
        </w:tc>
        <w:tc>
          <w:tcPr>
            <w:tcW w:w="1317" w:type="dxa"/>
            <w:vAlign w:val="center"/>
          </w:tcPr>
          <w:p w14:paraId="0D2B6B15">
            <w:pPr>
              <w:pageBreakBefore w:val="0"/>
              <w:kinsoku/>
              <w:overflowPunct/>
              <w:topLinePunct w:val="0"/>
              <w:bidi w:val="0"/>
              <w:spacing w:line="360" w:lineRule="auto"/>
              <w:jc w:val="center"/>
              <w:textAlignment w:val="auto"/>
              <w:rPr>
                <w:rFonts w:ascii="宋体" w:hAnsi="宋体" w:eastAsia="宋体" w:cs="宋体"/>
                <w:b/>
                <w:bCs/>
                <w:sz w:val="21"/>
                <w:szCs w:val="21"/>
                <w:lang w:eastAsia="zh-CN"/>
              </w:rPr>
            </w:pPr>
            <w:r>
              <w:rPr>
                <w:rFonts w:hint="eastAsia" w:ascii="宋体" w:hAnsi="宋体" w:eastAsia="宋体" w:cs="宋体"/>
                <w:b/>
                <w:bCs/>
                <w:sz w:val="21"/>
                <w:szCs w:val="21"/>
              </w:rPr>
              <w:t>权重(%)</w:t>
            </w:r>
          </w:p>
        </w:tc>
        <w:tc>
          <w:tcPr>
            <w:tcW w:w="5013" w:type="dxa"/>
            <w:vAlign w:val="center"/>
          </w:tcPr>
          <w:p w14:paraId="367EC49C">
            <w:pPr>
              <w:pageBreakBefore w:val="0"/>
              <w:kinsoku/>
              <w:overflowPunct/>
              <w:topLinePunct w:val="0"/>
              <w:bidi w:val="0"/>
              <w:spacing w:line="360" w:lineRule="auto"/>
              <w:jc w:val="center"/>
              <w:textAlignment w:val="auto"/>
              <w:rPr>
                <w:rFonts w:ascii="宋体" w:hAnsi="宋体" w:eastAsia="宋体" w:cs="宋体"/>
                <w:b/>
                <w:bCs/>
                <w:sz w:val="21"/>
                <w:szCs w:val="21"/>
                <w:lang w:eastAsia="zh-CN"/>
              </w:rPr>
            </w:pPr>
            <w:r>
              <w:rPr>
                <w:rFonts w:hint="eastAsia" w:ascii="宋体" w:hAnsi="宋体" w:eastAsia="宋体" w:cs="宋体"/>
                <w:b/>
                <w:bCs/>
                <w:sz w:val="21"/>
                <w:szCs w:val="21"/>
                <w:lang w:eastAsia="zh-CN"/>
              </w:rPr>
              <w:t>评分准则</w:t>
            </w:r>
          </w:p>
        </w:tc>
      </w:tr>
      <w:tr w14:paraId="34A9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continue"/>
            <w:vAlign w:val="center"/>
          </w:tcPr>
          <w:p w14:paraId="39D948BD">
            <w:pPr>
              <w:keepNext/>
              <w:keepLines/>
              <w:pageBreakBefore w:val="0"/>
              <w:kinsoku/>
              <w:overflowPunct/>
              <w:topLinePunct w:val="0"/>
              <w:bidi w:val="0"/>
              <w:spacing w:before="260" w:after="260" w:line="360" w:lineRule="auto"/>
              <w:jc w:val="center"/>
              <w:textAlignment w:val="auto"/>
              <w:outlineLvl w:val="2"/>
              <w:rPr>
                <w:rFonts w:ascii="宋体" w:hAnsi="宋体" w:eastAsia="宋体" w:cs="宋体"/>
                <w:sz w:val="21"/>
                <w:szCs w:val="21"/>
              </w:rPr>
            </w:pPr>
          </w:p>
        </w:tc>
        <w:tc>
          <w:tcPr>
            <w:tcW w:w="722" w:type="dxa"/>
            <w:vAlign w:val="center"/>
          </w:tcPr>
          <w:p w14:paraId="27EF9A4A">
            <w:pPr>
              <w:pageBreakBefore w:val="0"/>
              <w:kinsoku/>
              <w:overflowPunct/>
              <w:topLinePunct w:val="0"/>
              <w:bidi w:val="0"/>
              <w:spacing w:line="360" w:lineRule="auto"/>
              <w:jc w:val="center"/>
              <w:textAlignment w:val="auto"/>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398" w:type="dxa"/>
            <w:vAlign w:val="center"/>
          </w:tcPr>
          <w:p w14:paraId="2FD16F81">
            <w:pPr>
              <w:pageBreakBefore w:val="0"/>
              <w:kinsoku/>
              <w:overflowPunct/>
              <w:topLinePunct w:val="0"/>
              <w:bidi w:val="0"/>
              <w:spacing w:line="360" w:lineRule="auto"/>
              <w:jc w:val="center"/>
              <w:textAlignment w:val="auto"/>
              <w:rPr>
                <w:rFonts w:ascii="宋体" w:hAnsi="宋体" w:eastAsia="宋体" w:cs="宋体"/>
                <w:sz w:val="21"/>
                <w:szCs w:val="21"/>
                <w:lang w:eastAsia="zh-CN"/>
              </w:rPr>
            </w:pPr>
            <w:r>
              <w:rPr>
                <w:rFonts w:hint="eastAsia" w:ascii="宋体" w:hAnsi="宋体" w:eastAsia="宋体" w:cs="宋体"/>
                <w:sz w:val="21"/>
                <w:szCs w:val="21"/>
                <w:lang w:bidi="ar"/>
              </w:rPr>
              <w:t>诚信</w:t>
            </w:r>
            <w:r>
              <w:rPr>
                <w:rFonts w:hint="eastAsia" w:ascii="宋体" w:hAnsi="宋体" w:eastAsia="宋体" w:cs="宋体"/>
                <w:sz w:val="21"/>
                <w:szCs w:val="21"/>
                <w:lang w:eastAsia="zh-CN" w:bidi="ar"/>
              </w:rPr>
              <w:t>情况</w:t>
            </w:r>
          </w:p>
        </w:tc>
        <w:tc>
          <w:tcPr>
            <w:tcW w:w="1317" w:type="dxa"/>
            <w:vAlign w:val="center"/>
          </w:tcPr>
          <w:p w14:paraId="02DFF52D">
            <w:pPr>
              <w:pageBreakBefore w:val="0"/>
              <w:kinsoku/>
              <w:overflowPunct/>
              <w:topLinePunct w:val="0"/>
              <w:bidi w:val="0"/>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5</w:t>
            </w:r>
          </w:p>
        </w:tc>
        <w:tc>
          <w:tcPr>
            <w:tcW w:w="5013" w:type="dxa"/>
          </w:tcPr>
          <w:p w14:paraId="6D260A6C">
            <w:pPr>
              <w:pageBreakBefore w:val="0"/>
              <w:kinsoku/>
              <w:wordWrap w:val="0"/>
              <w:overflowPunct/>
              <w:topLinePunct w:val="0"/>
              <w:bidi w:val="0"/>
              <w:spacing w:before="100" w:beforeAutospacing="1" w:afterAutospacing="1" w:line="360" w:lineRule="auto"/>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14:paraId="4544CEC6">
      <w:pPr>
        <w:pageBreakBefore w:val="0"/>
        <w:widowControl w:val="0"/>
        <w:kinsoku/>
        <w:overflowPunct/>
        <w:topLinePunct w:val="0"/>
        <w:bidi w:val="0"/>
        <w:spacing w:line="360" w:lineRule="auto"/>
        <w:jc w:val="both"/>
        <w:textAlignment w:val="auto"/>
        <w:rPr>
          <w:rFonts w:ascii="Calibri" w:hAnsi="Calibri" w:eastAsia="宋体"/>
          <w:kern w:val="2"/>
          <w:sz w:val="21"/>
          <w:szCs w:val="22"/>
          <w:lang w:eastAsia="zh-CN"/>
        </w:rPr>
      </w:pPr>
    </w:p>
    <w:p w14:paraId="5EBBBD1F">
      <w:pPr>
        <w:widowControl w:val="0"/>
        <w:jc w:val="both"/>
        <w:rPr>
          <w:rFonts w:ascii="Calibri" w:hAnsi="Calibri" w:eastAsia="宋体"/>
          <w:kern w:val="2"/>
          <w:sz w:val="21"/>
          <w:szCs w:val="22"/>
          <w:lang w:eastAsia="zh-CN"/>
        </w:rPr>
      </w:pPr>
    </w:p>
    <w:p w14:paraId="43A8CC95">
      <w:pPr>
        <w:widowControl w:val="0"/>
        <w:jc w:val="both"/>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br w:type="page"/>
      </w:r>
    </w:p>
    <w:p w14:paraId="220A4C7D">
      <w:pPr>
        <w:widowControl w:val="0"/>
        <w:jc w:val="both"/>
        <w:rPr>
          <w:rFonts w:ascii="Calibri" w:hAnsi="Calibri" w:eastAsia="宋体"/>
          <w:kern w:val="2"/>
          <w:sz w:val="21"/>
          <w:szCs w:val="22"/>
          <w:lang w:eastAsia="zh-CN"/>
        </w:rPr>
      </w:pPr>
    </w:p>
    <w:p w14:paraId="218F27CF">
      <w:pPr>
        <w:widowControl w:val="0"/>
        <w:spacing w:line="360" w:lineRule="auto"/>
        <w:jc w:val="both"/>
        <w:rPr>
          <w:rFonts w:ascii="Calibri" w:hAnsi="Calibri" w:eastAsia="宋体"/>
          <w:b/>
          <w:bCs/>
          <w:kern w:val="2"/>
          <w:sz w:val="120"/>
          <w:szCs w:val="120"/>
          <w:lang w:eastAsia="zh-CN"/>
        </w:rPr>
      </w:pPr>
    </w:p>
    <w:p w14:paraId="270DACC1">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自行采购</w:t>
      </w:r>
    </w:p>
    <w:p w14:paraId="0673B853">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招标文件</w:t>
      </w:r>
    </w:p>
    <w:p w14:paraId="63F5B016">
      <w:pPr>
        <w:widowControl w:val="0"/>
        <w:jc w:val="center"/>
        <w:rPr>
          <w:rFonts w:ascii="Calibri" w:hAnsi="Calibri" w:eastAsia="宋体"/>
          <w:b/>
          <w:kern w:val="2"/>
          <w:sz w:val="52"/>
          <w:szCs w:val="52"/>
          <w:lang w:eastAsia="zh-CN"/>
        </w:rPr>
      </w:pPr>
      <w:r>
        <w:rPr>
          <w:rFonts w:hint="eastAsia" w:ascii="Calibri" w:hAnsi="Calibri" w:eastAsia="宋体" w:cstheme="minorBidi"/>
          <w:b/>
          <w:kern w:val="2"/>
          <w:sz w:val="52"/>
          <w:szCs w:val="52"/>
          <w:lang w:eastAsia="zh-CN"/>
        </w:rPr>
        <w:t>（货物类）</w:t>
      </w:r>
    </w:p>
    <w:p w14:paraId="555CC768">
      <w:pPr>
        <w:widowControl w:val="0"/>
        <w:jc w:val="both"/>
        <w:rPr>
          <w:rFonts w:ascii="Calibri" w:hAnsi="Calibri" w:eastAsia="宋体"/>
          <w:kern w:val="2"/>
          <w:sz w:val="21"/>
          <w:szCs w:val="22"/>
          <w:lang w:eastAsia="zh-CN"/>
        </w:rPr>
      </w:pPr>
    </w:p>
    <w:p w14:paraId="69F21789">
      <w:pPr>
        <w:widowControl w:val="0"/>
        <w:jc w:val="both"/>
        <w:rPr>
          <w:rFonts w:ascii="Calibri" w:hAnsi="Calibri" w:eastAsia="宋体"/>
          <w:kern w:val="2"/>
          <w:sz w:val="21"/>
          <w:szCs w:val="22"/>
          <w:lang w:eastAsia="zh-CN"/>
        </w:rPr>
      </w:pPr>
    </w:p>
    <w:p w14:paraId="10F5E658">
      <w:pPr>
        <w:widowControl w:val="0"/>
        <w:jc w:val="both"/>
        <w:rPr>
          <w:rFonts w:ascii="Calibri" w:hAnsi="Calibri" w:eastAsia="宋体"/>
          <w:kern w:val="2"/>
          <w:sz w:val="21"/>
          <w:szCs w:val="22"/>
          <w:lang w:eastAsia="zh-CN"/>
        </w:rPr>
      </w:pPr>
    </w:p>
    <w:p w14:paraId="326B10B8">
      <w:pPr>
        <w:widowControl w:val="0"/>
        <w:jc w:val="both"/>
        <w:rPr>
          <w:rFonts w:ascii="Calibri" w:hAnsi="Calibri" w:eastAsia="宋体"/>
          <w:kern w:val="2"/>
          <w:sz w:val="21"/>
          <w:szCs w:val="22"/>
          <w:lang w:eastAsia="zh-CN"/>
        </w:rPr>
      </w:pPr>
    </w:p>
    <w:p w14:paraId="282E6EC1">
      <w:pPr>
        <w:widowControl w:val="0"/>
        <w:jc w:val="both"/>
        <w:rPr>
          <w:rFonts w:ascii="Calibri" w:hAnsi="Calibri" w:eastAsia="宋体"/>
          <w:kern w:val="2"/>
          <w:sz w:val="21"/>
          <w:szCs w:val="22"/>
          <w:lang w:eastAsia="zh-CN"/>
        </w:rPr>
      </w:pPr>
    </w:p>
    <w:p w14:paraId="3DAAA511">
      <w:pPr>
        <w:widowControl w:val="0"/>
        <w:jc w:val="both"/>
        <w:rPr>
          <w:rFonts w:ascii="Calibri" w:hAnsi="Calibri" w:eastAsia="宋体"/>
          <w:kern w:val="2"/>
          <w:sz w:val="21"/>
          <w:szCs w:val="22"/>
          <w:lang w:eastAsia="zh-CN"/>
        </w:rPr>
      </w:pPr>
    </w:p>
    <w:p w14:paraId="185656FC">
      <w:pPr>
        <w:widowControl w:val="0"/>
        <w:jc w:val="both"/>
        <w:rPr>
          <w:rFonts w:ascii="Calibri" w:hAnsi="Calibri" w:eastAsia="宋体"/>
          <w:kern w:val="2"/>
          <w:sz w:val="21"/>
          <w:szCs w:val="22"/>
          <w:lang w:eastAsia="zh-CN"/>
        </w:rPr>
      </w:pPr>
    </w:p>
    <w:p w14:paraId="2FE3B561">
      <w:pPr>
        <w:widowControl w:val="0"/>
        <w:jc w:val="both"/>
        <w:rPr>
          <w:rFonts w:ascii="Calibri" w:hAnsi="Calibri" w:eastAsia="宋体"/>
          <w:kern w:val="2"/>
          <w:sz w:val="21"/>
          <w:szCs w:val="22"/>
          <w:lang w:eastAsia="zh-CN"/>
        </w:rPr>
      </w:pPr>
    </w:p>
    <w:p w14:paraId="7A4D9A31">
      <w:pPr>
        <w:widowControl w:val="0"/>
        <w:jc w:val="both"/>
        <w:rPr>
          <w:rFonts w:ascii="Calibri" w:hAnsi="Calibri" w:eastAsia="宋体"/>
          <w:kern w:val="2"/>
          <w:sz w:val="21"/>
          <w:szCs w:val="22"/>
          <w:lang w:eastAsia="zh-CN"/>
        </w:rPr>
      </w:pPr>
    </w:p>
    <w:p w14:paraId="63EC1E82">
      <w:pPr>
        <w:widowControl w:val="0"/>
        <w:jc w:val="both"/>
        <w:rPr>
          <w:rFonts w:ascii="Calibri" w:hAnsi="Calibri" w:eastAsia="宋体"/>
          <w:kern w:val="2"/>
          <w:sz w:val="21"/>
          <w:szCs w:val="22"/>
          <w:lang w:eastAsia="zh-CN"/>
        </w:rPr>
      </w:pPr>
    </w:p>
    <w:p w14:paraId="7024F9D9">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深圳公共资源交易中心</w:t>
      </w:r>
    </w:p>
    <w:p w14:paraId="0973EC89">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w:t>
      </w:r>
      <w:r>
        <w:rPr>
          <w:rFonts w:ascii="Calibri" w:hAnsi="Calibri" w:eastAsia="宋体" w:cstheme="minorBidi"/>
          <w:b/>
          <w:kern w:val="2"/>
          <w:sz w:val="44"/>
          <w:szCs w:val="44"/>
          <w:lang w:eastAsia="zh-CN"/>
        </w:rPr>
        <w:t>20</w:t>
      </w:r>
      <w:r>
        <w:rPr>
          <w:rFonts w:hint="eastAsia" w:ascii="Calibri" w:hAnsi="Calibri" w:eastAsia="宋体" w:cstheme="minorBidi"/>
          <w:b/>
          <w:kern w:val="2"/>
          <w:sz w:val="44"/>
          <w:szCs w:val="44"/>
          <w:lang w:eastAsia="zh-CN"/>
        </w:rPr>
        <w:t>25</w:t>
      </w:r>
      <w:r>
        <w:rPr>
          <w:rFonts w:hint="eastAsia" w:ascii="宋体" w:hAnsi="宋体" w:eastAsia="宋体" w:cstheme="minorBidi"/>
          <w:b/>
          <w:kern w:val="2"/>
          <w:sz w:val="44"/>
          <w:szCs w:val="44"/>
          <w:lang w:eastAsia="zh-CN"/>
        </w:rPr>
        <w:t>）</w:t>
      </w:r>
    </w:p>
    <w:p w14:paraId="76D7E1B0">
      <w:pPr>
        <w:widowControl w:val="0"/>
        <w:ind w:firstLine="6786" w:firstLineChars="1300"/>
        <w:jc w:val="center"/>
        <w:rPr>
          <w:rFonts w:ascii="Calibri" w:hAnsi="Calibri" w:eastAsia="宋体"/>
          <w:bCs/>
          <w:color w:val="FF0000"/>
          <w:kern w:val="2"/>
          <w:sz w:val="21"/>
          <w:szCs w:val="22"/>
          <w:lang w:eastAsia="zh-CN"/>
        </w:rPr>
      </w:pPr>
      <w:r>
        <w:rPr>
          <w:rFonts w:hint="eastAsia" w:ascii="Calibri" w:hAnsi="Calibri" w:eastAsia="宋体" w:cstheme="minorBidi"/>
          <w:b/>
          <w:color w:val="FF0000"/>
          <w:kern w:val="2"/>
          <w:sz w:val="52"/>
          <w:szCs w:val="52"/>
          <w:lang w:eastAsia="zh-CN"/>
        </w:rPr>
        <w:br w:type="page"/>
      </w:r>
    </w:p>
    <w:p w14:paraId="0A6F0887">
      <w:pPr>
        <w:widowControl w:val="0"/>
        <w:snapToGrid w:val="0"/>
        <w:spacing w:line="360" w:lineRule="exact"/>
        <w:rPr>
          <w:rFonts w:ascii="宋体" w:hAnsi="宋体" w:eastAsia="宋体" w:cs="宋体"/>
          <w:color w:val="000000"/>
          <w:lang w:eastAsia="zh-CN"/>
        </w:rPr>
      </w:pPr>
    </w:p>
    <w:p w14:paraId="34A4D92A">
      <w:pPr>
        <w:widowControl w:val="0"/>
        <w:snapToGrid w:val="0"/>
        <w:spacing w:line="360" w:lineRule="exact"/>
        <w:rPr>
          <w:rFonts w:ascii="宋体" w:hAnsi="宋体" w:eastAsia="宋体" w:cs="宋体"/>
          <w:color w:val="000000"/>
          <w:lang w:eastAsia="zh-CN"/>
        </w:rPr>
      </w:pPr>
    </w:p>
    <w:p w14:paraId="2877D7F6">
      <w:pPr>
        <w:widowControl w:val="0"/>
        <w:snapToGrid w:val="0"/>
        <w:spacing w:line="360" w:lineRule="exact"/>
        <w:rPr>
          <w:rFonts w:ascii="宋体" w:hAnsi="宋体" w:eastAsia="宋体" w:cs="宋体"/>
          <w:color w:val="000000"/>
          <w:lang w:eastAsia="zh-CN"/>
        </w:rPr>
      </w:pPr>
    </w:p>
    <w:p w14:paraId="39281B12">
      <w:pPr>
        <w:widowControl w:val="0"/>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目   录</w:t>
      </w:r>
    </w:p>
    <w:p w14:paraId="273ED2F6">
      <w:pPr>
        <w:widowControl w:val="0"/>
        <w:jc w:val="both"/>
        <w:rPr>
          <w:rFonts w:ascii="Calibri" w:hAnsi="Calibri" w:eastAsia="宋体"/>
          <w:b/>
          <w:kern w:val="2"/>
          <w:lang w:eastAsia="zh-CN"/>
        </w:rPr>
      </w:pPr>
      <w:r>
        <w:rPr>
          <w:rFonts w:hint="eastAsia" w:ascii="Calibri" w:hAnsi="Calibri" w:eastAsia="宋体" w:cstheme="minorBidi"/>
          <w:b/>
          <w:kern w:val="2"/>
          <w:lang w:eastAsia="zh-CN"/>
        </w:rPr>
        <w:t>第一册  专用条款</w:t>
      </w:r>
    </w:p>
    <w:p w14:paraId="2D4EA09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关键信息</w:t>
      </w:r>
    </w:p>
    <w:p w14:paraId="11B532D1">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776FDAE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558385A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第三章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用户需求书</w:t>
      </w:r>
    </w:p>
    <w:p w14:paraId="366775B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第四章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投标文件组成要求及格式</w:t>
      </w:r>
    </w:p>
    <w:p w14:paraId="048836A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6100747A">
      <w:pPr>
        <w:widowControl w:val="0"/>
        <w:jc w:val="both"/>
        <w:rPr>
          <w:rFonts w:ascii="Calibri" w:hAnsi="Calibri" w:eastAsia="宋体"/>
          <w:b/>
          <w:kern w:val="2"/>
          <w:szCs w:val="22"/>
          <w:lang w:eastAsia="zh-CN"/>
        </w:rPr>
      </w:pPr>
    </w:p>
    <w:p w14:paraId="350986CD">
      <w:pPr>
        <w:widowControl w:val="0"/>
        <w:jc w:val="both"/>
        <w:rPr>
          <w:rFonts w:ascii="Calibri" w:hAnsi="Calibri" w:eastAsia="宋体"/>
          <w:b/>
          <w:kern w:val="2"/>
          <w:lang w:eastAsia="zh-CN"/>
        </w:rPr>
      </w:pPr>
      <w:r>
        <w:rPr>
          <w:rFonts w:hint="eastAsia" w:ascii="Calibri" w:hAnsi="Calibri" w:eastAsia="宋体" w:cstheme="minorBidi"/>
          <w:b/>
          <w:kern w:val="2"/>
          <w:lang w:eastAsia="zh-CN"/>
        </w:rPr>
        <w:t>第二册  通用条款</w:t>
      </w:r>
    </w:p>
    <w:p w14:paraId="48A0A03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1C3B115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29791FEC">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0DAD675E">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71D8871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6B86725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131B0A20">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7057A78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0094B60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062CE1B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2166AD8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 xml:space="preserve">                        第十一章  质疑处理</w:t>
      </w:r>
    </w:p>
    <w:p w14:paraId="2D29E6A9">
      <w:pPr>
        <w:widowControl w:val="0"/>
        <w:jc w:val="both"/>
        <w:rPr>
          <w:rFonts w:ascii="Calibri" w:hAnsi="Calibri" w:eastAsia="宋体"/>
          <w:kern w:val="2"/>
          <w:sz w:val="21"/>
          <w:szCs w:val="22"/>
          <w:lang w:eastAsia="zh-CN"/>
        </w:rPr>
      </w:pPr>
    </w:p>
    <w:p w14:paraId="5294DEF2">
      <w:pPr>
        <w:widowControl w:val="0"/>
        <w:jc w:val="both"/>
        <w:rPr>
          <w:rFonts w:ascii="Calibri" w:hAnsi="Calibri" w:eastAsia="宋体"/>
          <w:kern w:val="2"/>
          <w:sz w:val="21"/>
          <w:szCs w:val="22"/>
          <w:lang w:eastAsia="zh-CN"/>
        </w:rPr>
      </w:pPr>
    </w:p>
    <w:p w14:paraId="4D8364C7">
      <w:pPr>
        <w:rPr>
          <w:rFonts w:ascii="Calibri" w:hAnsi="Calibri" w:eastAsia="宋体"/>
          <w:kern w:val="2"/>
          <w:sz w:val="21"/>
          <w:szCs w:val="22"/>
          <w:lang w:eastAsia="zh-CN"/>
        </w:rPr>
      </w:pPr>
      <w:r>
        <w:rPr>
          <w:rFonts w:ascii="Calibri" w:hAnsi="Calibri" w:eastAsia="宋体" w:cstheme="minorBidi"/>
          <w:kern w:val="2"/>
          <w:sz w:val="21"/>
          <w:szCs w:val="22"/>
          <w:lang w:eastAsia="zh-CN"/>
        </w:rPr>
        <w:br w:type="page"/>
      </w:r>
    </w:p>
    <w:p w14:paraId="63E07751">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第一册  专用条款</w:t>
      </w:r>
    </w:p>
    <w:p w14:paraId="12DF1480">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16E49D26">
      <w:pPr>
        <w:widowControl w:val="0"/>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05BC3091">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w:t>
      </w:r>
    </w:p>
    <w:p w14:paraId="0F5E5443">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2.本项目不接受联合体投标，不接受投标人选用进口产品参与投标；</w:t>
      </w:r>
    </w:p>
    <w:p w14:paraId="0268129B">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3.参与本项目政府采购活动时不存在被有关部门禁止参与政府采购活动且在有效期内的情况（由供应商在《政府采购投标及履约承诺函》中作出声明）；</w:t>
      </w:r>
    </w:p>
    <w:p w14:paraId="3E5DC441">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4.具备《中华人民共和国政府采购法》第二十二条第一款的条件（由供应商在《政府采购投标及履约承诺函》中作出声明）；</w:t>
      </w:r>
    </w:p>
    <w:p w14:paraId="32469C36">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5.未被列入失信被执行人、重大税收违法案件当事人名单、政府采购严重违法失信行为记录名单（由供应商在《政府采购投标及履约承诺函》中作出声明）；</w:t>
      </w:r>
    </w:p>
    <w:p w14:paraId="715A9FA9">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6.不存在《深圳市财政局政府采购供应商信用信息管理办法》（深财规〔2023〕3号）列明的严重违法失信行为（由供应商在《政府采购投标及履约承诺函》中作出声明）；</w:t>
      </w:r>
    </w:p>
    <w:p w14:paraId="0D2BFC5D">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7.为采购项目提供整体设计、规范编制或者项目管理、监理、检测等服务的供应商，不得再参加该采购项目的其他采购活动（由供应商在《政府采购投标及履约承诺函》中作出声明）；</w:t>
      </w:r>
    </w:p>
    <w:p w14:paraId="3AFDE5C8">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56487E2C">
      <w:pPr>
        <w:widowControl w:val="0"/>
        <w:wordWrap w:val="0"/>
        <w:ind w:firstLine="420" w:firstLineChars="200"/>
        <w:jc w:val="both"/>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9.本项目是（否）专门面向中小企业采购：是，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p>
    <w:p w14:paraId="599D3E0C">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654C807">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（2）供应商投标（上传投标文件）必须先行办理注册手续，具体请按照本公告“六、其他补充事宜</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相关内容指引办理。</w:t>
      </w:r>
    </w:p>
    <w:p w14:paraId="5123A6F9">
      <w:pPr>
        <w:widowControl w:val="0"/>
        <w:snapToGrid w:val="0"/>
        <w:spacing w:line="300" w:lineRule="auto"/>
        <w:ind w:firstLine="480" w:firstLineChars="200"/>
        <w:jc w:val="both"/>
        <w:rPr>
          <w:rFonts w:ascii="Arial" w:hAnsi="Arial" w:eastAsia="宋体"/>
          <w:kern w:val="2"/>
          <w:lang w:eastAsia="zh-CN"/>
        </w:rPr>
      </w:pPr>
    </w:p>
    <w:p w14:paraId="5ECA795C">
      <w:pPr>
        <w:widowControl w:val="0"/>
        <w:spacing w:after="60" w:afterLines="25"/>
        <w:jc w:val="center"/>
        <w:rPr>
          <w:rFonts w:ascii="Calibri" w:hAnsi="Calibri" w:eastAsia="宋体"/>
          <w:b/>
          <w:color w:val="FF0000"/>
          <w:kern w:val="2"/>
          <w:sz w:val="30"/>
          <w:szCs w:val="30"/>
          <w:lang w:eastAsia="zh-CN"/>
        </w:rPr>
      </w:pPr>
      <w:r>
        <w:rPr>
          <w:rFonts w:hint="eastAsia" w:ascii="Arial" w:hAnsi="Arial" w:eastAsia="宋体"/>
          <w:b/>
          <w:color w:val="FF0000"/>
          <w:kern w:val="2"/>
          <w:sz w:val="30"/>
          <w:szCs w:val="30"/>
          <w:lang w:eastAsia="zh-CN"/>
        </w:rPr>
        <w:t>完整公告内容以网站公布信息为准，详见：深圳政府采购自行采购系统</w:t>
      </w:r>
      <w:r>
        <w:rPr>
          <w:rFonts w:hint="eastAsia" w:ascii="Calibri" w:hAnsi="Calibri" w:eastAsia="宋体" w:cstheme="minorBidi"/>
          <w:b/>
          <w:color w:val="FF0000"/>
          <w:kern w:val="2"/>
          <w:sz w:val="30"/>
          <w:szCs w:val="30"/>
          <w:lang w:eastAsia="zh-CN"/>
        </w:rPr>
        <w:t>网（https://zxcg.szggzy.com/home/index.html）</w:t>
      </w:r>
    </w:p>
    <w:p w14:paraId="51406BF8">
      <w:pPr>
        <w:widowControl w:val="0"/>
        <w:spacing w:after="60" w:afterLines="25"/>
        <w:jc w:val="both"/>
        <w:rPr>
          <w:rFonts w:ascii="Arial" w:hAnsi="Arial" w:eastAsia="宋体"/>
          <w:b/>
          <w:color w:val="FF0000"/>
          <w:kern w:val="2"/>
          <w:sz w:val="30"/>
          <w:szCs w:val="30"/>
          <w:lang w:eastAsia="zh-CN"/>
        </w:rPr>
      </w:pPr>
    </w:p>
    <w:p w14:paraId="53FA7FAA">
      <w:pPr>
        <w:keepNext/>
        <w:keepLines/>
        <w:widowControl w:val="0"/>
        <w:spacing w:before="260" w:after="260" w:line="416" w:lineRule="auto"/>
        <w:jc w:val="center"/>
        <w:outlineLvl w:val="1"/>
        <w:rPr>
          <w:rFonts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1" w:name="_Hlk71926094"/>
      <w:r>
        <w:rPr>
          <w:rFonts w:hint="eastAsia" w:ascii="宋体" w:hAnsi="宋体" w:eastAsia="宋体"/>
          <w:b/>
          <w:bCs/>
          <w:sz w:val="28"/>
          <w:szCs w:val="28"/>
          <w:lang w:eastAsia="zh-CN"/>
        </w:rPr>
        <w:t>对通用条款的补充内容及其他关键信息</w:t>
      </w:r>
      <w:bookmarkEnd w:id="1"/>
    </w:p>
    <w:p w14:paraId="41D16EC8">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bookmarkStart w:id="2" w:name="_Toc60631620"/>
      <w:bookmarkStart w:id="3" w:name="_Toc60560625"/>
      <w:bookmarkStart w:id="4" w:name="_Toc73517639"/>
      <w:bookmarkStart w:id="5" w:name="_Toc73521635"/>
      <w:bookmarkStart w:id="6" w:name="_Toc101074876"/>
      <w:bookmarkStart w:id="7" w:name="_Toc73521547"/>
      <w:bookmarkStart w:id="8" w:name="_Toc73518117"/>
      <w:bookmarkStart w:id="9" w:name="_Toc100052364"/>
      <w:r>
        <w:rPr>
          <w:rFonts w:hint="eastAsia" w:ascii="宋体" w:hAnsi="宋体" w:eastAsia="宋体"/>
          <w:b/>
          <w:bCs/>
          <w:lang w:eastAsia="zh-CN"/>
        </w:rPr>
        <w:t>一、对通用条款的补充内容</w:t>
      </w:r>
    </w:p>
    <w:tbl>
      <w:tblPr>
        <w:tblStyle w:val="11"/>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2"/>
        <w:gridCol w:w="1639"/>
        <w:gridCol w:w="6295"/>
      </w:tblGrid>
      <w:tr w14:paraId="26791E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79652BD">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通用条款序号</w:t>
            </w:r>
          </w:p>
        </w:tc>
        <w:tc>
          <w:tcPr>
            <w:tcW w:w="1755" w:type="dxa"/>
            <w:vAlign w:val="center"/>
          </w:tcPr>
          <w:p w14:paraId="222E182F">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涉及事项</w:t>
            </w:r>
          </w:p>
        </w:tc>
        <w:tc>
          <w:tcPr>
            <w:tcW w:w="6795" w:type="dxa"/>
            <w:vAlign w:val="center"/>
          </w:tcPr>
          <w:p w14:paraId="6BD6B175">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 xml:space="preserve">具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体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补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容</w:t>
            </w:r>
          </w:p>
        </w:tc>
      </w:tr>
      <w:tr w14:paraId="6630B9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07BA447">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.1</w:t>
            </w:r>
          </w:p>
        </w:tc>
        <w:tc>
          <w:tcPr>
            <w:tcW w:w="1755" w:type="dxa"/>
            <w:vAlign w:val="center"/>
          </w:tcPr>
          <w:p w14:paraId="2AFB5A3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采购人</w:t>
            </w:r>
          </w:p>
        </w:tc>
        <w:tc>
          <w:tcPr>
            <w:tcW w:w="6795" w:type="dxa"/>
            <w:vAlign w:val="center"/>
          </w:tcPr>
          <w:p w14:paraId="40EBDD79">
            <w:pPr>
              <w:widowControl w:val="0"/>
              <w:rPr>
                <w:rFonts w:hint="default" w:ascii="宋体" w:hAnsi="宋体" w:eastAsia="宋体"/>
                <w:kern w:val="2"/>
                <w:sz w:val="21"/>
                <w:szCs w:val="22"/>
                <w:lang w:val="en-US" w:eastAsia="zh-CN"/>
              </w:rPr>
            </w:pPr>
            <w:r>
              <w:rPr>
                <w:rFonts w:hint="eastAsia" w:ascii="宋体" w:hAnsi="宋体" w:eastAsia="宋体" w:cstheme="minorBidi"/>
                <w:kern w:val="2"/>
                <w:sz w:val="21"/>
                <w:szCs w:val="22"/>
                <w:lang w:eastAsia="zh-CN"/>
              </w:rPr>
              <w:t>深圳市龙华</w:t>
            </w:r>
            <w:r>
              <w:rPr>
                <w:rFonts w:hint="eastAsia" w:ascii="宋体" w:hAnsi="宋体" w:eastAsia="宋体" w:cstheme="minorBidi"/>
                <w:kern w:val="2"/>
                <w:sz w:val="21"/>
                <w:szCs w:val="22"/>
                <w:lang w:val="en-US" w:eastAsia="zh-CN"/>
              </w:rPr>
              <w:t>区行知小学</w:t>
            </w:r>
          </w:p>
        </w:tc>
      </w:tr>
      <w:tr w14:paraId="27430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135DD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.2</w:t>
            </w:r>
          </w:p>
        </w:tc>
        <w:tc>
          <w:tcPr>
            <w:tcW w:w="1755" w:type="dxa"/>
            <w:vAlign w:val="center"/>
          </w:tcPr>
          <w:p w14:paraId="560576D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政府集中采购机构</w:t>
            </w:r>
          </w:p>
        </w:tc>
        <w:tc>
          <w:tcPr>
            <w:tcW w:w="6795" w:type="dxa"/>
            <w:vAlign w:val="center"/>
          </w:tcPr>
          <w:p w14:paraId="2E542B7F">
            <w:pPr>
              <w:widowControl w:val="0"/>
              <w:rPr>
                <w:rFonts w:ascii="宋体" w:hAnsi="宋体" w:eastAsia="宋体"/>
                <w:kern w:val="2"/>
                <w:sz w:val="21"/>
                <w:szCs w:val="22"/>
                <w:lang w:eastAsia="zh-CN"/>
              </w:rPr>
            </w:pPr>
            <w:r>
              <w:rPr>
                <w:rFonts w:hint="eastAsia" w:ascii="宋体" w:hAnsi="宋体" w:eastAsia="宋体" w:cs="Arial"/>
                <w:kern w:val="2"/>
                <w:sz w:val="21"/>
                <w:szCs w:val="21"/>
                <w:lang w:eastAsia="zh-CN"/>
              </w:rPr>
              <w:t>本文件所述的“政府集中采购机构”</w:t>
            </w:r>
            <w:r>
              <w:rPr>
                <w:rFonts w:ascii="宋体" w:hAnsi="宋体" w:eastAsia="宋体" w:cs="Arial"/>
                <w:kern w:val="2"/>
                <w:sz w:val="21"/>
                <w:szCs w:val="21"/>
                <w:lang w:eastAsia="zh-CN"/>
              </w:rPr>
              <w:t>指</w:t>
            </w:r>
            <w:r>
              <w:rPr>
                <w:rFonts w:hint="eastAsia" w:ascii="宋体" w:hAnsi="宋体" w:eastAsia="宋体" w:cs="Arial"/>
                <w:b/>
                <w:bCs/>
                <w:kern w:val="2"/>
                <w:sz w:val="21"/>
                <w:szCs w:val="21"/>
                <w:lang w:eastAsia="zh-CN"/>
              </w:rPr>
              <w:t>深圳公共资源交易中心</w:t>
            </w:r>
            <w:r>
              <w:rPr>
                <w:rFonts w:hint="eastAsia" w:ascii="Arial" w:hAnsi="Arial" w:eastAsia="宋体"/>
                <w:kern w:val="2"/>
                <w:sz w:val="21"/>
                <w:lang w:eastAsia="zh-CN"/>
              </w:rPr>
              <w:t>。本项目具体由深圳公共资源交易中心（深圳交易集团有限公司龙华分公司）执行</w:t>
            </w:r>
            <w:r>
              <w:rPr>
                <w:rFonts w:hint="eastAsia" w:ascii="Arial" w:hAnsi="Arial" w:eastAsia="宋体"/>
                <w:bCs/>
                <w:kern w:val="2"/>
                <w:sz w:val="21"/>
                <w:lang w:eastAsia="zh-CN"/>
              </w:rPr>
              <w:t>。</w:t>
            </w:r>
          </w:p>
        </w:tc>
      </w:tr>
      <w:tr w14:paraId="0AD9FB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D0E57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5</w:t>
            </w:r>
            <w:r>
              <w:rPr>
                <w:rFonts w:ascii="宋体" w:hAnsi="宋体" w:eastAsia="宋体" w:cstheme="minorBidi"/>
                <w:kern w:val="2"/>
                <w:sz w:val="21"/>
                <w:szCs w:val="22"/>
                <w:lang w:eastAsia="zh-CN"/>
              </w:rPr>
              <w:t>.3</w:t>
            </w:r>
          </w:p>
        </w:tc>
        <w:tc>
          <w:tcPr>
            <w:tcW w:w="1755" w:type="dxa"/>
            <w:vAlign w:val="center"/>
          </w:tcPr>
          <w:p w14:paraId="68ABC7FD">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联合体投标</w:t>
            </w:r>
          </w:p>
        </w:tc>
        <w:tc>
          <w:tcPr>
            <w:tcW w:w="6795" w:type="dxa"/>
            <w:vAlign w:val="center"/>
          </w:tcPr>
          <w:p w14:paraId="4AF12F87">
            <w:pPr>
              <w:widowControl w:val="0"/>
              <w:rPr>
                <w:rFonts w:ascii="Arial" w:hAnsi="Arial" w:eastAsia="宋体"/>
                <w:kern w:val="2"/>
                <w:sz w:val="21"/>
                <w:lang w:eastAsia="zh-CN"/>
              </w:rPr>
            </w:pPr>
            <w:r>
              <w:rPr>
                <w:rFonts w:hint="eastAsia" w:ascii="Arial" w:hAnsi="Arial" w:eastAsia="宋体"/>
                <w:kern w:val="2"/>
                <w:sz w:val="21"/>
                <w:lang w:eastAsia="zh-CN"/>
              </w:rPr>
              <w:t>不接受</w:t>
            </w:r>
          </w:p>
        </w:tc>
      </w:tr>
      <w:tr w14:paraId="33C400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8" w:type="dxa"/>
            <w:vAlign w:val="center"/>
          </w:tcPr>
          <w:p w14:paraId="3345897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9</w:t>
            </w:r>
          </w:p>
        </w:tc>
        <w:tc>
          <w:tcPr>
            <w:tcW w:w="1755" w:type="dxa"/>
            <w:vAlign w:val="center"/>
          </w:tcPr>
          <w:p w14:paraId="267B1BEC">
            <w:pPr>
              <w:widowControl w:val="0"/>
              <w:jc w:val="center"/>
              <w:rPr>
                <w:rFonts w:ascii="宋体" w:hAnsi="宋体" w:eastAsia="宋体"/>
                <w:b/>
                <w:bCs/>
                <w:kern w:val="2"/>
                <w:sz w:val="21"/>
                <w:szCs w:val="22"/>
                <w:highlight w:val="yellow"/>
                <w:lang w:eastAsia="zh-CN"/>
              </w:rPr>
            </w:pPr>
            <w:r>
              <w:rPr>
                <w:rFonts w:hint="eastAsia" w:ascii="宋体" w:hAnsi="宋体" w:eastAsia="宋体" w:cstheme="minorBidi"/>
                <w:kern w:val="2"/>
                <w:sz w:val="21"/>
                <w:szCs w:val="22"/>
                <w:lang w:eastAsia="zh-CN"/>
              </w:rPr>
              <w:t>踏勘现场</w:t>
            </w:r>
          </w:p>
        </w:tc>
        <w:tc>
          <w:tcPr>
            <w:tcW w:w="6795" w:type="dxa"/>
            <w:vAlign w:val="center"/>
          </w:tcPr>
          <w:p w14:paraId="4884D7A7">
            <w:pPr>
              <w:widowControl w:val="0"/>
              <w:rPr>
                <w:rFonts w:ascii="Arial" w:hAnsi="Arial" w:eastAsia="宋体"/>
                <w:kern w:val="2"/>
                <w:sz w:val="21"/>
                <w:lang w:eastAsia="zh-CN"/>
              </w:rPr>
            </w:pPr>
            <w:r>
              <w:rPr>
                <w:rFonts w:hint="eastAsia" w:ascii="Arial" w:hAnsi="Arial" w:eastAsia="宋体"/>
                <w:kern w:val="2"/>
                <w:sz w:val="21"/>
                <w:lang w:eastAsia="zh-CN"/>
              </w:rPr>
              <w:t>不组织</w:t>
            </w:r>
          </w:p>
        </w:tc>
      </w:tr>
      <w:tr w14:paraId="3C1AF6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01CCF9A">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0</w:t>
            </w:r>
          </w:p>
        </w:tc>
        <w:tc>
          <w:tcPr>
            <w:tcW w:w="1755" w:type="dxa"/>
            <w:vAlign w:val="center"/>
          </w:tcPr>
          <w:p w14:paraId="27084222">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标前会议</w:t>
            </w:r>
          </w:p>
        </w:tc>
        <w:tc>
          <w:tcPr>
            <w:tcW w:w="6795" w:type="dxa"/>
            <w:vAlign w:val="center"/>
          </w:tcPr>
          <w:p w14:paraId="42D76641">
            <w:pPr>
              <w:widowControl w:val="0"/>
              <w:rPr>
                <w:rFonts w:ascii="Arial" w:hAnsi="Arial" w:eastAsia="宋体"/>
                <w:kern w:val="2"/>
                <w:sz w:val="21"/>
                <w:lang w:eastAsia="zh-CN"/>
              </w:rPr>
            </w:pPr>
            <w:r>
              <w:rPr>
                <w:rFonts w:hint="eastAsia" w:ascii="Arial" w:hAnsi="Arial" w:eastAsia="宋体"/>
                <w:kern w:val="2"/>
                <w:sz w:val="21"/>
                <w:lang w:eastAsia="zh-CN"/>
              </w:rPr>
              <w:t>不组织</w:t>
            </w:r>
          </w:p>
        </w:tc>
      </w:tr>
      <w:tr w14:paraId="331B7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978" w:type="dxa"/>
            <w:vAlign w:val="center"/>
          </w:tcPr>
          <w:p w14:paraId="6F91142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3</w:t>
            </w:r>
          </w:p>
        </w:tc>
        <w:tc>
          <w:tcPr>
            <w:tcW w:w="1755" w:type="dxa"/>
            <w:vAlign w:val="center"/>
          </w:tcPr>
          <w:p w14:paraId="2D3795B6">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招标文件的澄清和修改</w:t>
            </w:r>
          </w:p>
        </w:tc>
        <w:tc>
          <w:tcPr>
            <w:tcW w:w="6795" w:type="dxa"/>
            <w:vAlign w:val="center"/>
          </w:tcPr>
          <w:p w14:paraId="23734A66">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不晚于投标截止日三日前，投标人有义务在招标期间在政府集中采购机构网站浏览与本项目有关的澄清和修改信息。</w:t>
            </w:r>
          </w:p>
        </w:tc>
      </w:tr>
      <w:tr w14:paraId="52B849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8" w:type="dxa"/>
            <w:vAlign w:val="center"/>
          </w:tcPr>
          <w:p w14:paraId="0AB718C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0</w:t>
            </w:r>
          </w:p>
        </w:tc>
        <w:tc>
          <w:tcPr>
            <w:tcW w:w="1755" w:type="dxa"/>
            <w:vAlign w:val="center"/>
          </w:tcPr>
          <w:p w14:paraId="33E6088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投标有效期</w:t>
            </w:r>
          </w:p>
        </w:tc>
        <w:tc>
          <w:tcPr>
            <w:tcW w:w="6795" w:type="dxa"/>
            <w:vAlign w:val="center"/>
          </w:tcPr>
          <w:p w14:paraId="36BCB613">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120日历天（从投标截止之日算起）</w:t>
            </w:r>
          </w:p>
        </w:tc>
      </w:tr>
      <w:tr w14:paraId="6AE7EC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9E6AFF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2</w:t>
            </w:r>
          </w:p>
        </w:tc>
        <w:tc>
          <w:tcPr>
            <w:tcW w:w="1755" w:type="dxa"/>
            <w:vAlign w:val="center"/>
          </w:tcPr>
          <w:p w14:paraId="25EED46D">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投标人的替代方案</w:t>
            </w:r>
          </w:p>
        </w:tc>
        <w:tc>
          <w:tcPr>
            <w:tcW w:w="6795" w:type="dxa"/>
            <w:vAlign w:val="center"/>
          </w:tcPr>
          <w:p w14:paraId="222F6930">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不接受</w:t>
            </w:r>
          </w:p>
        </w:tc>
      </w:tr>
      <w:tr w14:paraId="368350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32AD26">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5</w:t>
            </w:r>
          </w:p>
        </w:tc>
        <w:tc>
          <w:tcPr>
            <w:tcW w:w="1755" w:type="dxa"/>
            <w:vAlign w:val="center"/>
          </w:tcPr>
          <w:p w14:paraId="293A093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投标文件的大小</w:t>
            </w:r>
          </w:p>
        </w:tc>
        <w:tc>
          <w:tcPr>
            <w:tcW w:w="6795" w:type="dxa"/>
            <w:vAlign w:val="center"/>
          </w:tcPr>
          <w:p w14:paraId="20D34A62">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投标文件大小不得超过100MB</w:t>
            </w:r>
          </w:p>
        </w:tc>
      </w:tr>
      <w:tr w14:paraId="48B59C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978" w:type="dxa"/>
            <w:vAlign w:val="center"/>
          </w:tcPr>
          <w:p w14:paraId="0B0059B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6</w:t>
            </w:r>
          </w:p>
        </w:tc>
        <w:tc>
          <w:tcPr>
            <w:tcW w:w="1755" w:type="dxa"/>
            <w:vAlign w:val="center"/>
          </w:tcPr>
          <w:p w14:paraId="608F9BA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样品、现场演示、方案讲解</w:t>
            </w:r>
          </w:p>
        </w:tc>
        <w:tc>
          <w:tcPr>
            <w:tcW w:w="6795" w:type="dxa"/>
            <w:vAlign w:val="center"/>
          </w:tcPr>
          <w:p w14:paraId="159D29B6">
            <w:pPr>
              <w:widowControl w:val="0"/>
              <w:rPr>
                <w:rFonts w:ascii="宋体" w:hAnsi="宋体" w:eastAsia="宋体"/>
                <w:kern w:val="2"/>
                <w:sz w:val="21"/>
                <w:szCs w:val="22"/>
                <w:lang w:eastAsia="zh-CN"/>
              </w:rPr>
            </w:pPr>
            <w:r>
              <w:rPr>
                <w:rFonts w:hint="eastAsia" w:ascii="宋体" w:hAnsi="宋体" w:eastAsia="宋体" w:cstheme="minorBidi"/>
                <w:b w:val="0"/>
                <w:bCs w:val="0"/>
                <w:kern w:val="2"/>
                <w:sz w:val="21"/>
                <w:szCs w:val="22"/>
                <w:lang w:val="en-US" w:eastAsia="zh-CN"/>
              </w:rPr>
              <w:t>无</w:t>
            </w:r>
          </w:p>
        </w:tc>
      </w:tr>
      <w:tr w14:paraId="43B1D0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EE1CB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7</w:t>
            </w:r>
          </w:p>
        </w:tc>
        <w:tc>
          <w:tcPr>
            <w:tcW w:w="1755" w:type="dxa"/>
            <w:vAlign w:val="center"/>
          </w:tcPr>
          <w:p w14:paraId="194F338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评审方法</w:t>
            </w:r>
          </w:p>
        </w:tc>
        <w:tc>
          <w:tcPr>
            <w:tcW w:w="6795" w:type="dxa"/>
            <w:vAlign w:val="center"/>
          </w:tcPr>
          <w:p w14:paraId="0D7A8FAB">
            <w:pPr>
              <w:widowControl w:val="0"/>
              <w:rPr>
                <w:rFonts w:ascii="宋体" w:hAnsi="宋体" w:eastAsia="宋体"/>
                <w:kern w:val="2"/>
                <w:sz w:val="21"/>
                <w:szCs w:val="22"/>
                <w:lang w:eastAsia="zh-CN"/>
              </w:rPr>
            </w:pPr>
            <w:r>
              <w:rPr>
                <w:rFonts w:ascii="宋体" w:hAnsi="宋体" w:eastAsia="宋体" w:cstheme="minorBidi"/>
                <w:b/>
                <w:bCs/>
                <w:kern w:val="2"/>
                <w:sz w:val="21"/>
                <w:szCs w:val="22"/>
                <w:lang w:eastAsia="zh-CN"/>
              </w:rPr>
              <w:t>综合评分法</w:t>
            </w:r>
          </w:p>
        </w:tc>
      </w:tr>
      <w:tr w14:paraId="1AFEA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8" w:type="dxa"/>
            <w:vAlign w:val="center"/>
          </w:tcPr>
          <w:p w14:paraId="0DFB93C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8</w:t>
            </w:r>
          </w:p>
        </w:tc>
        <w:tc>
          <w:tcPr>
            <w:tcW w:w="1755" w:type="dxa"/>
            <w:vAlign w:val="center"/>
          </w:tcPr>
          <w:p w14:paraId="0AA6A50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定标方法</w:t>
            </w:r>
          </w:p>
        </w:tc>
        <w:tc>
          <w:tcPr>
            <w:tcW w:w="6795" w:type="dxa"/>
            <w:vAlign w:val="center"/>
          </w:tcPr>
          <w:p w14:paraId="3717722E">
            <w:pPr>
              <w:widowControl w:val="0"/>
              <w:rPr>
                <w:rFonts w:ascii="宋体" w:hAnsi="宋体" w:eastAsia="宋体"/>
                <w:b/>
                <w:bCs/>
                <w:kern w:val="2"/>
                <w:sz w:val="21"/>
                <w:szCs w:val="22"/>
                <w:highlight w:val="yellow"/>
                <w:lang w:eastAsia="zh-CN"/>
              </w:rPr>
            </w:pPr>
            <w:r>
              <w:rPr>
                <w:rFonts w:hint="eastAsia" w:ascii="宋体" w:hAnsi="宋体" w:eastAsia="宋体"/>
                <w:b/>
                <w:bCs/>
                <w:kern w:val="2"/>
                <w:sz w:val="21"/>
                <w:szCs w:val="21"/>
                <w:lang w:eastAsia="zh-CN"/>
              </w:rPr>
              <w:t>非评定分离</w:t>
            </w:r>
          </w:p>
        </w:tc>
      </w:tr>
      <w:tr w14:paraId="67F9ED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C61B9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4</w:t>
            </w:r>
            <w:r>
              <w:rPr>
                <w:rFonts w:ascii="宋体" w:hAnsi="宋体" w:eastAsia="宋体" w:cstheme="minorBidi"/>
                <w:kern w:val="2"/>
                <w:sz w:val="21"/>
                <w:szCs w:val="22"/>
                <w:lang w:eastAsia="zh-CN"/>
              </w:rPr>
              <w:t>6</w:t>
            </w:r>
          </w:p>
        </w:tc>
        <w:tc>
          <w:tcPr>
            <w:tcW w:w="1755" w:type="dxa"/>
            <w:vAlign w:val="center"/>
          </w:tcPr>
          <w:p w14:paraId="76C3138F">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履约担保</w:t>
            </w:r>
          </w:p>
        </w:tc>
        <w:tc>
          <w:tcPr>
            <w:tcW w:w="6795" w:type="dxa"/>
            <w:vAlign w:val="center"/>
          </w:tcPr>
          <w:p w14:paraId="1470DB0F">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不需要</w:t>
            </w:r>
          </w:p>
        </w:tc>
      </w:tr>
      <w:bookmarkEnd w:id="2"/>
      <w:bookmarkEnd w:id="3"/>
      <w:bookmarkEnd w:id="4"/>
      <w:bookmarkEnd w:id="5"/>
      <w:bookmarkEnd w:id="6"/>
      <w:bookmarkEnd w:id="7"/>
      <w:bookmarkEnd w:id="8"/>
      <w:bookmarkEnd w:id="9"/>
    </w:tbl>
    <w:p w14:paraId="012B1CB4">
      <w:pPr>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备注：本表是通用条款相关条款的补充和明确，如与通用条款内容相冲突的，以本表为准。</w:t>
      </w:r>
    </w:p>
    <w:p w14:paraId="00D0C729">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r>
        <w:rPr>
          <w:rFonts w:hint="eastAsia" w:ascii="宋体" w:hAnsi="宋体" w:eastAsia="宋体"/>
          <w:b/>
          <w:bCs/>
          <w:lang w:eastAsia="zh-CN"/>
        </w:rPr>
        <w:t>二、其他关键信息</w:t>
      </w:r>
    </w:p>
    <w:p w14:paraId="65BD97A6">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（一）</w:t>
      </w:r>
      <w:r>
        <w:rPr>
          <w:rFonts w:hint="eastAsia" w:ascii="黑体" w:hAnsi="宋体" w:eastAsia="黑体" w:cstheme="minorBidi"/>
          <w:bCs/>
          <w:kern w:val="2"/>
          <w:szCs w:val="22"/>
          <w:lang w:eastAsia="zh-CN"/>
        </w:rPr>
        <w:t>与“对通用条款的补充内容”章节相关的事项</w:t>
      </w:r>
    </w:p>
    <w:p w14:paraId="08571411">
      <w:pPr>
        <w:widowControl w:val="0"/>
        <w:tabs>
          <w:tab w:val="left" w:pos="720"/>
        </w:tabs>
        <w:jc w:val="both"/>
        <w:rPr>
          <w:rFonts w:ascii="黑体" w:hAnsi="宋体" w:eastAsia="黑体"/>
          <w:bCs/>
          <w:kern w:val="2"/>
          <w:szCs w:val="22"/>
          <w:lang w:eastAsia="zh-CN"/>
        </w:rPr>
      </w:pPr>
      <w:r>
        <w:rPr>
          <w:rFonts w:hint="eastAsia" w:ascii="黑体" w:hAnsi="宋体" w:eastAsia="黑体" w:cstheme="minorBidi"/>
          <w:bCs/>
          <w:kern w:val="2"/>
          <w:szCs w:val="22"/>
          <w:lang w:eastAsia="zh-CN"/>
        </w:rPr>
        <w:t>1、评标定标信息</w:t>
      </w:r>
    </w:p>
    <w:p w14:paraId="4BF40280">
      <w:pPr>
        <w:widowControl w:val="0"/>
        <w:jc w:val="center"/>
        <w:rPr>
          <w:rFonts w:ascii="Calibri" w:hAnsi="Calibri" w:eastAsia="宋体"/>
          <w:kern w:val="2"/>
          <w:sz w:val="21"/>
          <w:szCs w:val="22"/>
          <w:lang w:eastAsia="zh-CN"/>
        </w:rPr>
      </w:pPr>
      <w:r>
        <w:rPr>
          <w:rFonts w:hint="eastAsia" w:ascii="Calibri" w:hAnsi="Calibri" w:eastAsia="宋体" w:cstheme="minorBidi"/>
          <w:b/>
          <w:kern w:val="2"/>
          <w:sz w:val="21"/>
          <w:szCs w:val="22"/>
          <w:lang w:eastAsia="zh-CN"/>
        </w:rPr>
        <w:t>非评定分离项目</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3"/>
        <w:gridCol w:w="3359"/>
        <w:gridCol w:w="2544"/>
      </w:tblGrid>
      <w:tr w14:paraId="3BBC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4267E8A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评标方法</w:t>
            </w:r>
          </w:p>
        </w:tc>
        <w:tc>
          <w:tcPr>
            <w:tcW w:w="3235" w:type="dxa"/>
          </w:tcPr>
          <w:p w14:paraId="6F6A42C3">
            <w:pPr>
              <w:widowControl w:val="0"/>
              <w:jc w:val="center"/>
              <w:rPr>
                <w:rFonts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FE"/>
            </w:r>
            <w:r>
              <w:rPr>
                <w:rFonts w:hint="eastAsia" w:ascii="Calibri" w:hAnsi="Calibri" w:eastAsia="宋体" w:cstheme="minorBidi"/>
                <w:kern w:val="2"/>
                <w:sz w:val="21"/>
                <w:szCs w:val="22"/>
                <w:lang w:eastAsia="zh-CN"/>
              </w:rPr>
              <w:t>综合评分法</w:t>
            </w:r>
          </w:p>
        </w:tc>
        <w:tc>
          <w:tcPr>
            <w:tcW w:w="2450" w:type="dxa"/>
          </w:tcPr>
          <w:p w14:paraId="14DEFC90">
            <w:pPr>
              <w:widowControl w:val="0"/>
              <w:jc w:val="center"/>
              <w:rPr>
                <w:rFonts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A8"/>
            </w:r>
            <w:r>
              <w:rPr>
                <w:rFonts w:hint="eastAsia" w:hAnsi="Calibri" w:eastAsia="宋体" w:cstheme="minorBidi"/>
                <w:kern w:val="2"/>
                <w:sz w:val="21"/>
                <w:szCs w:val="22"/>
                <w:lang w:eastAsia="zh-CN"/>
              </w:rPr>
              <w:t>最低价法</w:t>
            </w:r>
          </w:p>
        </w:tc>
      </w:tr>
      <w:tr w14:paraId="4E7B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547DFC7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候选中标供应商家数</w:t>
            </w:r>
          </w:p>
        </w:tc>
        <w:tc>
          <w:tcPr>
            <w:tcW w:w="3235" w:type="dxa"/>
          </w:tcPr>
          <w:p w14:paraId="7E33CDC7">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c>
          <w:tcPr>
            <w:tcW w:w="2450" w:type="dxa"/>
          </w:tcPr>
          <w:p w14:paraId="07689D1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r>
      <w:tr w14:paraId="6588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7760DB4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中标供应商家数</w:t>
            </w:r>
          </w:p>
        </w:tc>
        <w:tc>
          <w:tcPr>
            <w:tcW w:w="3235" w:type="dxa"/>
          </w:tcPr>
          <w:p w14:paraId="6C6F3CE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450" w:type="dxa"/>
          </w:tcPr>
          <w:p w14:paraId="25F6589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r>
    </w:tbl>
    <w:p w14:paraId="7D2EC05F">
      <w:pPr>
        <w:widowControl w:val="0"/>
        <w:tabs>
          <w:tab w:val="left" w:pos="720"/>
        </w:tabs>
        <w:jc w:val="both"/>
        <w:rPr>
          <w:rFonts w:hint="eastAsia" w:ascii="黑体" w:hAnsi="宋体" w:eastAsia="黑体" w:cstheme="minorBidi"/>
          <w:kern w:val="2"/>
          <w:szCs w:val="22"/>
          <w:lang w:eastAsia="zh-CN"/>
        </w:rPr>
      </w:pPr>
    </w:p>
    <w:p w14:paraId="7690171D">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（二）其他事项</w:t>
      </w:r>
    </w:p>
    <w:p w14:paraId="6C716488">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1、关于享受优惠政策的主体、价格扣除比例及采购标的所属行业</w:t>
      </w:r>
    </w:p>
    <w:p w14:paraId="3433F9C1">
      <w:pPr>
        <w:widowControl w:val="0"/>
        <w:ind w:firstLine="411" w:firstLineChars="196"/>
        <w:jc w:val="both"/>
        <w:rPr>
          <w:rFonts w:ascii="宋体" w:hAnsi="宋体" w:eastAsia="宋体"/>
          <w:color w:val="FF0000"/>
          <w:kern w:val="2"/>
          <w:sz w:val="21"/>
          <w:szCs w:val="22"/>
          <w:lang w:eastAsia="zh-CN"/>
        </w:rPr>
      </w:pPr>
      <w:r>
        <w:rPr>
          <w:rFonts w:hint="eastAsia" w:ascii="宋体" w:hAnsi="宋体" w:eastAsia="宋体" w:cstheme="minorBidi"/>
          <w:color w:val="FF0000"/>
          <w:kern w:val="2"/>
          <w:sz w:val="21"/>
          <w:szCs w:val="22"/>
          <w:lang w:eastAsia="zh-CN"/>
        </w:rPr>
        <w:t>（1）</w:t>
      </w:r>
      <w:r>
        <w:rPr>
          <w:rFonts w:hint="eastAsia" w:ascii="Calibri" w:hAnsi="Calibri" w:eastAsia="宋体" w:cstheme="minorBidi"/>
          <w:color w:val="FF0000"/>
          <w:kern w:val="2"/>
          <w:sz w:val="21"/>
          <w:szCs w:val="22"/>
          <w:lang w:eastAsia="zh-CN"/>
        </w:rPr>
        <w:t>专门面向中小企业采购的项目（包括联合体或分包预留中小企业份额的项目），不再执行价格扣除比例。</w:t>
      </w:r>
    </w:p>
    <w:p w14:paraId="12BCCD31">
      <w:pPr>
        <w:widowControl w:val="0"/>
        <w:ind w:firstLine="411" w:firstLineChars="196"/>
        <w:jc w:val="both"/>
        <w:rPr>
          <w:rFonts w:ascii="Arial" w:hAnsi="Arial" w:eastAsia="宋体"/>
          <w:color w:val="auto"/>
          <w:kern w:val="2"/>
          <w:sz w:val="21"/>
          <w:szCs w:val="21"/>
          <w:highlight w:val="yellow"/>
          <w:lang w:eastAsia="zh-CN"/>
        </w:rPr>
      </w:pPr>
      <w:r>
        <w:rPr>
          <w:rFonts w:hint="eastAsia" w:ascii="宋体" w:hAnsi="宋体" w:eastAsia="宋体" w:cstheme="minorBidi"/>
          <w:color w:val="auto"/>
          <w:kern w:val="2"/>
          <w:sz w:val="21"/>
          <w:szCs w:val="22"/>
          <w:lang w:eastAsia="zh-CN"/>
        </w:rPr>
        <w:t>（2）</w:t>
      </w:r>
      <w:r>
        <w:rPr>
          <w:rFonts w:hint="eastAsia" w:ascii="Calibri" w:hAnsi="Calibri" w:eastAsia="宋体" w:cstheme="minorBidi"/>
          <w:color w:val="auto"/>
          <w:kern w:val="2"/>
          <w:sz w:val="21"/>
          <w:szCs w:val="22"/>
          <w:lang w:eastAsia="zh-CN"/>
        </w:rPr>
        <w:t>非</w:t>
      </w:r>
      <w:r>
        <w:rPr>
          <w:rFonts w:hint="eastAsia" w:hAnsi="Calibri" w:eastAsia="宋体" w:cstheme="minorBidi"/>
          <w:color w:val="auto"/>
          <w:kern w:val="2"/>
          <w:sz w:val="21"/>
          <w:szCs w:val="22"/>
          <w:lang w:eastAsia="zh-CN"/>
        </w:rPr>
        <w:t>专门面向中小企业采购的项目，</w:t>
      </w:r>
      <w:r>
        <w:rPr>
          <w:rFonts w:hint="eastAsia" w:ascii="Calibri" w:hAnsi="Calibri" w:eastAsia="宋体" w:cstheme="minorBidi"/>
          <w:color w:val="auto"/>
          <w:kern w:val="2"/>
          <w:sz w:val="21"/>
          <w:szCs w:val="22"/>
          <w:lang w:eastAsia="zh-CN"/>
        </w:rPr>
        <w:t>应</w:t>
      </w:r>
      <w:r>
        <w:rPr>
          <w:rFonts w:hint="eastAsia" w:hAnsi="Calibri" w:eastAsia="宋体" w:cstheme="minorBidi"/>
          <w:color w:val="auto"/>
          <w:kern w:val="2"/>
          <w:sz w:val="21"/>
          <w:szCs w:val="22"/>
          <w:lang w:eastAsia="zh-CN"/>
        </w:rPr>
        <w:t>执行价格扣除比例</w:t>
      </w:r>
      <w:r>
        <w:rPr>
          <w:rFonts w:hint="eastAsia" w:ascii="Calibri" w:hAnsi="Calibri" w:eastAsia="宋体" w:cstheme="minorBidi"/>
          <w:color w:val="auto"/>
          <w:kern w:val="2"/>
          <w:sz w:val="21"/>
          <w:szCs w:val="22"/>
          <w:lang w:eastAsia="zh-CN"/>
        </w:rPr>
        <w:t>：</w:t>
      </w:r>
      <w:r>
        <w:rPr>
          <w:rFonts w:hint="eastAsia" w:ascii="宋体" w:hAnsi="宋体" w:eastAsia="宋体" w:cstheme="minorBidi"/>
          <w:color w:val="auto"/>
          <w:kern w:val="2"/>
          <w:sz w:val="21"/>
          <w:szCs w:val="22"/>
          <w:lang w:eastAsia="zh-CN"/>
        </w:rPr>
        <w:t>投标人提供的货物（以招标文件用户需求书“货物需求明细”的“货物名称”一栏为准）全部均由优惠主体制造的，对其投标总价给予</w:t>
      </w:r>
      <w:r>
        <w:rPr>
          <w:rFonts w:hint="eastAsia" w:ascii="宋体" w:hAnsi="宋体" w:eastAsia="宋体" w:cstheme="minorBidi"/>
          <w:b/>
          <w:bCs/>
          <w:color w:val="auto"/>
          <w:kern w:val="2"/>
          <w:sz w:val="21"/>
          <w:szCs w:val="22"/>
          <w:u w:val="single"/>
          <w:lang w:eastAsia="zh-CN"/>
        </w:rPr>
        <w:t xml:space="preserve"> </w:t>
      </w:r>
      <w:r>
        <w:rPr>
          <w:rFonts w:hint="eastAsia" w:ascii="宋体" w:hAnsi="宋体" w:eastAsia="宋体" w:cstheme="minorBidi"/>
          <w:b/>
          <w:bCs/>
          <w:color w:val="auto"/>
          <w:kern w:val="2"/>
          <w:sz w:val="21"/>
          <w:szCs w:val="22"/>
          <w:u w:val="single"/>
          <w:lang w:val="en-US" w:eastAsia="zh-CN"/>
        </w:rPr>
        <w:t>/</w:t>
      </w:r>
      <w:r>
        <w:rPr>
          <w:rFonts w:hint="eastAsia" w:ascii="宋体" w:hAnsi="宋体" w:eastAsia="宋体"/>
          <w:b/>
          <w:bCs/>
          <w:color w:val="auto"/>
          <w:kern w:val="2"/>
          <w:u w:val="single"/>
          <w:lang w:eastAsia="zh-CN"/>
        </w:rPr>
        <w:t xml:space="preserve"> </w:t>
      </w:r>
      <w:r>
        <w:rPr>
          <w:rFonts w:hint="eastAsia" w:ascii="宋体" w:hAnsi="宋体" w:eastAsia="宋体" w:cstheme="minorBidi"/>
          <w:color w:val="auto"/>
          <w:kern w:val="2"/>
          <w:sz w:val="21"/>
          <w:szCs w:val="22"/>
          <w:lang w:eastAsia="zh-CN"/>
        </w:rPr>
        <w:t>的扣除，用扣除后的价格参与评审。满足多项优惠政策的企业，不重复享受多项价格扣除政策。</w:t>
      </w:r>
      <w:r>
        <w:rPr>
          <w:rFonts w:hint="eastAsia" w:ascii="Arial" w:hAnsi="Arial" w:eastAsia="宋体"/>
          <w:color w:val="auto"/>
          <w:kern w:val="2"/>
          <w:sz w:val="21"/>
          <w:szCs w:val="21"/>
          <w:lang w:eastAsia="zh-CN"/>
        </w:rPr>
        <w:t>政策调整后价格仅作为评审依据，不作为中标价格。</w:t>
      </w:r>
    </w:p>
    <w:p w14:paraId="6442C32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r>
        <w:rPr>
          <w:rFonts w:hint="eastAsia" w:ascii="宋体" w:hAnsi="宋体" w:eastAsia="宋体" w:cs="宋体"/>
          <w:b/>
          <w:bCs/>
          <w:kern w:val="2"/>
          <w:sz w:val="21"/>
          <w:szCs w:val="21"/>
          <w:lang w:eastAsia="zh-CN"/>
        </w:rPr>
        <w:t>（a）</w:t>
      </w:r>
      <w:r>
        <w:rPr>
          <w:rFonts w:hint="eastAsia" w:ascii="宋体" w:hAnsi="宋体" w:eastAsia="宋体" w:cs="宋体"/>
          <w:kern w:val="2"/>
          <w:sz w:val="21"/>
          <w:szCs w:val="21"/>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eastAsia="宋体" w:cstheme="minorBidi"/>
          <w:kern w:val="2"/>
          <w:sz w:val="21"/>
          <w:szCs w:val="22"/>
          <w:lang w:eastAsia="zh-CN"/>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宋体" w:hAnsi="宋体" w:eastAsia="宋体" w:cs="宋体"/>
          <w:b/>
          <w:bCs/>
          <w:kern w:val="2"/>
          <w:sz w:val="21"/>
          <w:szCs w:val="21"/>
          <w:lang w:eastAsia="zh-CN"/>
        </w:rPr>
        <w:t>(b)</w:t>
      </w:r>
      <w:r>
        <w:rPr>
          <w:rFonts w:hint="eastAsia" w:ascii="宋体" w:hAnsi="宋体" w:eastAsia="宋体" w:cs="宋体"/>
          <w:kern w:val="2"/>
          <w:sz w:val="21"/>
          <w:szCs w:val="21"/>
          <w:lang w:eastAsia="zh-CN"/>
        </w:rPr>
        <w:t>优惠主体制造是指货物由优惠主体生产且使用该优惠主体商号或者注册商标；投标人提供的货物既有优惠主体制造货物，又有非优惠主体制造货物的，不给予价格扣除。</w:t>
      </w:r>
    </w:p>
    <w:p w14:paraId="6B6EB5B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bookmarkStart w:id="10" w:name="_Hlk71970739"/>
      <w:r>
        <w:rPr>
          <w:rFonts w:hint="eastAsia" w:ascii="宋体" w:hAnsi="宋体" w:eastAsia="宋体" w:cs="宋体"/>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0"/>
    </w:p>
    <w:p w14:paraId="76CFA16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124FEE67">
      <w:pPr>
        <w:widowControl w:val="0"/>
        <w:tabs>
          <w:tab w:val="left" w:pos="720"/>
        </w:tabs>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（5）享受价格扣除获得政府采购合同的，小微企业不得将合同分包给大中型企业。</w:t>
      </w:r>
    </w:p>
    <w:p w14:paraId="63B38D72">
      <w:pPr>
        <w:widowControl w:val="0"/>
        <w:tabs>
          <w:tab w:val="left" w:pos="720"/>
        </w:tabs>
        <w:ind w:firstLine="480" w:firstLineChars="200"/>
        <w:jc w:val="both"/>
        <w:rPr>
          <w:rFonts w:ascii="黑体" w:hAnsi="宋体" w:eastAsia="黑体"/>
          <w:kern w:val="2"/>
          <w:szCs w:val="22"/>
          <w:lang w:eastAsia="zh-CN"/>
        </w:rPr>
      </w:pPr>
    </w:p>
    <w:p w14:paraId="059CBAA4">
      <w:pPr>
        <w:widowControl w:val="0"/>
        <w:tabs>
          <w:tab w:val="left" w:pos="720"/>
        </w:tabs>
        <w:jc w:val="both"/>
        <w:rPr>
          <w:rFonts w:ascii="宋体" w:hAnsi="宋体" w:eastAsia="宋体"/>
          <w:b/>
          <w:bCs/>
          <w:color w:val="FF0000"/>
          <w:kern w:val="2"/>
          <w:sz w:val="21"/>
          <w:szCs w:val="22"/>
          <w:lang w:eastAsia="zh-CN"/>
        </w:rPr>
      </w:pPr>
      <w:r>
        <w:rPr>
          <w:rFonts w:hint="eastAsia" w:ascii="宋体" w:hAnsi="宋体" w:eastAsia="宋体" w:cs="宋体"/>
          <w:b/>
          <w:bCs/>
          <w:kern w:val="2"/>
          <w:sz w:val="21"/>
          <w:lang w:eastAsia="zh-CN"/>
        </w:rPr>
        <w:t>2.</w:t>
      </w:r>
      <w:r>
        <w:rPr>
          <w:rFonts w:ascii="宋体" w:hAnsi="宋体" w:eastAsia="宋体" w:cstheme="minorBidi"/>
          <w:b/>
          <w:bCs/>
          <w:color w:val="FF0000"/>
          <w:kern w:val="2"/>
          <w:sz w:val="21"/>
          <w:szCs w:val="22"/>
          <w:lang w:eastAsia="zh-CN"/>
        </w:rPr>
        <w:t>本项目为代理服务项目，将向中标</w:t>
      </w:r>
      <w:r>
        <w:rPr>
          <w:rFonts w:hint="eastAsia" w:ascii="宋体" w:hAnsi="宋体" w:eastAsia="宋体" w:cstheme="minorBidi"/>
          <w:b/>
          <w:bCs/>
          <w:color w:val="FF0000"/>
          <w:kern w:val="2"/>
          <w:sz w:val="21"/>
          <w:szCs w:val="22"/>
          <w:lang w:eastAsia="zh-CN"/>
        </w:rPr>
        <w:t>（成交）</w:t>
      </w:r>
      <w:r>
        <w:rPr>
          <w:rFonts w:ascii="宋体" w:hAnsi="宋体" w:eastAsia="宋体" w:cstheme="minorBidi"/>
          <w:b/>
          <w:bCs/>
          <w:color w:val="FF0000"/>
          <w:kern w:val="2"/>
          <w:sz w:val="21"/>
          <w:szCs w:val="22"/>
          <w:lang w:eastAsia="zh-CN"/>
        </w:rPr>
        <w:t>供应商收取代理服务费</w:t>
      </w:r>
      <w:r>
        <w:rPr>
          <w:rFonts w:hint="eastAsia" w:ascii="宋体" w:hAnsi="宋体" w:eastAsia="宋体" w:cstheme="minorBidi"/>
          <w:b/>
          <w:bCs/>
          <w:color w:val="FF0000"/>
          <w:kern w:val="2"/>
          <w:sz w:val="21"/>
          <w:szCs w:val="22"/>
          <w:lang w:eastAsia="zh-CN"/>
        </w:rPr>
        <w:t>。</w:t>
      </w:r>
    </w:p>
    <w:p w14:paraId="64205CE6">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eastAsia="宋体" w:cstheme="minorBidi"/>
          <w:b/>
          <w:bCs/>
          <w:color w:val="FF0000"/>
          <w:kern w:val="2"/>
          <w:sz w:val="21"/>
          <w:szCs w:val="21"/>
          <w:u w:val="single"/>
          <w:lang w:eastAsia="zh-CN"/>
        </w:rPr>
        <w:t>货物采购</w:t>
      </w:r>
      <w:r>
        <w:rPr>
          <w:rFonts w:hint="eastAsia" w:ascii="宋体" w:hAnsi="宋体" w:eastAsia="宋体" w:cstheme="minorBidi"/>
          <w:color w:val="FF0000"/>
          <w:kern w:val="2"/>
          <w:sz w:val="21"/>
          <w:szCs w:val="21"/>
          <w:lang w:eastAsia="zh-CN"/>
        </w:rPr>
        <w:t>：</w:t>
      </w:r>
    </w:p>
    <w:p w14:paraId="58D2AA3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（1）代理服务费以《中标（成交）通知书》确定的中标（成交）金额作为计算基数，按差额定率累进法计算。</w:t>
      </w:r>
    </w:p>
    <w:p w14:paraId="42D82D7C">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（2）中标（成交）金额的各部分费率如下表：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1870"/>
        <w:gridCol w:w="1870"/>
        <w:gridCol w:w="1870"/>
      </w:tblGrid>
      <w:tr w14:paraId="7A36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92F6BB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中标（成交）金额</w:t>
            </w:r>
          </w:p>
        </w:tc>
        <w:tc>
          <w:tcPr>
            <w:tcW w:w="1799" w:type="dxa"/>
            <w:vAlign w:val="center"/>
          </w:tcPr>
          <w:p w14:paraId="3A18EF1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货物采购</w:t>
            </w:r>
          </w:p>
        </w:tc>
        <w:tc>
          <w:tcPr>
            <w:tcW w:w="1799" w:type="dxa"/>
            <w:vAlign w:val="center"/>
          </w:tcPr>
          <w:p w14:paraId="05BFAE9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服务采购</w:t>
            </w:r>
          </w:p>
        </w:tc>
        <w:tc>
          <w:tcPr>
            <w:tcW w:w="1799" w:type="dxa"/>
            <w:vAlign w:val="center"/>
          </w:tcPr>
          <w:p w14:paraId="57F59BF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工程采购</w:t>
            </w:r>
          </w:p>
        </w:tc>
      </w:tr>
      <w:tr w14:paraId="6E96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12353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100万元以下</w:t>
            </w:r>
          </w:p>
        </w:tc>
        <w:tc>
          <w:tcPr>
            <w:tcW w:w="1799" w:type="dxa"/>
            <w:vAlign w:val="center"/>
          </w:tcPr>
          <w:p w14:paraId="15868E6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1.5%</w:t>
            </w:r>
          </w:p>
        </w:tc>
        <w:tc>
          <w:tcPr>
            <w:tcW w:w="1799" w:type="dxa"/>
            <w:vAlign w:val="center"/>
          </w:tcPr>
          <w:p w14:paraId="450FEB1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1.5%</w:t>
            </w:r>
          </w:p>
        </w:tc>
        <w:tc>
          <w:tcPr>
            <w:tcW w:w="1799" w:type="dxa"/>
            <w:vAlign w:val="center"/>
          </w:tcPr>
          <w:p w14:paraId="61B9472D">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w:t>
            </w:r>
          </w:p>
        </w:tc>
      </w:tr>
      <w:tr w14:paraId="3979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C16809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100万元（含）-500万元</w:t>
            </w:r>
          </w:p>
        </w:tc>
        <w:tc>
          <w:tcPr>
            <w:tcW w:w="1799" w:type="dxa"/>
            <w:vAlign w:val="center"/>
          </w:tcPr>
          <w:p w14:paraId="4EEDF2B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1.1%</w:t>
            </w:r>
          </w:p>
        </w:tc>
        <w:tc>
          <w:tcPr>
            <w:tcW w:w="1799" w:type="dxa"/>
            <w:vAlign w:val="center"/>
          </w:tcPr>
          <w:p w14:paraId="262F393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0.8%</w:t>
            </w:r>
          </w:p>
        </w:tc>
        <w:tc>
          <w:tcPr>
            <w:tcW w:w="1799" w:type="dxa"/>
            <w:vAlign w:val="center"/>
          </w:tcPr>
          <w:p w14:paraId="2273727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0.7%</w:t>
            </w:r>
          </w:p>
        </w:tc>
      </w:tr>
      <w:tr w14:paraId="7636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E90323F">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500万元（含）-1000万元</w:t>
            </w:r>
          </w:p>
        </w:tc>
        <w:tc>
          <w:tcPr>
            <w:tcW w:w="1799" w:type="dxa"/>
            <w:vAlign w:val="center"/>
          </w:tcPr>
          <w:p w14:paraId="26EF796C">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0.8%</w:t>
            </w:r>
          </w:p>
        </w:tc>
        <w:tc>
          <w:tcPr>
            <w:tcW w:w="1799" w:type="dxa"/>
            <w:vAlign w:val="center"/>
          </w:tcPr>
          <w:p w14:paraId="3E70410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0.45%</w:t>
            </w:r>
          </w:p>
        </w:tc>
        <w:tc>
          <w:tcPr>
            <w:tcW w:w="1799" w:type="dxa"/>
            <w:vAlign w:val="center"/>
          </w:tcPr>
          <w:p w14:paraId="2FFF7B0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0.55%</w:t>
            </w:r>
          </w:p>
        </w:tc>
      </w:tr>
      <w:tr w14:paraId="069E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45A528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1000万元（含）-5000万元</w:t>
            </w:r>
          </w:p>
        </w:tc>
        <w:tc>
          <w:tcPr>
            <w:tcW w:w="1799" w:type="dxa"/>
            <w:vAlign w:val="center"/>
          </w:tcPr>
          <w:p w14:paraId="3C25E2F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0.5%</w:t>
            </w:r>
          </w:p>
        </w:tc>
        <w:tc>
          <w:tcPr>
            <w:tcW w:w="1799" w:type="dxa"/>
            <w:vAlign w:val="center"/>
          </w:tcPr>
          <w:p w14:paraId="280EE87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0.25%</w:t>
            </w:r>
          </w:p>
        </w:tc>
        <w:tc>
          <w:tcPr>
            <w:tcW w:w="1799" w:type="dxa"/>
            <w:vAlign w:val="center"/>
          </w:tcPr>
          <w:p w14:paraId="5E1D5BB5">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0.35%</w:t>
            </w:r>
          </w:p>
        </w:tc>
      </w:tr>
      <w:tr w14:paraId="5101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1B569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5000万元（含）-1亿元</w:t>
            </w:r>
          </w:p>
        </w:tc>
        <w:tc>
          <w:tcPr>
            <w:tcW w:w="1799" w:type="dxa"/>
            <w:vAlign w:val="center"/>
          </w:tcPr>
          <w:p w14:paraId="182801B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0.25%</w:t>
            </w:r>
          </w:p>
        </w:tc>
        <w:tc>
          <w:tcPr>
            <w:tcW w:w="1799" w:type="dxa"/>
            <w:vAlign w:val="center"/>
          </w:tcPr>
          <w:p w14:paraId="6F43EEA5">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0.1%</w:t>
            </w:r>
          </w:p>
        </w:tc>
        <w:tc>
          <w:tcPr>
            <w:tcW w:w="1799" w:type="dxa"/>
            <w:vAlign w:val="center"/>
          </w:tcPr>
          <w:p w14:paraId="216F754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w:t>
            </w:r>
          </w:p>
        </w:tc>
      </w:tr>
      <w:tr w14:paraId="7EB5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1A4BA8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1亿元（含）-5亿元</w:t>
            </w:r>
          </w:p>
        </w:tc>
        <w:tc>
          <w:tcPr>
            <w:tcW w:w="1799" w:type="dxa"/>
            <w:vAlign w:val="center"/>
          </w:tcPr>
          <w:p w14:paraId="6D1A1BA3">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c>
          <w:tcPr>
            <w:tcW w:w="1799" w:type="dxa"/>
            <w:vAlign w:val="center"/>
          </w:tcPr>
          <w:p w14:paraId="5515499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c>
          <w:tcPr>
            <w:tcW w:w="1799" w:type="dxa"/>
            <w:vAlign w:val="center"/>
          </w:tcPr>
          <w:p w14:paraId="56EF4FE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r>
      <w:tr w14:paraId="3C23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51F546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5亿元（含）-10亿元</w:t>
            </w:r>
          </w:p>
        </w:tc>
        <w:tc>
          <w:tcPr>
            <w:tcW w:w="1799" w:type="dxa"/>
            <w:vAlign w:val="center"/>
          </w:tcPr>
          <w:p w14:paraId="36C083C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c>
          <w:tcPr>
            <w:tcW w:w="1799" w:type="dxa"/>
            <w:vAlign w:val="center"/>
          </w:tcPr>
          <w:p w14:paraId="443439C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c>
          <w:tcPr>
            <w:tcW w:w="1799" w:type="dxa"/>
            <w:vAlign w:val="center"/>
          </w:tcPr>
          <w:p w14:paraId="0B5DC0A7">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r>
      <w:tr w14:paraId="3436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3725CB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10亿元（含）-50亿元</w:t>
            </w:r>
          </w:p>
        </w:tc>
        <w:tc>
          <w:tcPr>
            <w:tcW w:w="1799" w:type="dxa"/>
            <w:vAlign w:val="center"/>
          </w:tcPr>
          <w:p w14:paraId="17F1658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c>
          <w:tcPr>
            <w:tcW w:w="1799" w:type="dxa"/>
            <w:vAlign w:val="center"/>
          </w:tcPr>
          <w:p w14:paraId="0256FB8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c>
          <w:tcPr>
            <w:tcW w:w="1799" w:type="dxa"/>
            <w:vAlign w:val="center"/>
          </w:tcPr>
          <w:p w14:paraId="6671816F">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r>
      <w:tr w14:paraId="1962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957405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50亿元（含）-100亿元</w:t>
            </w:r>
          </w:p>
        </w:tc>
        <w:tc>
          <w:tcPr>
            <w:tcW w:w="1799" w:type="dxa"/>
            <w:vAlign w:val="center"/>
          </w:tcPr>
          <w:p w14:paraId="667249A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c>
          <w:tcPr>
            <w:tcW w:w="1799" w:type="dxa"/>
            <w:vAlign w:val="center"/>
          </w:tcPr>
          <w:p w14:paraId="5427C59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c>
          <w:tcPr>
            <w:tcW w:w="1799" w:type="dxa"/>
            <w:vAlign w:val="center"/>
          </w:tcPr>
          <w:p w14:paraId="0F0C494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r>
      <w:tr w14:paraId="64FC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B7049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100亿元（含）以上</w:t>
            </w:r>
          </w:p>
        </w:tc>
        <w:tc>
          <w:tcPr>
            <w:tcW w:w="1799" w:type="dxa"/>
            <w:vAlign w:val="center"/>
          </w:tcPr>
          <w:p w14:paraId="2E91BE6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c>
          <w:tcPr>
            <w:tcW w:w="1799" w:type="dxa"/>
            <w:vAlign w:val="center"/>
          </w:tcPr>
          <w:p w14:paraId="16B0C86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c>
          <w:tcPr>
            <w:tcW w:w="1799" w:type="dxa"/>
            <w:vAlign w:val="center"/>
          </w:tcPr>
          <w:p w14:paraId="62FBE2F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r>
    </w:tbl>
    <w:p w14:paraId="6C557FF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备注：1.每宗交易代理服务费不低于 5000 元；</w:t>
      </w:r>
    </w:p>
    <w:p w14:paraId="091D502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2.对于报总价的采购类项目，中标（成交）价为中标（成交）金额；对于报单价或折扣或费率的采购类项目，中标（成交）价为预算上限金额或经委托方与代理方确定的支付上限金额。</w:t>
      </w:r>
    </w:p>
    <w:p w14:paraId="53C4005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如某货物采购项目，中标（成交）金额为600万元，总共交纳的代理服务费的具体计算过程如下：</w:t>
      </w:r>
    </w:p>
    <w:p w14:paraId="7BDAC83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标准代理服务费＝（100万以下部分的代理服务费）+（100万～500万部分的代理服务费）+（500万～600万部分的代理服务费）＝100万元×1.5%+（500-100）万元×1.1%+（600-500）万元×0.8%=1.5万元+4.4万元+0.8万元＝6.7万元</w:t>
      </w:r>
    </w:p>
    <w:p w14:paraId="0AC89B04">
      <w:pPr>
        <w:ind w:firstLine="420"/>
        <w:rPr>
          <w:rFonts w:ascii="宋体" w:hAnsi="宋体" w:eastAsia="黑体"/>
          <w:bCs/>
          <w:kern w:val="44"/>
          <w:sz w:val="21"/>
          <w:szCs w:val="21"/>
          <w:lang w:eastAsia="zh-CN"/>
        </w:rPr>
      </w:pPr>
      <w:r>
        <w:rPr>
          <w:rFonts w:hint="eastAsia" w:ascii="宋体" w:hAnsi="宋体" w:eastAsia="宋体" w:cstheme="minorBidi"/>
          <w:color w:val="FF0000"/>
          <w:kern w:val="2"/>
          <w:sz w:val="21"/>
          <w:szCs w:val="21"/>
          <w:lang w:eastAsia="zh-CN"/>
        </w:rPr>
        <w:t>（3）中标（成交）供应商成交后，必须按规定采用银行对公转账方式向深圳交易集团有限公司直接交纳代理服务费，交纳信息及要求按照缴款（付款）通知书执行。</w:t>
      </w:r>
    </w:p>
    <w:p w14:paraId="5839AFE7">
      <w:pPr>
        <w:ind w:firstLine="420"/>
        <w:rPr>
          <w:rFonts w:ascii="宋体" w:hAnsi="宋体" w:eastAsia="宋体"/>
          <w:color w:val="FF0000"/>
          <w:kern w:val="2"/>
          <w:sz w:val="21"/>
          <w:szCs w:val="21"/>
          <w:lang w:eastAsia="zh-CN"/>
        </w:rPr>
      </w:pPr>
    </w:p>
    <w:p w14:paraId="2AE1D7FB">
      <w:pPr>
        <w:ind w:firstLine="420"/>
        <w:rPr>
          <w:rFonts w:ascii="宋体" w:hAnsi="宋体" w:eastAsia="黑体"/>
          <w:bCs/>
          <w:kern w:val="44"/>
          <w:sz w:val="21"/>
          <w:szCs w:val="21"/>
          <w:lang w:eastAsia="zh-CN"/>
        </w:rPr>
      </w:pPr>
    </w:p>
    <w:p w14:paraId="272437FB">
      <w:pPr>
        <w:jc w:val="center"/>
        <w:rPr>
          <w:rFonts w:ascii="宋体" w:hAnsi="宋体" w:eastAsia="宋体"/>
          <w:b/>
          <w:bCs/>
          <w:sz w:val="28"/>
          <w:szCs w:val="28"/>
          <w:lang w:eastAsia="zh-CN"/>
        </w:rPr>
      </w:pPr>
      <w:r>
        <w:rPr>
          <w:rFonts w:ascii="宋体" w:hAnsi="宋体" w:eastAsia="黑体"/>
          <w:bCs/>
          <w:kern w:val="44"/>
          <w:sz w:val="28"/>
          <w:szCs w:val="44"/>
          <w:lang w:eastAsia="zh-CN"/>
        </w:rPr>
        <w:br w:type="page"/>
      </w:r>
      <w:r>
        <w:rPr>
          <w:rFonts w:hint="eastAsia" w:ascii="宋体" w:hAnsi="宋体" w:eastAsia="宋体"/>
          <w:b/>
          <w:bCs/>
          <w:sz w:val="28"/>
          <w:szCs w:val="28"/>
          <w:lang w:eastAsia="zh-CN"/>
        </w:rPr>
        <w:t>第三章 用户需求书</w:t>
      </w:r>
    </w:p>
    <w:p w14:paraId="6DB84008">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一、项目基本信息</w:t>
      </w:r>
    </w:p>
    <w:tbl>
      <w:tblPr>
        <w:tblStyle w:val="11"/>
        <w:tblW w:w="5000" w:type="pct"/>
        <w:jc w:val="center"/>
        <w:tblLayout w:type="fixed"/>
        <w:tblCellMar>
          <w:top w:w="15" w:type="dxa"/>
          <w:left w:w="15" w:type="dxa"/>
          <w:bottom w:w="15" w:type="dxa"/>
          <w:right w:w="15" w:type="dxa"/>
        </w:tblCellMar>
      </w:tblPr>
      <w:tblGrid>
        <w:gridCol w:w="690"/>
        <w:gridCol w:w="2614"/>
        <w:gridCol w:w="2821"/>
        <w:gridCol w:w="2545"/>
      </w:tblGrid>
      <w:tr w14:paraId="270EA264">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vAlign w:val="center"/>
          </w:tcPr>
          <w:p w14:paraId="0B3B400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vAlign w:val="center"/>
          </w:tcPr>
          <w:p w14:paraId="4EC2E8F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vAlign w:val="center"/>
          </w:tcPr>
          <w:p w14:paraId="060A0564">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vAlign w:val="center"/>
          </w:tcPr>
          <w:p w14:paraId="1429F4E1">
            <w:pPr>
              <w:widowControl w:val="0"/>
              <w:jc w:val="center"/>
              <w:rPr>
                <w:rFonts w:ascii="Calibri" w:hAnsi="Calibri" w:eastAsia="宋体"/>
                <w:kern w:val="2"/>
                <w:sz w:val="21"/>
                <w:szCs w:val="22"/>
                <w:lang w:eastAsia="zh-CN"/>
              </w:rPr>
            </w:pPr>
            <w:r>
              <w:rPr>
                <w:rFonts w:hint="eastAsia" w:ascii="宋体" w:hAnsi="宋体" w:eastAsia="宋体" w:cstheme="minorBidi"/>
                <w:kern w:val="2"/>
                <w:lang w:eastAsia="zh-CN"/>
              </w:rPr>
              <w:t>财政预算限额（元）</w:t>
            </w:r>
          </w:p>
        </w:tc>
      </w:tr>
      <w:tr w14:paraId="78F92E97">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84A7A08">
            <w:pPr>
              <w:widowControl w:val="0"/>
              <w:jc w:val="center"/>
              <w:rPr>
                <w:rFonts w:ascii="宋体" w:hAnsi="宋体" w:eastAsia="宋体"/>
                <w:kern w:val="2"/>
                <w:lang w:eastAsia="zh-CN"/>
              </w:rPr>
            </w:pPr>
            <w:r>
              <w:rPr>
                <w:rFonts w:hint="eastAsia" w:ascii="宋体" w:hAnsi="宋体" w:eastAsia="宋体" w:cstheme="minorBidi"/>
                <w:kern w:val="2"/>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102AA90D">
            <w:pPr>
              <w:widowControl w:val="0"/>
              <w:jc w:val="center"/>
              <w:rPr>
                <w:rFonts w:hint="default" w:ascii="宋体" w:hAnsi="宋体" w:eastAsia="宋体"/>
                <w:kern w:val="2"/>
                <w:lang w:val="en-US" w:eastAsia="zh-CN"/>
              </w:rPr>
            </w:pPr>
            <w:r>
              <w:rPr>
                <w:rFonts w:hint="eastAsia" w:ascii="宋体" w:hAnsi="宋体" w:eastAsia="宋体" w:cstheme="minorBidi"/>
                <w:kern w:val="2"/>
                <w:lang w:eastAsia="zh-CN"/>
              </w:rPr>
              <w:t>LHAZXCG-2025-00096</w:t>
            </w:r>
          </w:p>
        </w:tc>
        <w:tc>
          <w:tcPr>
            <w:tcW w:w="2906" w:type="dxa"/>
            <w:tcBorders>
              <w:top w:val="single" w:color="000000" w:sz="4" w:space="0"/>
              <w:left w:val="single" w:color="000000" w:sz="4" w:space="0"/>
              <w:right w:val="single" w:color="000000" w:sz="4" w:space="0"/>
            </w:tcBorders>
            <w:vAlign w:val="center"/>
          </w:tcPr>
          <w:p w14:paraId="200B3DE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深圳市龙华区行知小学午休课桌椅采购</w:t>
            </w:r>
          </w:p>
        </w:tc>
        <w:tc>
          <w:tcPr>
            <w:tcW w:w="2622" w:type="dxa"/>
            <w:vMerge w:val="restart"/>
            <w:tcBorders>
              <w:top w:val="single" w:color="000000" w:sz="4" w:space="0"/>
              <w:left w:val="single" w:color="000000" w:sz="4" w:space="0"/>
              <w:right w:val="single" w:color="000000" w:sz="4" w:space="0"/>
            </w:tcBorders>
            <w:vAlign w:val="center"/>
          </w:tcPr>
          <w:p w14:paraId="1EB691A8">
            <w:pPr>
              <w:widowControl w:val="0"/>
              <w:jc w:val="center"/>
              <w:rPr>
                <w:rFonts w:hint="default" w:ascii="宋体" w:hAnsi="宋体" w:eastAsia="宋体"/>
                <w:kern w:val="2"/>
                <w:lang w:val="en-US" w:eastAsia="zh-CN"/>
              </w:rPr>
            </w:pPr>
            <w:r>
              <w:rPr>
                <w:rFonts w:hint="eastAsia" w:ascii="宋体" w:hAnsi="宋体" w:eastAsia="宋体" w:cstheme="minorBidi"/>
                <w:kern w:val="2"/>
                <w:lang w:val="en-US" w:eastAsia="zh-CN"/>
              </w:rPr>
              <w:t>400000</w:t>
            </w:r>
          </w:p>
        </w:tc>
      </w:tr>
      <w:tr w14:paraId="51445059">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18767C1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合计（元）</w:t>
            </w:r>
          </w:p>
        </w:tc>
        <w:tc>
          <w:tcPr>
            <w:tcW w:w="2622" w:type="dxa"/>
            <w:vMerge w:val="continue"/>
            <w:tcBorders>
              <w:left w:val="single" w:color="000000" w:sz="4" w:space="0"/>
              <w:bottom w:val="single" w:color="auto" w:sz="4" w:space="0"/>
              <w:right w:val="single" w:color="000000" w:sz="4" w:space="0"/>
            </w:tcBorders>
            <w:vAlign w:val="center"/>
          </w:tcPr>
          <w:p w14:paraId="0B9C7F76">
            <w:pPr>
              <w:widowControl w:val="0"/>
              <w:jc w:val="center"/>
              <w:rPr>
                <w:rFonts w:ascii="宋体" w:hAnsi="宋体" w:eastAsia="宋体"/>
                <w:kern w:val="2"/>
                <w:lang w:eastAsia="zh-CN"/>
              </w:rPr>
            </w:pPr>
          </w:p>
        </w:tc>
      </w:tr>
    </w:tbl>
    <w:p w14:paraId="7A9D4851">
      <w:pPr>
        <w:widowControl w:val="0"/>
        <w:jc w:val="both"/>
        <w:rPr>
          <w:rFonts w:ascii="Calibri" w:hAnsi="Calibri" w:eastAsia="宋体"/>
          <w:kern w:val="2"/>
          <w:lang w:eastAsia="zh-CN"/>
        </w:rPr>
      </w:pPr>
      <w:r>
        <w:rPr>
          <w:rFonts w:hint="eastAsia" w:ascii="Arial" w:hAnsi="Arial" w:eastAsia="宋体"/>
          <w:b/>
          <w:color w:val="FF0000"/>
          <w:kern w:val="2"/>
          <w:lang w:eastAsia="zh-CN"/>
        </w:rPr>
        <w:t>本项目控制金额为人民币</w:t>
      </w:r>
      <w:r>
        <w:rPr>
          <w:rFonts w:hint="eastAsia" w:ascii="Arial" w:hAnsi="Arial" w:eastAsia="宋体"/>
          <w:b/>
          <w:color w:val="FF0000"/>
          <w:kern w:val="2"/>
          <w:lang w:val="en-US" w:eastAsia="zh-CN"/>
        </w:rPr>
        <w:t>400000</w:t>
      </w:r>
      <w:r>
        <w:rPr>
          <w:rFonts w:hint="eastAsia" w:ascii="Arial" w:hAnsi="Arial" w:eastAsia="宋体"/>
          <w:b/>
          <w:color w:val="FF0000"/>
          <w:kern w:val="2"/>
          <w:lang w:eastAsia="zh-CN"/>
        </w:rPr>
        <w:t>元，投标报价超出控制金额将作投标无效处理。</w:t>
      </w:r>
    </w:p>
    <w:p w14:paraId="3310D199">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二、</w:t>
      </w:r>
      <w:r>
        <w:rPr>
          <w:rFonts w:hint="eastAsia" w:ascii="Arial" w:hAnsi="Arial" w:eastAsia="宋体"/>
          <w:b/>
          <w:color w:val="FF0000"/>
          <w:kern w:val="2"/>
          <w:sz w:val="32"/>
          <w:szCs w:val="32"/>
          <w:lang w:eastAsia="zh-CN"/>
        </w:rPr>
        <w:t>★</w:t>
      </w:r>
      <w:r>
        <w:rPr>
          <w:rFonts w:hint="eastAsia" w:ascii="Arial" w:hAnsi="Arial" w:eastAsia="宋体"/>
          <w:b/>
          <w:kern w:val="2"/>
          <w:sz w:val="32"/>
          <w:szCs w:val="32"/>
          <w:lang w:eastAsia="zh-CN"/>
        </w:rPr>
        <w:t>货物需求明细</w:t>
      </w:r>
    </w:p>
    <w:p w14:paraId="67D6F09B">
      <w:pPr>
        <w:widowControl w:val="0"/>
        <w:jc w:val="both"/>
        <w:rPr>
          <w:rFonts w:ascii="Calibri" w:hAnsi="Calibri" w:eastAsia="宋体"/>
          <w:kern w:val="2"/>
          <w:sz w:val="21"/>
          <w:szCs w:val="22"/>
          <w:lang w:eastAsia="zh-CN"/>
        </w:rPr>
      </w:pPr>
      <w:r>
        <w:rPr>
          <w:rFonts w:hint="eastAsia" w:ascii="宋体" w:hAnsi="宋体" w:eastAsia="宋体" w:cstheme="minorBidi"/>
          <w:b/>
          <w:color w:val="FF0000"/>
          <w:kern w:val="2"/>
          <w:sz w:val="32"/>
          <w:szCs w:val="32"/>
          <w:lang w:eastAsia="zh-CN"/>
        </w:rPr>
        <w:t>本项目核心产品为：</w:t>
      </w:r>
      <w:r>
        <w:rPr>
          <w:rFonts w:hint="eastAsia" w:ascii="宋体" w:hAnsi="宋体" w:eastAsia="宋体" w:cstheme="minorBidi"/>
          <w:b/>
          <w:color w:val="FF0000"/>
          <w:kern w:val="2"/>
          <w:sz w:val="32"/>
          <w:szCs w:val="32"/>
          <w:u w:val="single"/>
          <w:lang w:eastAsia="zh-CN"/>
        </w:rPr>
        <w:t xml:space="preserve"> 学生午休课桌椅</w:t>
      </w:r>
      <w:r>
        <w:rPr>
          <w:rFonts w:hint="eastAsia" w:ascii="宋体" w:hAnsi="宋体" w:eastAsia="宋体" w:cstheme="minorBidi"/>
          <w:b/>
          <w:color w:val="FF0000"/>
          <w:kern w:val="2"/>
          <w:sz w:val="32"/>
          <w:szCs w:val="32"/>
          <w:u w:val="single"/>
          <w:lang w:val="en-US" w:eastAsia="zh-CN"/>
        </w:rPr>
        <w:t xml:space="preserve"> </w:t>
      </w:r>
      <w:r>
        <w:rPr>
          <w:rFonts w:hint="eastAsia" w:ascii="宋体" w:hAnsi="宋体" w:eastAsia="宋体" w:cstheme="minorBidi"/>
          <w:b/>
          <w:color w:val="FF0000"/>
          <w:kern w:val="2"/>
          <w:sz w:val="32"/>
          <w:szCs w:val="32"/>
          <w:u w:val="single"/>
          <w:lang w:eastAsia="zh-CN"/>
        </w:rPr>
        <w:t xml:space="preserve"> </w:t>
      </w:r>
    </w:p>
    <w:p w14:paraId="67167F3C">
      <w:pPr>
        <w:widowControl w:val="0"/>
        <w:jc w:val="both"/>
        <w:rPr>
          <w:rFonts w:hint="eastAsia" w:ascii="Calibri" w:hAnsi="Calibri" w:eastAsia="宋体" w:cstheme="minorBidi"/>
          <w:color w:val="FF0000"/>
          <w:kern w:val="2"/>
          <w:sz w:val="21"/>
          <w:szCs w:val="22"/>
          <w:lang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1"/>
        <w:gridCol w:w="1414"/>
        <w:gridCol w:w="576"/>
        <w:gridCol w:w="473"/>
        <w:gridCol w:w="744"/>
        <w:gridCol w:w="1263"/>
        <w:gridCol w:w="1056"/>
        <w:gridCol w:w="838"/>
        <w:gridCol w:w="817"/>
        <w:gridCol w:w="1124"/>
      </w:tblGrid>
      <w:tr w14:paraId="6F1F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BF4E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D030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货物名称</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B8AA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907D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936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单价限额（元）</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9A6A1">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备注</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8BDC7">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是否专门面向中小企业</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6D5FD">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标的所属行业</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93848">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财政预算限额（元）</w:t>
            </w:r>
          </w:p>
        </w:tc>
      </w:tr>
      <w:tr w14:paraId="6D3F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A6481">
            <w:pPr>
              <w:jc w:val="center"/>
              <w:rPr>
                <w:rFonts w:hint="eastAsia" w:ascii="宋体" w:hAnsi="宋体" w:eastAsia="宋体" w:cs="宋体"/>
                <w:b/>
                <w:bCs/>
                <w:i w:val="0"/>
                <w:iCs w:val="0"/>
                <w:color w:val="000000"/>
                <w:sz w:val="21"/>
                <w:szCs w:val="21"/>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A302D">
            <w:pPr>
              <w:jc w:val="center"/>
              <w:rPr>
                <w:rFonts w:hint="eastAsia" w:ascii="宋体" w:hAnsi="宋体" w:eastAsia="宋体" w:cs="宋体"/>
                <w:b/>
                <w:bCs/>
                <w:i w:val="0"/>
                <w:iCs w:val="0"/>
                <w:color w:val="000000"/>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FBD85">
            <w:pPr>
              <w:jc w:val="center"/>
              <w:rPr>
                <w:rFonts w:hint="eastAsia" w:ascii="宋体" w:hAnsi="宋体" w:eastAsia="宋体" w:cs="宋体"/>
                <w:b/>
                <w:bCs/>
                <w:i w:val="0"/>
                <w:iCs w:val="0"/>
                <w:color w:val="000000"/>
                <w:sz w:val="21"/>
                <w:szCs w:val="21"/>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C208C">
            <w:pPr>
              <w:jc w:val="center"/>
              <w:rPr>
                <w:rFonts w:hint="eastAsia" w:ascii="宋体" w:hAnsi="宋体" w:eastAsia="宋体" w:cs="宋体"/>
                <w:b/>
                <w:bCs/>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A06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C6B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单项总额（单价乘以数量）</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2E9C6">
            <w:pPr>
              <w:jc w:val="center"/>
              <w:rPr>
                <w:rFonts w:hint="eastAsia" w:ascii="宋体" w:hAnsi="宋体" w:eastAsia="宋体" w:cs="宋体"/>
                <w:b/>
                <w:bCs/>
                <w:i w:val="0"/>
                <w:iCs w:val="0"/>
                <w:color w:val="FF0000"/>
                <w:sz w:val="21"/>
                <w:szCs w:val="21"/>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38549">
            <w:pPr>
              <w:jc w:val="center"/>
              <w:rPr>
                <w:rFonts w:hint="eastAsia" w:ascii="宋体" w:hAnsi="宋体" w:eastAsia="宋体" w:cs="宋体"/>
                <w:b/>
                <w:bCs/>
                <w:i w:val="0"/>
                <w:iCs w:val="0"/>
                <w:color w:val="FF0000"/>
                <w:sz w:val="21"/>
                <w:szCs w:val="21"/>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077BC">
            <w:pPr>
              <w:jc w:val="center"/>
              <w:rPr>
                <w:rFonts w:hint="eastAsia" w:ascii="宋体" w:hAnsi="宋体" w:eastAsia="宋体" w:cs="宋体"/>
                <w:b/>
                <w:bCs/>
                <w:i w:val="0"/>
                <w:iCs w:val="0"/>
                <w:color w:val="FF0000"/>
                <w:sz w:val="21"/>
                <w:szCs w:val="21"/>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B07D8">
            <w:pPr>
              <w:jc w:val="center"/>
              <w:rPr>
                <w:rFonts w:hint="eastAsia" w:ascii="宋体" w:hAnsi="宋体" w:eastAsia="宋体" w:cs="宋体"/>
                <w:b/>
                <w:bCs/>
                <w:i w:val="0"/>
                <w:iCs w:val="0"/>
                <w:color w:val="FF0000"/>
                <w:sz w:val="21"/>
                <w:szCs w:val="21"/>
                <w:u w:val="none"/>
              </w:rPr>
            </w:pPr>
          </w:p>
        </w:tc>
      </w:tr>
      <w:tr w14:paraId="7B45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58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BB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学生午休课桌椅（3号）</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83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185</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F1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3B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6F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148000</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EEAF">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拒绝进口</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443D">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是</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DFFD">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工业</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901D">
            <w:pPr>
              <w:keepNext w:val="0"/>
              <w:keepLines w:val="0"/>
              <w:widowControl/>
              <w:suppressLineNumbers w:val="0"/>
              <w:jc w:val="center"/>
              <w:textAlignment w:val="center"/>
              <w:rPr>
                <w:rFonts w:hint="default" w:ascii="宋体" w:hAnsi="宋体" w:eastAsia="宋体" w:cs="宋体"/>
                <w:i w:val="0"/>
                <w:iCs w:val="0"/>
                <w:color w:val="FF0000"/>
                <w:sz w:val="21"/>
                <w:szCs w:val="21"/>
                <w:u w:val="none"/>
                <w:lang w:val="en-US"/>
              </w:rPr>
            </w:pPr>
            <w:r>
              <w:rPr>
                <w:rFonts w:hint="eastAsia" w:ascii="宋体" w:hAnsi="宋体" w:eastAsia="宋体" w:cs="宋体"/>
                <w:i w:val="0"/>
                <w:iCs w:val="0"/>
                <w:color w:val="FF0000"/>
                <w:kern w:val="0"/>
                <w:sz w:val="21"/>
                <w:szCs w:val="21"/>
                <w:u w:val="none"/>
                <w:lang w:val="en-US" w:eastAsia="zh-CN" w:bidi="ar"/>
              </w:rPr>
              <w:t>400000</w:t>
            </w:r>
          </w:p>
        </w:tc>
      </w:tr>
      <w:tr w14:paraId="6219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4D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2F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学生午休课桌椅（4号）</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D1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60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5A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88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208000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2BC3">
            <w:pPr>
              <w:jc w:val="center"/>
              <w:rPr>
                <w:rFonts w:hint="eastAsia" w:ascii="宋体" w:hAnsi="宋体" w:eastAsia="宋体" w:cs="宋体"/>
                <w:i w:val="0"/>
                <w:iCs w:val="0"/>
                <w:color w:val="000000"/>
                <w:sz w:val="21"/>
                <w:szCs w:val="21"/>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467C">
            <w:pPr>
              <w:jc w:val="center"/>
              <w:rPr>
                <w:rFonts w:hint="eastAsia" w:ascii="宋体" w:hAnsi="宋体" w:eastAsia="宋体" w:cs="宋体"/>
                <w:i w:val="0"/>
                <w:iCs w:val="0"/>
                <w:color w:val="000000"/>
                <w:sz w:val="21"/>
                <w:szCs w:val="21"/>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E029">
            <w:pPr>
              <w:jc w:val="center"/>
              <w:rPr>
                <w:rFonts w:hint="eastAsia" w:ascii="宋体" w:hAnsi="宋体" w:eastAsia="宋体" w:cs="宋体"/>
                <w:i w:val="0"/>
                <w:iCs w:val="0"/>
                <w:color w:val="000000"/>
                <w:sz w:val="21"/>
                <w:szCs w:val="21"/>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196F">
            <w:pPr>
              <w:jc w:val="center"/>
              <w:rPr>
                <w:rFonts w:hint="eastAsia" w:ascii="宋体" w:hAnsi="宋体" w:eastAsia="宋体" w:cs="宋体"/>
                <w:i w:val="0"/>
                <w:iCs w:val="0"/>
                <w:color w:val="000000"/>
                <w:sz w:val="21"/>
                <w:szCs w:val="21"/>
                <w:u w:val="none"/>
              </w:rPr>
            </w:pPr>
          </w:p>
        </w:tc>
      </w:tr>
      <w:tr w14:paraId="1332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77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DDA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学生午休课桌椅（5号）</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B6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55</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84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12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0D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44000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EE06">
            <w:pPr>
              <w:jc w:val="center"/>
              <w:rPr>
                <w:rFonts w:hint="eastAsia" w:ascii="宋体" w:hAnsi="宋体" w:eastAsia="宋体" w:cs="宋体"/>
                <w:i w:val="0"/>
                <w:iCs w:val="0"/>
                <w:color w:val="000000"/>
                <w:sz w:val="21"/>
                <w:szCs w:val="21"/>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871A">
            <w:pPr>
              <w:jc w:val="center"/>
              <w:rPr>
                <w:rFonts w:hint="eastAsia" w:ascii="宋体" w:hAnsi="宋体" w:eastAsia="宋体" w:cs="宋体"/>
                <w:i w:val="0"/>
                <w:iCs w:val="0"/>
                <w:color w:val="000000"/>
                <w:sz w:val="21"/>
                <w:szCs w:val="21"/>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CE58">
            <w:pPr>
              <w:jc w:val="center"/>
              <w:rPr>
                <w:rFonts w:hint="eastAsia" w:ascii="宋体" w:hAnsi="宋体" w:eastAsia="宋体" w:cs="宋体"/>
                <w:i w:val="0"/>
                <w:iCs w:val="0"/>
                <w:color w:val="000000"/>
                <w:sz w:val="21"/>
                <w:szCs w:val="21"/>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C6AE">
            <w:pPr>
              <w:jc w:val="center"/>
              <w:rPr>
                <w:rFonts w:hint="eastAsia" w:ascii="宋体" w:hAnsi="宋体" w:eastAsia="宋体" w:cs="宋体"/>
                <w:i w:val="0"/>
                <w:iCs w:val="0"/>
                <w:color w:val="000000"/>
                <w:sz w:val="21"/>
                <w:szCs w:val="21"/>
                <w:u w:val="none"/>
              </w:rPr>
            </w:pPr>
          </w:p>
        </w:tc>
      </w:tr>
      <w:tr w14:paraId="4410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2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E7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B47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400000</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1161">
            <w:pPr>
              <w:jc w:val="center"/>
              <w:rPr>
                <w:rFonts w:hint="default" w:ascii="Times New Roman" w:hAnsi="Times New Roman" w:eastAsia="宋体" w:cs="Times New Roman"/>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3592">
            <w:pPr>
              <w:jc w:val="center"/>
              <w:rPr>
                <w:rFonts w:hint="default" w:ascii="Times New Roman" w:hAnsi="Times New Roman" w:eastAsia="宋体" w:cs="Times New Roman"/>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C9FE">
            <w:pPr>
              <w:jc w:val="center"/>
              <w:rPr>
                <w:rFonts w:hint="default" w:ascii="Times New Roman" w:hAnsi="Times New Roman" w:eastAsia="宋体" w:cs="Times New Roman"/>
                <w:i w:val="0"/>
                <w:iCs w:val="0"/>
                <w:color w:val="000000"/>
                <w:sz w:val="20"/>
                <w:szCs w:val="20"/>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08BD">
            <w:pPr>
              <w:rPr>
                <w:rFonts w:hint="eastAsia" w:ascii="宋体" w:hAnsi="宋体" w:eastAsia="宋体" w:cs="宋体"/>
                <w:i w:val="0"/>
                <w:iCs w:val="0"/>
                <w:color w:val="000000"/>
                <w:sz w:val="21"/>
                <w:szCs w:val="21"/>
                <w:u w:val="none"/>
              </w:rPr>
            </w:pPr>
          </w:p>
        </w:tc>
      </w:tr>
    </w:tbl>
    <w:p w14:paraId="0527D551">
      <w:pPr>
        <w:widowControl w:val="0"/>
        <w:jc w:val="both"/>
        <w:rPr>
          <w:rFonts w:hint="eastAsia" w:ascii="Calibri" w:hAnsi="Calibri" w:eastAsia="宋体" w:cstheme="minorBidi"/>
          <w:color w:val="FF0000"/>
          <w:kern w:val="2"/>
          <w:sz w:val="21"/>
          <w:szCs w:val="22"/>
          <w:lang w:eastAsia="zh-CN"/>
        </w:rPr>
      </w:pPr>
    </w:p>
    <w:p w14:paraId="155E2DDC">
      <w:pPr>
        <w:widowControl w:val="0"/>
        <w:jc w:val="both"/>
        <w:rPr>
          <w:rFonts w:hint="eastAsia" w:ascii="Calibri" w:hAnsi="Calibri" w:eastAsia="宋体" w:cstheme="minorBidi"/>
          <w:color w:val="FF0000"/>
          <w:kern w:val="2"/>
          <w:sz w:val="21"/>
          <w:szCs w:val="22"/>
          <w:lang w:eastAsia="zh-CN"/>
        </w:rPr>
      </w:pPr>
    </w:p>
    <w:p w14:paraId="3E5C5815">
      <w:pPr>
        <w:widowControl w:val="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备注：</w:t>
      </w:r>
    </w:p>
    <w:p w14:paraId="5201AA33">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1、“备注”栏注明有“接受进口”或“允许进口”的产品允许投标人选用进口产品参与投标，但不排斥国内产品投标；未注明“接受进口”或“允许进口”的产品均不接受进口产品投标。</w:t>
      </w:r>
    </w:p>
    <w:p w14:paraId="2E50C5A1">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3B64124F">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3、如注明有单价控制金额的产品，投标人对该产品的报价不得超过控制金额，否则将作投标无效处理。</w:t>
      </w:r>
    </w:p>
    <w:p w14:paraId="4604D634">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4、根据《政府采购货物和服务招标投标管理办法》（财政部令第87号）第三十一条规定，单一产品项目或非单一产品项目中的核心产品均应明确品牌，投标人未填报品牌的将作投标无效处理。</w:t>
      </w:r>
    </w:p>
    <w:p w14:paraId="3F98E79A">
      <w:pPr>
        <w:keepNext/>
        <w:keepLines/>
        <w:widowControl w:val="0"/>
        <w:spacing w:before="260" w:after="260" w:line="416" w:lineRule="auto"/>
        <w:jc w:val="center"/>
        <w:outlineLvl w:val="1"/>
        <w:rPr>
          <w:rFonts w:ascii="Cambria" w:hAnsi="Cambria" w:eastAsia="宋体"/>
          <w:b/>
          <w:bCs/>
          <w:kern w:val="2"/>
          <w:sz w:val="32"/>
          <w:szCs w:val="32"/>
          <w:lang w:eastAsia="zh-CN"/>
        </w:rPr>
      </w:pPr>
      <w:bookmarkStart w:id="11" w:name="_Toc128884461"/>
      <w:r>
        <w:rPr>
          <w:rFonts w:hint="eastAsia" w:ascii="Cambria" w:hAnsi="Cambria" w:eastAsia="宋体" w:cstheme="majorBidi"/>
          <w:b/>
          <w:bCs/>
          <w:kern w:val="2"/>
          <w:sz w:val="32"/>
          <w:szCs w:val="32"/>
          <w:lang w:eastAsia="zh-CN"/>
        </w:rPr>
        <w:t>三、实质性条款</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093"/>
      </w:tblGrid>
      <w:tr w14:paraId="374A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3" w:type="dxa"/>
            <w:vAlign w:val="center"/>
          </w:tcPr>
          <w:p w14:paraId="7049164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8093" w:type="dxa"/>
            <w:vAlign w:val="center"/>
          </w:tcPr>
          <w:p w14:paraId="58E7B79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实质性条款具体内容</w:t>
            </w:r>
          </w:p>
        </w:tc>
      </w:tr>
      <w:tr w14:paraId="1AF1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14:paraId="784FF72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8093" w:type="dxa"/>
          </w:tcPr>
          <w:p w14:paraId="57B5697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本项目招标文件中所有带★号条款内容</w:t>
            </w:r>
          </w:p>
        </w:tc>
      </w:tr>
      <w:tr w14:paraId="11F8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14:paraId="22490748">
            <w:pPr>
              <w:widowControl w:val="0"/>
              <w:jc w:val="center"/>
              <w:rPr>
                <w:rFonts w:hint="default" w:ascii="Calibri" w:hAnsi="Calibri" w:eastAsia="宋体" w:cstheme="minorBidi"/>
                <w:kern w:val="2"/>
                <w:sz w:val="21"/>
                <w:szCs w:val="22"/>
                <w:lang w:val="en-US" w:eastAsia="zh-CN"/>
              </w:rPr>
            </w:pPr>
            <w:r>
              <w:rPr>
                <w:rFonts w:hint="eastAsia" w:ascii="Calibri" w:hAnsi="Calibri" w:eastAsia="宋体" w:cstheme="minorBidi"/>
                <w:kern w:val="2"/>
                <w:sz w:val="21"/>
                <w:szCs w:val="22"/>
                <w:lang w:val="en-US" w:eastAsia="zh-CN"/>
              </w:rPr>
              <w:t>2</w:t>
            </w:r>
          </w:p>
        </w:tc>
        <w:tc>
          <w:tcPr>
            <w:tcW w:w="8093" w:type="dxa"/>
          </w:tcPr>
          <w:p w14:paraId="67B26C67">
            <w:pPr>
              <w:widowControl w:val="0"/>
              <w:jc w:val="both"/>
              <w:rPr>
                <w:rFonts w:hint="eastAsia" w:ascii="Calibri" w:hAnsi="Calibri" w:eastAsia="宋体" w:cstheme="minorBidi"/>
                <w:kern w:val="2"/>
                <w:sz w:val="21"/>
                <w:szCs w:val="22"/>
                <w:lang w:eastAsia="zh-CN"/>
              </w:rPr>
            </w:pPr>
            <w:r>
              <w:rPr>
                <w:rFonts w:hint="eastAsia" w:ascii="Calibri" w:hAnsi="Calibri" w:eastAsia="宋体" w:cstheme="minorBidi"/>
                <w:kern w:val="2"/>
                <w:sz w:val="21"/>
                <w:szCs w:val="22"/>
                <w:lang w:eastAsia="zh-CN"/>
              </w:rPr>
              <w:t>所投产品符合检测依据：GB/T 3976-2014《学校课桌椅功能尺寸及技术要求》、QB/T 4071-2021《课桌椅》，检测参数至少包含本项目型号</w:t>
            </w:r>
            <w:r>
              <w:rPr>
                <w:rFonts w:hint="eastAsia" w:ascii="Calibri" w:hAnsi="Calibri" w:eastAsia="宋体" w:cstheme="minorBidi"/>
                <w:kern w:val="2"/>
                <w:sz w:val="21"/>
                <w:szCs w:val="22"/>
                <w:lang w:val="en-US" w:eastAsia="zh-CN"/>
              </w:rPr>
              <w:t>3</w:t>
            </w:r>
            <w:r>
              <w:rPr>
                <w:rFonts w:hint="eastAsia" w:ascii="Calibri" w:hAnsi="Calibri" w:eastAsia="宋体" w:cstheme="minorBidi"/>
                <w:kern w:val="2"/>
                <w:sz w:val="21"/>
                <w:szCs w:val="22"/>
                <w:lang w:eastAsia="zh-CN"/>
              </w:rPr>
              <w:t>号、</w:t>
            </w:r>
            <w:r>
              <w:rPr>
                <w:rFonts w:hint="eastAsia" w:ascii="Calibri" w:hAnsi="Calibri" w:eastAsia="宋体" w:cstheme="minorBidi"/>
                <w:kern w:val="2"/>
                <w:sz w:val="21"/>
                <w:szCs w:val="22"/>
                <w:lang w:val="en-US" w:eastAsia="zh-CN"/>
              </w:rPr>
              <w:t>4</w:t>
            </w:r>
            <w:r>
              <w:rPr>
                <w:rFonts w:hint="eastAsia" w:ascii="Calibri" w:hAnsi="Calibri" w:eastAsia="宋体" w:cstheme="minorBidi"/>
                <w:kern w:val="2"/>
                <w:sz w:val="21"/>
                <w:szCs w:val="22"/>
                <w:lang w:eastAsia="zh-CN"/>
              </w:rPr>
              <w:t>号和</w:t>
            </w:r>
            <w:r>
              <w:rPr>
                <w:rFonts w:hint="eastAsia" w:ascii="Calibri" w:hAnsi="Calibri" w:eastAsia="宋体" w:cstheme="minorBidi"/>
                <w:kern w:val="2"/>
                <w:sz w:val="21"/>
                <w:szCs w:val="22"/>
                <w:lang w:val="en-US" w:eastAsia="zh-CN"/>
              </w:rPr>
              <w:t>5</w:t>
            </w:r>
            <w:r>
              <w:rPr>
                <w:rFonts w:hint="eastAsia" w:ascii="Calibri" w:hAnsi="Calibri" w:eastAsia="宋体" w:cstheme="minorBidi"/>
                <w:kern w:val="2"/>
                <w:sz w:val="21"/>
                <w:szCs w:val="22"/>
                <w:lang w:eastAsia="zh-CN"/>
              </w:rPr>
              <w:t>号课桌椅要求的全部内容，检测结果符合标准要求。（提供第三方检测机构出具带有CMA标志的符合上述检测依据和检测参数要求的检测报告扫描件，原件备查。或在投标时出具《课桌椅标准承诺书》进行承诺（格式自拟），承诺中标后提供所投产品的符合上述要求的检测报告。）</w:t>
            </w:r>
          </w:p>
        </w:tc>
      </w:tr>
      <w:bookmarkEnd w:id="11"/>
    </w:tbl>
    <w:p w14:paraId="3AC4D4E0">
      <w:pPr>
        <w:widowControl w:val="0"/>
        <w:jc w:val="both"/>
        <w:rPr>
          <w:rFonts w:ascii="Calibri" w:hAnsi="Calibri" w:eastAsia="宋体"/>
          <w:b/>
          <w:color w:val="FF0000"/>
          <w:kern w:val="2"/>
          <w:sz w:val="21"/>
          <w:szCs w:val="22"/>
          <w:lang w:eastAsia="zh-CN"/>
        </w:rPr>
      </w:pPr>
      <w:r>
        <w:rPr>
          <w:rFonts w:hint="eastAsia" w:ascii="Calibri" w:hAnsi="Calibri" w:eastAsia="宋体" w:cstheme="minorBidi"/>
          <w:b/>
          <w:color w:val="FF0000"/>
          <w:kern w:val="2"/>
          <w:sz w:val="21"/>
          <w:szCs w:val="22"/>
          <w:lang w:eastAsia="zh-CN"/>
        </w:rPr>
        <w:t>注</w:t>
      </w:r>
      <w:r>
        <w:rPr>
          <w:rFonts w:hint="eastAsia" w:ascii="Calibri" w:hAnsi="Calibri" w:eastAsia="宋体" w:cstheme="minorBidi"/>
          <w:kern w:val="2"/>
          <w:sz w:val="21"/>
          <w:szCs w:val="22"/>
          <w:lang w:eastAsia="zh-CN"/>
        </w:rPr>
        <w:t>：</w:t>
      </w:r>
      <w:r>
        <w:rPr>
          <w:rFonts w:hint="eastAsia" w:ascii="Calibri" w:hAnsi="Calibri" w:eastAsia="宋体" w:cstheme="minorBidi"/>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2DF5D45A">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Calibri" w:hAnsi="Calibri" w:eastAsia="宋体" w:cstheme="minorBidi"/>
          <w:b/>
          <w:kern w:val="2"/>
          <w:sz w:val="32"/>
          <w:szCs w:val="32"/>
          <w:lang w:eastAsia="zh-CN"/>
        </w:rPr>
        <w:t>四</w:t>
      </w:r>
      <w:r>
        <w:rPr>
          <w:rFonts w:hint="eastAsia" w:ascii="Arial" w:hAnsi="Arial" w:eastAsia="宋体"/>
          <w:b/>
          <w:bCs/>
          <w:kern w:val="2"/>
          <w:sz w:val="32"/>
          <w:szCs w:val="32"/>
          <w:lang w:eastAsia="zh-CN"/>
        </w:rPr>
        <w:t>、商务和服务条款要求</w:t>
      </w:r>
    </w:p>
    <w:p w14:paraId="0173B5CB">
      <w:pPr>
        <w:widowControl w:val="0"/>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1"/>
          <w:lang w:eastAsia="zh-CN"/>
        </w:rPr>
        <w:t>说明：</w:t>
      </w:r>
      <w:r>
        <w:rPr>
          <w:rFonts w:ascii="Calibri" w:hAnsi="Calibri" w:eastAsia="宋体" w:cstheme="minorBidi"/>
          <w:b/>
          <w:kern w:val="2"/>
          <w:sz w:val="21"/>
          <w:szCs w:val="22"/>
          <w:lang w:eastAsia="zh-CN"/>
        </w:rPr>
        <w:t>1</w:t>
      </w:r>
      <w:r>
        <w:rPr>
          <w:rFonts w:hint="eastAsia" w:ascii="Calibri" w:hAnsi="Calibri" w:eastAsia="宋体" w:cstheme="minorBidi"/>
          <w:b/>
          <w:kern w:val="2"/>
          <w:sz w:val="21"/>
          <w:szCs w:val="22"/>
          <w:lang w:eastAsia="zh-CN"/>
        </w:rPr>
        <w:t>、评分时，如对一项招标商务要求（以划分框为准）中的内容存在两处（或以上）负偏离的，在评分时只作一项负偏离扣分。</w:t>
      </w:r>
    </w:p>
    <w:p w14:paraId="536584D4">
      <w:pPr>
        <w:widowControl w:val="0"/>
        <w:numPr>
          <w:ilvl w:val="0"/>
          <w:numId w:val="2"/>
        </w:numPr>
        <w:ind w:firstLine="422" w:firstLineChars="200"/>
        <w:jc w:val="both"/>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带★号条款为不可偏离条款，不作为评分准则中的评分内容，如未响应或出现负偏离的，将作投标无效处理；带“</w:t>
      </w:r>
      <w:r>
        <w:rPr>
          <w:rFonts w:ascii="Calibri" w:hAnsi="Calibri" w:eastAsia="宋体" w:cstheme="minorBidi"/>
          <w:kern w:val="2"/>
          <w:sz w:val="21"/>
          <w:szCs w:val="22"/>
          <w:lang w:eastAsia="zh-CN"/>
        </w:rPr>
        <w:t>▲</w:t>
      </w:r>
      <w:r>
        <w:rPr>
          <w:rFonts w:hint="eastAsia" w:ascii="Calibri" w:hAnsi="Calibri" w:eastAsia="宋体" w:cstheme="minorBidi"/>
          <w:b/>
          <w:kern w:val="2"/>
          <w:sz w:val="21"/>
          <w:szCs w:val="21"/>
          <w:lang w:eastAsia="zh-CN"/>
        </w:rPr>
        <w:t>”指标项为重要参数，负偏离时依相关评分准则内容作重点扣分处理。</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787"/>
        <w:gridCol w:w="6119"/>
      </w:tblGrid>
      <w:tr w14:paraId="6E8B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9" w:type="dxa"/>
            <w:vAlign w:val="center"/>
          </w:tcPr>
          <w:p w14:paraId="1F9EDBE5">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序号</w:t>
            </w:r>
          </w:p>
        </w:tc>
        <w:tc>
          <w:tcPr>
            <w:tcW w:w="1710" w:type="dxa"/>
            <w:vAlign w:val="center"/>
          </w:tcPr>
          <w:p w14:paraId="758BF4FD">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目录</w:t>
            </w:r>
          </w:p>
        </w:tc>
        <w:tc>
          <w:tcPr>
            <w:tcW w:w="5855" w:type="dxa"/>
            <w:vAlign w:val="center"/>
          </w:tcPr>
          <w:p w14:paraId="6FC5CECC">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采购商务需求</w:t>
            </w:r>
          </w:p>
        </w:tc>
      </w:tr>
      <w:tr w14:paraId="27BD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4" w:type="dxa"/>
            <w:gridSpan w:val="3"/>
            <w:vAlign w:val="center"/>
          </w:tcPr>
          <w:p w14:paraId="6BC221D0">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（一）免费保修期内售后服务要求</w:t>
            </w:r>
          </w:p>
        </w:tc>
      </w:tr>
      <w:tr w14:paraId="173A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09" w:type="dxa"/>
            <w:vAlign w:val="center"/>
          </w:tcPr>
          <w:p w14:paraId="3518F9A4">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1</w:t>
            </w:r>
          </w:p>
        </w:tc>
        <w:tc>
          <w:tcPr>
            <w:tcW w:w="1710" w:type="dxa"/>
            <w:vAlign w:val="center"/>
          </w:tcPr>
          <w:p w14:paraId="24E57710">
            <w:pPr>
              <w:jc w:val="center"/>
              <w:rPr>
                <w:rFonts w:hint="eastAsia" w:ascii="宋体" w:hAnsi="宋体" w:eastAsia="宋体" w:cs="宋体"/>
                <w:color w:val="FF0000"/>
                <w:kern w:val="2"/>
                <w:sz w:val="21"/>
                <w:szCs w:val="21"/>
                <w:lang w:eastAsia="zh-CN"/>
              </w:rPr>
            </w:pPr>
            <w:r>
              <w:rPr>
                <w:rFonts w:hint="eastAsia" w:ascii="宋体" w:hAnsi="宋体" w:eastAsia="宋体" w:cs="宋体"/>
                <w:color w:val="auto"/>
                <w:sz w:val="21"/>
                <w:szCs w:val="21"/>
              </w:rPr>
              <w:t>免费保修期</w:t>
            </w:r>
          </w:p>
        </w:tc>
        <w:tc>
          <w:tcPr>
            <w:tcW w:w="5855" w:type="dxa"/>
            <w:vAlign w:val="top"/>
          </w:tcPr>
          <w:p w14:paraId="3824C465">
            <w:pPr>
              <w:rPr>
                <w:rFonts w:hint="eastAsia" w:ascii="宋体" w:hAnsi="宋体" w:eastAsia="宋体" w:cs="宋体"/>
                <w:b/>
                <w:color w:val="FF0000"/>
                <w:kern w:val="2"/>
                <w:sz w:val="21"/>
                <w:szCs w:val="21"/>
                <w:lang w:eastAsia="zh-CN"/>
              </w:rPr>
            </w:pPr>
            <w:r>
              <w:rPr>
                <w:rFonts w:hint="eastAsia" w:ascii="宋体" w:hAnsi="宋体" w:eastAsia="宋体" w:cs="宋体"/>
                <w:color w:val="auto"/>
                <w:sz w:val="21"/>
                <w:szCs w:val="21"/>
              </w:rPr>
              <w:t>★</w:t>
            </w:r>
            <w:r>
              <w:rPr>
                <w:rFonts w:hint="eastAsia" w:ascii="宋体" w:hAnsi="宋体" w:eastAsia="宋体" w:cs="宋体"/>
                <w:bCs/>
                <w:color w:val="auto"/>
                <w:sz w:val="21"/>
                <w:szCs w:val="21"/>
              </w:rPr>
              <w:t>货物免费保修期至少</w:t>
            </w:r>
            <w:r>
              <w:rPr>
                <w:rFonts w:hint="eastAsia" w:ascii="宋体" w:hAnsi="宋体" w:eastAsia="宋体" w:cs="宋体"/>
                <w:bCs/>
                <w:color w:val="auto"/>
                <w:sz w:val="21"/>
                <w:szCs w:val="21"/>
                <w:u w:val="single"/>
              </w:rPr>
              <w:t xml:space="preserve"> 3 </w:t>
            </w:r>
            <w:r>
              <w:rPr>
                <w:rFonts w:hint="eastAsia" w:ascii="宋体" w:hAnsi="宋体" w:eastAsia="宋体" w:cs="宋体"/>
                <w:bCs/>
                <w:color w:val="auto"/>
                <w:sz w:val="21"/>
                <w:szCs w:val="21"/>
              </w:rPr>
              <w:t>年，时间自最终验收合格并交付使用之日起计算。</w:t>
            </w:r>
          </w:p>
        </w:tc>
      </w:tr>
      <w:tr w14:paraId="6707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09" w:type="dxa"/>
            <w:vAlign w:val="center"/>
          </w:tcPr>
          <w:p w14:paraId="679D9FC5">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2</w:t>
            </w:r>
          </w:p>
        </w:tc>
        <w:tc>
          <w:tcPr>
            <w:tcW w:w="1710" w:type="dxa"/>
            <w:vAlign w:val="top"/>
          </w:tcPr>
          <w:p w14:paraId="326D6049">
            <w:pPr>
              <w:jc w:val="center"/>
              <w:rPr>
                <w:rFonts w:hint="eastAsia" w:ascii="宋体" w:hAnsi="宋体" w:eastAsia="宋体" w:cs="宋体"/>
                <w:kern w:val="2"/>
                <w:sz w:val="21"/>
                <w:szCs w:val="21"/>
                <w:lang w:eastAsia="zh-CN"/>
              </w:rPr>
            </w:pPr>
            <w:r>
              <w:rPr>
                <w:rFonts w:hint="eastAsia" w:ascii="宋体" w:hAnsi="宋体" w:eastAsia="宋体" w:cs="宋体"/>
                <w:color w:val="auto"/>
                <w:sz w:val="21"/>
                <w:szCs w:val="21"/>
              </w:rPr>
              <w:t>维修响应及故障解决时间</w:t>
            </w:r>
          </w:p>
        </w:tc>
        <w:tc>
          <w:tcPr>
            <w:tcW w:w="5855" w:type="dxa"/>
            <w:vAlign w:val="top"/>
          </w:tcPr>
          <w:p w14:paraId="36E24660">
            <w:pPr>
              <w:rPr>
                <w:rFonts w:hint="eastAsia" w:ascii="宋体" w:hAnsi="宋体" w:eastAsia="宋体" w:cs="宋体"/>
                <w:b/>
                <w:kern w:val="2"/>
                <w:sz w:val="21"/>
                <w:szCs w:val="21"/>
                <w:lang w:eastAsia="zh-CN"/>
              </w:rPr>
            </w:pPr>
            <w:r>
              <w:rPr>
                <w:rFonts w:hint="eastAsia" w:ascii="宋体" w:hAnsi="宋体" w:eastAsia="宋体" w:cs="宋体"/>
                <w:bCs/>
                <w:color w:val="auto"/>
                <w:sz w:val="21"/>
                <w:szCs w:val="21"/>
              </w:rPr>
              <w:t>投标人承诺中标后，在保修期内，一旦发生质量问题，投标人保证在接到通知24小时内赶到现场进行修理或更换。</w:t>
            </w:r>
          </w:p>
        </w:tc>
      </w:tr>
      <w:tr w14:paraId="3C7D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09" w:type="dxa"/>
            <w:vAlign w:val="center"/>
          </w:tcPr>
          <w:p w14:paraId="7ED2458F">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3</w:t>
            </w:r>
          </w:p>
        </w:tc>
        <w:tc>
          <w:tcPr>
            <w:tcW w:w="1710" w:type="dxa"/>
            <w:vAlign w:val="center"/>
          </w:tcPr>
          <w:p w14:paraId="04BF5A19">
            <w:pPr>
              <w:jc w:val="center"/>
              <w:rPr>
                <w:rFonts w:hint="eastAsia" w:ascii="宋体" w:hAnsi="宋体" w:eastAsia="宋体" w:cs="宋体"/>
                <w:b/>
                <w:kern w:val="2"/>
                <w:sz w:val="21"/>
                <w:szCs w:val="21"/>
                <w:lang w:eastAsia="zh-CN"/>
              </w:rPr>
            </w:pPr>
            <w:r>
              <w:rPr>
                <w:rFonts w:hint="eastAsia" w:ascii="宋体" w:hAnsi="宋体" w:eastAsia="宋体" w:cs="宋体"/>
                <w:color w:val="auto"/>
                <w:sz w:val="21"/>
                <w:szCs w:val="21"/>
              </w:rPr>
              <w:t>其他</w:t>
            </w:r>
          </w:p>
        </w:tc>
        <w:tc>
          <w:tcPr>
            <w:tcW w:w="5855" w:type="dxa"/>
            <w:vAlign w:val="center"/>
          </w:tcPr>
          <w:p w14:paraId="66A3F37B">
            <w:pPr>
              <w:rPr>
                <w:rFonts w:hint="eastAsia" w:ascii="宋体" w:hAnsi="宋体" w:eastAsia="宋体" w:cs="宋体"/>
                <w:b/>
                <w:kern w:val="2"/>
                <w:sz w:val="21"/>
                <w:szCs w:val="21"/>
                <w:lang w:eastAsia="zh-CN"/>
              </w:rPr>
            </w:pPr>
            <w:r>
              <w:rPr>
                <w:rFonts w:hint="eastAsia" w:ascii="宋体" w:hAnsi="宋体" w:eastAsia="宋体" w:cs="宋体"/>
                <w:bCs/>
                <w:color w:val="auto"/>
                <w:sz w:val="21"/>
                <w:szCs w:val="21"/>
              </w:rPr>
              <w:t>投标人中标后，应按其投标文件中的承诺，进行其他售后服务工作。</w:t>
            </w:r>
          </w:p>
        </w:tc>
      </w:tr>
      <w:tr w14:paraId="72FA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74" w:type="dxa"/>
            <w:gridSpan w:val="3"/>
            <w:vAlign w:val="center"/>
          </w:tcPr>
          <w:p w14:paraId="265CA74B">
            <w:pPr>
              <w:widowControl w:val="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（二）其他商务要求</w:t>
            </w:r>
          </w:p>
        </w:tc>
      </w:tr>
      <w:tr w14:paraId="058D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restart"/>
            <w:vAlign w:val="center"/>
          </w:tcPr>
          <w:p w14:paraId="63BC47E5">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1</w:t>
            </w:r>
          </w:p>
        </w:tc>
        <w:tc>
          <w:tcPr>
            <w:tcW w:w="1710" w:type="dxa"/>
            <w:vMerge w:val="restart"/>
            <w:vAlign w:val="center"/>
          </w:tcPr>
          <w:p w14:paraId="6BF40E02">
            <w:pPr>
              <w:jc w:val="center"/>
              <w:rPr>
                <w:rFonts w:hint="eastAsia" w:ascii="宋体" w:hAnsi="宋体" w:eastAsia="宋体" w:cs="宋体"/>
                <w:color w:val="FF0000"/>
                <w:kern w:val="2"/>
                <w:sz w:val="21"/>
                <w:szCs w:val="21"/>
                <w:lang w:eastAsia="zh-CN"/>
              </w:rPr>
            </w:pPr>
            <w:r>
              <w:rPr>
                <w:rFonts w:hint="eastAsia" w:ascii="宋体" w:hAnsi="宋体" w:eastAsia="宋体" w:cs="宋体"/>
                <w:color w:val="auto"/>
                <w:sz w:val="21"/>
                <w:szCs w:val="21"/>
              </w:rPr>
              <w:t>关于交货</w:t>
            </w:r>
          </w:p>
        </w:tc>
        <w:tc>
          <w:tcPr>
            <w:tcW w:w="5855" w:type="dxa"/>
            <w:vAlign w:val="top"/>
          </w:tcPr>
          <w:p w14:paraId="3A5B2836">
            <w:pPr>
              <w:spacing w:line="340" w:lineRule="exact"/>
              <w:rPr>
                <w:rFonts w:hint="eastAsia" w:ascii="宋体" w:hAnsi="宋体" w:eastAsia="宋体" w:cs="宋体"/>
                <w:b/>
                <w:color w:val="FF0000"/>
                <w:kern w:val="2"/>
                <w:sz w:val="21"/>
                <w:szCs w:val="21"/>
                <w:lang w:eastAsia="zh-CN"/>
              </w:rPr>
            </w:pPr>
            <w:r>
              <w:rPr>
                <w:rFonts w:hint="eastAsia" w:ascii="宋体" w:hAnsi="宋体" w:eastAsia="宋体" w:cs="宋体"/>
                <w:bCs/>
                <w:color w:val="auto"/>
                <w:sz w:val="21"/>
                <w:szCs w:val="21"/>
              </w:rPr>
              <w:t>1.1★签订合同后</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35</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天（日历日）内。</w:t>
            </w:r>
          </w:p>
        </w:tc>
      </w:tr>
      <w:tr w14:paraId="090C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09" w:type="dxa"/>
            <w:vMerge w:val="continue"/>
            <w:vAlign w:val="center"/>
          </w:tcPr>
          <w:p w14:paraId="0EB660BE">
            <w:pPr>
              <w:widowControl w:val="0"/>
              <w:jc w:val="center"/>
              <w:rPr>
                <w:rFonts w:ascii="Calibri" w:hAnsi="Calibri" w:eastAsia="宋体"/>
                <w:b/>
                <w:kern w:val="2"/>
                <w:sz w:val="21"/>
                <w:szCs w:val="22"/>
                <w:lang w:eastAsia="zh-CN"/>
              </w:rPr>
            </w:pPr>
          </w:p>
        </w:tc>
        <w:tc>
          <w:tcPr>
            <w:tcW w:w="1710" w:type="dxa"/>
            <w:vMerge w:val="continue"/>
            <w:vAlign w:val="center"/>
          </w:tcPr>
          <w:p w14:paraId="1B5385C1">
            <w:pPr>
              <w:jc w:val="center"/>
              <w:rPr>
                <w:rFonts w:hint="eastAsia" w:ascii="宋体" w:hAnsi="宋体" w:eastAsia="宋体" w:cs="宋体"/>
                <w:kern w:val="2"/>
                <w:sz w:val="21"/>
                <w:szCs w:val="21"/>
                <w:lang w:eastAsia="zh-CN"/>
              </w:rPr>
            </w:pPr>
          </w:p>
        </w:tc>
        <w:tc>
          <w:tcPr>
            <w:tcW w:w="5855" w:type="dxa"/>
            <w:vAlign w:val="top"/>
          </w:tcPr>
          <w:p w14:paraId="15775826">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1.2投标人中标后，必须承担设备运输、安装调试、验收检测和提供设备操作说明书、图纸、操作培训等其他类似的义务。</w:t>
            </w:r>
          </w:p>
        </w:tc>
      </w:tr>
      <w:tr w14:paraId="6C1C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restart"/>
            <w:vAlign w:val="center"/>
          </w:tcPr>
          <w:p w14:paraId="785101CE">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2</w:t>
            </w:r>
          </w:p>
        </w:tc>
        <w:tc>
          <w:tcPr>
            <w:tcW w:w="1710" w:type="dxa"/>
            <w:vMerge w:val="restart"/>
            <w:vAlign w:val="center"/>
          </w:tcPr>
          <w:p w14:paraId="412B4C26">
            <w:pPr>
              <w:jc w:val="center"/>
              <w:rPr>
                <w:rFonts w:hint="eastAsia" w:ascii="宋体" w:hAnsi="宋体" w:eastAsia="宋体" w:cs="宋体"/>
                <w:kern w:val="2"/>
                <w:sz w:val="21"/>
                <w:szCs w:val="21"/>
                <w:lang w:eastAsia="zh-CN"/>
              </w:rPr>
            </w:pPr>
            <w:r>
              <w:rPr>
                <w:rFonts w:hint="eastAsia" w:ascii="宋体" w:hAnsi="宋体" w:eastAsia="宋体" w:cs="宋体"/>
                <w:color w:val="auto"/>
                <w:sz w:val="21"/>
                <w:szCs w:val="21"/>
              </w:rPr>
              <w:t>关于验收</w:t>
            </w:r>
          </w:p>
        </w:tc>
        <w:tc>
          <w:tcPr>
            <w:tcW w:w="5855" w:type="dxa"/>
            <w:vAlign w:val="top"/>
          </w:tcPr>
          <w:p w14:paraId="16DFB93F">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2.1投标人中标后，其货物经过双方检验认可后，签署验收报告，产品保修期自验收合格之日起算，由投标人提供产品保修文件。</w:t>
            </w:r>
          </w:p>
        </w:tc>
      </w:tr>
      <w:tr w14:paraId="1644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3BB3063A">
            <w:pPr>
              <w:widowControl w:val="0"/>
              <w:jc w:val="center"/>
              <w:rPr>
                <w:rFonts w:ascii="Calibri" w:hAnsi="Calibri" w:eastAsia="宋体"/>
                <w:b/>
                <w:kern w:val="2"/>
                <w:sz w:val="21"/>
                <w:szCs w:val="22"/>
                <w:lang w:eastAsia="zh-CN"/>
              </w:rPr>
            </w:pPr>
          </w:p>
        </w:tc>
        <w:tc>
          <w:tcPr>
            <w:tcW w:w="1710" w:type="dxa"/>
            <w:vMerge w:val="continue"/>
            <w:vAlign w:val="top"/>
          </w:tcPr>
          <w:p w14:paraId="01C66A92">
            <w:pPr>
              <w:rPr>
                <w:rFonts w:hint="eastAsia" w:ascii="宋体" w:hAnsi="宋体" w:eastAsia="宋体" w:cs="宋体"/>
                <w:b/>
                <w:kern w:val="2"/>
                <w:sz w:val="21"/>
                <w:szCs w:val="21"/>
                <w:lang w:eastAsia="zh-CN"/>
              </w:rPr>
            </w:pPr>
          </w:p>
        </w:tc>
        <w:tc>
          <w:tcPr>
            <w:tcW w:w="5855" w:type="dxa"/>
            <w:vAlign w:val="top"/>
          </w:tcPr>
          <w:p w14:paraId="0D86E41F">
            <w:pPr>
              <w:spacing w:line="34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2.2投标人中标后，当满足以下条件时，采购人才向投标人签发货物验收报告：</w:t>
            </w:r>
          </w:p>
          <w:p w14:paraId="0D784AC3">
            <w:pPr>
              <w:spacing w:line="34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a、投标人已按照合同规定提供了全部产品及完整的技术资料。</w:t>
            </w:r>
          </w:p>
          <w:p w14:paraId="4E54F1EF">
            <w:pPr>
              <w:spacing w:line="34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b、货物符合采购文件技术规格书的要求，性能满足要求。</w:t>
            </w:r>
          </w:p>
          <w:p w14:paraId="668DB50B">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c、货物具备产品合格证。</w:t>
            </w:r>
          </w:p>
        </w:tc>
      </w:tr>
      <w:tr w14:paraId="6C21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restart"/>
            <w:vAlign w:val="center"/>
          </w:tcPr>
          <w:p w14:paraId="59396B85">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3</w:t>
            </w:r>
          </w:p>
        </w:tc>
        <w:tc>
          <w:tcPr>
            <w:tcW w:w="1710" w:type="dxa"/>
            <w:vMerge w:val="restart"/>
            <w:vAlign w:val="center"/>
          </w:tcPr>
          <w:p w14:paraId="23103C5D">
            <w:pPr>
              <w:jc w:val="center"/>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违约责任</w:t>
            </w:r>
          </w:p>
        </w:tc>
        <w:tc>
          <w:tcPr>
            <w:tcW w:w="5855" w:type="dxa"/>
            <w:vAlign w:val="top"/>
          </w:tcPr>
          <w:p w14:paraId="56982B38">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3.1如投标人中标后未按照投标文件中承诺的时间交货或提供服务，投标人应承担延期交货和延期服务的违约责任，并赔偿采购人因此造成的实际经济损失，采购人有权终止合同。</w:t>
            </w:r>
          </w:p>
        </w:tc>
      </w:tr>
      <w:tr w14:paraId="6DA4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6C11B52F">
            <w:pPr>
              <w:widowControl w:val="0"/>
              <w:jc w:val="center"/>
              <w:rPr>
                <w:rFonts w:ascii="Calibri" w:hAnsi="Calibri" w:eastAsia="宋体"/>
                <w:bCs/>
                <w:kern w:val="2"/>
                <w:sz w:val="21"/>
                <w:szCs w:val="22"/>
                <w:lang w:eastAsia="zh-CN"/>
              </w:rPr>
            </w:pPr>
          </w:p>
        </w:tc>
        <w:tc>
          <w:tcPr>
            <w:tcW w:w="1710" w:type="dxa"/>
            <w:vMerge w:val="continue"/>
            <w:vAlign w:val="center"/>
          </w:tcPr>
          <w:p w14:paraId="6FFB8E14">
            <w:pPr>
              <w:jc w:val="center"/>
              <w:rPr>
                <w:rFonts w:hint="eastAsia" w:ascii="宋体" w:hAnsi="宋体" w:eastAsia="宋体" w:cs="宋体"/>
                <w:bCs/>
                <w:kern w:val="2"/>
                <w:sz w:val="21"/>
                <w:szCs w:val="21"/>
                <w:lang w:eastAsia="zh-CN"/>
              </w:rPr>
            </w:pPr>
          </w:p>
        </w:tc>
        <w:tc>
          <w:tcPr>
            <w:tcW w:w="5855" w:type="dxa"/>
            <w:vAlign w:val="top"/>
          </w:tcPr>
          <w:p w14:paraId="0627914F">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3.2投标人中标后所交设备的品种、型号、规格、质量、功能、技术参数等方面不能实质性满足采购文件要求的，采购人有权拒绝收货，投标人向采购人偿付项目采购金额【</w:t>
            </w:r>
            <w:r>
              <w:rPr>
                <w:rFonts w:hint="eastAsia" w:ascii="宋体" w:hAnsi="宋体" w:eastAsia="宋体" w:cs="宋体"/>
                <w:bCs/>
                <w:color w:val="auto"/>
                <w:sz w:val="21"/>
                <w:szCs w:val="21"/>
                <w:lang w:val="en-US" w:eastAsia="zh-CN"/>
              </w:rPr>
              <w:t>20</w:t>
            </w:r>
            <w:r>
              <w:rPr>
                <w:rFonts w:hint="eastAsia" w:ascii="宋体" w:hAnsi="宋体" w:eastAsia="宋体" w:cs="宋体"/>
                <w:bCs/>
                <w:color w:val="auto"/>
                <w:sz w:val="21"/>
                <w:szCs w:val="21"/>
              </w:rPr>
              <w:t xml:space="preserve">】% 的违约金并采取更换、补足等补救措施，致使逾期交付的，还应承担逾期交付的违约责任。 </w:t>
            </w:r>
          </w:p>
        </w:tc>
      </w:tr>
      <w:tr w14:paraId="6D9A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6A1CEAD2">
            <w:pPr>
              <w:widowControl w:val="0"/>
              <w:jc w:val="center"/>
              <w:rPr>
                <w:rFonts w:ascii="Calibri" w:hAnsi="Calibri" w:eastAsia="宋体"/>
                <w:bCs/>
                <w:kern w:val="2"/>
                <w:sz w:val="21"/>
                <w:szCs w:val="22"/>
                <w:lang w:eastAsia="zh-CN"/>
              </w:rPr>
            </w:pPr>
          </w:p>
        </w:tc>
        <w:tc>
          <w:tcPr>
            <w:tcW w:w="1710" w:type="dxa"/>
            <w:vMerge w:val="continue"/>
            <w:vAlign w:val="center"/>
          </w:tcPr>
          <w:p w14:paraId="486CA3D3">
            <w:pPr>
              <w:jc w:val="center"/>
              <w:rPr>
                <w:rFonts w:hint="eastAsia" w:ascii="宋体" w:hAnsi="宋体" w:eastAsia="宋体" w:cs="宋体"/>
                <w:bCs/>
                <w:kern w:val="2"/>
                <w:sz w:val="21"/>
                <w:szCs w:val="21"/>
                <w:highlight w:val="none"/>
                <w:lang w:eastAsia="zh-CN"/>
              </w:rPr>
            </w:pPr>
          </w:p>
        </w:tc>
        <w:tc>
          <w:tcPr>
            <w:tcW w:w="5855" w:type="dxa"/>
            <w:vAlign w:val="top"/>
          </w:tcPr>
          <w:p w14:paraId="25FB30DE">
            <w:pPr>
              <w:spacing w:line="340" w:lineRule="exact"/>
              <w:rPr>
                <w:rFonts w:hint="eastAsia" w:ascii="宋体" w:hAnsi="宋体" w:eastAsia="宋体" w:cs="宋体"/>
                <w:bCs/>
                <w:kern w:val="2"/>
                <w:sz w:val="21"/>
                <w:szCs w:val="21"/>
                <w:highlight w:val="none"/>
                <w:lang w:eastAsia="zh-CN"/>
              </w:rPr>
            </w:pPr>
            <w:r>
              <w:rPr>
                <w:rFonts w:hint="eastAsia" w:ascii="宋体" w:hAnsi="宋体" w:eastAsia="宋体" w:cs="宋体"/>
                <w:bCs/>
                <w:color w:val="auto"/>
                <w:sz w:val="21"/>
                <w:szCs w:val="21"/>
                <w:highlight w:val="none"/>
              </w:rPr>
              <w:t>3.3投标人中标后不能交付设备的，投标人向采购人偿付项目采购金额【</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】%的违约金。</w:t>
            </w:r>
          </w:p>
        </w:tc>
      </w:tr>
      <w:tr w14:paraId="7183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03034504">
            <w:pPr>
              <w:widowControl w:val="0"/>
              <w:jc w:val="center"/>
              <w:rPr>
                <w:rFonts w:ascii="Calibri" w:hAnsi="Calibri" w:eastAsia="宋体"/>
                <w:bCs/>
                <w:kern w:val="2"/>
                <w:sz w:val="21"/>
                <w:szCs w:val="22"/>
                <w:lang w:eastAsia="zh-CN"/>
              </w:rPr>
            </w:pPr>
          </w:p>
        </w:tc>
        <w:tc>
          <w:tcPr>
            <w:tcW w:w="1710" w:type="dxa"/>
            <w:vMerge w:val="continue"/>
            <w:vAlign w:val="top"/>
          </w:tcPr>
          <w:p w14:paraId="076BF790">
            <w:pPr>
              <w:rPr>
                <w:rFonts w:hint="eastAsia" w:ascii="宋体" w:hAnsi="宋体" w:eastAsia="宋体" w:cs="宋体"/>
                <w:bCs/>
                <w:kern w:val="2"/>
                <w:sz w:val="21"/>
                <w:szCs w:val="21"/>
                <w:highlight w:val="none"/>
                <w:lang w:eastAsia="zh-CN"/>
              </w:rPr>
            </w:pPr>
          </w:p>
        </w:tc>
        <w:tc>
          <w:tcPr>
            <w:tcW w:w="5855" w:type="dxa"/>
            <w:vAlign w:val="top"/>
          </w:tcPr>
          <w:p w14:paraId="0137EFB5">
            <w:pPr>
              <w:spacing w:line="340" w:lineRule="exact"/>
              <w:rPr>
                <w:rFonts w:hint="eastAsia" w:ascii="宋体" w:hAnsi="宋体" w:eastAsia="宋体" w:cs="宋体"/>
                <w:bCs/>
                <w:kern w:val="2"/>
                <w:sz w:val="21"/>
                <w:szCs w:val="21"/>
                <w:highlight w:val="none"/>
                <w:lang w:eastAsia="zh-CN"/>
              </w:rPr>
            </w:pPr>
            <w:r>
              <w:rPr>
                <w:rFonts w:hint="eastAsia" w:ascii="宋体" w:hAnsi="宋体" w:eastAsia="宋体" w:cs="宋体"/>
                <w:bCs/>
                <w:color w:val="auto"/>
                <w:sz w:val="21"/>
                <w:szCs w:val="21"/>
                <w:highlight w:val="none"/>
              </w:rPr>
              <w:t>3.4投标人中标后逾期交付货物的，每逾期1天，投标人向采购人偿付项目采购金额的【5】‰的违约金。如投标人逾期交货达</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天，采购人有权解除合同。</w:t>
            </w:r>
          </w:p>
        </w:tc>
      </w:tr>
      <w:tr w14:paraId="7C73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3596DE47">
            <w:pPr>
              <w:widowControl w:val="0"/>
              <w:jc w:val="center"/>
              <w:rPr>
                <w:rFonts w:ascii="Calibri" w:hAnsi="Calibri" w:eastAsia="宋体"/>
                <w:bCs/>
                <w:kern w:val="2"/>
                <w:sz w:val="21"/>
                <w:szCs w:val="22"/>
                <w:lang w:eastAsia="zh-CN"/>
              </w:rPr>
            </w:pPr>
          </w:p>
        </w:tc>
        <w:tc>
          <w:tcPr>
            <w:tcW w:w="1710" w:type="dxa"/>
            <w:vMerge w:val="continue"/>
            <w:vAlign w:val="top"/>
          </w:tcPr>
          <w:p w14:paraId="4B8693FA">
            <w:pPr>
              <w:rPr>
                <w:rFonts w:hint="eastAsia" w:ascii="宋体" w:hAnsi="宋体" w:eastAsia="宋体" w:cs="宋体"/>
                <w:bCs/>
                <w:kern w:val="2"/>
                <w:sz w:val="21"/>
                <w:szCs w:val="21"/>
                <w:lang w:eastAsia="zh-CN"/>
              </w:rPr>
            </w:pPr>
          </w:p>
        </w:tc>
        <w:tc>
          <w:tcPr>
            <w:tcW w:w="5855" w:type="dxa"/>
            <w:vAlign w:val="top"/>
          </w:tcPr>
          <w:p w14:paraId="2F8BF00D">
            <w:pPr>
              <w:rPr>
                <w:rFonts w:hint="eastAsia" w:ascii="宋体" w:hAnsi="宋体" w:eastAsia="宋体" w:cs="宋体"/>
                <w:b/>
                <w:kern w:val="2"/>
                <w:sz w:val="21"/>
                <w:szCs w:val="21"/>
                <w:lang w:eastAsia="zh-CN"/>
              </w:rPr>
            </w:pPr>
            <w:r>
              <w:rPr>
                <w:rFonts w:hint="eastAsia" w:ascii="宋体" w:hAnsi="宋体" w:eastAsia="宋体" w:cs="宋体"/>
                <w:bCs/>
                <w:color w:val="auto"/>
                <w:sz w:val="21"/>
                <w:szCs w:val="21"/>
              </w:rPr>
              <w:t>3.5投标人中标后，在其承诺的或国家规定的质量保证期内（取两者中最长的期限），如经投标人两次维修或更换，货物仍不能达到采购文件要求及投标文件承诺的质量标准，采购人有权退货，投标人应退回全部货款并赔偿采购人因此遭受的损失。</w:t>
            </w:r>
          </w:p>
        </w:tc>
      </w:tr>
      <w:tr w14:paraId="50E9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28FA3F3B">
            <w:pPr>
              <w:widowControl w:val="0"/>
              <w:jc w:val="center"/>
              <w:rPr>
                <w:rFonts w:ascii="Calibri" w:hAnsi="Calibri" w:eastAsia="宋体"/>
                <w:bCs/>
                <w:kern w:val="2"/>
                <w:sz w:val="21"/>
                <w:szCs w:val="22"/>
                <w:lang w:eastAsia="zh-CN"/>
              </w:rPr>
            </w:pPr>
          </w:p>
        </w:tc>
        <w:tc>
          <w:tcPr>
            <w:tcW w:w="1710" w:type="dxa"/>
            <w:vMerge w:val="continue"/>
            <w:vAlign w:val="top"/>
          </w:tcPr>
          <w:p w14:paraId="044CAC8A">
            <w:pPr>
              <w:rPr>
                <w:rFonts w:hint="eastAsia" w:ascii="宋体" w:hAnsi="宋体" w:eastAsia="宋体" w:cs="宋体"/>
                <w:bCs/>
                <w:kern w:val="2"/>
                <w:sz w:val="21"/>
                <w:szCs w:val="21"/>
                <w:lang w:eastAsia="zh-CN"/>
              </w:rPr>
            </w:pPr>
          </w:p>
        </w:tc>
        <w:tc>
          <w:tcPr>
            <w:tcW w:w="5855" w:type="dxa"/>
            <w:vAlign w:val="top"/>
          </w:tcPr>
          <w:p w14:paraId="575EA919">
            <w:pPr>
              <w:rPr>
                <w:rFonts w:hint="eastAsia" w:ascii="宋体" w:hAnsi="宋体" w:eastAsia="宋体" w:cs="宋体"/>
                <w:b/>
                <w:kern w:val="2"/>
                <w:sz w:val="21"/>
                <w:szCs w:val="21"/>
                <w:lang w:eastAsia="zh-CN"/>
              </w:rPr>
            </w:pPr>
            <w:r>
              <w:rPr>
                <w:rFonts w:hint="eastAsia" w:ascii="宋体" w:hAnsi="宋体" w:eastAsia="宋体" w:cs="宋体"/>
                <w:bCs/>
                <w:color w:val="auto"/>
                <w:sz w:val="21"/>
                <w:szCs w:val="21"/>
              </w:rPr>
              <w:t>3.6投标人中标后在承担上述一项或多项违约责任后，仍应继续履行合同规定的义务（采购人解除合同的除外）。采购人未能及时追究投标人的任何一项违约责任并不表明采购人放弃追究投标人该项或其他违约责任。</w:t>
            </w:r>
          </w:p>
        </w:tc>
      </w:tr>
      <w:tr w14:paraId="26E6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Align w:val="center"/>
          </w:tcPr>
          <w:p w14:paraId="7B78BC0D">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4</w:t>
            </w:r>
          </w:p>
        </w:tc>
        <w:tc>
          <w:tcPr>
            <w:tcW w:w="1710" w:type="dxa"/>
            <w:vAlign w:val="top"/>
          </w:tcPr>
          <w:p w14:paraId="34FE0990">
            <w:pPr>
              <w:jc w:val="center"/>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其他</w:t>
            </w:r>
          </w:p>
        </w:tc>
        <w:tc>
          <w:tcPr>
            <w:tcW w:w="5855" w:type="dxa"/>
            <w:vAlign w:val="top"/>
          </w:tcPr>
          <w:p w14:paraId="57FDC843">
            <w:pPr>
              <w:rPr>
                <w:rFonts w:hint="eastAsia" w:ascii="宋体" w:hAnsi="宋体" w:eastAsia="宋体" w:cs="宋体"/>
                <w:bCs/>
                <w:kern w:val="2"/>
                <w:sz w:val="21"/>
                <w:szCs w:val="21"/>
                <w:lang w:eastAsia="zh-CN"/>
              </w:rPr>
            </w:pPr>
            <w:r>
              <w:rPr>
                <w:rFonts w:hint="eastAsia" w:ascii="宋体" w:hAnsi="宋体" w:eastAsia="宋体" w:cs="宋体"/>
                <w:bCs/>
                <w:color w:val="auto"/>
                <w:sz w:val="21"/>
                <w:szCs w:val="21"/>
                <w:lang w:val="en-US" w:eastAsia="zh-CN"/>
              </w:rPr>
              <w:t>投</w:t>
            </w:r>
            <w:r>
              <w:rPr>
                <w:rFonts w:hint="eastAsia" w:ascii="宋体" w:hAnsi="宋体" w:eastAsia="宋体" w:cs="宋体"/>
                <w:bCs/>
                <w:color w:val="auto"/>
                <w:sz w:val="21"/>
                <w:szCs w:val="21"/>
              </w:rPr>
              <w:t>标人中标后应按其投标文件中的承诺，进行其他售后服务工作。</w:t>
            </w:r>
          </w:p>
        </w:tc>
      </w:tr>
    </w:tbl>
    <w:p w14:paraId="3F3F63A0">
      <w:pPr>
        <w:widowControl w:val="0"/>
        <w:spacing w:line="360" w:lineRule="auto"/>
        <w:jc w:val="both"/>
        <w:rPr>
          <w:rFonts w:ascii="Calibri" w:hAnsi="Calibri" w:eastAsia="宋体"/>
          <w:b/>
          <w:bCs/>
          <w:kern w:val="2"/>
          <w:szCs w:val="22"/>
          <w:lang w:eastAsia="zh-CN"/>
        </w:rPr>
      </w:pPr>
    </w:p>
    <w:p w14:paraId="65A20DE2">
      <w:pPr>
        <w:keepNext/>
        <w:keepLines/>
        <w:widowControl w:val="0"/>
        <w:spacing w:before="120" w:beforeLines="50" w:after="120" w:afterLines="50" w:line="416" w:lineRule="auto"/>
        <w:jc w:val="both"/>
        <w:outlineLvl w:val="2"/>
        <w:rPr>
          <w:rFonts w:ascii="宋体" w:hAnsi="宋体" w:eastAsia="黑体"/>
          <w:b/>
          <w:bCs/>
          <w:kern w:val="44"/>
          <w:sz w:val="28"/>
          <w:szCs w:val="44"/>
          <w:lang w:eastAsia="zh-CN"/>
        </w:rPr>
      </w:pPr>
      <w:r>
        <w:rPr>
          <w:rFonts w:hint="eastAsia" w:ascii="宋体" w:hAnsi="宋体" w:eastAsia="黑体"/>
          <w:b/>
          <w:bCs/>
          <w:kern w:val="44"/>
          <w:sz w:val="28"/>
          <w:szCs w:val="44"/>
          <w:lang w:eastAsia="zh-CN"/>
        </w:rPr>
        <w:t>付款方式</w:t>
      </w:r>
    </w:p>
    <w:p w14:paraId="5642C86C">
      <w:pPr>
        <w:pStyle w:val="2"/>
        <w:rPr>
          <w:rFonts w:hint="eastAsia" w:ascii="宋体" w:hAnsi="宋体" w:cs="宋体"/>
          <w:b w:val="0"/>
          <w:bCs w:val="0"/>
          <w:sz w:val="21"/>
          <w:szCs w:val="21"/>
        </w:rPr>
      </w:pPr>
      <w:r>
        <w:rPr>
          <w:rFonts w:hint="eastAsia" w:ascii="宋体" w:hAnsi="宋体" w:cs="宋体"/>
          <w:b w:val="0"/>
          <w:bCs w:val="0"/>
          <w:sz w:val="21"/>
          <w:szCs w:val="21"/>
          <w:lang w:val="en-US" w:eastAsia="zh-CN"/>
        </w:rPr>
        <w:t>1</w:t>
      </w:r>
      <w:r>
        <w:rPr>
          <w:rFonts w:hint="eastAsia" w:ascii="宋体" w:hAnsi="宋体" w:cs="宋体"/>
          <w:b w:val="0"/>
          <w:bCs w:val="0"/>
          <w:sz w:val="21"/>
          <w:szCs w:val="21"/>
        </w:rPr>
        <w:t>、全部货物送到采购人指定地点、完成安装并验收合格后并收到发票后，采购人向中标供应商支付合同总价【100】%的款项；</w:t>
      </w:r>
    </w:p>
    <w:p w14:paraId="5E67D2FA">
      <w:pPr>
        <w:pStyle w:val="2"/>
        <w:rPr>
          <w:rFonts w:hint="eastAsia" w:ascii="宋体" w:hAnsi="宋体" w:cs="宋体"/>
          <w:b w:val="0"/>
          <w:bCs w:val="0"/>
          <w:sz w:val="21"/>
          <w:szCs w:val="21"/>
        </w:rPr>
      </w:pPr>
      <w:r>
        <w:rPr>
          <w:rFonts w:hint="eastAsia" w:ascii="宋体" w:hAnsi="宋体" w:cs="宋体"/>
          <w:b w:val="0"/>
          <w:bCs w:val="0"/>
          <w:sz w:val="21"/>
          <w:szCs w:val="21"/>
          <w:lang w:val="en-US" w:eastAsia="zh-CN"/>
        </w:rPr>
        <w:t>2</w:t>
      </w:r>
      <w:r>
        <w:rPr>
          <w:rFonts w:hint="eastAsia" w:ascii="宋体" w:hAnsi="宋体" w:cs="宋体"/>
          <w:b w:val="0"/>
          <w:bCs w:val="0"/>
          <w:sz w:val="21"/>
          <w:szCs w:val="21"/>
        </w:rPr>
        <w:t>、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0CD830BD">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五、技术要求部分</w:t>
      </w:r>
    </w:p>
    <w:p w14:paraId="6FC6E443">
      <w:pPr>
        <w:widowControl w:val="0"/>
        <w:rPr>
          <w:rFonts w:ascii="宋体" w:hAnsi="宋体" w:eastAsia="宋体"/>
          <w:b/>
          <w:color w:val="FF0000"/>
          <w:kern w:val="2"/>
          <w:sz w:val="21"/>
          <w:szCs w:val="21"/>
          <w:lang w:eastAsia="zh-CN"/>
        </w:rPr>
      </w:pPr>
      <w:r>
        <w:rPr>
          <w:rFonts w:hint="eastAsia" w:ascii="宋体" w:hAnsi="宋体" w:eastAsia="宋体" w:cs="宋体"/>
          <w:b/>
          <w:bCs/>
          <w:lang w:eastAsia="zh-CN"/>
        </w:rPr>
        <w:t>1.采购技术要求表</w:t>
      </w:r>
    </w:p>
    <w:tbl>
      <w:tblPr>
        <w:tblStyle w:val="11"/>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980"/>
        <w:gridCol w:w="5414"/>
      </w:tblGrid>
      <w:tr w14:paraId="4400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940D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980" w:type="dxa"/>
            <w:noWrap w:val="0"/>
            <w:vAlign w:val="center"/>
          </w:tcPr>
          <w:p w14:paraId="4A0BEA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5414" w:type="dxa"/>
            <w:noWrap w:val="0"/>
            <w:vAlign w:val="center"/>
          </w:tcPr>
          <w:p w14:paraId="7B9BA0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招标技术要求</w:t>
            </w:r>
          </w:p>
        </w:tc>
      </w:tr>
      <w:tr w14:paraId="055F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restart"/>
            <w:noWrap w:val="0"/>
            <w:vAlign w:val="center"/>
          </w:tcPr>
          <w:p w14:paraId="2D6B82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-3</w:t>
            </w:r>
          </w:p>
        </w:tc>
        <w:tc>
          <w:tcPr>
            <w:tcW w:w="1980" w:type="dxa"/>
            <w:vMerge w:val="restart"/>
            <w:noWrap w:val="0"/>
            <w:vAlign w:val="center"/>
          </w:tcPr>
          <w:p w14:paraId="61D273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学生午休课桌椅</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3号、4号、5号</w:t>
            </w:r>
            <w:r>
              <w:rPr>
                <w:rFonts w:hint="eastAsia" w:ascii="宋体" w:hAnsi="宋体" w:eastAsia="宋体" w:cs="宋体"/>
                <w:b w:val="0"/>
                <w:bCs w:val="0"/>
                <w:color w:val="auto"/>
                <w:sz w:val="21"/>
                <w:szCs w:val="21"/>
                <w:highlight w:val="none"/>
                <w:lang w:eastAsia="zh-CN"/>
              </w:rPr>
              <w:t>）</w:t>
            </w:r>
          </w:p>
        </w:tc>
        <w:tc>
          <w:tcPr>
            <w:tcW w:w="5414" w:type="dxa"/>
            <w:noWrap w:val="0"/>
            <w:vAlign w:val="top"/>
          </w:tcPr>
          <w:p w14:paraId="73C7CB4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val="en-US" w:eastAsia="zh-CN"/>
              </w:rPr>
              <w:t>一、课桌</w:t>
            </w:r>
          </w:p>
        </w:tc>
      </w:tr>
      <w:tr w14:paraId="1D6A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3D38DA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13C5BF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5414" w:type="dxa"/>
            <w:noWrap w:val="0"/>
            <w:vAlign w:val="top"/>
          </w:tcPr>
          <w:p w14:paraId="32C1B65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1.课桌尺寸：课桌桌面宽 600mm±2mm；桌面深 400mm </w:t>
            </w:r>
          </w:p>
          <w:p w14:paraId="123BDFA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±2mm ；桌面台面PP材质；桌面厚度≥25mm；桌面高度（5号640mm、4号670mm、3号 700mm、）±2mm；桌下左右两腿净空宽≥440mm。</w:t>
            </w:r>
          </w:p>
        </w:tc>
      </w:tr>
      <w:tr w14:paraId="0342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1599B3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234B7C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5414" w:type="dxa"/>
            <w:noWrap w:val="0"/>
            <w:vAlign w:val="top"/>
          </w:tcPr>
          <w:p w14:paraId="5D823FA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2.桌斗：采用环保PP原料，经高温熔解成液态后，一次性注塑成形。反边圆角弧形设计，抽屉内空 490*340*100（120或150）mm </w:t>
            </w:r>
            <w:r>
              <w:rPr>
                <w:rFonts w:hint="eastAsia" w:ascii="宋体" w:hAnsi="宋体" w:eastAsia="宋体" w:cs="宋体"/>
                <w:b w:val="0"/>
                <w:bCs w:val="0"/>
                <w:color w:val="auto"/>
                <w:sz w:val="21"/>
                <w:szCs w:val="21"/>
                <w:highlight w:val="none"/>
                <w:lang w:val="en-US" w:eastAsia="zh-CN"/>
              </w:rPr>
              <w:t>±2mm</w:t>
            </w:r>
            <w:r>
              <w:rPr>
                <w:rFonts w:hint="eastAsia" w:ascii="宋体" w:hAnsi="宋体" w:eastAsia="宋体" w:cs="宋体"/>
                <w:b w:val="0"/>
                <w:bCs w:val="0"/>
                <w:color w:val="auto"/>
                <w:sz w:val="21"/>
                <w:szCs w:val="21"/>
                <w:highlight w:val="none"/>
              </w:rPr>
              <w:t>。</w:t>
            </w:r>
          </w:p>
        </w:tc>
      </w:tr>
      <w:tr w14:paraId="11DB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1081" w:type="dxa"/>
            <w:vMerge w:val="continue"/>
            <w:noWrap w:val="0"/>
            <w:vAlign w:val="center"/>
          </w:tcPr>
          <w:p w14:paraId="1691D4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53EE64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5414" w:type="dxa"/>
            <w:noWrap w:val="0"/>
            <w:vAlign w:val="top"/>
          </w:tcPr>
          <w:p w14:paraId="5C4E821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3.桌架</w:t>
            </w:r>
            <w:r>
              <w:rPr>
                <w:rFonts w:hint="eastAsia" w:ascii="宋体" w:hAnsi="宋体" w:eastAsia="宋体" w:cs="宋体"/>
                <w:b w:val="0"/>
                <w:bCs w:val="0"/>
                <w:color w:val="auto"/>
                <w:sz w:val="21"/>
                <w:szCs w:val="21"/>
                <w:highlight w:val="none"/>
                <w:lang w:val="en-US" w:eastAsia="zh-CN"/>
              </w:rPr>
              <w:t>规格</w:t>
            </w:r>
            <w:r>
              <w:rPr>
                <w:rFonts w:hint="eastAsia" w:ascii="宋体" w:hAnsi="宋体" w:eastAsia="宋体" w:cs="宋体"/>
                <w:b w:val="0"/>
                <w:bCs w:val="0"/>
                <w:color w:val="auto"/>
                <w:sz w:val="21"/>
                <w:szCs w:val="21"/>
                <w:highlight w:val="none"/>
              </w:rPr>
              <w:t>：采用优质冷轧钢管上下套管结构，下架规格25*50mm</w:t>
            </w:r>
            <w:r>
              <w:rPr>
                <w:rFonts w:hint="eastAsia" w:ascii="宋体" w:hAnsi="宋体" w:eastAsia="宋体" w:cs="宋体"/>
                <w:b w:val="0"/>
                <w:bCs w:val="0"/>
                <w:color w:val="auto"/>
                <w:sz w:val="21"/>
                <w:szCs w:val="21"/>
                <w:highlight w:val="none"/>
                <w:lang w:val="en-US" w:eastAsia="zh-CN"/>
              </w:rPr>
              <w:t>±0.5mm</w:t>
            </w:r>
            <w:r>
              <w:rPr>
                <w:rFonts w:hint="eastAsia" w:ascii="宋体" w:hAnsi="宋体" w:eastAsia="宋体" w:cs="宋体"/>
                <w:b w:val="0"/>
                <w:bCs w:val="0"/>
                <w:color w:val="auto"/>
                <w:sz w:val="21"/>
                <w:szCs w:val="21"/>
                <w:highlight w:val="none"/>
              </w:rPr>
              <w:t xml:space="preserve"> L型椭圆管/上架规格20*40mm</w:t>
            </w:r>
            <w:r>
              <w:rPr>
                <w:rFonts w:hint="eastAsia" w:ascii="宋体" w:hAnsi="宋体" w:eastAsia="宋体" w:cs="宋体"/>
                <w:b w:val="0"/>
                <w:bCs w:val="0"/>
                <w:color w:val="auto"/>
                <w:sz w:val="21"/>
                <w:szCs w:val="21"/>
                <w:highlight w:val="none"/>
                <w:lang w:val="en-US" w:eastAsia="zh-CN"/>
              </w:rPr>
              <w:t>±0.5mm</w:t>
            </w:r>
            <w:r>
              <w:rPr>
                <w:rFonts w:hint="eastAsia" w:ascii="宋体" w:hAnsi="宋体" w:eastAsia="宋体" w:cs="宋体"/>
                <w:b w:val="0"/>
                <w:bCs w:val="0"/>
                <w:color w:val="auto"/>
                <w:sz w:val="21"/>
                <w:szCs w:val="21"/>
                <w:highlight w:val="none"/>
              </w:rPr>
              <w:t>椭圆钢管，管材厚度为1.2mm</w:t>
            </w:r>
            <w:r>
              <w:rPr>
                <w:rFonts w:hint="eastAsia" w:ascii="宋体" w:hAnsi="宋体" w:eastAsia="宋体" w:cs="宋体"/>
                <w:b w:val="0"/>
                <w:bCs w:val="0"/>
                <w:color w:val="auto"/>
                <w:sz w:val="21"/>
                <w:szCs w:val="21"/>
                <w:highlight w:val="none"/>
                <w:lang w:val="en-US" w:eastAsia="zh-CN"/>
              </w:rPr>
              <w:t>±0.05mm</w:t>
            </w:r>
            <w:r>
              <w:rPr>
                <w:rFonts w:hint="eastAsia" w:ascii="宋体" w:hAnsi="宋体" w:eastAsia="宋体" w:cs="宋体"/>
                <w:b w:val="0"/>
                <w:bCs w:val="0"/>
                <w:color w:val="auto"/>
                <w:sz w:val="21"/>
                <w:szCs w:val="21"/>
                <w:highlight w:val="none"/>
              </w:rPr>
              <w:t>。踏脚横梁采用Φ25mm</w:t>
            </w:r>
            <w:r>
              <w:rPr>
                <w:rFonts w:hint="eastAsia" w:ascii="宋体" w:hAnsi="宋体" w:eastAsia="宋体" w:cs="宋体"/>
                <w:b w:val="0"/>
                <w:bCs w:val="0"/>
                <w:color w:val="auto"/>
                <w:sz w:val="21"/>
                <w:szCs w:val="21"/>
                <w:highlight w:val="none"/>
                <w:lang w:val="en-US" w:eastAsia="zh-CN"/>
              </w:rPr>
              <w:t>±0.05mm</w:t>
            </w:r>
            <w:r>
              <w:rPr>
                <w:rFonts w:hint="eastAsia" w:ascii="宋体" w:hAnsi="宋体" w:eastAsia="宋体" w:cs="宋体"/>
                <w:b w:val="0"/>
                <w:bCs w:val="0"/>
                <w:color w:val="auto"/>
                <w:sz w:val="21"/>
                <w:szCs w:val="21"/>
                <w:highlight w:val="none"/>
              </w:rPr>
              <w:t>圆钢管，管材厚度为1.2mm</w:t>
            </w:r>
            <w:r>
              <w:rPr>
                <w:rFonts w:hint="eastAsia" w:ascii="宋体" w:hAnsi="宋体" w:eastAsia="宋体" w:cs="宋体"/>
                <w:b w:val="0"/>
                <w:bCs w:val="0"/>
                <w:color w:val="auto"/>
                <w:sz w:val="21"/>
                <w:szCs w:val="21"/>
                <w:highlight w:val="none"/>
                <w:lang w:val="en-US" w:eastAsia="zh-CN"/>
              </w:rPr>
              <w:t>±0.05mm</w:t>
            </w:r>
            <w:r>
              <w:rPr>
                <w:rFonts w:hint="eastAsia" w:ascii="宋体" w:hAnsi="宋体" w:eastAsia="宋体" w:cs="宋体"/>
                <w:b w:val="0"/>
                <w:bCs w:val="0"/>
                <w:color w:val="auto"/>
                <w:sz w:val="21"/>
                <w:szCs w:val="21"/>
                <w:highlight w:val="none"/>
              </w:rPr>
              <w:t>。 表面喷涂，经除油，除锈，磷化，喷粉，高温焗烤等工艺，边角毛刺打磨处理，外露部份做安全圆角处理。</w:t>
            </w:r>
          </w:p>
        </w:tc>
      </w:tr>
      <w:tr w14:paraId="2F7D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1081" w:type="dxa"/>
            <w:vMerge w:val="continue"/>
            <w:noWrap w:val="0"/>
            <w:vAlign w:val="center"/>
          </w:tcPr>
          <w:p w14:paraId="2A88A2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4A6EE3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5414" w:type="dxa"/>
            <w:noWrap w:val="0"/>
            <w:vAlign w:val="top"/>
          </w:tcPr>
          <w:p w14:paraId="755B597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FF0000"/>
                <w:sz w:val="21"/>
                <w:szCs w:val="21"/>
                <w:highlight w:val="none"/>
                <w:lang w:val="en-US"/>
              </w:rPr>
            </w:pPr>
            <w:r>
              <w:rPr>
                <w:rFonts w:hint="eastAsia" w:ascii="宋体" w:hAnsi="宋体" w:eastAsia="宋体" w:cs="宋体"/>
                <w:b/>
                <w:bCs/>
                <w:color w:val="FF0000"/>
                <w:sz w:val="21"/>
                <w:szCs w:val="21"/>
                <w:highlight w:val="none"/>
              </w:rPr>
              <w:t>▲</w:t>
            </w:r>
            <w:r>
              <w:rPr>
                <w:rFonts w:hint="eastAsia" w:ascii="宋体" w:hAnsi="宋体" w:eastAsia="宋体" w:cs="宋体"/>
                <w:b/>
                <w:bCs/>
                <w:color w:val="FF0000"/>
                <w:sz w:val="21"/>
                <w:szCs w:val="21"/>
                <w:highlight w:val="none"/>
                <w:lang w:val="en-US" w:eastAsia="zh-CN"/>
              </w:rPr>
              <w:t>4</w:t>
            </w:r>
            <w:r>
              <w:rPr>
                <w:rFonts w:hint="eastAsia" w:ascii="宋体" w:hAnsi="宋体" w:eastAsia="宋体" w:cs="宋体"/>
                <w:b/>
                <w:bCs/>
                <w:color w:val="FF0000"/>
                <w:sz w:val="21"/>
                <w:szCs w:val="21"/>
                <w:highlight w:val="none"/>
              </w:rPr>
              <w:t>.桌架</w:t>
            </w:r>
            <w:r>
              <w:rPr>
                <w:rFonts w:hint="eastAsia" w:ascii="宋体" w:hAnsi="宋体" w:eastAsia="宋体" w:cs="宋体"/>
                <w:b/>
                <w:bCs/>
                <w:color w:val="FF0000"/>
                <w:sz w:val="21"/>
                <w:szCs w:val="21"/>
                <w:highlight w:val="none"/>
                <w:lang w:val="en-US" w:eastAsia="zh-CN"/>
              </w:rPr>
              <w:t>性能</w:t>
            </w:r>
            <w:r>
              <w:rPr>
                <w:rFonts w:hint="eastAsia" w:ascii="宋体" w:hAnsi="宋体" w:eastAsia="宋体" w:cs="宋体"/>
                <w:b/>
                <w:bCs/>
                <w:color w:val="FF0000"/>
                <w:sz w:val="21"/>
                <w:szCs w:val="21"/>
                <w:highlight w:val="none"/>
              </w:rPr>
              <w:t>：投标人投标时</w:t>
            </w:r>
            <w:r>
              <w:rPr>
                <w:rFonts w:hint="eastAsia" w:ascii="宋体" w:hAnsi="宋体" w:eastAsia="宋体" w:cs="宋体"/>
                <w:b/>
                <w:bCs/>
                <w:color w:val="FF0000"/>
                <w:sz w:val="21"/>
                <w:szCs w:val="21"/>
                <w:highlight w:val="none"/>
                <w:lang w:val="en-US" w:eastAsia="zh-CN"/>
              </w:rPr>
              <w:t>依据</w:t>
            </w:r>
            <w:r>
              <w:rPr>
                <w:rFonts w:hint="eastAsia" w:ascii="宋体" w:hAnsi="宋体" w:eastAsia="宋体" w:cs="宋体"/>
                <w:b/>
                <w:bCs/>
                <w:color w:val="FF0000"/>
                <w:sz w:val="21"/>
                <w:szCs w:val="21"/>
                <w:highlight w:val="none"/>
              </w:rPr>
              <w:t>GB/T 11253-2019《碳素结构钢冷轧钢板及钢带》</w:t>
            </w:r>
            <w:r>
              <w:rPr>
                <w:rFonts w:hint="eastAsia" w:ascii="宋体" w:hAnsi="宋体" w:eastAsia="宋体" w:cs="宋体"/>
                <w:b/>
                <w:bCs/>
                <w:color w:val="FF0000"/>
                <w:sz w:val="21"/>
                <w:szCs w:val="21"/>
                <w:highlight w:val="none"/>
                <w:lang w:val="en-US" w:eastAsia="zh-CN"/>
              </w:rPr>
              <w:t>、</w:t>
            </w:r>
            <w:r>
              <w:rPr>
                <w:rFonts w:hint="eastAsia" w:ascii="宋体" w:hAnsi="宋体" w:eastAsia="宋体" w:cs="宋体"/>
                <w:b/>
                <w:bCs/>
                <w:color w:val="FF0000"/>
                <w:sz w:val="21"/>
                <w:szCs w:val="21"/>
                <w:highlight w:val="none"/>
              </w:rPr>
              <w:t>GB/T 246-2017《金属材料 管压扁试验方法》</w:t>
            </w:r>
            <w:r>
              <w:rPr>
                <w:rFonts w:hint="eastAsia" w:ascii="宋体" w:hAnsi="宋体" w:eastAsia="宋体" w:cs="宋体"/>
                <w:b/>
                <w:bCs/>
                <w:color w:val="FF0000"/>
                <w:sz w:val="21"/>
                <w:szCs w:val="21"/>
                <w:highlight w:val="none"/>
                <w:lang w:val="en-US" w:eastAsia="zh-CN"/>
              </w:rPr>
              <w:t>、</w:t>
            </w:r>
            <w:r>
              <w:rPr>
                <w:rFonts w:hint="eastAsia" w:ascii="宋体" w:hAnsi="宋体" w:eastAsia="宋体" w:cs="宋体"/>
                <w:b/>
                <w:bCs/>
                <w:color w:val="FF0000"/>
                <w:sz w:val="21"/>
                <w:szCs w:val="21"/>
                <w:highlight w:val="none"/>
              </w:rPr>
              <w:t>GB/T 3075-2021《金属材料 疲劳试验 轴向力控制方法》</w:t>
            </w:r>
            <w:r>
              <w:rPr>
                <w:rFonts w:hint="eastAsia" w:ascii="宋体" w:hAnsi="宋体" w:eastAsia="宋体" w:cs="宋体"/>
                <w:b/>
                <w:bCs/>
                <w:color w:val="FF0000"/>
                <w:sz w:val="21"/>
                <w:szCs w:val="21"/>
                <w:highlight w:val="none"/>
                <w:lang w:val="en-US" w:eastAsia="zh-CN"/>
              </w:rPr>
              <w:t>、</w:t>
            </w:r>
            <w:r>
              <w:rPr>
                <w:rFonts w:hint="eastAsia" w:ascii="宋体" w:hAnsi="宋体" w:eastAsia="宋体" w:cs="宋体"/>
                <w:b/>
                <w:bCs/>
                <w:color w:val="FF0000"/>
                <w:sz w:val="21"/>
                <w:szCs w:val="21"/>
                <w:highlight w:val="none"/>
              </w:rPr>
              <w:t>GB/T 24170.1-2023《表面抗菌不锈钢 第1部分：电化学法》化学成分（C、Si、Mn、P、S、Ni、Cr、Cu、N），力学性能（下屈服强度、抗拉强度、断后伸长率），弯曲试验，表面质量，压扁试验，疲劳试验（20万次），抗菌性能（类白喉杆菌、变形链球菌）</w:t>
            </w:r>
            <w:r>
              <w:rPr>
                <w:rFonts w:hint="eastAsia" w:ascii="宋体" w:hAnsi="宋体" w:eastAsia="宋体" w:cs="宋体"/>
                <w:b/>
                <w:bCs/>
                <w:color w:val="FF0000"/>
                <w:sz w:val="21"/>
                <w:szCs w:val="21"/>
                <w:highlight w:val="none"/>
                <w:lang w:val="en-US" w:eastAsia="zh-CN"/>
              </w:rPr>
              <w:t>标准进行检测。检测结果符合：</w:t>
            </w:r>
          </w:p>
          <w:p w14:paraId="6F7D7D7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lang w:val="en-US" w:eastAsia="zh-CN"/>
              </w:rPr>
              <w:t>1.</w:t>
            </w:r>
            <w:r>
              <w:rPr>
                <w:rFonts w:hint="eastAsia" w:ascii="宋体" w:hAnsi="宋体" w:eastAsia="宋体" w:cs="宋体"/>
                <w:b/>
                <w:bCs/>
                <w:color w:val="FF0000"/>
                <w:sz w:val="21"/>
                <w:szCs w:val="21"/>
                <w:highlight w:val="none"/>
              </w:rPr>
              <w:t>力学性能，下屈服强度(ReL)≥235 MPa，抗拉强度(Rm)(370～500)MPa合格，断后伸长率(A 8omm)≥20%。</w:t>
            </w:r>
          </w:p>
          <w:p w14:paraId="2789523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lang w:val="en-US" w:eastAsia="zh-CN"/>
              </w:rPr>
              <w:t>2.</w:t>
            </w:r>
            <w:r>
              <w:rPr>
                <w:rFonts w:hint="eastAsia" w:ascii="宋体" w:hAnsi="宋体" w:eastAsia="宋体" w:cs="宋体"/>
                <w:b/>
                <w:bCs/>
                <w:color w:val="FF0000"/>
                <w:sz w:val="21"/>
                <w:szCs w:val="21"/>
                <w:highlight w:val="none"/>
              </w:rPr>
              <w:t>压扁试验在不使用放大镜的情况下，无可见裂纹。</w:t>
            </w:r>
          </w:p>
          <w:p w14:paraId="7BBBF00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3</w:t>
            </w:r>
            <w:r>
              <w:rPr>
                <w:rFonts w:hint="eastAsia" w:ascii="宋体" w:hAnsi="宋体" w:eastAsia="宋体" w:cs="宋体"/>
                <w:b/>
                <w:bCs/>
                <w:color w:val="FF0000"/>
                <w:sz w:val="21"/>
                <w:szCs w:val="21"/>
                <w:highlight w:val="none"/>
                <w:lang w:val="en-US" w:eastAsia="zh-CN"/>
              </w:rPr>
              <w:t>.</w:t>
            </w:r>
            <w:r>
              <w:rPr>
                <w:rFonts w:hint="eastAsia" w:ascii="宋体" w:hAnsi="宋体" w:eastAsia="宋体" w:cs="宋体"/>
                <w:b/>
                <w:bCs/>
                <w:color w:val="FF0000"/>
                <w:sz w:val="21"/>
                <w:szCs w:val="21"/>
                <w:highlight w:val="none"/>
              </w:rPr>
              <w:t>弯曲试验，试样弯曲处的外面和侧面</w:t>
            </w:r>
            <w:r>
              <w:rPr>
                <w:rFonts w:hint="eastAsia" w:ascii="宋体" w:hAnsi="宋体" w:eastAsia="宋体" w:cs="宋体"/>
                <w:b/>
                <w:bCs/>
                <w:color w:val="FF0000"/>
                <w:sz w:val="21"/>
                <w:szCs w:val="21"/>
                <w:highlight w:val="none"/>
                <w:lang w:val="en-US" w:eastAsia="zh-CN"/>
              </w:rPr>
              <w:t>无</w:t>
            </w:r>
            <w:r>
              <w:rPr>
                <w:rFonts w:hint="eastAsia" w:ascii="宋体" w:hAnsi="宋体" w:eastAsia="宋体" w:cs="宋体"/>
                <w:b/>
                <w:bCs/>
                <w:color w:val="FF0000"/>
                <w:sz w:val="21"/>
                <w:szCs w:val="21"/>
                <w:highlight w:val="none"/>
              </w:rPr>
              <w:t>可见的裂纹。</w:t>
            </w:r>
          </w:p>
          <w:p w14:paraId="43910C7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4</w:t>
            </w:r>
            <w:r>
              <w:rPr>
                <w:rFonts w:hint="eastAsia" w:ascii="宋体" w:hAnsi="宋体" w:eastAsia="宋体" w:cs="宋体"/>
                <w:b/>
                <w:bCs/>
                <w:color w:val="FF0000"/>
                <w:sz w:val="21"/>
                <w:szCs w:val="21"/>
                <w:highlight w:val="none"/>
                <w:lang w:val="en-US" w:eastAsia="zh-CN"/>
              </w:rPr>
              <w:t>.</w:t>
            </w:r>
            <w:r>
              <w:rPr>
                <w:rFonts w:hint="eastAsia" w:ascii="宋体" w:hAnsi="宋体" w:eastAsia="宋体" w:cs="宋体"/>
                <w:b/>
                <w:bCs/>
                <w:color w:val="FF0000"/>
                <w:sz w:val="21"/>
                <w:szCs w:val="21"/>
                <w:highlight w:val="none"/>
              </w:rPr>
              <w:t>表面质量，钢板及钢带表面不得有气泡、裂纹、结疤、折叠和夹杂等对使用有害的缺陷。钢板及钢带不应有目视可见分层。</w:t>
            </w:r>
          </w:p>
          <w:p w14:paraId="6A421CC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5</w:t>
            </w:r>
            <w:r>
              <w:rPr>
                <w:rFonts w:hint="eastAsia" w:ascii="宋体" w:hAnsi="宋体" w:eastAsia="宋体" w:cs="宋体"/>
                <w:b/>
                <w:bCs/>
                <w:color w:val="FF0000"/>
                <w:sz w:val="21"/>
                <w:szCs w:val="21"/>
                <w:highlight w:val="none"/>
                <w:lang w:val="en-US" w:eastAsia="zh-CN"/>
              </w:rPr>
              <w:t>.</w:t>
            </w:r>
            <w:r>
              <w:rPr>
                <w:rFonts w:hint="eastAsia" w:ascii="宋体" w:hAnsi="宋体" w:eastAsia="宋体" w:cs="宋体"/>
                <w:b/>
                <w:bCs/>
                <w:color w:val="FF0000"/>
                <w:sz w:val="21"/>
                <w:szCs w:val="21"/>
                <w:highlight w:val="none"/>
              </w:rPr>
              <w:t>疲劳试验(20万次)：加载方向，轴向；波形，正弦波；次数，20万次；频率，3Hz；荷载基准值及幅值：5kN±1.5 kN疲劳试验后，试样不应发生开裂。</w:t>
            </w:r>
          </w:p>
          <w:p w14:paraId="08E71E5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6</w:t>
            </w:r>
            <w:r>
              <w:rPr>
                <w:rFonts w:hint="eastAsia" w:ascii="宋体" w:hAnsi="宋体" w:eastAsia="宋体" w:cs="宋体"/>
                <w:b/>
                <w:bCs/>
                <w:color w:val="FF0000"/>
                <w:sz w:val="21"/>
                <w:szCs w:val="21"/>
                <w:highlight w:val="none"/>
                <w:lang w:val="en-US" w:eastAsia="zh-CN"/>
              </w:rPr>
              <w:t>.</w:t>
            </w:r>
            <w:r>
              <w:rPr>
                <w:rFonts w:hint="eastAsia" w:ascii="宋体" w:hAnsi="宋体" w:eastAsia="宋体" w:cs="宋体"/>
                <w:b/>
                <w:bCs/>
                <w:color w:val="FF0000"/>
                <w:sz w:val="21"/>
                <w:szCs w:val="21"/>
                <w:highlight w:val="none"/>
              </w:rPr>
              <w:t>抗菌性能：类白酸杆苗BNCC 13842725922抗菌率(%)不小于99%；变形链球苗ATCC 35668抗菌率(%)不小于99%；</w:t>
            </w:r>
          </w:p>
          <w:p w14:paraId="2EEEE99E">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7.</w:t>
            </w:r>
            <w:r>
              <w:rPr>
                <w:rFonts w:hint="eastAsia" w:ascii="宋体" w:hAnsi="宋体" w:eastAsia="宋体" w:cs="宋体"/>
                <w:b/>
                <w:bCs/>
                <w:color w:val="FF0000"/>
                <w:sz w:val="21"/>
                <w:szCs w:val="21"/>
                <w:highlight w:val="none"/>
              </w:rPr>
              <w:t>化学成分：C: ≤0.22%，Si:≤0.35%，Mn</w:t>
            </w:r>
            <w:r>
              <w:rPr>
                <w:rFonts w:hint="eastAsia" w:ascii="宋体" w:hAnsi="宋体" w:eastAsia="宋体" w:cs="宋体"/>
                <w:b/>
                <w:bCs/>
                <w:color w:val="FF0000"/>
                <w:sz w:val="21"/>
                <w:szCs w:val="21"/>
                <w:highlight w:val="none"/>
                <w:lang w:eastAsia="zh-CN"/>
              </w:rPr>
              <w:t>：</w:t>
            </w:r>
            <w:r>
              <w:rPr>
                <w:rFonts w:hint="eastAsia" w:ascii="宋体" w:hAnsi="宋体" w:eastAsia="宋体" w:cs="宋体"/>
                <w:b/>
                <w:bCs/>
                <w:color w:val="FF0000"/>
                <w:sz w:val="21"/>
                <w:szCs w:val="21"/>
                <w:highlight w:val="none"/>
              </w:rPr>
              <w:t>≤1.40%，P:≤0.035%， S:≤0.035%，Ni:≤0.30%，Cr:≤0.30%，Cu</w:t>
            </w:r>
            <w:r>
              <w:rPr>
                <w:rFonts w:hint="eastAsia" w:ascii="宋体" w:hAnsi="宋体" w:eastAsia="宋体" w:cs="宋体"/>
                <w:b/>
                <w:bCs/>
                <w:color w:val="FF0000"/>
                <w:sz w:val="21"/>
                <w:szCs w:val="21"/>
                <w:highlight w:val="none"/>
                <w:lang w:eastAsia="zh-CN"/>
              </w:rPr>
              <w:t>：</w:t>
            </w:r>
            <w:r>
              <w:rPr>
                <w:rFonts w:hint="eastAsia" w:ascii="宋体" w:hAnsi="宋体" w:eastAsia="宋体" w:cs="宋体"/>
                <w:b/>
                <w:bCs/>
                <w:color w:val="FF0000"/>
                <w:sz w:val="21"/>
                <w:szCs w:val="21"/>
                <w:highlight w:val="none"/>
              </w:rPr>
              <w:t>≤030%。</w:t>
            </w:r>
          </w:p>
          <w:p w14:paraId="2BE6CA95">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FF0000"/>
                <w:sz w:val="21"/>
                <w:szCs w:val="21"/>
                <w:highlight w:val="none"/>
                <w:lang w:val="en-US" w:eastAsia="zh-CN" w:bidi="ar"/>
              </w:rPr>
            </w:pPr>
            <w:r>
              <w:rPr>
                <w:rFonts w:hint="eastAsia" w:ascii="宋体" w:hAnsi="宋体" w:eastAsia="宋体" w:cs="宋体"/>
                <w:b/>
                <w:bCs/>
                <w:color w:val="FF0000"/>
                <w:sz w:val="21"/>
                <w:szCs w:val="21"/>
                <w:highlight w:val="none"/>
                <w:lang w:val="en-US" w:eastAsia="zh-CN" w:bidi="ar"/>
              </w:rPr>
              <w:t>证明材料：</w:t>
            </w:r>
            <w:r>
              <w:rPr>
                <w:rFonts w:hint="eastAsia" w:ascii="宋体" w:hAnsi="宋体" w:eastAsia="宋体" w:cs="宋体"/>
                <w:b/>
                <w:bCs/>
                <w:color w:val="FF0000"/>
                <w:sz w:val="21"/>
                <w:szCs w:val="21"/>
                <w:highlight w:val="none"/>
                <w:lang w:eastAsia="zh-CN" w:bidi="ar"/>
              </w:rPr>
              <w:t>投标时需同时提供</w:t>
            </w:r>
            <w:r>
              <w:rPr>
                <w:rFonts w:hint="eastAsia" w:ascii="宋体" w:hAnsi="宋体" w:eastAsia="宋体" w:cs="宋体"/>
                <w:b/>
                <w:bCs/>
                <w:color w:val="FF0000"/>
                <w:kern w:val="2"/>
                <w:sz w:val="21"/>
                <w:szCs w:val="21"/>
                <w:highlight w:val="none"/>
                <w:lang w:val="en-US" w:eastAsia="zh-CN" w:bidi="ar"/>
              </w:rPr>
              <w:t>2023年1月1日至本项目投标截止日之日</w:t>
            </w:r>
            <w:r>
              <w:rPr>
                <w:rFonts w:hint="eastAsia" w:ascii="宋体" w:hAnsi="宋体" w:eastAsia="宋体" w:cs="宋体"/>
                <w:b/>
                <w:bCs/>
                <w:color w:val="FF0000"/>
                <w:sz w:val="21"/>
                <w:szCs w:val="21"/>
                <w:highlight w:val="none"/>
                <w:lang w:eastAsia="zh-CN" w:bidi="ar"/>
              </w:rPr>
              <w:t>第三方检验检测机构出具的带有CMA标识的</w:t>
            </w:r>
            <w:r>
              <w:rPr>
                <w:rFonts w:hint="eastAsia" w:ascii="宋体" w:hAnsi="宋体" w:eastAsia="宋体" w:cs="宋体"/>
                <w:b/>
                <w:bCs/>
                <w:color w:val="FF0000"/>
                <w:sz w:val="21"/>
                <w:szCs w:val="21"/>
                <w:highlight w:val="none"/>
                <w:lang w:val="en-US" w:eastAsia="zh-CN" w:bidi="ar"/>
              </w:rPr>
              <w:t>冷轧钢板</w:t>
            </w:r>
            <w:r>
              <w:rPr>
                <w:rFonts w:hint="eastAsia" w:ascii="宋体" w:hAnsi="宋体" w:eastAsia="宋体" w:cs="宋体"/>
                <w:b/>
                <w:bCs/>
                <w:color w:val="FF0000"/>
                <w:sz w:val="21"/>
                <w:szCs w:val="21"/>
                <w:highlight w:val="none"/>
                <w:lang w:eastAsia="zh-CN" w:bidi="ar"/>
              </w:rPr>
              <w:t>检验检测报告</w:t>
            </w:r>
            <w:r>
              <w:rPr>
                <w:rFonts w:hint="eastAsia" w:ascii="宋体" w:hAnsi="宋体" w:eastAsia="宋体" w:cs="宋体"/>
                <w:b/>
                <w:bCs/>
                <w:color w:val="FF0000"/>
                <w:sz w:val="21"/>
                <w:szCs w:val="21"/>
                <w:highlight w:val="none"/>
                <w:lang w:val="en-US" w:eastAsia="zh-CN" w:bidi="ar"/>
              </w:rPr>
              <w:t>扫描</w:t>
            </w:r>
            <w:r>
              <w:rPr>
                <w:rFonts w:hint="eastAsia" w:ascii="宋体" w:hAnsi="宋体" w:eastAsia="宋体" w:cs="宋体"/>
                <w:b/>
                <w:bCs/>
                <w:color w:val="FF0000"/>
                <w:sz w:val="21"/>
                <w:szCs w:val="21"/>
                <w:highlight w:val="none"/>
                <w:lang w:eastAsia="zh-CN" w:bidi="ar"/>
              </w:rPr>
              <w:t>件，报告内容能体现满足上述参数要求。</w:t>
            </w:r>
          </w:p>
        </w:tc>
      </w:tr>
      <w:tr w14:paraId="0574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1C7B4A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6BD39C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79B73AD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.桌子托脚板：采用环保 PP 原料，经高温熔解成液态后，一次注塑成形，卡扣螺丝固定，方便灵活调节托脚板，规格：395*250*25mm</w:t>
            </w:r>
            <w:r>
              <w:rPr>
                <w:rFonts w:hint="eastAsia" w:ascii="宋体" w:hAnsi="宋体" w:eastAsia="宋体" w:cs="宋体"/>
                <w:b w:val="0"/>
                <w:bCs w:val="0"/>
                <w:color w:val="auto"/>
                <w:sz w:val="21"/>
                <w:szCs w:val="21"/>
                <w:highlight w:val="none"/>
                <w:lang w:val="en-US" w:eastAsia="zh-CN"/>
              </w:rPr>
              <w:t>±2mm.</w:t>
            </w:r>
          </w:p>
        </w:tc>
      </w:tr>
      <w:tr w14:paraId="2181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0396AC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5E6241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41B5EFB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.桌子金属部份经防锈处理和高压静电粉末喷涂，经220-250°高温烤制成形后，无异味、表面附着力强，达到国家校具环保标准。</w:t>
            </w:r>
          </w:p>
        </w:tc>
      </w:tr>
      <w:tr w14:paraId="1489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42B533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7320AC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34941EC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.桌子升降方式：螺丝调节。采用低碳国标钢管上下套管结构，管材壁厚1.2mm</w:t>
            </w:r>
            <w:r>
              <w:rPr>
                <w:rFonts w:hint="eastAsia" w:ascii="宋体" w:hAnsi="宋体" w:eastAsia="宋体" w:cs="宋体"/>
                <w:b w:val="0"/>
                <w:bCs w:val="0"/>
                <w:color w:val="auto"/>
                <w:sz w:val="21"/>
                <w:szCs w:val="21"/>
                <w:highlight w:val="none"/>
                <w:lang w:val="en-US" w:eastAsia="zh-CN"/>
              </w:rPr>
              <w:t>±0.05mm</w:t>
            </w:r>
            <w:r>
              <w:rPr>
                <w:rFonts w:hint="eastAsia" w:ascii="宋体" w:hAnsi="宋体" w:eastAsia="宋体" w:cs="宋体"/>
                <w:b w:val="0"/>
                <w:bCs w:val="0"/>
                <w:color w:val="auto"/>
                <w:sz w:val="21"/>
                <w:szCs w:val="21"/>
                <w:highlight w:val="none"/>
              </w:rPr>
              <w:t>，桌子可调节高度：640-790mm</w:t>
            </w:r>
            <w:r>
              <w:rPr>
                <w:rFonts w:hint="eastAsia" w:ascii="宋体" w:hAnsi="宋体" w:eastAsia="宋体" w:cs="宋体"/>
                <w:b w:val="0"/>
                <w:bCs w:val="0"/>
                <w:color w:val="auto"/>
                <w:sz w:val="21"/>
                <w:szCs w:val="21"/>
                <w:highlight w:val="none"/>
                <w:lang w:val="en-US" w:eastAsia="zh-CN"/>
              </w:rPr>
              <w:t>±2mm</w:t>
            </w:r>
            <w:r>
              <w:rPr>
                <w:rFonts w:hint="eastAsia" w:ascii="宋体" w:hAnsi="宋体" w:eastAsia="宋体" w:cs="宋体"/>
                <w:b w:val="0"/>
                <w:bCs w:val="0"/>
                <w:color w:val="auto"/>
                <w:sz w:val="21"/>
                <w:szCs w:val="21"/>
                <w:highlight w:val="none"/>
              </w:rPr>
              <w:t>。</w:t>
            </w:r>
          </w:p>
        </w:tc>
      </w:tr>
      <w:tr w14:paraId="217F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58E206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3DD3B9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25BB612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.桌子脚套：采用环保 ABS 材料，耐磨耐刮，防滑不伤地板；</w:t>
            </w:r>
          </w:p>
        </w:tc>
      </w:tr>
      <w:tr w14:paraId="11B0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1" w:type="dxa"/>
            <w:vMerge w:val="continue"/>
            <w:noWrap w:val="0"/>
            <w:vAlign w:val="center"/>
          </w:tcPr>
          <w:p w14:paraId="638FB7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63CA88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6F73F79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.桌子挂钩：采用实芯钢筋焊接而成，便捷安全，单个挂钩承重20公斤</w:t>
            </w:r>
            <w:r>
              <w:rPr>
                <w:rFonts w:hint="eastAsia" w:ascii="宋体" w:hAnsi="宋体" w:eastAsia="宋体" w:cs="宋体"/>
                <w:b w:val="0"/>
                <w:bCs w:val="0"/>
                <w:color w:val="auto"/>
                <w:sz w:val="21"/>
                <w:szCs w:val="21"/>
                <w:highlight w:val="none"/>
                <w:lang w:val="en-US" w:eastAsia="zh-CN"/>
              </w:rPr>
              <w:t>±0.5公斤</w:t>
            </w:r>
            <w:r>
              <w:rPr>
                <w:rFonts w:hint="eastAsia" w:ascii="宋体" w:hAnsi="宋体" w:eastAsia="宋体" w:cs="宋体"/>
                <w:b w:val="0"/>
                <w:bCs w:val="0"/>
                <w:color w:val="auto"/>
                <w:sz w:val="21"/>
                <w:szCs w:val="21"/>
                <w:highlight w:val="none"/>
              </w:rPr>
              <w:t>。</w:t>
            </w:r>
          </w:p>
        </w:tc>
      </w:tr>
      <w:tr w14:paraId="2DAC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190345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2AC840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2694D03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.桌子重量：净重8KG±0.3</w:t>
            </w:r>
            <w:r>
              <w:rPr>
                <w:rFonts w:hint="eastAsia" w:ascii="宋体" w:hAnsi="宋体" w:eastAsia="宋体" w:cs="宋体"/>
                <w:b w:val="0"/>
                <w:bCs w:val="0"/>
                <w:color w:val="auto"/>
                <w:sz w:val="21"/>
                <w:szCs w:val="21"/>
                <w:highlight w:val="none"/>
                <w:lang w:val="en-US" w:eastAsia="zh-CN"/>
              </w:rPr>
              <w:t>KG</w:t>
            </w:r>
            <w:r>
              <w:rPr>
                <w:rFonts w:hint="eastAsia" w:ascii="宋体" w:hAnsi="宋体" w:eastAsia="宋体" w:cs="宋体"/>
                <w:b w:val="0"/>
                <w:bCs w:val="0"/>
                <w:color w:val="auto"/>
                <w:sz w:val="21"/>
                <w:szCs w:val="21"/>
                <w:highlight w:val="none"/>
              </w:rPr>
              <w:t>。</w:t>
            </w:r>
          </w:p>
        </w:tc>
      </w:tr>
      <w:tr w14:paraId="1024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11B626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6B95BB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16328BE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bCs/>
                <w:color w:val="auto"/>
                <w:sz w:val="21"/>
                <w:szCs w:val="21"/>
                <w:highlight w:val="none"/>
                <w:lang w:val="en-US" w:eastAsia="zh-CN"/>
              </w:rPr>
              <w:t>二、课椅</w:t>
            </w:r>
          </w:p>
        </w:tc>
      </w:tr>
      <w:tr w14:paraId="7C84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725BBF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111D45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1170CAE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1.课椅尺寸：坐面高（5 号 360 mm、4 号 380 mm、3 号 400 mm） ±2mm； 座面宽（3 号≥360</w:t>
            </w:r>
            <w:r>
              <w:rPr>
                <w:rFonts w:hint="eastAsia" w:ascii="宋体" w:hAnsi="宋体" w:eastAsia="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rPr>
              <w:t>、4 号≥320</w:t>
            </w:r>
            <w:r>
              <w:rPr>
                <w:rFonts w:hint="eastAsia" w:ascii="宋体" w:hAnsi="宋体" w:eastAsia="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rPr>
              <w:t>、5 号≥320</w:t>
            </w:r>
            <w:r>
              <w:rPr>
                <w:rFonts w:hint="eastAsia" w:ascii="宋体" w:hAnsi="宋体" w:eastAsia="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rPr>
              <w:t>）；  靠背上缘距座面高（5 号 290mm、4 号 310mm、3 号 320mm） ±2mm 。</w:t>
            </w:r>
          </w:p>
        </w:tc>
      </w:tr>
      <w:tr w14:paraId="22A8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18307E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0C23E3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62B7468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.椅子背板，座板：采用环保PP原料，经高温熔解后，一次注塑成形。椅子背板和座板：背板规格：475*395mm</w:t>
            </w:r>
            <w:r>
              <w:rPr>
                <w:rFonts w:hint="eastAsia" w:ascii="宋体" w:hAnsi="宋体" w:eastAsia="宋体" w:cs="宋体"/>
                <w:b w:val="0"/>
                <w:bCs w:val="0"/>
                <w:color w:val="auto"/>
                <w:sz w:val="21"/>
                <w:szCs w:val="21"/>
                <w:highlight w:val="none"/>
                <w:lang w:val="en-US" w:eastAsia="zh-CN"/>
              </w:rPr>
              <w:t>±2mm</w:t>
            </w:r>
            <w:r>
              <w:rPr>
                <w:rFonts w:hint="eastAsia" w:ascii="宋体" w:hAnsi="宋体" w:eastAsia="宋体" w:cs="宋体"/>
                <w:b w:val="0"/>
                <w:bCs w:val="0"/>
                <w:color w:val="auto"/>
                <w:sz w:val="21"/>
                <w:szCs w:val="21"/>
                <w:highlight w:val="none"/>
              </w:rPr>
              <w:t xml:space="preserve"> ，座板规格：405*420*36mm</w:t>
            </w:r>
            <w:r>
              <w:rPr>
                <w:rFonts w:hint="eastAsia" w:ascii="宋体" w:hAnsi="宋体" w:eastAsia="宋体" w:cs="宋体"/>
                <w:b w:val="0"/>
                <w:bCs w:val="0"/>
                <w:color w:val="auto"/>
                <w:sz w:val="21"/>
                <w:szCs w:val="21"/>
                <w:highlight w:val="none"/>
                <w:lang w:val="en-US" w:eastAsia="zh-CN"/>
              </w:rPr>
              <w:t>±2mm</w:t>
            </w:r>
            <w:r>
              <w:rPr>
                <w:rFonts w:hint="eastAsia" w:ascii="宋体" w:hAnsi="宋体" w:eastAsia="宋体" w:cs="宋体"/>
                <w:b w:val="0"/>
                <w:bCs w:val="0"/>
                <w:color w:val="auto"/>
                <w:sz w:val="21"/>
                <w:szCs w:val="21"/>
                <w:highlight w:val="none"/>
              </w:rPr>
              <w:t>，靠头规格：230*140mm</w:t>
            </w:r>
            <w:r>
              <w:rPr>
                <w:rFonts w:hint="eastAsia" w:ascii="宋体" w:hAnsi="宋体" w:eastAsia="宋体" w:cs="宋体"/>
                <w:b w:val="0"/>
                <w:bCs w:val="0"/>
                <w:color w:val="auto"/>
                <w:sz w:val="21"/>
                <w:szCs w:val="21"/>
                <w:highlight w:val="none"/>
                <w:lang w:val="en-US" w:eastAsia="zh-CN"/>
              </w:rPr>
              <w:t>±2mm</w:t>
            </w:r>
            <w:r>
              <w:rPr>
                <w:rFonts w:hint="eastAsia" w:ascii="宋体" w:hAnsi="宋体" w:eastAsia="宋体" w:cs="宋体"/>
                <w:b w:val="0"/>
                <w:bCs w:val="0"/>
                <w:color w:val="auto"/>
                <w:sz w:val="21"/>
                <w:szCs w:val="21"/>
                <w:highlight w:val="none"/>
              </w:rPr>
              <w:t>，厚度为 5MM</w:t>
            </w:r>
            <w:r>
              <w:rPr>
                <w:rFonts w:hint="eastAsia" w:ascii="宋体" w:hAnsi="宋体" w:eastAsia="宋体" w:cs="宋体"/>
                <w:b w:val="0"/>
                <w:bCs w:val="0"/>
                <w:color w:val="auto"/>
                <w:sz w:val="21"/>
                <w:szCs w:val="21"/>
                <w:highlight w:val="none"/>
                <w:lang w:val="en-US" w:eastAsia="zh-CN"/>
              </w:rPr>
              <w:t>±0.05mm</w:t>
            </w:r>
            <w:r>
              <w:rPr>
                <w:rFonts w:hint="eastAsia" w:ascii="宋体" w:hAnsi="宋体" w:eastAsia="宋体" w:cs="宋体"/>
                <w:b w:val="0"/>
                <w:bCs w:val="0"/>
                <w:color w:val="auto"/>
                <w:sz w:val="21"/>
                <w:szCs w:val="21"/>
                <w:highlight w:val="none"/>
              </w:rPr>
              <w:t xml:space="preserve"> 实心注塑板。</w:t>
            </w:r>
          </w:p>
        </w:tc>
      </w:tr>
      <w:tr w14:paraId="02CC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582D06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364EA5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3F5372A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.椅子两侧带PP扶手，两侧采用Φ25*1.5mm</w:t>
            </w:r>
            <w:r>
              <w:rPr>
                <w:rFonts w:hint="eastAsia" w:ascii="宋体" w:hAnsi="宋体" w:eastAsia="宋体" w:cs="宋体"/>
                <w:b w:val="0"/>
                <w:bCs w:val="0"/>
                <w:color w:val="auto"/>
                <w:sz w:val="21"/>
                <w:szCs w:val="21"/>
                <w:highlight w:val="none"/>
                <w:lang w:val="en-US" w:eastAsia="zh-CN"/>
              </w:rPr>
              <w:t>±0.05mm</w:t>
            </w:r>
            <w:r>
              <w:rPr>
                <w:rFonts w:hint="eastAsia" w:ascii="宋体" w:hAnsi="宋体" w:eastAsia="宋体" w:cs="宋体"/>
                <w:b w:val="0"/>
                <w:bCs w:val="0"/>
                <w:color w:val="auto"/>
                <w:sz w:val="21"/>
                <w:szCs w:val="21"/>
                <w:highlight w:val="none"/>
              </w:rPr>
              <w:t>圆管，座背折叠托管采用 20*20mm</w:t>
            </w:r>
            <w:r>
              <w:rPr>
                <w:rFonts w:hint="eastAsia" w:ascii="宋体" w:hAnsi="宋体" w:eastAsia="宋体" w:cs="宋体"/>
                <w:b w:val="0"/>
                <w:bCs w:val="0"/>
                <w:color w:val="auto"/>
                <w:sz w:val="21"/>
                <w:szCs w:val="21"/>
                <w:highlight w:val="none"/>
                <w:lang w:val="en-US" w:eastAsia="zh-CN"/>
              </w:rPr>
              <w:t>±0.05mm</w:t>
            </w:r>
            <w:r>
              <w:rPr>
                <w:rFonts w:hint="eastAsia" w:ascii="宋体" w:hAnsi="宋体" w:eastAsia="宋体" w:cs="宋体"/>
                <w:b w:val="0"/>
                <w:bCs w:val="0"/>
                <w:color w:val="auto"/>
                <w:sz w:val="21"/>
                <w:szCs w:val="21"/>
                <w:highlight w:val="none"/>
              </w:rPr>
              <w:t>方管，壁厚 1.2mm</w:t>
            </w:r>
            <w:r>
              <w:rPr>
                <w:rFonts w:hint="eastAsia" w:ascii="宋体" w:hAnsi="宋体" w:eastAsia="宋体" w:cs="宋体"/>
                <w:b w:val="0"/>
                <w:bCs w:val="0"/>
                <w:color w:val="auto"/>
                <w:sz w:val="21"/>
                <w:szCs w:val="21"/>
                <w:highlight w:val="none"/>
                <w:lang w:val="en-US" w:eastAsia="zh-CN"/>
              </w:rPr>
              <w:t>±0.05mm</w:t>
            </w:r>
            <w:r>
              <w:rPr>
                <w:rFonts w:hint="eastAsia" w:ascii="宋体" w:hAnsi="宋体" w:eastAsia="宋体" w:cs="宋体"/>
                <w:b w:val="0"/>
                <w:bCs w:val="0"/>
                <w:color w:val="auto"/>
                <w:sz w:val="21"/>
                <w:szCs w:val="21"/>
                <w:highlight w:val="none"/>
              </w:rPr>
              <w:t>， 前轮架采用25*25*1.5mm</w:t>
            </w:r>
            <w:r>
              <w:rPr>
                <w:rFonts w:hint="eastAsia" w:ascii="宋体" w:hAnsi="宋体" w:eastAsia="宋体" w:cs="宋体"/>
                <w:b w:val="0"/>
                <w:bCs w:val="0"/>
                <w:color w:val="auto"/>
                <w:sz w:val="21"/>
                <w:szCs w:val="21"/>
                <w:highlight w:val="none"/>
                <w:lang w:val="en-US" w:eastAsia="zh-CN"/>
              </w:rPr>
              <w:t>±0.05mm</w:t>
            </w:r>
            <w:r>
              <w:rPr>
                <w:rFonts w:hint="eastAsia" w:ascii="宋体" w:hAnsi="宋体" w:eastAsia="宋体" w:cs="宋体"/>
                <w:b w:val="0"/>
                <w:bCs w:val="0"/>
                <w:color w:val="auto"/>
                <w:sz w:val="21"/>
                <w:szCs w:val="21"/>
                <w:highlight w:val="none"/>
              </w:rPr>
              <w:t>。</w:t>
            </w:r>
          </w:p>
        </w:tc>
      </w:tr>
      <w:tr w14:paraId="24DE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0966E0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22F745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21160D1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.椅子脚架立柱和脚底：采用优质冷轧钢管上下套管结构，上架规格25*50mm</w:t>
            </w:r>
            <w:r>
              <w:rPr>
                <w:rFonts w:hint="eastAsia" w:ascii="宋体" w:hAnsi="宋体" w:eastAsia="宋体" w:cs="宋体"/>
                <w:b w:val="0"/>
                <w:bCs w:val="0"/>
                <w:color w:val="auto"/>
                <w:sz w:val="21"/>
                <w:szCs w:val="21"/>
                <w:highlight w:val="none"/>
                <w:lang w:val="en-US" w:eastAsia="zh-CN"/>
              </w:rPr>
              <w:t>±0.05mm</w:t>
            </w:r>
            <w:r>
              <w:rPr>
                <w:rFonts w:hint="eastAsia" w:ascii="宋体" w:hAnsi="宋体" w:eastAsia="宋体" w:cs="宋体"/>
                <w:b w:val="0"/>
                <w:bCs w:val="0"/>
                <w:color w:val="auto"/>
                <w:sz w:val="21"/>
                <w:szCs w:val="21"/>
                <w:highlight w:val="none"/>
              </w:rPr>
              <w:t>椭圆管/下架规格 30*60mm</w:t>
            </w:r>
            <w:r>
              <w:rPr>
                <w:rFonts w:hint="eastAsia" w:ascii="宋体" w:hAnsi="宋体" w:eastAsia="宋体" w:cs="宋体"/>
                <w:b w:val="0"/>
                <w:bCs w:val="0"/>
                <w:color w:val="auto"/>
                <w:sz w:val="21"/>
                <w:szCs w:val="21"/>
                <w:highlight w:val="none"/>
                <w:lang w:val="en-US" w:eastAsia="zh-CN"/>
              </w:rPr>
              <w:t>±0.05mm</w:t>
            </w:r>
            <w:r>
              <w:rPr>
                <w:rFonts w:hint="eastAsia" w:ascii="宋体" w:hAnsi="宋体" w:eastAsia="宋体" w:cs="宋体"/>
                <w:b w:val="0"/>
                <w:bCs w:val="0"/>
                <w:color w:val="auto"/>
                <w:sz w:val="21"/>
                <w:szCs w:val="21"/>
                <w:highlight w:val="none"/>
              </w:rPr>
              <w:t>椭圆钢管，管材厚度为1.2mm</w:t>
            </w:r>
            <w:r>
              <w:rPr>
                <w:rFonts w:hint="eastAsia" w:ascii="宋体" w:hAnsi="宋体" w:eastAsia="宋体" w:cs="宋体"/>
                <w:b w:val="0"/>
                <w:bCs w:val="0"/>
                <w:color w:val="auto"/>
                <w:sz w:val="21"/>
                <w:szCs w:val="21"/>
                <w:highlight w:val="none"/>
                <w:lang w:val="en-US" w:eastAsia="zh-CN"/>
              </w:rPr>
              <w:t>±0.05mm</w:t>
            </w:r>
            <w:r>
              <w:rPr>
                <w:rFonts w:hint="eastAsia" w:ascii="宋体" w:hAnsi="宋体" w:eastAsia="宋体" w:cs="宋体"/>
                <w:b w:val="0"/>
                <w:bCs w:val="0"/>
                <w:color w:val="auto"/>
                <w:sz w:val="21"/>
                <w:szCs w:val="21"/>
                <w:highlight w:val="none"/>
              </w:rPr>
              <w:t xml:space="preserve">。表面喷涂，经除油，除锈，磷化，喷粉，高温焗烤等工艺，边角毛刺打磨处理，外露部份做安全圆角处理。 </w:t>
            </w:r>
          </w:p>
        </w:tc>
      </w:tr>
      <w:tr w14:paraId="5A8D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5E86C0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69FF1A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72829F2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.椅子升降功能可配螺丝升降功能：椅子可调节高度：360-460mm</w:t>
            </w:r>
            <w:r>
              <w:rPr>
                <w:rFonts w:hint="eastAsia" w:ascii="宋体" w:hAnsi="宋体" w:eastAsia="宋体" w:cs="宋体"/>
                <w:b w:val="0"/>
                <w:bCs w:val="0"/>
                <w:color w:val="auto"/>
                <w:sz w:val="21"/>
                <w:szCs w:val="21"/>
                <w:highlight w:val="none"/>
                <w:lang w:val="en-US" w:eastAsia="zh-CN"/>
              </w:rPr>
              <w:t>±2mm</w:t>
            </w:r>
            <w:r>
              <w:rPr>
                <w:rFonts w:hint="eastAsia" w:ascii="宋体" w:hAnsi="宋体" w:eastAsia="宋体" w:cs="宋体"/>
                <w:b w:val="0"/>
                <w:bCs w:val="0"/>
                <w:color w:val="auto"/>
                <w:sz w:val="21"/>
                <w:szCs w:val="21"/>
                <w:highlight w:val="none"/>
              </w:rPr>
              <w:t>。</w:t>
            </w:r>
          </w:p>
        </w:tc>
      </w:tr>
      <w:tr w14:paraId="15B0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0629FD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4DB21F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49BF680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.椅子升降器：采用定制款铝合金材料，可反复使用10000次。</w:t>
            </w:r>
          </w:p>
        </w:tc>
      </w:tr>
      <w:tr w14:paraId="376A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51A22EF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50A01A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4D2F201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.椅子脚套：采用环保ABS材料，耐磨耐刮，不伤地板。</w:t>
            </w:r>
          </w:p>
        </w:tc>
      </w:tr>
      <w:tr w14:paraId="0181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623B41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60512A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3061987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椅子导轨：用带钢经数控冲床冲压成形，坯料经电泳烘干，再装配成品采用。2.0mm</w:t>
            </w:r>
            <w:r>
              <w:rPr>
                <w:rFonts w:hint="eastAsia" w:ascii="宋体" w:hAnsi="宋体" w:eastAsia="宋体" w:cs="宋体"/>
                <w:b w:val="0"/>
                <w:bCs w:val="0"/>
                <w:color w:val="auto"/>
                <w:sz w:val="21"/>
                <w:szCs w:val="21"/>
                <w:highlight w:val="none"/>
                <w:lang w:val="en-US" w:eastAsia="zh-CN"/>
              </w:rPr>
              <w:t>±0.05mm</w:t>
            </w:r>
            <w:r>
              <w:rPr>
                <w:rFonts w:hint="eastAsia" w:ascii="宋体" w:hAnsi="宋体" w:eastAsia="宋体" w:cs="宋体"/>
                <w:b w:val="0"/>
                <w:bCs w:val="0"/>
                <w:color w:val="auto"/>
                <w:sz w:val="21"/>
                <w:szCs w:val="21"/>
                <w:highlight w:val="none"/>
              </w:rPr>
              <w:t>加重重型五金导轨，可承重150KG</w:t>
            </w:r>
            <w:r>
              <w:rPr>
                <w:rFonts w:hint="eastAsia" w:ascii="宋体" w:hAnsi="宋体" w:eastAsia="宋体" w:cs="宋体"/>
                <w:b w:val="0"/>
                <w:bCs w:val="0"/>
                <w:color w:val="auto"/>
                <w:sz w:val="21"/>
                <w:szCs w:val="21"/>
                <w:highlight w:val="none"/>
                <w:lang w:val="en-US" w:eastAsia="zh-CN"/>
              </w:rPr>
              <w:t>±1KG</w:t>
            </w:r>
            <w:r>
              <w:rPr>
                <w:rFonts w:hint="eastAsia" w:ascii="宋体" w:hAnsi="宋体" w:eastAsia="宋体" w:cs="宋体"/>
                <w:b w:val="0"/>
                <w:bCs w:val="0"/>
                <w:color w:val="auto"/>
                <w:sz w:val="21"/>
                <w:szCs w:val="21"/>
                <w:highlight w:val="none"/>
              </w:rPr>
              <w:t>，可反复使用10000次。导轨边角毛刺打磨处理，外露部份做安全圆角处理。</w:t>
            </w:r>
          </w:p>
        </w:tc>
      </w:tr>
      <w:tr w14:paraId="373C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1026A1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7A421A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2EE79AB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 xml:space="preserve">.椅子座板支架:下装回收免手动自动锁，底下带静音橡胶滑轮，脚架两边与轨道连接。与椅子主体脚架形成长方体，使用时收拉顺畅不偏轨，受力均衡稳定。表面喷涂，经除油，除锈磷化，喷粉，高温焗烤等工艺处理。 </w:t>
            </w:r>
          </w:p>
        </w:tc>
      </w:tr>
      <w:tr w14:paraId="342D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03C06E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61C634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05BF57D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.椅子功能：160°</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°超大仰角，脚架前移，操作简单便捷，弧形靠背设计，减少脊椎和腰部压迫，反向调节，3秒回复原状。</w:t>
            </w:r>
          </w:p>
        </w:tc>
      </w:tr>
      <w:tr w14:paraId="0FE4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54B5A3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4E1DB3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1D0D2F3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.椅子重量：净重12KG±0.3</w:t>
            </w:r>
            <w:r>
              <w:rPr>
                <w:rFonts w:hint="eastAsia" w:ascii="宋体" w:hAnsi="宋体" w:eastAsia="宋体" w:cs="宋体"/>
                <w:b w:val="0"/>
                <w:bCs w:val="0"/>
                <w:color w:val="auto"/>
                <w:sz w:val="21"/>
                <w:szCs w:val="21"/>
                <w:highlight w:val="none"/>
                <w:lang w:val="en-US" w:eastAsia="zh-CN"/>
              </w:rPr>
              <w:t>KG</w:t>
            </w:r>
            <w:r>
              <w:rPr>
                <w:rFonts w:hint="eastAsia" w:ascii="宋体" w:hAnsi="宋体" w:eastAsia="宋体" w:cs="宋体"/>
                <w:b w:val="0"/>
                <w:bCs w:val="0"/>
                <w:color w:val="auto"/>
                <w:sz w:val="21"/>
                <w:szCs w:val="21"/>
                <w:highlight w:val="none"/>
              </w:rPr>
              <w:t>。</w:t>
            </w:r>
          </w:p>
        </w:tc>
      </w:tr>
      <w:tr w14:paraId="1072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2387F1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13618B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23B5B61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颜色：</w:t>
            </w:r>
            <w:r>
              <w:rPr>
                <w:rFonts w:hint="eastAsia" w:ascii="宋体" w:hAnsi="宋体" w:eastAsia="宋体" w:cs="宋体"/>
                <w:b w:val="0"/>
                <w:bCs w:val="0"/>
                <w:color w:val="auto"/>
                <w:sz w:val="21"/>
                <w:szCs w:val="21"/>
                <w:highlight w:val="none"/>
              </w:rPr>
              <w:t xml:space="preserve">金属架：白色；塑料板：灰色。           </w:t>
            </w:r>
          </w:p>
        </w:tc>
      </w:tr>
      <w:tr w14:paraId="6C1B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14:paraId="6079D9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1980" w:type="dxa"/>
            <w:vMerge w:val="continue"/>
            <w:noWrap w:val="0"/>
            <w:vAlign w:val="center"/>
          </w:tcPr>
          <w:p w14:paraId="02ECFE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p>
        </w:tc>
        <w:tc>
          <w:tcPr>
            <w:tcW w:w="5414" w:type="dxa"/>
            <w:noWrap w:val="0"/>
            <w:vAlign w:val="top"/>
          </w:tcPr>
          <w:p w14:paraId="3718EBF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rPr>
              <w:t>▲</w:t>
            </w:r>
            <w:r>
              <w:rPr>
                <w:rFonts w:hint="eastAsia" w:ascii="宋体" w:hAnsi="宋体" w:eastAsia="宋体" w:cs="宋体"/>
                <w:b/>
                <w:bCs/>
                <w:color w:val="FF0000"/>
                <w:sz w:val="21"/>
                <w:szCs w:val="21"/>
                <w:highlight w:val="none"/>
                <w:lang w:val="en-US" w:eastAsia="zh-CN"/>
              </w:rPr>
              <w:t>13.磷化膜：</w:t>
            </w:r>
            <w:r>
              <w:rPr>
                <w:rFonts w:hint="eastAsia" w:ascii="宋体" w:hAnsi="宋体" w:eastAsia="宋体" w:cs="宋体"/>
                <w:b/>
                <w:bCs/>
                <w:color w:val="FF0000"/>
                <w:sz w:val="21"/>
                <w:szCs w:val="21"/>
                <w:highlight w:val="none"/>
              </w:rPr>
              <w:t>投标人投标时</w:t>
            </w:r>
            <w:r>
              <w:rPr>
                <w:rFonts w:hint="eastAsia" w:ascii="宋体" w:hAnsi="宋体" w:eastAsia="宋体" w:cs="宋体"/>
                <w:b/>
                <w:bCs/>
                <w:color w:val="FF0000"/>
                <w:sz w:val="21"/>
                <w:szCs w:val="21"/>
                <w:highlight w:val="none"/>
                <w:lang w:val="en-US" w:eastAsia="zh-CN"/>
              </w:rPr>
              <w:t>依据</w:t>
            </w:r>
            <w:r>
              <w:rPr>
                <w:rFonts w:hint="eastAsia" w:ascii="宋体" w:hAnsi="宋体" w:eastAsia="宋体" w:cs="宋体"/>
                <w:b/>
                <w:bCs/>
                <w:color w:val="FF0000"/>
                <w:sz w:val="21"/>
                <w:szCs w:val="21"/>
                <w:highlight w:val="none"/>
              </w:rPr>
              <w:t>GB/T6807-2001</w:t>
            </w:r>
            <w:r>
              <w:rPr>
                <w:rFonts w:hint="eastAsia" w:ascii="宋体" w:hAnsi="宋体" w:eastAsia="宋体" w:cs="宋体"/>
                <w:b/>
                <w:bCs/>
                <w:color w:val="FF0000"/>
                <w:sz w:val="21"/>
                <w:szCs w:val="21"/>
                <w:highlight w:val="none"/>
                <w:lang w:eastAsia="zh-CN"/>
              </w:rPr>
              <w:t>《钢铁工件涂装前磷化处理技术条件》</w:t>
            </w:r>
            <w:r>
              <w:rPr>
                <w:rFonts w:hint="eastAsia" w:ascii="宋体" w:hAnsi="宋体" w:eastAsia="宋体" w:cs="宋体"/>
                <w:b/>
                <w:bCs/>
                <w:color w:val="FF0000"/>
                <w:sz w:val="21"/>
                <w:szCs w:val="21"/>
                <w:highlight w:val="none"/>
                <w:lang w:val="en-US" w:eastAsia="zh-CN"/>
              </w:rPr>
              <w:t>标准进行检测。检测结果符合：</w:t>
            </w:r>
          </w:p>
          <w:p w14:paraId="5CCFA34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1.外观：浅灰色膜层结晶致密、连续和均匀</w:t>
            </w:r>
          </w:p>
          <w:p w14:paraId="04D7BA2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2.磷化膜重（g/㎡）：3~6</w:t>
            </w:r>
          </w:p>
          <w:p w14:paraId="3352E27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3.磷化膜耐蚀性：经1h,基本不应出现锈蚀</w:t>
            </w:r>
          </w:p>
          <w:p w14:paraId="3B39752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rPr>
              <w:t>4.漆膜耐蚀性：经24h中性盐雾试验后，涂膜应无起泡、脱落及锈蚀等现象。</w:t>
            </w:r>
          </w:p>
          <w:p w14:paraId="2BC4451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FF0000"/>
                <w:sz w:val="21"/>
                <w:szCs w:val="21"/>
                <w:highlight w:val="none"/>
                <w:lang w:val="en-US" w:eastAsia="zh-CN" w:bidi="ar"/>
              </w:rPr>
            </w:pPr>
            <w:r>
              <w:rPr>
                <w:rFonts w:hint="eastAsia" w:ascii="宋体" w:hAnsi="宋体" w:eastAsia="宋体" w:cs="宋体"/>
                <w:b/>
                <w:bCs/>
                <w:color w:val="FF0000"/>
                <w:sz w:val="21"/>
                <w:szCs w:val="21"/>
                <w:highlight w:val="none"/>
                <w:lang w:val="en-US" w:eastAsia="zh-CN" w:bidi="ar"/>
              </w:rPr>
              <w:t>证明材料：</w:t>
            </w:r>
            <w:r>
              <w:rPr>
                <w:rFonts w:hint="eastAsia" w:ascii="宋体" w:hAnsi="宋体" w:eastAsia="宋体" w:cs="宋体"/>
                <w:b/>
                <w:bCs/>
                <w:color w:val="FF0000"/>
                <w:sz w:val="21"/>
                <w:szCs w:val="21"/>
                <w:highlight w:val="none"/>
                <w:lang w:eastAsia="zh-CN" w:bidi="ar"/>
              </w:rPr>
              <w:t>投标时需同时提供</w:t>
            </w:r>
            <w:r>
              <w:rPr>
                <w:rFonts w:hint="eastAsia" w:ascii="宋体" w:hAnsi="宋体" w:eastAsia="宋体" w:cs="宋体"/>
                <w:b/>
                <w:bCs/>
                <w:color w:val="FF0000"/>
                <w:kern w:val="2"/>
                <w:sz w:val="21"/>
                <w:szCs w:val="21"/>
                <w:highlight w:val="none"/>
                <w:lang w:val="en-US" w:eastAsia="zh-CN" w:bidi="ar"/>
              </w:rPr>
              <w:t>2023年1月1日至本项目投标截止日之日</w:t>
            </w:r>
            <w:r>
              <w:rPr>
                <w:rFonts w:hint="eastAsia" w:ascii="宋体" w:hAnsi="宋体" w:eastAsia="宋体" w:cs="宋体"/>
                <w:b/>
                <w:bCs/>
                <w:color w:val="FF0000"/>
                <w:sz w:val="21"/>
                <w:szCs w:val="21"/>
                <w:highlight w:val="none"/>
                <w:lang w:eastAsia="zh-CN" w:bidi="ar"/>
              </w:rPr>
              <w:t>第三方检验检测机构出具的带有CMA标识的</w:t>
            </w:r>
            <w:r>
              <w:rPr>
                <w:rFonts w:hint="eastAsia" w:ascii="宋体" w:hAnsi="宋体" w:eastAsia="宋体" w:cs="宋体"/>
                <w:b/>
                <w:bCs/>
                <w:color w:val="FF0000"/>
                <w:sz w:val="21"/>
                <w:szCs w:val="21"/>
                <w:highlight w:val="none"/>
                <w:lang w:val="en-US" w:eastAsia="zh-CN"/>
              </w:rPr>
              <w:t>课桌椅磷化膜</w:t>
            </w:r>
            <w:r>
              <w:rPr>
                <w:rFonts w:hint="eastAsia" w:ascii="宋体" w:hAnsi="宋体" w:eastAsia="宋体" w:cs="宋体"/>
                <w:b/>
                <w:bCs/>
                <w:color w:val="FF0000"/>
                <w:sz w:val="21"/>
                <w:szCs w:val="21"/>
                <w:highlight w:val="none"/>
                <w:lang w:eastAsia="zh-CN" w:bidi="ar"/>
              </w:rPr>
              <w:t>检验检测报告</w:t>
            </w:r>
            <w:r>
              <w:rPr>
                <w:rFonts w:hint="eastAsia" w:ascii="宋体" w:hAnsi="宋体" w:eastAsia="宋体" w:cs="宋体"/>
                <w:b/>
                <w:bCs/>
                <w:color w:val="FF0000"/>
                <w:sz w:val="21"/>
                <w:szCs w:val="21"/>
                <w:highlight w:val="none"/>
                <w:lang w:val="en-US" w:eastAsia="zh-CN" w:bidi="ar"/>
              </w:rPr>
              <w:t>扫描</w:t>
            </w:r>
            <w:r>
              <w:rPr>
                <w:rFonts w:hint="eastAsia" w:ascii="宋体" w:hAnsi="宋体" w:eastAsia="宋体" w:cs="宋体"/>
                <w:b/>
                <w:bCs/>
                <w:color w:val="FF0000"/>
                <w:sz w:val="21"/>
                <w:szCs w:val="21"/>
                <w:highlight w:val="none"/>
                <w:lang w:eastAsia="zh-CN" w:bidi="ar"/>
              </w:rPr>
              <w:t>件，报告内容能体现满足上述参数要求。</w:t>
            </w:r>
          </w:p>
        </w:tc>
      </w:tr>
    </w:tbl>
    <w:p w14:paraId="15BEA46F">
      <w:pPr>
        <w:widowControl w:val="0"/>
        <w:jc w:val="both"/>
        <w:rPr>
          <w:rFonts w:ascii="宋体" w:hAnsi="宋体" w:eastAsia="宋体"/>
          <w:b/>
          <w:color w:val="FF0000"/>
          <w:kern w:val="2"/>
          <w:sz w:val="21"/>
          <w:szCs w:val="21"/>
          <w:lang w:eastAsia="zh-CN"/>
        </w:rPr>
      </w:pPr>
    </w:p>
    <w:p w14:paraId="00204FE2">
      <w:pPr>
        <w:pStyle w:val="2"/>
        <w:rPr>
          <w:rFonts w:ascii="Calibri" w:hAnsi="Calibri" w:eastAsia="宋体"/>
          <w:sz w:val="21"/>
        </w:rPr>
      </w:pPr>
    </w:p>
    <w:p w14:paraId="3A293B5D">
      <w:pPr>
        <w:widowControl w:val="0"/>
        <w:jc w:val="both"/>
        <w:rPr>
          <w:rFonts w:ascii="宋体" w:hAnsi="宋体" w:eastAsia="宋体"/>
          <w:b/>
          <w:color w:val="FF0000"/>
          <w:kern w:val="2"/>
          <w:sz w:val="21"/>
          <w:szCs w:val="21"/>
          <w:highlight w:val="yellow"/>
          <w:lang w:eastAsia="zh-CN"/>
        </w:rPr>
      </w:pPr>
      <w:r>
        <w:rPr>
          <w:rFonts w:hint="eastAsia" w:ascii="宋体" w:hAnsi="宋体" w:eastAsia="宋体"/>
          <w:b/>
          <w:color w:val="FF0000"/>
          <w:kern w:val="2"/>
          <w:sz w:val="21"/>
          <w:szCs w:val="21"/>
          <w:lang w:eastAsia="zh-CN"/>
        </w:rPr>
        <w:t>1、带</w:t>
      </w:r>
      <w:r>
        <w:rPr>
          <w:rFonts w:hint="eastAsia" w:ascii="宋体" w:hAnsi="宋体" w:eastAsia="宋体"/>
          <w:b/>
          <w:bCs/>
          <w:color w:val="FF0000"/>
          <w:kern w:val="2"/>
          <w:sz w:val="21"/>
          <w:szCs w:val="21"/>
          <w:lang w:eastAsia="zh-CN"/>
        </w:rPr>
        <w:t>★</w:t>
      </w:r>
      <w:r>
        <w:rPr>
          <w:rFonts w:hint="eastAsia" w:ascii="宋体" w:hAnsi="宋体" w:eastAsia="宋体"/>
          <w:b/>
          <w:color w:val="FF0000"/>
          <w:kern w:val="2"/>
          <w:sz w:val="21"/>
          <w:szCs w:val="21"/>
          <w:lang w:eastAsia="zh-CN"/>
        </w:rPr>
        <w:t>号要求为不可偏离要求，如出现负偏离，将导致投标无效。带▲号参数为重要参数，其他参数（非▲号参数）为普通参数，如出现负偏离，将按照评分准则做扣分处理。</w:t>
      </w:r>
      <w:r>
        <w:rPr>
          <w:rFonts w:hint="eastAsia" w:ascii="宋体" w:hAnsi="宋体" w:eastAsia="宋体"/>
          <w:b/>
          <w:color w:val="FF0000"/>
          <w:kern w:val="2"/>
          <w:sz w:val="21"/>
          <w:szCs w:val="21"/>
          <w:highlight w:val="yellow"/>
          <w:lang w:eastAsia="zh-CN"/>
        </w:rPr>
        <w:t>如注明要求提供相关佐证材料的，需以佐证材料作为是否偏离的依据。</w:t>
      </w:r>
    </w:p>
    <w:p w14:paraId="13E64970">
      <w:pPr>
        <w:widowControl w:val="0"/>
        <w:spacing w:after="78"/>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2、所列的技术</w:t>
      </w:r>
      <w:r>
        <w:rPr>
          <w:rFonts w:ascii="Calibri" w:hAnsi="Calibri" w:eastAsia="宋体"/>
          <w:color w:val="FF0000"/>
          <w:kern w:val="2"/>
          <w:sz w:val="21"/>
          <w:szCs w:val="21"/>
          <w:lang w:eastAsia="zh-CN"/>
        </w:rPr>
        <w:t>参数</w:t>
      </w:r>
      <w:r>
        <w:rPr>
          <w:rFonts w:hint="eastAsia" w:ascii="Calibri" w:hAnsi="Calibri" w:eastAsia="宋体"/>
          <w:color w:val="FF0000"/>
          <w:kern w:val="2"/>
          <w:sz w:val="21"/>
          <w:szCs w:val="21"/>
          <w:lang w:eastAsia="zh-CN"/>
        </w:rPr>
        <w:t>需求中如出现品牌信息仅供参考，不作为参数要求，目的只为投标人更清楚地了解采购需求，投标人可提供其他品牌设备投标。</w:t>
      </w:r>
    </w:p>
    <w:p w14:paraId="746C6B55">
      <w:pPr>
        <w:widowControl w:val="0"/>
        <w:spacing w:after="78"/>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3、如有</w:t>
      </w:r>
      <w:r>
        <w:rPr>
          <w:rFonts w:ascii="Calibri" w:hAnsi="Calibri" w:eastAsia="宋体"/>
          <w:color w:val="FF0000"/>
          <w:kern w:val="2"/>
          <w:sz w:val="21"/>
          <w:szCs w:val="21"/>
          <w:lang w:eastAsia="zh-CN"/>
        </w:rPr>
        <w:t>方案表述中有出现类似可实现、</w:t>
      </w:r>
      <w:r>
        <w:rPr>
          <w:rFonts w:hint="eastAsia" w:ascii="Calibri" w:hAnsi="Calibri" w:eastAsia="宋体"/>
          <w:color w:val="FF0000"/>
          <w:kern w:val="2"/>
          <w:sz w:val="21"/>
          <w:szCs w:val="21"/>
          <w:lang w:eastAsia="zh-CN"/>
        </w:rPr>
        <w:t>实现</w:t>
      </w:r>
      <w:r>
        <w:rPr>
          <w:rFonts w:ascii="Calibri" w:hAnsi="Calibri" w:eastAsia="宋体"/>
          <w:color w:val="FF0000"/>
          <w:kern w:val="2"/>
          <w:sz w:val="21"/>
          <w:szCs w:val="21"/>
          <w:lang w:eastAsia="zh-CN"/>
        </w:rPr>
        <w:t>、</w:t>
      </w:r>
      <w:r>
        <w:rPr>
          <w:rFonts w:hint="eastAsia" w:ascii="Calibri" w:hAnsi="Calibri" w:eastAsia="宋体"/>
          <w:color w:val="FF0000"/>
          <w:kern w:val="2"/>
          <w:sz w:val="21"/>
          <w:szCs w:val="21"/>
          <w:lang w:eastAsia="zh-CN"/>
        </w:rPr>
        <w:t>可</w:t>
      </w:r>
      <w:r>
        <w:rPr>
          <w:rFonts w:ascii="Calibri" w:hAnsi="Calibri" w:eastAsia="宋体"/>
          <w:color w:val="FF0000"/>
          <w:kern w:val="2"/>
          <w:sz w:val="21"/>
          <w:szCs w:val="21"/>
          <w:lang w:eastAsia="zh-CN"/>
        </w:rPr>
        <w:t>支持、支持</w:t>
      </w:r>
      <w:r>
        <w:rPr>
          <w:rFonts w:hint="eastAsia" w:ascii="Calibri" w:hAnsi="Calibri" w:eastAsia="宋体"/>
          <w:color w:val="FF0000"/>
          <w:kern w:val="2"/>
          <w:sz w:val="21"/>
          <w:szCs w:val="21"/>
          <w:lang w:eastAsia="zh-CN"/>
        </w:rPr>
        <w:t>等</w:t>
      </w:r>
      <w:r>
        <w:rPr>
          <w:rFonts w:ascii="Calibri" w:hAnsi="Calibri" w:eastAsia="宋体"/>
          <w:color w:val="FF0000"/>
          <w:kern w:val="2"/>
          <w:sz w:val="21"/>
          <w:szCs w:val="21"/>
          <w:lang w:eastAsia="zh-CN"/>
        </w:rPr>
        <w:t>描述的，均表示方案需要实现的功能或</w:t>
      </w:r>
      <w:r>
        <w:rPr>
          <w:rFonts w:hint="eastAsia" w:ascii="Calibri" w:hAnsi="Calibri" w:eastAsia="宋体"/>
          <w:color w:val="FF0000"/>
          <w:kern w:val="2"/>
          <w:sz w:val="21"/>
          <w:szCs w:val="21"/>
          <w:lang w:eastAsia="zh-CN"/>
        </w:rPr>
        <w:t>应满足的</w:t>
      </w:r>
      <w:r>
        <w:rPr>
          <w:rFonts w:ascii="Calibri" w:hAnsi="Calibri" w:eastAsia="宋体"/>
          <w:color w:val="FF0000"/>
          <w:kern w:val="2"/>
          <w:sz w:val="21"/>
          <w:szCs w:val="21"/>
          <w:lang w:eastAsia="zh-CN"/>
        </w:rPr>
        <w:t>要求，即项目在验收时无须增加其他</w:t>
      </w:r>
      <w:r>
        <w:rPr>
          <w:rFonts w:hint="eastAsia" w:ascii="Calibri" w:hAnsi="Calibri" w:eastAsia="宋体"/>
          <w:color w:val="FF0000"/>
          <w:kern w:val="2"/>
          <w:sz w:val="21"/>
          <w:szCs w:val="21"/>
          <w:lang w:eastAsia="zh-CN"/>
        </w:rPr>
        <w:t>额外</w:t>
      </w:r>
      <w:r>
        <w:rPr>
          <w:rFonts w:ascii="Calibri" w:hAnsi="Calibri" w:eastAsia="宋体"/>
          <w:color w:val="FF0000"/>
          <w:kern w:val="2"/>
          <w:sz w:val="21"/>
          <w:szCs w:val="21"/>
          <w:lang w:eastAsia="zh-CN"/>
        </w:rPr>
        <w:t>设备</w:t>
      </w:r>
      <w:r>
        <w:rPr>
          <w:rFonts w:hint="eastAsia" w:ascii="Calibri" w:hAnsi="Calibri" w:eastAsia="宋体"/>
          <w:color w:val="FF0000"/>
          <w:kern w:val="2"/>
          <w:sz w:val="21"/>
          <w:szCs w:val="21"/>
          <w:lang w:eastAsia="zh-CN"/>
        </w:rPr>
        <w:t>或</w:t>
      </w:r>
      <w:r>
        <w:rPr>
          <w:rFonts w:ascii="Calibri" w:hAnsi="Calibri" w:eastAsia="宋体"/>
          <w:color w:val="FF0000"/>
          <w:kern w:val="2"/>
          <w:sz w:val="21"/>
          <w:szCs w:val="21"/>
          <w:lang w:eastAsia="zh-CN"/>
        </w:rPr>
        <w:t>系统</w:t>
      </w:r>
      <w:r>
        <w:rPr>
          <w:rFonts w:hint="eastAsia" w:ascii="Calibri" w:hAnsi="Calibri" w:eastAsia="宋体"/>
          <w:color w:val="FF0000"/>
          <w:kern w:val="2"/>
          <w:sz w:val="21"/>
          <w:szCs w:val="21"/>
          <w:lang w:eastAsia="zh-CN"/>
        </w:rPr>
        <w:t>，</w:t>
      </w:r>
      <w:r>
        <w:rPr>
          <w:rFonts w:ascii="Calibri" w:hAnsi="Calibri" w:eastAsia="宋体"/>
          <w:color w:val="FF0000"/>
          <w:kern w:val="2"/>
          <w:sz w:val="21"/>
          <w:szCs w:val="21"/>
          <w:lang w:eastAsia="zh-CN"/>
        </w:rPr>
        <w:t>使用本项目中的设备或</w:t>
      </w:r>
      <w:r>
        <w:rPr>
          <w:rFonts w:hint="eastAsia" w:ascii="Calibri" w:hAnsi="Calibri" w:eastAsia="宋体"/>
          <w:color w:val="FF0000"/>
          <w:kern w:val="2"/>
          <w:sz w:val="21"/>
          <w:szCs w:val="21"/>
          <w:lang w:eastAsia="zh-CN"/>
        </w:rPr>
        <w:t>系统</w:t>
      </w:r>
      <w:r>
        <w:rPr>
          <w:rFonts w:ascii="Calibri" w:hAnsi="Calibri" w:eastAsia="宋体"/>
          <w:color w:val="FF0000"/>
          <w:kern w:val="2"/>
          <w:sz w:val="21"/>
          <w:szCs w:val="21"/>
          <w:lang w:eastAsia="zh-CN"/>
        </w:rPr>
        <w:t>即能实现</w:t>
      </w:r>
      <w:r>
        <w:rPr>
          <w:rFonts w:hint="eastAsia" w:ascii="Calibri" w:hAnsi="Calibri" w:eastAsia="宋体"/>
          <w:color w:val="FF0000"/>
          <w:kern w:val="2"/>
          <w:sz w:val="21"/>
          <w:szCs w:val="21"/>
          <w:lang w:eastAsia="zh-CN"/>
        </w:rPr>
        <w:t>相应功能</w:t>
      </w:r>
      <w:r>
        <w:rPr>
          <w:rFonts w:ascii="Calibri" w:hAnsi="Calibri" w:eastAsia="宋体"/>
          <w:color w:val="FF0000"/>
          <w:kern w:val="2"/>
          <w:sz w:val="21"/>
          <w:szCs w:val="21"/>
          <w:lang w:eastAsia="zh-CN"/>
        </w:rPr>
        <w:t>或</w:t>
      </w:r>
      <w:r>
        <w:rPr>
          <w:rFonts w:hint="eastAsia" w:ascii="Calibri" w:hAnsi="Calibri" w:eastAsia="宋体"/>
          <w:color w:val="FF0000"/>
          <w:kern w:val="2"/>
          <w:sz w:val="21"/>
          <w:szCs w:val="21"/>
          <w:lang w:eastAsia="zh-CN"/>
        </w:rPr>
        <w:t>满足相关</w:t>
      </w:r>
      <w:r>
        <w:rPr>
          <w:rFonts w:ascii="Calibri" w:hAnsi="Calibri" w:eastAsia="宋体"/>
          <w:color w:val="FF0000"/>
          <w:kern w:val="2"/>
          <w:sz w:val="21"/>
          <w:szCs w:val="21"/>
          <w:lang w:eastAsia="zh-CN"/>
        </w:rPr>
        <w:t>要求。</w:t>
      </w:r>
    </w:p>
    <w:p w14:paraId="67FAE8EA">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4、针对招标文件产品技术参数如涉及相关既定值、单向范围值、区间范围值的，投标技术参数响应方式举例说明如下：</w:t>
      </w:r>
    </w:p>
    <w:p w14:paraId="1919F608">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（1）涉及相关既定值的，例：招标技术参数要求值为“20L”，投标技术参数响应值与“20L”不一致的，均视为负偏离；</w:t>
      </w:r>
    </w:p>
    <w:p w14:paraId="1BE02C13">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193C643E">
      <w:pPr>
        <w:widowControl w:val="0"/>
        <w:spacing w:after="78"/>
        <w:rPr>
          <w:rFonts w:ascii="Calibri" w:hAnsi="Calibri" w:eastAsia="黑体"/>
          <w:kern w:val="44"/>
          <w:sz w:val="21"/>
          <w:szCs w:val="44"/>
          <w:lang w:eastAsia="zh-CN"/>
        </w:rPr>
      </w:pPr>
      <w:r>
        <w:rPr>
          <w:rFonts w:ascii="Calibri" w:hAnsi="Calibri" w:eastAsia="宋体"/>
          <w:color w:val="FF0000"/>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46B0FB57">
      <w:pPr>
        <w:keepNext/>
        <w:keepLines/>
        <w:widowControl w:val="0"/>
        <w:spacing w:before="120" w:beforeLines="50" w:after="120" w:afterLines="50" w:line="416" w:lineRule="auto"/>
        <w:jc w:val="center"/>
        <w:outlineLvl w:val="2"/>
        <w:rPr>
          <w:rFonts w:ascii="宋体" w:hAnsi="宋体" w:eastAsia="宋体"/>
          <w:b/>
          <w:bCs/>
          <w:kern w:val="2"/>
          <w:sz w:val="28"/>
          <w:szCs w:val="28"/>
          <w:lang w:eastAsia="zh-CN"/>
        </w:rPr>
      </w:pPr>
      <w:r>
        <w:rPr>
          <w:rFonts w:hint="eastAsia" w:ascii="宋体" w:hAnsi="宋体" w:eastAsia="宋体" w:cstheme="minorBidi"/>
          <w:b/>
          <w:bCs/>
          <w:kern w:val="2"/>
          <w:sz w:val="28"/>
          <w:szCs w:val="28"/>
          <w:lang w:eastAsia="zh-CN"/>
        </w:rPr>
        <w:t>六、其他重要条款</w:t>
      </w:r>
    </w:p>
    <w:p w14:paraId="0C94E172">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14:paraId="4FB657C9">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14:paraId="1AD87BE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val="en-US" w:eastAsia="zh-CN"/>
        </w:rPr>
        <w:t>3</w:t>
      </w:r>
      <w:r>
        <w:rPr>
          <w:rFonts w:hint="eastAsia" w:ascii="Calibri" w:hAnsi="Calibri" w:eastAsia="宋体" w:cstheme="minorBidi"/>
          <w:kern w:val="2"/>
          <w:sz w:val="21"/>
          <w:szCs w:val="22"/>
          <w:lang w:eastAsia="zh-CN"/>
        </w:rPr>
        <w:t>、投标人的投标报价不得超过财政预算限额，如设投标最高限价的，报价不得超过最高限价；</w:t>
      </w:r>
    </w:p>
    <w:p w14:paraId="3A9B392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val="en-US" w:eastAsia="zh-CN"/>
        </w:rPr>
        <w:t>4</w:t>
      </w:r>
      <w:r>
        <w:rPr>
          <w:rFonts w:hint="eastAsia" w:ascii="Calibri" w:hAnsi="Calibri" w:eastAsia="宋体" w:cstheme="minorBidi"/>
          <w:kern w:val="2"/>
          <w:sz w:val="21"/>
          <w:szCs w:val="22"/>
          <w:lang w:eastAsia="zh-CN"/>
        </w:rPr>
        <w:t>、投标人的投标报价，应是本项目采购范围和采购文件及合同条款上所列的各项内容中所述的全部，不得以任何理由予以重复，并以投标人在中提出的综合单价或总价为依据；</w:t>
      </w:r>
    </w:p>
    <w:p w14:paraId="7DD23BB4">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val="en-US" w:eastAsia="zh-CN"/>
        </w:rPr>
        <w:t>5</w:t>
      </w:r>
      <w:r>
        <w:rPr>
          <w:rFonts w:hint="eastAsia" w:ascii="Calibri" w:hAnsi="Calibri" w:eastAsia="宋体" w:cstheme="minorBidi"/>
          <w:kern w:val="2"/>
          <w:sz w:val="21"/>
          <w:szCs w:val="22"/>
          <w:lang w:eastAsia="zh-CN"/>
        </w:rPr>
        <w:t>、除非龙华区教育系统通过修改采购文件予以更正，否则，投标人应毫无例外地按采购文件所列的清单中项目和数量填报综合单价和合价。投标人未填综合单价或合价的项目，视作该项费用已包括在其它有价款的综合单价或合价内；</w:t>
      </w:r>
    </w:p>
    <w:p w14:paraId="0B1E7AD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val="en-US" w:eastAsia="zh-CN"/>
        </w:rPr>
        <w:t>6</w:t>
      </w:r>
      <w:r>
        <w:rPr>
          <w:rFonts w:hint="eastAsia" w:ascii="Calibri" w:hAnsi="Calibri" w:eastAsia="宋体" w:cstheme="minorBidi"/>
          <w:kern w:val="2"/>
          <w:sz w:val="21"/>
          <w:szCs w:val="22"/>
          <w:lang w:eastAsia="zh-CN"/>
        </w:rPr>
        <w:t>、投标人应先到项目地点踏勘以充分了解项目的位置、情况、道路及任何其它足以影响投标报价的情况，任何因忽视或误解项目情况而导致的索赔或服务期限延长申请将不获批准；</w:t>
      </w:r>
    </w:p>
    <w:p w14:paraId="518D8D2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val="en-US" w:eastAsia="zh-CN"/>
        </w:rPr>
        <w:t>7</w:t>
      </w:r>
      <w:r>
        <w:rPr>
          <w:rFonts w:hint="eastAsia" w:ascii="Calibri" w:hAnsi="Calibri" w:eastAsia="宋体" w:cstheme="minorBidi"/>
          <w:kern w:val="2"/>
          <w:sz w:val="21"/>
          <w:szCs w:val="22"/>
          <w:lang w:eastAsia="zh-CN"/>
        </w:rPr>
        <w:t>、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14:paraId="5A1D570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val="en-US" w:eastAsia="zh-CN"/>
        </w:rPr>
        <w:t>8</w:t>
      </w:r>
      <w:r>
        <w:rPr>
          <w:rFonts w:hint="eastAsia" w:ascii="Calibri" w:hAnsi="Calibri" w:eastAsia="宋体" w:cstheme="minorBidi"/>
          <w:kern w:val="2"/>
          <w:sz w:val="21"/>
          <w:szCs w:val="22"/>
          <w:lang w:eastAsia="zh-CN"/>
        </w:rPr>
        <w:t>、中标供应商</w:t>
      </w:r>
      <w:r>
        <w:rPr>
          <w:rFonts w:ascii="Calibri" w:hAnsi="Calibri" w:eastAsia="宋体" w:cstheme="minorBidi"/>
          <w:kern w:val="2"/>
          <w:sz w:val="21"/>
          <w:szCs w:val="22"/>
          <w:lang w:eastAsia="zh-CN"/>
        </w:rPr>
        <w:t>不得将项目非法分包或转包给任何单位和个人。否则，采购单位有权即刻终止合同，并要求</w:t>
      </w:r>
      <w:r>
        <w:rPr>
          <w:rFonts w:hint="eastAsia" w:ascii="Calibri" w:hAnsi="Calibri" w:eastAsia="宋体" w:cstheme="minorBidi"/>
          <w:kern w:val="2"/>
          <w:sz w:val="21"/>
          <w:szCs w:val="22"/>
          <w:lang w:eastAsia="zh-CN"/>
        </w:rPr>
        <w:t>中标供应商</w:t>
      </w:r>
      <w:r>
        <w:rPr>
          <w:rFonts w:ascii="Calibri" w:hAnsi="Calibri" w:eastAsia="宋体" w:cstheme="minorBidi"/>
          <w:kern w:val="2"/>
          <w:sz w:val="21"/>
          <w:szCs w:val="22"/>
          <w:lang w:eastAsia="zh-CN"/>
        </w:rPr>
        <w:t>赔偿相应损失。</w:t>
      </w:r>
    </w:p>
    <w:p w14:paraId="6CE51D6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val="en-US" w:eastAsia="zh-CN"/>
        </w:rPr>
        <w:t>9</w:t>
      </w:r>
      <w:r>
        <w:rPr>
          <w:rFonts w:hint="eastAsia" w:ascii="Calibri" w:hAnsi="Calibri" w:eastAsia="宋体" w:cstheme="minorBidi"/>
          <w:kern w:val="2"/>
          <w:sz w:val="21"/>
          <w:szCs w:val="22"/>
          <w:lang w:eastAsia="zh-CN"/>
        </w:rPr>
        <w:t>、投标人使用的标准必须是国际公认或国家、或地方政府颁布的同等或更高的标准，如投标人使用的标准低于上述标准，评审委员会将有权不予接受，投标人必须列表将明显的差异详细说明。</w:t>
      </w:r>
    </w:p>
    <w:p w14:paraId="06034A2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r>
        <w:rPr>
          <w:rFonts w:hint="eastAsia" w:ascii="Calibri" w:hAnsi="Calibri" w:eastAsia="宋体" w:cstheme="minorBidi"/>
          <w:kern w:val="2"/>
          <w:sz w:val="21"/>
          <w:szCs w:val="22"/>
          <w:lang w:val="en-US" w:eastAsia="zh-CN"/>
        </w:rPr>
        <w:t>0</w:t>
      </w:r>
      <w:r>
        <w:rPr>
          <w:rFonts w:hint="eastAsia" w:ascii="Calibri" w:hAnsi="Calibri" w:eastAsia="宋体" w:cstheme="minorBidi"/>
          <w:kern w:val="2"/>
          <w:sz w:val="21"/>
          <w:szCs w:val="22"/>
          <w:lang w:eastAsia="zh-CN"/>
        </w:rPr>
        <w:t>、供应商须在质疑期内一次性提出针对同一采购程序环节的质疑。</w:t>
      </w:r>
    </w:p>
    <w:p w14:paraId="1FCE683A">
      <w:pPr>
        <w:widowControl w:val="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1</w:t>
      </w:r>
      <w:r>
        <w:rPr>
          <w:rFonts w:hint="eastAsia" w:ascii="Calibri" w:hAnsi="Calibri" w:eastAsia="宋体" w:cstheme="minorBidi"/>
          <w:color w:val="FF0000"/>
          <w:kern w:val="2"/>
          <w:sz w:val="21"/>
          <w:szCs w:val="22"/>
          <w:lang w:val="en-US" w:eastAsia="zh-CN"/>
        </w:rPr>
        <w:t>1</w:t>
      </w:r>
      <w:r>
        <w:rPr>
          <w:rFonts w:hint="eastAsia" w:ascii="Calibri" w:hAnsi="Calibri" w:eastAsia="宋体" w:cstheme="minorBidi"/>
          <w:color w:val="FF0000"/>
          <w:kern w:val="2"/>
          <w:sz w:val="21"/>
          <w:szCs w:val="22"/>
          <w:lang w:eastAsia="zh-CN"/>
        </w:rPr>
        <w:t>、本项目按照深圳市龙华区教育局的相关采购规定执行，招标文件未明确的事项，参照政府采购有关法律法规执行。</w:t>
      </w:r>
    </w:p>
    <w:p w14:paraId="3EFFBBC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r>
        <w:rPr>
          <w:rFonts w:hint="eastAsia" w:ascii="Calibri" w:hAnsi="Calibri" w:eastAsia="宋体" w:cstheme="minorBidi"/>
          <w:kern w:val="2"/>
          <w:sz w:val="21"/>
          <w:szCs w:val="22"/>
          <w:lang w:val="en-US" w:eastAsia="zh-CN"/>
        </w:rPr>
        <w:t>2</w:t>
      </w:r>
      <w:r>
        <w:rPr>
          <w:rFonts w:hint="eastAsia" w:ascii="Calibri" w:hAnsi="Calibri" w:eastAsia="宋体" w:cstheme="minorBidi"/>
          <w:kern w:val="2"/>
          <w:sz w:val="21"/>
          <w:szCs w:val="22"/>
          <w:lang w:eastAsia="zh-CN"/>
        </w:rPr>
        <w:t>、除政府采购合同继续履行将损害国家利益和社会公共利益外，双方当事人不得擅自变更、中止或者终止合同。</w:t>
      </w:r>
    </w:p>
    <w:p w14:paraId="303E0D68">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r>
        <w:rPr>
          <w:rFonts w:hint="eastAsia" w:ascii="Calibri" w:hAnsi="Calibri" w:eastAsia="宋体" w:cstheme="minorBidi"/>
          <w:kern w:val="2"/>
          <w:sz w:val="21"/>
          <w:szCs w:val="22"/>
          <w:lang w:val="en-US" w:eastAsia="zh-CN"/>
        </w:rPr>
        <w:t>3</w:t>
      </w:r>
      <w:r>
        <w:rPr>
          <w:rFonts w:hint="eastAsia" w:ascii="Calibri" w:hAnsi="Calibri" w:eastAsia="宋体" w:cstheme="minorBidi"/>
          <w:kern w:val="2"/>
          <w:sz w:val="21"/>
          <w:szCs w:val="22"/>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30F8A068">
      <w:pPr>
        <w:widowControl w:val="0"/>
        <w:spacing w:line="360" w:lineRule="auto"/>
        <w:jc w:val="both"/>
        <w:rPr>
          <w:rFonts w:ascii="Calibri" w:hAnsi="Calibri" w:eastAsia="宋体"/>
          <w:b/>
          <w:bCs/>
          <w:kern w:val="2"/>
          <w:szCs w:val="21"/>
          <w:lang w:eastAsia="zh-CN"/>
        </w:rPr>
      </w:pPr>
    </w:p>
    <w:p w14:paraId="0193A5DA">
      <w:pPr>
        <w:widowControl w:val="0"/>
        <w:jc w:val="both"/>
        <w:rPr>
          <w:rFonts w:ascii="Calibri" w:hAnsi="Calibri" w:eastAsia="宋体"/>
          <w:bCs/>
          <w:kern w:val="2"/>
          <w:sz w:val="21"/>
          <w:szCs w:val="21"/>
          <w:lang w:eastAsia="zh-CN"/>
        </w:rPr>
      </w:pPr>
    </w:p>
    <w:p w14:paraId="6D71BF56">
      <w:pPr>
        <w:widowControl w:val="0"/>
        <w:spacing w:line="360" w:lineRule="auto"/>
        <w:jc w:val="both"/>
        <w:rPr>
          <w:rFonts w:ascii="Calibri" w:hAnsi="Calibri" w:eastAsia="宋体"/>
          <w:b/>
          <w:bCs/>
          <w:kern w:val="2"/>
          <w:szCs w:val="22"/>
          <w:lang w:eastAsia="zh-CN"/>
        </w:rPr>
      </w:pPr>
    </w:p>
    <w:p w14:paraId="2145CC4C">
      <w:pPr>
        <w:keepNext/>
        <w:keepLines/>
        <w:widowControl w:val="0"/>
        <w:adjustRightInd w:val="0"/>
        <w:spacing w:line="320" w:lineRule="atLeast"/>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w:t>
      </w:r>
      <w:r>
        <w:rPr>
          <w:rFonts w:ascii="宋体" w:hAnsi="宋体" w:eastAsia="宋体"/>
          <w:b/>
          <w:bCs/>
          <w:sz w:val="28"/>
          <w:szCs w:val="28"/>
          <w:lang w:eastAsia="zh-CN"/>
        </w:rPr>
        <w:t xml:space="preserve"> </w:t>
      </w:r>
      <w:r>
        <w:rPr>
          <w:rFonts w:hint="eastAsia" w:ascii="宋体" w:hAnsi="宋体" w:eastAsia="宋体"/>
          <w:b/>
          <w:bCs/>
          <w:sz w:val="28"/>
          <w:szCs w:val="28"/>
          <w:lang w:eastAsia="zh-CN"/>
        </w:rPr>
        <w:t xml:space="preserve"> 投标文件组成要求及格式</w:t>
      </w:r>
    </w:p>
    <w:p w14:paraId="1AECC764">
      <w:pPr>
        <w:widowControl w:val="0"/>
        <w:spacing w:line="360" w:lineRule="auto"/>
        <w:jc w:val="both"/>
        <w:rPr>
          <w:rFonts w:ascii="Calibri" w:hAnsi="Calibri" w:eastAsia="宋体"/>
          <w:b/>
          <w:bCs/>
          <w:kern w:val="2"/>
          <w:szCs w:val="22"/>
          <w:lang w:eastAsia="zh-CN"/>
        </w:rPr>
      </w:pPr>
      <w:bookmarkStart w:id="12" w:name="_Hlk72257167"/>
    </w:p>
    <w:bookmarkEnd w:id="12"/>
    <w:p w14:paraId="3C947CB9">
      <w:pPr>
        <w:spacing w:line="320" w:lineRule="atLeast"/>
        <w:outlineLvl w:val="2"/>
        <w:rPr>
          <w:rFonts w:ascii="宋体" w:hAnsi="宋体" w:eastAsia="黑体"/>
          <w:bCs/>
          <w:kern w:val="44"/>
          <w:lang w:eastAsia="zh-CN"/>
        </w:rPr>
      </w:pPr>
      <w:r>
        <w:rPr>
          <w:rFonts w:hint="eastAsia" w:ascii="宋体" w:hAnsi="宋体" w:eastAsia="黑体"/>
          <w:bCs/>
          <w:kern w:val="44"/>
          <w:lang w:eastAsia="zh-CN"/>
        </w:rPr>
        <w:t>投标文件组成：</w:t>
      </w:r>
    </w:p>
    <w:p w14:paraId="75E05E04">
      <w:pPr>
        <w:widowControl w:val="0"/>
        <w:ind w:firstLine="1200" w:firstLineChars="500"/>
        <w:jc w:val="both"/>
        <w:outlineLvl w:val="0"/>
        <w:rPr>
          <w:rFonts w:ascii="宋体" w:hAnsi="宋体" w:eastAsia="宋体"/>
          <w:kern w:val="2"/>
          <w:szCs w:val="22"/>
          <w:lang w:eastAsia="zh-CN"/>
        </w:rPr>
      </w:pPr>
      <w:bookmarkStart w:id="13" w:name="_Hlk72257771"/>
      <w:r>
        <w:rPr>
          <w:rFonts w:hint="eastAsia" w:ascii="宋体" w:hAnsi="宋体" w:eastAsia="宋体" w:cstheme="minorBidi"/>
          <w:kern w:val="2"/>
          <w:szCs w:val="22"/>
          <w:lang w:eastAsia="zh-CN"/>
        </w:rPr>
        <w:t>1.投标文件正文，主要包括以下内容：</w:t>
      </w:r>
    </w:p>
    <w:p w14:paraId="4E146ED8">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w:t>
      </w:r>
      <w:bookmarkStart w:id="14" w:name="_Hlk72070784"/>
      <w:r>
        <w:rPr>
          <w:rFonts w:hint="eastAsia" w:ascii="Calibri" w:hAnsi="Calibri" w:eastAsia="宋体" w:cstheme="minorBidi"/>
          <w:kern w:val="2"/>
          <w:sz w:val="21"/>
          <w:szCs w:val="21"/>
          <w:lang w:eastAsia="zh-CN"/>
        </w:rPr>
        <w:t>投标函</w:t>
      </w:r>
      <w:bookmarkEnd w:id="14"/>
    </w:p>
    <w:p w14:paraId="0E82BAF8">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bookmarkStart w:id="15" w:name="_Hlk72062521"/>
      <w:r>
        <w:rPr>
          <w:rFonts w:hint="eastAsia" w:ascii="Calibri" w:hAnsi="Calibri" w:eastAsia="宋体" w:cstheme="minorBidi"/>
          <w:kern w:val="2"/>
          <w:sz w:val="21"/>
          <w:szCs w:val="21"/>
          <w:lang w:eastAsia="zh-CN"/>
        </w:rPr>
        <w:t>政府采购投标及履约承诺函</w:t>
      </w:r>
      <w:bookmarkEnd w:id="15"/>
    </w:p>
    <w:p w14:paraId="7FA5CB0A">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3</w:t>
      </w:r>
      <w:r>
        <w:rPr>
          <w:rFonts w:hint="eastAsia" w:ascii="Calibri" w:hAnsi="Calibri" w:eastAsia="宋体" w:cstheme="minorBidi"/>
          <w:kern w:val="2"/>
          <w:sz w:val="21"/>
          <w:szCs w:val="21"/>
          <w:lang w:eastAsia="zh-CN"/>
        </w:rPr>
        <w:t>）投标人情况及资格证明文件</w:t>
      </w:r>
    </w:p>
    <w:p w14:paraId="58FAB0B0">
      <w:pPr>
        <w:widowControl w:val="0"/>
        <w:ind w:left="821" w:leftChars="342" w:firstLine="1417" w:firstLineChars="675"/>
        <w:jc w:val="both"/>
        <w:rPr>
          <w:rFonts w:ascii="Calibri" w:hAnsi="Calibri" w:eastAsia="宋体"/>
          <w:kern w:val="2"/>
          <w:sz w:val="21"/>
          <w:szCs w:val="21"/>
          <w:lang w:eastAsia="zh-CN"/>
        </w:rPr>
      </w:pPr>
      <w:bookmarkStart w:id="16" w:name="_Hlk72257201"/>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4</w:t>
      </w:r>
      <w:r>
        <w:rPr>
          <w:rFonts w:hint="eastAsia" w:ascii="Calibri" w:hAnsi="Calibri" w:eastAsia="宋体" w:cstheme="minorBidi"/>
          <w:kern w:val="2"/>
          <w:sz w:val="21"/>
          <w:szCs w:val="21"/>
          <w:lang w:eastAsia="zh-CN"/>
        </w:rPr>
        <w:t>）</w:t>
      </w:r>
      <w:bookmarkStart w:id="17" w:name="OLE_LINK6"/>
      <w:r>
        <w:rPr>
          <w:rFonts w:hint="eastAsia" w:ascii="Calibri" w:hAnsi="Calibri" w:eastAsia="宋体" w:cstheme="minorBidi"/>
          <w:kern w:val="2"/>
          <w:sz w:val="21"/>
          <w:szCs w:val="21"/>
          <w:lang w:eastAsia="zh-CN"/>
        </w:rPr>
        <w:t>项目详细报价</w:t>
      </w:r>
      <w:bookmarkEnd w:id="17"/>
    </w:p>
    <w:bookmarkEnd w:id="16"/>
    <w:p w14:paraId="54C89C8F">
      <w:pPr>
        <w:widowControl w:val="0"/>
        <w:ind w:left="821" w:leftChars="342" w:firstLine="1417" w:firstLineChars="675"/>
        <w:jc w:val="both"/>
        <w:rPr>
          <w:rFonts w:ascii="Calibri" w:hAnsi="Calibri" w:eastAsia="宋体" w:cstheme="minorBidi"/>
          <w:kern w:val="2"/>
          <w:sz w:val="21"/>
          <w:szCs w:val="21"/>
          <w:lang w:eastAsia="zh-CN"/>
        </w:rPr>
      </w:pPr>
      <w:r>
        <w:rPr>
          <w:rFonts w:hint="eastAsia" w:ascii="Calibri" w:hAnsi="Calibri" w:eastAsia="宋体" w:cstheme="minorBidi"/>
          <w:kern w:val="2"/>
          <w:sz w:val="21"/>
          <w:szCs w:val="21"/>
          <w:lang w:eastAsia="zh-CN"/>
        </w:rPr>
        <w:t>（5）</w:t>
      </w:r>
      <w:bookmarkStart w:id="18" w:name="OLE_LINK10"/>
      <w:r>
        <w:rPr>
          <w:rFonts w:hint="eastAsia" w:ascii="Calibri" w:hAnsi="Calibri" w:eastAsia="宋体" w:cstheme="minorBidi"/>
          <w:kern w:val="2"/>
          <w:sz w:val="21"/>
          <w:szCs w:val="21"/>
          <w:lang w:eastAsia="zh-CN"/>
        </w:rPr>
        <w:t>供应商</w:t>
      </w:r>
      <w:r>
        <w:rPr>
          <w:rFonts w:hint="eastAsia" w:ascii="Calibri" w:hAnsi="Calibri" w:eastAsia="宋体" w:cstheme="minorBidi"/>
          <w:kern w:val="2"/>
          <w:sz w:val="21"/>
          <w:szCs w:val="21"/>
          <w:lang w:val="en-US" w:eastAsia="zh-CN"/>
        </w:rPr>
        <w:t>基本</w:t>
      </w:r>
      <w:r>
        <w:rPr>
          <w:rFonts w:hint="eastAsia" w:ascii="Calibri" w:hAnsi="Calibri" w:eastAsia="宋体" w:cstheme="minorBidi"/>
          <w:kern w:val="2"/>
          <w:sz w:val="21"/>
          <w:szCs w:val="21"/>
          <w:lang w:eastAsia="zh-CN"/>
        </w:rPr>
        <w:t>情况表</w:t>
      </w:r>
      <w:bookmarkEnd w:id="18"/>
    </w:p>
    <w:p w14:paraId="6A3B9C72">
      <w:pPr>
        <w:widowControl w:val="0"/>
        <w:ind w:firstLine="1200" w:firstLineChars="500"/>
        <w:jc w:val="both"/>
        <w:outlineLvl w:val="0"/>
        <w:rPr>
          <w:rFonts w:ascii="宋体" w:hAnsi="宋体" w:eastAsia="宋体"/>
          <w:kern w:val="2"/>
          <w:szCs w:val="22"/>
          <w:lang w:eastAsia="zh-CN"/>
        </w:rPr>
      </w:pPr>
      <w:r>
        <w:rPr>
          <w:rFonts w:hint="eastAsia" w:ascii="宋体" w:hAnsi="宋体" w:eastAsia="宋体" w:cstheme="minorBidi"/>
          <w:kern w:val="2"/>
          <w:szCs w:val="22"/>
          <w:lang w:eastAsia="zh-CN"/>
        </w:rPr>
        <w:t>2.投标文件附件：主要包括以下内容：</w:t>
      </w:r>
    </w:p>
    <w:p w14:paraId="7A716E93">
      <w:pPr>
        <w:widowControl w:val="0"/>
        <w:ind w:firstLine="2310" w:firstLineChars="1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（1）法定代表人（负责人）证明书</w:t>
      </w:r>
    </w:p>
    <w:p w14:paraId="5DC6978F">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bookmarkStart w:id="19" w:name="OLE_LINK11"/>
      <w:r>
        <w:rPr>
          <w:rFonts w:hint="eastAsia" w:ascii="Calibri" w:hAnsi="Calibri" w:eastAsia="宋体" w:cstheme="minorBidi"/>
          <w:kern w:val="2"/>
          <w:sz w:val="21"/>
          <w:szCs w:val="21"/>
          <w:lang w:eastAsia="zh-CN"/>
        </w:rPr>
        <w:t>投标文件签署授权委托书</w:t>
      </w:r>
      <w:bookmarkEnd w:id="19"/>
    </w:p>
    <w:p w14:paraId="7D43796A">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（3）实质性条款响应情况表</w:t>
      </w:r>
    </w:p>
    <w:p w14:paraId="7616E70C">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4</w:t>
      </w:r>
      <w:r>
        <w:rPr>
          <w:rFonts w:hint="eastAsia" w:ascii="Calibri" w:hAnsi="Calibri" w:eastAsia="宋体" w:cstheme="minorBidi"/>
          <w:kern w:val="2"/>
          <w:sz w:val="21"/>
          <w:szCs w:val="21"/>
          <w:lang w:eastAsia="zh-CN"/>
        </w:rPr>
        <w:t>）</w:t>
      </w:r>
      <w:bookmarkStart w:id="20" w:name="OLE_LINK14"/>
      <w:r>
        <w:rPr>
          <w:rFonts w:hint="eastAsia" w:ascii="Calibri" w:hAnsi="Calibri" w:eastAsia="宋体" w:cstheme="minorBidi"/>
          <w:kern w:val="2"/>
          <w:sz w:val="21"/>
          <w:szCs w:val="21"/>
          <w:lang w:eastAsia="zh-CN"/>
        </w:rPr>
        <w:t>商务要求偏离表</w:t>
      </w:r>
      <w:bookmarkEnd w:id="20"/>
      <w:r>
        <w:rPr>
          <w:rFonts w:hint="eastAsia" w:ascii="Calibri" w:hAnsi="Calibri" w:eastAsia="宋体" w:cstheme="minorBidi"/>
          <w:kern w:val="2"/>
          <w:sz w:val="21"/>
          <w:szCs w:val="21"/>
          <w:lang w:eastAsia="zh-CN"/>
        </w:rPr>
        <w:tab/>
      </w:r>
    </w:p>
    <w:p w14:paraId="7664C21C">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5</w:t>
      </w:r>
      <w:r>
        <w:rPr>
          <w:rFonts w:hint="eastAsia" w:ascii="Calibri" w:hAnsi="Calibri" w:eastAsia="宋体" w:cstheme="minorBidi"/>
          <w:kern w:val="2"/>
          <w:sz w:val="21"/>
          <w:szCs w:val="21"/>
          <w:lang w:eastAsia="zh-CN"/>
        </w:rPr>
        <w:t>）技术要求偏离表</w:t>
      </w:r>
    </w:p>
    <w:p w14:paraId="6903E767">
      <w:pPr>
        <w:widowControl w:val="0"/>
        <w:ind w:left="821" w:leftChars="342" w:firstLine="1417" w:firstLineChars="675"/>
        <w:jc w:val="both"/>
        <w:rPr>
          <w:rFonts w:hint="default" w:ascii="Calibri" w:hAnsi="Calibri" w:eastAsia="宋体"/>
          <w:kern w:val="2"/>
          <w:sz w:val="21"/>
          <w:szCs w:val="21"/>
          <w:lang w:val="en-US" w:eastAsia="zh-CN"/>
        </w:rPr>
      </w:pPr>
      <w:r>
        <w:rPr>
          <w:rFonts w:hint="eastAsia" w:ascii="Calibri" w:hAnsi="Calibri" w:eastAsia="宋体" w:cstheme="minorBidi"/>
          <w:kern w:val="2"/>
          <w:sz w:val="21"/>
          <w:szCs w:val="21"/>
          <w:lang w:eastAsia="zh-CN"/>
        </w:rPr>
        <w:t>（6）</w:t>
      </w:r>
      <w:r>
        <w:rPr>
          <w:rFonts w:hint="eastAsia" w:ascii="Calibri" w:hAnsi="Calibri" w:eastAsia="宋体" w:cstheme="minorBidi"/>
          <w:kern w:val="2"/>
          <w:sz w:val="21"/>
          <w:szCs w:val="21"/>
          <w:lang w:val="en-US" w:eastAsia="zh-CN"/>
        </w:rPr>
        <w:t>售后服务方案</w:t>
      </w:r>
    </w:p>
    <w:p w14:paraId="664118C4">
      <w:pPr>
        <w:widowControl w:val="0"/>
        <w:ind w:left="821" w:leftChars="342" w:firstLine="1417" w:firstLineChars="675"/>
        <w:jc w:val="both"/>
        <w:rPr>
          <w:rFonts w:hint="default" w:ascii="Calibri" w:hAnsi="Calibri" w:eastAsia="宋体"/>
          <w:kern w:val="2"/>
          <w:sz w:val="21"/>
          <w:szCs w:val="21"/>
          <w:lang w:val="en-US" w:eastAsia="zh-CN"/>
        </w:rPr>
      </w:pPr>
      <w:r>
        <w:rPr>
          <w:rFonts w:hint="eastAsia" w:ascii="Calibri" w:hAnsi="Calibri" w:eastAsia="宋体" w:cstheme="minorBidi"/>
          <w:kern w:val="2"/>
          <w:sz w:val="21"/>
          <w:szCs w:val="21"/>
          <w:lang w:eastAsia="zh-CN"/>
        </w:rPr>
        <w:t>（7）</w:t>
      </w:r>
      <w:r>
        <w:rPr>
          <w:rFonts w:hint="eastAsia" w:ascii="Calibri" w:hAnsi="Calibri" w:eastAsia="宋体" w:cstheme="minorBidi"/>
          <w:kern w:val="2"/>
          <w:sz w:val="21"/>
          <w:szCs w:val="21"/>
          <w:lang w:val="en-US" w:eastAsia="zh-CN"/>
        </w:rPr>
        <w:t>体系认证</w:t>
      </w:r>
    </w:p>
    <w:p w14:paraId="50BE50D0">
      <w:pPr>
        <w:widowControl w:val="0"/>
        <w:ind w:left="821" w:leftChars="342" w:firstLine="1417" w:firstLineChars="675"/>
        <w:jc w:val="both"/>
        <w:rPr>
          <w:rFonts w:hint="default" w:ascii="Calibri" w:hAnsi="Calibri" w:eastAsia="宋体"/>
          <w:kern w:val="2"/>
          <w:sz w:val="21"/>
          <w:szCs w:val="21"/>
          <w:lang w:val="en-US" w:eastAsia="zh-CN"/>
        </w:rPr>
      </w:pPr>
      <w:r>
        <w:rPr>
          <w:rFonts w:hint="eastAsia" w:ascii="Calibri" w:hAnsi="Calibri" w:eastAsia="宋体" w:cstheme="minorBidi"/>
          <w:kern w:val="2"/>
          <w:sz w:val="21"/>
          <w:szCs w:val="21"/>
          <w:lang w:eastAsia="zh-CN"/>
        </w:rPr>
        <w:t>（8）</w:t>
      </w:r>
      <w:r>
        <w:rPr>
          <w:rFonts w:hint="eastAsia" w:ascii="Calibri" w:hAnsi="Calibri" w:eastAsia="宋体" w:cstheme="minorBidi"/>
          <w:kern w:val="2"/>
          <w:sz w:val="21"/>
          <w:szCs w:val="21"/>
          <w:lang w:val="en-US" w:eastAsia="zh-CN"/>
        </w:rPr>
        <w:t>同类项目业绩</w:t>
      </w:r>
    </w:p>
    <w:p w14:paraId="71CEEE6B">
      <w:pPr>
        <w:widowControl w:val="0"/>
        <w:ind w:left="821" w:leftChars="342" w:firstLine="1417" w:firstLineChars="675"/>
        <w:jc w:val="both"/>
        <w:rPr>
          <w:rFonts w:hint="default" w:ascii="Calibri" w:hAnsi="Calibri" w:eastAsia="宋体" w:cstheme="minorBidi"/>
          <w:kern w:val="2"/>
          <w:sz w:val="21"/>
          <w:szCs w:val="21"/>
          <w:lang w:val="en-US" w:eastAsia="zh-CN"/>
        </w:rPr>
      </w:pPr>
      <w:r>
        <w:rPr>
          <w:rFonts w:hint="eastAsia" w:ascii="Calibri" w:hAnsi="Calibri" w:eastAsia="宋体" w:cstheme="minorBidi"/>
          <w:kern w:val="2"/>
          <w:sz w:val="21"/>
          <w:szCs w:val="21"/>
          <w:lang w:eastAsia="zh-CN"/>
        </w:rPr>
        <w:t>（9）</w:t>
      </w:r>
      <w:bookmarkStart w:id="21" w:name="OLE_LINK13"/>
      <w:r>
        <w:rPr>
          <w:rFonts w:hint="eastAsia" w:ascii="Calibri" w:hAnsi="Calibri" w:eastAsia="宋体" w:cstheme="minorBidi"/>
          <w:kern w:val="2"/>
          <w:sz w:val="21"/>
          <w:szCs w:val="21"/>
          <w:lang w:val="en-US" w:eastAsia="zh-CN"/>
        </w:rPr>
        <w:t>履约评价情况</w:t>
      </w:r>
    </w:p>
    <w:p w14:paraId="4FC898E7">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w:t>
      </w:r>
      <w:r>
        <w:rPr>
          <w:rFonts w:hint="eastAsia" w:ascii="Calibri" w:hAnsi="Calibri" w:eastAsia="宋体" w:cstheme="minorBidi"/>
          <w:kern w:val="2"/>
          <w:sz w:val="21"/>
          <w:szCs w:val="21"/>
          <w:lang w:val="en-US" w:eastAsia="zh-CN"/>
        </w:rPr>
        <w:t>0</w:t>
      </w:r>
      <w:r>
        <w:rPr>
          <w:rFonts w:hint="eastAsia" w:ascii="Calibri" w:hAnsi="Calibri" w:eastAsia="宋体" w:cstheme="minorBidi"/>
          <w:kern w:val="2"/>
          <w:sz w:val="21"/>
          <w:szCs w:val="21"/>
          <w:lang w:eastAsia="zh-CN"/>
        </w:rPr>
        <w:t>）投标人认为需要加以说明的其他内容</w:t>
      </w:r>
      <w:bookmarkEnd w:id="21"/>
    </w:p>
    <w:p w14:paraId="06FBDF07">
      <w:pPr>
        <w:widowControl w:val="0"/>
        <w:ind w:left="821" w:leftChars="342" w:firstLine="1417" w:firstLineChars="675"/>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w:t>
      </w:r>
    </w:p>
    <w:p w14:paraId="2722CD1A">
      <w:pPr>
        <w:widowControl w:val="0"/>
        <w:spacing w:line="320" w:lineRule="atLeast"/>
        <w:jc w:val="both"/>
        <w:rPr>
          <w:rFonts w:ascii="宋体" w:hAnsi="宋体" w:eastAsia="宋体"/>
          <w:b/>
          <w:kern w:val="2"/>
          <w:lang w:eastAsia="zh-CN"/>
        </w:rPr>
      </w:pPr>
      <w:r>
        <w:rPr>
          <w:rFonts w:hint="eastAsia" w:ascii="宋体" w:hAnsi="宋体" w:eastAsia="宋体" w:cstheme="minorBidi"/>
          <w:b/>
          <w:kern w:val="2"/>
          <w:lang w:eastAsia="zh-CN"/>
        </w:rPr>
        <w:t>备注：</w:t>
      </w:r>
    </w:p>
    <w:p w14:paraId="5AE0E338">
      <w:pPr>
        <w:widowControl w:val="0"/>
        <w:snapToGrid w:val="0"/>
        <w:spacing w:line="320" w:lineRule="atLeast"/>
        <w:ind w:firstLine="482" w:firstLineChars="200"/>
        <w:jc w:val="both"/>
        <w:rPr>
          <w:rFonts w:ascii="宋体" w:hAnsi="宋体" w:eastAsia="宋体"/>
          <w:b/>
          <w:kern w:val="2"/>
          <w:lang w:eastAsia="zh-CN"/>
        </w:rPr>
      </w:pPr>
      <w:r>
        <w:rPr>
          <w:rFonts w:hint="eastAsia" w:ascii="宋体" w:hAnsi="宋体" w:eastAsia="宋体" w:cstheme="minorBidi"/>
          <w:b/>
          <w:kern w:val="2"/>
          <w:lang w:eastAsia="zh-CN"/>
        </w:rPr>
        <w:t>1.本项目为网上电子投标项目，投标文件不需法人或授权委托人另行签字，无需加盖单位公章，招标文件另有规定的除外。</w:t>
      </w:r>
    </w:p>
    <w:p w14:paraId="0F9E251F">
      <w:pPr>
        <w:widowControl w:val="0"/>
        <w:snapToGrid w:val="0"/>
        <w:spacing w:after="60" w:afterLines="25"/>
        <w:ind w:firstLine="482" w:firstLineChars="200"/>
        <w:jc w:val="both"/>
        <w:rPr>
          <w:rFonts w:ascii="宋体" w:hAnsi="宋体" w:eastAsia="黑体"/>
          <w:bCs/>
          <w:kern w:val="44"/>
          <w:sz w:val="32"/>
          <w:szCs w:val="32"/>
          <w:lang w:eastAsia="zh-CN"/>
        </w:rPr>
      </w:pPr>
      <w:bookmarkStart w:id="22" w:name="_Hlk72263559"/>
      <w:r>
        <w:rPr>
          <w:rFonts w:hint="eastAsia" w:ascii="宋体" w:hAnsi="宋体" w:eastAsia="宋体" w:cstheme="minorBidi"/>
          <w:b/>
          <w:kern w:val="2"/>
          <w:lang w:eastAsia="zh-CN"/>
        </w:rPr>
        <w:t>2.关于填写“开标一览表”的说明：“开标一览表”中除“投标总价”外，其他信息不作评审依据。</w:t>
      </w:r>
      <w:bookmarkEnd w:id="13"/>
      <w:bookmarkEnd w:id="22"/>
      <w:r>
        <w:rPr>
          <w:rFonts w:ascii="宋体" w:hAnsi="宋体" w:eastAsia="黑体"/>
          <w:bCs/>
          <w:kern w:val="44"/>
          <w:sz w:val="32"/>
          <w:szCs w:val="32"/>
          <w:lang w:eastAsia="zh-CN"/>
        </w:rPr>
        <w:br w:type="page"/>
      </w:r>
    </w:p>
    <w:p w14:paraId="2AA898EB">
      <w:pPr>
        <w:outlineLvl w:val="2"/>
        <w:rPr>
          <w:rFonts w:ascii="宋体" w:hAnsi="宋体" w:eastAsia="宋体" w:cs="宋体"/>
          <w:b/>
          <w:color w:val="FF0000"/>
          <w:sz w:val="32"/>
          <w:szCs w:val="32"/>
          <w:lang w:eastAsia="zh-CN"/>
        </w:rPr>
      </w:pPr>
      <w:r>
        <w:rPr>
          <w:rFonts w:hint="eastAsia" w:ascii="宋体" w:hAnsi="宋体" w:eastAsia="宋体" w:cs="宋体"/>
          <w:b/>
          <w:color w:val="FF0000"/>
          <w:sz w:val="32"/>
          <w:szCs w:val="32"/>
          <w:lang w:eastAsia="zh-CN"/>
        </w:rPr>
        <w:t>（一）投标文件正文</w:t>
      </w:r>
    </w:p>
    <w:p w14:paraId="1D3D069F">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一、投标函</w:t>
      </w:r>
    </w:p>
    <w:p w14:paraId="52657018">
      <w:pPr>
        <w:widowControl w:val="0"/>
        <w:spacing w:line="360" w:lineRule="auto"/>
        <w:jc w:val="both"/>
        <w:rPr>
          <w:rFonts w:ascii="宋体" w:hAnsi="宋体" w:eastAsia="宋体"/>
          <w:kern w:val="2"/>
          <w:sz w:val="21"/>
          <w:szCs w:val="21"/>
          <w:lang w:eastAsia="zh-CN"/>
        </w:rPr>
      </w:pPr>
      <w:bookmarkStart w:id="23" w:name="_Hlk72257506"/>
      <w:r>
        <w:rPr>
          <w:rFonts w:hint="eastAsia" w:ascii="宋体" w:hAnsi="宋体" w:eastAsia="宋体" w:cstheme="minorBidi"/>
          <w:kern w:val="2"/>
          <w:sz w:val="21"/>
          <w:szCs w:val="21"/>
          <w:lang w:eastAsia="zh-CN"/>
        </w:rPr>
        <w:t>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color w:val="FF0000"/>
          <w:kern w:val="2"/>
          <w:sz w:val="21"/>
          <w:szCs w:val="21"/>
          <w:u w:val="single"/>
          <w:lang w:eastAsia="zh-CN"/>
        </w:rPr>
        <w:t>深圳公共资源交易中心</w:t>
      </w:r>
      <w:r>
        <w:rPr>
          <w:rFonts w:hint="eastAsia" w:ascii="宋体" w:hAnsi="宋体" w:eastAsia="宋体" w:cstheme="minorBidi"/>
          <w:kern w:val="2"/>
          <w:sz w:val="21"/>
          <w:szCs w:val="21"/>
          <w:u w:val="single"/>
          <w:lang w:eastAsia="zh-CN"/>
        </w:rPr>
        <w:t xml:space="preserve">  </w:t>
      </w:r>
    </w:p>
    <w:p w14:paraId="0952ED51">
      <w:pPr>
        <w:widowControl w:val="0"/>
        <w:ind w:firstLine="420" w:firstLineChars="200"/>
        <w:jc w:val="both"/>
        <w:rPr>
          <w:rFonts w:ascii="宋体" w:hAnsi="宋体" w:eastAsia="宋体"/>
          <w:kern w:val="2"/>
          <w:sz w:val="21"/>
          <w:szCs w:val="21"/>
          <w:lang w:eastAsia="zh-CN"/>
        </w:rPr>
      </w:pPr>
      <w:bookmarkStart w:id="24" w:name="_Hlk73818812"/>
      <w:r>
        <w:rPr>
          <w:rFonts w:hint="eastAsia" w:ascii="Calibri" w:hAnsi="Calibri" w:eastAsia="宋体" w:cstheme="minorBidi"/>
          <w:kern w:val="2"/>
          <w:sz w:val="21"/>
          <w:szCs w:val="21"/>
          <w:lang w:eastAsia="zh-CN"/>
        </w:rPr>
        <w:t>1、根据已收到贵单位的项目编号为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的</w:t>
      </w:r>
      <w:r>
        <w:rPr>
          <w:rFonts w:hint="eastAsia" w:ascii="Calibri" w:hAnsi="Calibri" w:eastAsia="宋体" w:cstheme="minorBidi"/>
          <w:kern w:val="2"/>
          <w:sz w:val="21"/>
          <w:szCs w:val="21"/>
          <w:u w:val="thick"/>
          <w:lang w:eastAsia="zh-CN"/>
        </w:rPr>
        <w:t xml:space="preserve">   （项目名称）   </w:t>
      </w:r>
      <w:r>
        <w:rPr>
          <w:rFonts w:hint="eastAsia" w:ascii="Calibri" w:hAnsi="Calibri" w:eastAsia="宋体" w:cstheme="minorBidi"/>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5" w:name="_Hlk72263588"/>
      <w:r>
        <w:rPr>
          <w:rFonts w:hint="eastAsia" w:ascii="Calibri" w:hAnsi="Calibri" w:eastAsia="宋体" w:cstheme="minorBidi"/>
          <w:kern w:val="2"/>
          <w:sz w:val="21"/>
          <w:szCs w:val="21"/>
          <w:lang w:eastAsia="zh-CN"/>
        </w:rPr>
        <w:t>愿意按照招标文件要求承包上述项目并修补其任何缺陷。</w:t>
      </w:r>
      <w:bookmarkEnd w:id="25"/>
    </w:p>
    <w:p w14:paraId="5CE46617">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w:t>
      </w:r>
      <w:bookmarkStart w:id="26" w:name="_Hlk73819847"/>
      <w:r>
        <w:rPr>
          <w:rFonts w:hint="eastAsia" w:ascii="宋体" w:hAnsi="宋体" w:eastAsia="宋体" w:cstheme="minorBidi"/>
          <w:kern w:val="2"/>
          <w:sz w:val="21"/>
          <w:szCs w:val="21"/>
          <w:lang w:eastAsia="zh-CN"/>
        </w:rPr>
        <w:t>投标价格见</w:t>
      </w:r>
      <w:r>
        <w:rPr>
          <w:rFonts w:hint="eastAsia" w:ascii="Calibri" w:hAnsi="Calibri" w:eastAsia="宋体" w:cstheme="minorBidi"/>
          <w:kern w:val="2"/>
          <w:sz w:val="21"/>
          <w:szCs w:val="21"/>
          <w:lang w:eastAsia="zh-CN"/>
        </w:rPr>
        <w:t>投标书编制软件中《开标一览表》中填写的投标总价。</w:t>
      </w:r>
      <w:bookmarkEnd w:id="26"/>
    </w:p>
    <w:p w14:paraId="0B6D406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3、如果我单位中标，我单位将按照招标文件的要求足额提交履约担保。</w:t>
      </w:r>
    </w:p>
    <w:p w14:paraId="21B98EC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4、我单位同意所递交的投标文件在“对通用条款的补充内容”中明确的投标有效期内有效，在此期间内我单位的投标有可能中标，我方将受此约束。</w:t>
      </w:r>
    </w:p>
    <w:p w14:paraId="100BEC8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5、除非另外达成协议并生效，贵单位的中标通知书和本投标文件将构成合同的重要内容。</w:t>
      </w:r>
    </w:p>
    <w:p w14:paraId="1E364951">
      <w:pPr>
        <w:widowControl w:val="0"/>
        <w:ind w:left="480" w:left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6、我单位理解贵单位将不受必须接受所收到的最低报价或其它任何投标文件的约束。</w:t>
      </w:r>
      <w:bookmarkEnd w:id="24"/>
    </w:p>
    <w:p w14:paraId="579BBC2F">
      <w:pPr>
        <w:widowControl w:val="0"/>
        <w:ind w:left="480" w:left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7</w:t>
      </w:r>
      <w:r>
        <w:rPr>
          <w:rFonts w:ascii="宋体" w:hAnsi="宋体" w:eastAsia="宋体" w:cstheme="minorBidi"/>
          <w:b/>
          <w:kern w:val="2"/>
          <w:sz w:val="21"/>
          <w:szCs w:val="21"/>
          <w:lang w:eastAsia="zh-CN"/>
        </w:rPr>
        <w:t>、如我单位提交样品，且未在规定时间内取回样品的，视同放弃取回，同意深圳公共资源交易中心对我单位提交的样品进行清理。</w:t>
      </w:r>
    </w:p>
    <w:p w14:paraId="5DE8C8AC">
      <w:pPr>
        <w:widowControl w:val="0"/>
        <w:ind w:left="480" w:leftChars="200" w:firstLine="210" w:firstLineChars="100"/>
        <w:jc w:val="both"/>
        <w:rPr>
          <w:rFonts w:ascii="Calibri" w:hAnsi="Calibri" w:eastAsia="宋体"/>
          <w:kern w:val="2"/>
          <w:sz w:val="21"/>
          <w:szCs w:val="21"/>
          <w:lang w:eastAsia="zh-CN"/>
        </w:rPr>
      </w:pPr>
    </w:p>
    <w:p w14:paraId="3ABB549B">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  </w:t>
      </w:r>
    </w:p>
    <w:p w14:paraId="7DC07DA4">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单位地址：</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40E5E67A">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法定代表人（负责人）或其授权委托代理人：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60A4C98F">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电话：</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w:t>
      </w:r>
    </w:p>
    <w:p w14:paraId="50DD3502">
      <w:pPr>
        <w:widowControl w:val="0"/>
        <w:ind w:left="480" w:leftChars="200" w:firstLine="210" w:firstLineChars="100"/>
        <w:jc w:val="both"/>
        <w:rPr>
          <w:rFonts w:ascii="Calibri" w:hAnsi="Calibri" w:eastAsia="宋体"/>
          <w:kern w:val="2"/>
          <w:szCs w:val="22"/>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日</w:t>
      </w:r>
      <w:r>
        <w:rPr>
          <w:rFonts w:hint="eastAsia" w:ascii="Calibri" w:hAnsi="Calibri" w:eastAsia="宋体" w:cstheme="minorBidi"/>
          <w:kern w:val="2"/>
          <w:szCs w:val="22"/>
          <w:lang w:eastAsia="zh-CN"/>
        </w:rPr>
        <w:t xml:space="preserve">                                </w:t>
      </w:r>
    </w:p>
    <w:p w14:paraId="5031968F">
      <w:pPr>
        <w:widowControl w:val="0"/>
        <w:jc w:val="both"/>
        <w:rPr>
          <w:rFonts w:ascii="黑体" w:hAnsi="宋体" w:eastAsia="黑体"/>
          <w:kern w:val="2"/>
          <w:sz w:val="21"/>
          <w:szCs w:val="22"/>
          <w:lang w:eastAsia="zh-CN"/>
        </w:rPr>
      </w:pPr>
    </w:p>
    <w:p w14:paraId="5D2169ED">
      <w:pPr>
        <w:widowControl w:val="0"/>
        <w:jc w:val="both"/>
        <w:rPr>
          <w:rFonts w:ascii="黑体" w:hAnsi="宋体" w:eastAsia="黑体"/>
          <w:kern w:val="2"/>
          <w:sz w:val="21"/>
          <w:szCs w:val="22"/>
          <w:lang w:eastAsia="zh-CN"/>
        </w:rPr>
      </w:pPr>
    </w:p>
    <w:bookmarkEnd w:id="23"/>
    <w:p w14:paraId="41A12063">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二、政府采购投标及履约承诺函</w:t>
      </w:r>
    </w:p>
    <w:p w14:paraId="2F4C2ECF">
      <w:pPr>
        <w:widowControl w:val="0"/>
        <w:jc w:val="both"/>
        <w:rPr>
          <w:rFonts w:ascii="宋体" w:hAnsi="宋体" w:eastAsia="宋体"/>
          <w:color w:val="FF0000"/>
          <w:kern w:val="2"/>
          <w:sz w:val="21"/>
          <w:szCs w:val="21"/>
          <w:lang w:eastAsia="zh-CN"/>
        </w:rPr>
      </w:pPr>
      <w:bookmarkStart w:id="27" w:name="_Hlk72257530"/>
      <w:r>
        <w:rPr>
          <w:rFonts w:hint="eastAsia" w:ascii="宋体" w:hAnsi="宋体" w:eastAsia="宋体" w:cstheme="minorBidi"/>
          <w:color w:val="FF0000"/>
          <w:kern w:val="2"/>
          <w:sz w:val="21"/>
          <w:szCs w:val="21"/>
          <w:lang w:eastAsia="zh-CN"/>
        </w:rPr>
        <w:t>致：</w:t>
      </w:r>
      <w:r>
        <w:rPr>
          <w:rFonts w:hint="eastAsia" w:ascii="宋体" w:hAnsi="宋体" w:eastAsia="宋体" w:cstheme="minorBidi"/>
          <w:color w:val="FF0000"/>
          <w:kern w:val="2"/>
          <w:sz w:val="21"/>
          <w:szCs w:val="21"/>
          <w:u w:val="single"/>
          <w:lang w:eastAsia="zh-CN"/>
        </w:rPr>
        <w:t>深圳公共资源交易中心</w:t>
      </w:r>
    </w:p>
    <w:p w14:paraId="212E82A1">
      <w:pPr>
        <w:widowControl w:val="0"/>
        <w:ind w:right="-815"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我单位承诺：</w:t>
      </w:r>
    </w:p>
    <w:p w14:paraId="0EC086B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1.我单位参与本项目</w:t>
      </w:r>
      <w:r>
        <w:rPr>
          <w:rFonts w:hint="eastAsia" w:ascii="宋体" w:hAnsi="宋体" w:eastAsia="宋体" w:cstheme="minorBidi"/>
          <w:kern w:val="2"/>
          <w:sz w:val="21"/>
          <w:szCs w:val="22"/>
          <w:lang w:eastAsia="zh-CN"/>
        </w:rPr>
        <w:t>所投标（响应）的货物、工程或服务，不存在侵犯知识产权的情况。</w:t>
      </w:r>
    </w:p>
    <w:p w14:paraId="40E03E0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2.我单位参与本项目</w:t>
      </w:r>
      <w:r>
        <w:rPr>
          <w:rFonts w:hint="eastAsia" w:ascii="Calibri" w:hAnsi="Calibri" w:eastAsia="宋体" w:cstheme="minorBidi"/>
          <w:kern w:val="2"/>
          <w:sz w:val="21"/>
          <w:szCs w:val="22"/>
          <w:lang w:eastAsia="zh-CN"/>
        </w:rPr>
        <w:t>政府采购活动时不存在被有关部门禁止参与政府采购活动且在有效期内的情况。</w:t>
      </w:r>
    </w:p>
    <w:p w14:paraId="2EFA8BD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3.我单位具备《中华人民共和国政府采购法》第二十二条第一款规定的六项条件。</w:t>
      </w:r>
    </w:p>
    <w:p w14:paraId="6A8290C6">
      <w:pPr>
        <w:widowControl w:val="0"/>
        <w:ind w:firstLine="420" w:firstLineChars="20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4.我单位</w:t>
      </w:r>
      <w:r>
        <w:rPr>
          <w:rFonts w:hint="eastAsia" w:ascii="Calibri" w:hAnsi="Calibri" w:eastAsia="宋体" w:cstheme="minorBidi"/>
          <w:kern w:val="2"/>
          <w:sz w:val="21"/>
          <w:szCs w:val="22"/>
          <w:lang w:eastAsia="zh-CN"/>
        </w:rPr>
        <w:t>未被列入失信被执行人、重大税收违法案件当事人名单、政府采购严重违法失信行为记录名单。</w:t>
      </w:r>
    </w:p>
    <w:p w14:paraId="437D5EB1">
      <w:pPr>
        <w:widowControl w:val="0"/>
        <w:ind w:firstLine="420" w:firstLineChars="200"/>
        <w:jc w:val="both"/>
        <w:rPr>
          <w:rFonts w:ascii="Calibri" w:hAnsi="Calibri" w:eastAsia="宋体"/>
          <w:kern w:val="2"/>
          <w:sz w:val="21"/>
          <w:szCs w:val="22"/>
          <w:lang w:eastAsia="zh-CN"/>
        </w:rPr>
      </w:pPr>
      <w:r>
        <w:rPr>
          <w:rFonts w:hint="eastAsia" w:hAnsi="Calibri" w:eastAsia="宋体" w:cstheme="minorBidi"/>
          <w:color w:val="FF0000"/>
          <w:kern w:val="2"/>
          <w:sz w:val="21"/>
          <w:szCs w:val="22"/>
          <w:lang w:eastAsia="zh-CN"/>
        </w:rPr>
        <w:t>5.我单位不存在《深圳市财政局政府采购供应商信用信息管理办法》（深财规〔2023〕3号）列明的严重违法失信行为。</w:t>
      </w:r>
    </w:p>
    <w:p w14:paraId="320DA05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1D3BCE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4C72F6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4DE7FE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15891C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9.我单位承诺中标后项目不转包，未经采购人同意不进行分包。</w:t>
      </w:r>
    </w:p>
    <w:p w14:paraId="0C4878FD">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10</w:t>
      </w:r>
      <w:r>
        <w:rPr>
          <w:rFonts w:ascii="宋体" w:hAnsi="宋体" w:eastAsia="宋体" w:cstheme="minorBidi"/>
          <w:kern w:val="2"/>
          <w:sz w:val="21"/>
          <w:szCs w:val="21"/>
          <w:lang w:eastAsia="zh-CN"/>
        </w:rPr>
        <w:t>.</w:t>
      </w:r>
      <w:r>
        <w:rPr>
          <w:rFonts w:hint="eastAsia" w:ascii="宋体" w:hAnsi="宋体" w:eastAsia="宋体" w:cstheme="minorBidi"/>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9EC103">
      <w:pPr>
        <w:widowControl w:val="0"/>
        <w:ind w:firstLine="420" w:firstLineChars="200"/>
        <w:jc w:val="both"/>
        <w:rPr>
          <w:rFonts w:ascii="宋体" w:hAnsi="宋体" w:eastAsia="宋体" w:cs="宋体"/>
          <w:b/>
          <w:sz w:val="21"/>
          <w:szCs w:val="21"/>
          <w:lang w:eastAsia="zh-CN"/>
        </w:rPr>
      </w:pPr>
      <w:r>
        <w:rPr>
          <w:rFonts w:hint="eastAsia" w:ascii="宋体" w:hAnsi="宋体" w:eastAsia="宋体" w:cstheme="minorBidi"/>
          <w:kern w:val="2"/>
          <w:sz w:val="21"/>
          <w:szCs w:val="22"/>
          <w:lang w:eastAsia="zh-CN"/>
        </w:rPr>
        <w:t>11</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我单位保证，若所投货物涉及</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财政部生态环境部关于印发节能产品政府采购品目清单的通知》（财库〔20</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号）列明的政府采购强制产品，则所投该产品符合节能产品的认证要求。若所投产品包括数据中心相关设备的，应满足</w:t>
      </w:r>
      <w:r>
        <w:rPr>
          <w:rFonts w:hint="eastAsia" w:ascii="Calibri" w:hAnsi="Calibri" w:eastAsia="宋体" w:cstheme="minorBidi"/>
          <w:kern w:val="2"/>
          <w:sz w:val="21"/>
          <w:szCs w:val="22"/>
          <w:lang w:eastAsia="zh-CN"/>
        </w:rPr>
        <w:t>《财政部 生态环境部 工业和信息化部关于印发&lt;绿色数据中心政府采购需求标准（试行）&gt;的通知》（财库〔2023〕7号）</w:t>
      </w:r>
      <w:r>
        <w:rPr>
          <w:rFonts w:hint="eastAsia" w:hAnsi="Calibri" w:eastAsia="宋体" w:cstheme="minorBidi"/>
          <w:kern w:val="2"/>
          <w:sz w:val="21"/>
          <w:szCs w:val="22"/>
          <w:lang w:eastAsia="zh-CN"/>
        </w:rPr>
        <w:t>要求。若所投产品涉及国家强制性标准的，所投产品应符合国家强制性标准相关要求。</w:t>
      </w:r>
    </w:p>
    <w:p w14:paraId="2E0F17E4">
      <w:pPr>
        <w:widowControl w:val="0"/>
        <w:ind w:firstLine="420" w:firstLineChars="200"/>
        <w:jc w:val="both"/>
        <w:rPr>
          <w:rFonts w:ascii="宋体" w:hAnsi="宋体" w:eastAsia="宋体"/>
          <w:bCs/>
          <w:kern w:val="2"/>
          <w:sz w:val="21"/>
          <w:szCs w:val="22"/>
          <w:lang w:eastAsia="zh-CN"/>
        </w:rPr>
      </w:pPr>
      <w:r>
        <w:rPr>
          <w:rFonts w:hint="eastAsia" w:ascii="宋体" w:hAnsi="宋体" w:eastAsia="宋体" w:cs="宋体"/>
          <w:bCs/>
          <w:sz w:val="21"/>
          <w:szCs w:val="21"/>
          <w:lang w:eastAsia="zh-CN"/>
        </w:rPr>
        <w:t>12.</w:t>
      </w:r>
      <w:r>
        <w:rPr>
          <w:rFonts w:hint="eastAsia" w:ascii="宋体" w:hAnsi="宋体" w:eastAsia="宋体" w:cstheme="minorBidi"/>
          <w:bCs/>
          <w:kern w:val="2"/>
          <w:sz w:val="21"/>
          <w:szCs w:val="22"/>
          <w:lang w:eastAsia="zh-CN"/>
        </w:rPr>
        <w:t>我单位已知悉并同意中标（成交）结果信息公示（公开）的内容。</w:t>
      </w:r>
    </w:p>
    <w:p w14:paraId="5A579D97">
      <w:pPr>
        <w:widowControl w:val="0"/>
        <w:ind w:firstLine="420" w:firstLineChars="200"/>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13.</w:t>
      </w:r>
      <w:bookmarkStart w:id="28" w:name="OLE_LINK12"/>
      <w:bookmarkStart w:id="29" w:name="OLE_LINK3"/>
      <w:r>
        <w:rPr>
          <w:rFonts w:hint="eastAsia" w:ascii="宋体" w:hAnsi="宋体" w:eastAsia="宋体" w:cstheme="minorBidi"/>
          <w:bCs/>
          <w:kern w:val="2"/>
          <w:sz w:val="21"/>
          <w:szCs w:val="22"/>
          <w:lang w:eastAsia="zh-CN"/>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28"/>
      <w:r>
        <w:rPr>
          <w:rFonts w:hint="eastAsia" w:ascii="宋体" w:hAnsi="宋体" w:eastAsia="宋体" w:cstheme="minorBidi"/>
          <w:bCs/>
          <w:kern w:val="2"/>
          <w:sz w:val="21"/>
          <w:szCs w:val="22"/>
          <w:lang w:eastAsia="zh-CN"/>
        </w:rPr>
        <w:t>。</w:t>
      </w:r>
      <w:bookmarkEnd w:id="29"/>
    </w:p>
    <w:p w14:paraId="49A9948A">
      <w:pPr>
        <w:widowControl w:val="0"/>
        <w:ind w:firstLine="422" w:firstLineChars="200"/>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14:paraId="19B2192C">
      <w:pPr>
        <w:widowControl w:val="0"/>
        <w:ind w:firstLine="422" w:firstLineChars="200"/>
        <w:jc w:val="both"/>
        <w:rPr>
          <w:rFonts w:ascii="宋体" w:hAnsi="宋体" w:eastAsia="宋体"/>
          <w:b/>
          <w:kern w:val="2"/>
          <w:sz w:val="21"/>
          <w:szCs w:val="22"/>
          <w:lang w:eastAsia="zh-CN"/>
        </w:rPr>
      </w:pPr>
    </w:p>
    <w:p w14:paraId="7A5651C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以上承诺，如有违反，愿依照国家相关法律法规处理，并承担由此给采购人带来的损失。</w:t>
      </w:r>
    </w:p>
    <w:p w14:paraId="0C1FDAE4">
      <w:pPr>
        <w:widowControl w:val="0"/>
        <w:spacing w:before="60" w:beforeLines="25" w:after="60" w:afterLines="25"/>
        <w:ind w:firstLine="5460" w:firstLineChars="26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p>
    <w:bookmarkEnd w:id="27"/>
    <w:p w14:paraId="31C03583">
      <w:pPr>
        <w:widowControl w:val="0"/>
        <w:spacing w:before="60" w:beforeLines="25" w:after="60" w:afterLines="25"/>
        <w:jc w:val="righ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1"/>
          <w:lang w:eastAsia="zh-CN"/>
        </w:rPr>
        <w:t>投标人：</w:t>
      </w:r>
      <w:r>
        <w:rPr>
          <w:rFonts w:hint="eastAsia" w:ascii="Calibri" w:hAnsi="Calibri" w:eastAsia="宋体" w:cstheme="minorBidi"/>
          <w:color w:val="FF0000"/>
          <w:kern w:val="2"/>
          <w:sz w:val="21"/>
          <w:szCs w:val="21"/>
          <w:u w:val="thick"/>
          <w:lang w:eastAsia="zh-CN"/>
        </w:rPr>
        <w:t xml:space="preserve">                           </w:t>
      </w:r>
      <w:r>
        <w:rPr>
          <w:rFonts w:hint="eastAsia" w:ascii="Calibri" w:hAnsi="Calibri" w:eastAsia="宋体" w:cstheme="minorBidi"/>
          <w:color w:val="FF0000"/>
          <w:kern w:val="2"/>
          <w:sz w:val="21"/>
          <w:szCs w:val="21"/>
          <w:lang w:eastAsia="zh-CN"/>
        </w:rPr>
        <w:t>.</w:t>
      </w:r>
    </w:p>
    <w:p w14:paraId="481D88C3">
      <w:pPr>
        <w:widowControl w:val="0"/>
        <w:jc w:val="right"/>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日期：</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年</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月</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日</w:t>
      </w:r>
    </w:p>
    <w:p w14:paraId="645D2E17">
      <w:pPr>
        <w:widowControl w:val="0"/>
        <w:ind w:firstLine="645"/>
        <w:jc w:val="both"/>
        <w:rPr>
          <w:rFonts w:ascii="宋体" w:hAnsi="宋体" w:eastAsia="宋体"/>
          <w:kern w:val="2"/>
          <w:sz w:val="21"/>
          <w:szCs w:val="21"/>
          <w:lang w:eastAsia="zh-CN"/>
        </w:rPr>
      </w:pPr>
    </w:p>
    <w:p w14:paraId="0838645F">
      <w:pPr>
        <w:widowControl w:val="0"/>
        <w:jc w:val="both"/>
        <w:rPr>
          <w:rFonts w:ascii="宋体" w:hAnsi="Calibri" w:eastAsia="宋体"/>
          <w:b/>
          <w:kern w:val="2"/>
          <w:sz w:val="21"/>
          <w:szCs w:val="21"/>
          <w:lang w:eastAsia="zh-CN"/>
        </w:rPr>
      </w:pPr>
    </w:p>
    <w:p w14:paraId="74ADCE53">
      <w:pPr>
        <w:widowControl w:val="0"/>
        <w:ind w:firstLine="482" w:firstLineChars="200"/>
        <w:jc w:val="center"/>
        <w:rPr>
          <w:rFonts w:ascii="Calibri" w:hAnsi="宋体" w:eastAsia="宋体"/>
          <w:b/>
          <w:bCs/>
          <w:kern w:val="2"/>
          <w:szCs w:val="22"/>
          <w:lang w:eastAsia="zh-CN"/>
        </w:rPr>
      </w:pPr>
    </w:p>
    <w:p w14:paraId="5FD654DD">
      <w:pPr>
        <w:keepNext/>
        <w:keepLines/>
        <w:widowControl w:val="0"/>
        <w:spacing w:before="260" w:after="260"/>
        <w:jc w:val="center"/>
        <w:outlineLvl w:val="2"/>
        <w:rPr>
          <w:rFonts w:ascii="黑体" w:hAnsi="宋体" w:eastAsia="黑体"/>
          <w:bCs/>
          <w:kern w:val="2"/>
          <w:lang w:eastAsia="zh-CN"/>
        </w:rPr>
      </w:pPr>
      <w:r>
        <w:rPr>
          <w:rFonts w:hint="eastAsia" w:ascii="黑体" w:hAnsi="宋体" w:eastAsia="黑体" w:cstheme="minorBidi"/>
          <w:bCs/>
          <w:kern w:val="2"/>
          <w:lang w:eastAsia="zh-CN"/>
        </w:rPr>
        <w:t>三、投标人情况及资格证明文件</w:t>
      </w:r>
    </w:p>
    <w:p w14:paraId="5F557EEA">
      <w:pPr>
        <w:widowControl w:val="0"/>
        <w:jc w:val="both"/>
        <w:rPr>
          <w:rFonts w:ascii="Calibri" w:hAnsi="Calibri" w:eastAsia="宋体"/>
          <w:b/>
          <w:bCs/>
          <w:kern w:val="2"/>
          <w:szCs w:val="22"/>
          <w:lang w:eastAsia="zh-CN"/>
        </w:rPr>
      </w:pPr>
    </w:p>
    <w:p w14:paraId="50870A99">
      <w:pPr>
        <w:widowControl w:val="0"/>
        <w:ind w:firstLine="2640" w:firstLineChars="1100"/>
        <w:jc w:val="both"/>
        <w:outlineLvl w:val="3"/>
        <w:rPr>
          <w:rFonts w:ascii="黑体" w:hAnsi="宋体" w:eastAsia="黑体"/>
          <w:bCs/>
          <w:szCs w:val="32"/>
          <w:lang w:eastAsia="zh-CN"/>
        </w:rPr>
      </w:pPr>
      <w:bookmarkStart w:id="30" w:name="_Hlk72257590"/>
      <w:r>
        <w:rPr>
          <w:rFonts w:hint="eastAsia" w:ascii="黑体" w:hAnsi="宋体" w:eastAsia="黑体" w:cstheme="minorBidi"/>
          <w:bCs/>
          <w:szCs w:val="32"/>
          <w:lang w:eastAsia="zh-CN"/>
        </w:rPr>
        <w:t>（一）投标人资格证明文件</w:t>
      </w:r>
    </w:p>
    <w:p w14:paraId="785E70E2">
      <w:pPr>
        <w:widowControl w:val="0"/>
        <w:spacing w:before="120" w:beforeLines="50"/>
        <w:ind w:firstLine="422" w:firstLineChars="200"/>
        <w:jc w:val="both"/>
        <w:rPr>
          <w:rFonts w:ascii="Calibri" w:hAnsi="Calibri" w:eastAsia="宋体"/>
          <w:b/>
          <w:bCs/>
          <w:color w:val="FF0000"/>
          <w:kern w:val="2"/>
          <w:sz w:val="21"/>
          <w:szCs w:val="22"/>
          <w:lang w:eastAsia="zh-CN"/>
        </w:rPr>
      </w:pPr>
      <w:r>
        <w:rPr>
          <w:rFonts w:hint="eastAsia" w:ascii="Calibri" w:hAnsi="Calibri" w:eastAsia="宋体" w:cstheme="minorBidi"/>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4D4EF47A">
      <w:pPr>
        <w:widowControl w:val="0"/>
        <w:jc w:val="both"/>
        <w:rPr>
          <w:rFonts w:ascii="Calibri" w:hAnsi="Calibri" w:eastAsia="宋体"/>
          <w:b/>
          <w:bCs/>
          <w:kern w:val="2"/>
          <w:szCs w:val="22"/>
          <w:lang w:eastAsia="zh-CN"/>
        </w:rPr>
      </w:pPr>
    </w:p>
    <w:p w14:paraId="0BFA7E76">
      <w:pPr>
        <w:widowControl w:val="0"/>
        <w:ind w:firstLine="480" w:firstLineChars="200"/>
        <w:jc w:val="both"/>
        <w:outlineLvl w:val="3"/>
        <w:rPr>
          <w:rFonts w:ascii="黑体" w:hAnsi="宋体" w:eastAsia="黑体"/>
          <w:bCs/>
          <w:szCs w:val="32"/>
          <w:lang w:eastAsia="zh-CN"/>
        </w:rPr>
      </w:pPr>
      <w:bookmarkStart w:id="31" w:name="_Hlk72257908"/>
      <w:r>
        <w:rPr>
          <w:rFonts w:hint="eastAsia" w:ascii="黑体" w:hAnsi="宋体" w:eastAsia="黑体" w:cstheme="minorBidi"/>
          <w:bCs/>
          <w:szCs w:val="32"/>
          <w:lang w:eastAsia="zh-CN"/>
        </w:rPr>
        <w:t>（二）中小企业声明函、残疾人福利性单位声明函及监狱企业声明函</w:t>
      </w:r>
    </w:p>
    <w:bookmarkEnd w:id="30"/>
    <w:p w14:paraId="2195EEDE">
      <w:pPr>
        <w:widowControl w:val="0"/>
        <w:outlineLvl w:val="3"/>
        <w:rPr>
          <w:rFonts w:ascii="黑体" w:hAnsi="宋体" w:eastAsia="黑体"/>
          <w:bCs/>
          <w:szCs w:val="32"/>
          <w:lang w:eastAsia="zh-CN"/>
        </w:rPr>
      </w:pPr>
    </w:p>
    <w:p w14:paraId="544AE036">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填写指引：</w:t>
      </w:r>
    </w:p>
    <w:p w14:paraId="77ACDFCE">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cstheme="minorBidi"/>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stheme="minorBidi"/>
          <w:color w:val="FF0000"/>
          <w:kern w:val="2"/>
          <w:sz w:val="21"/>
          <w:szCs w:val="21"/>
          <w:lang w:eastAsia="zh-CN"/>
        </w:rPr>
        <w:t>投标人提供的声明函不属实的，属于提供虚假资料谋取中标，依照《中华人民共和国政府采购法》等国家有关规定追究相应责任。</w:t>
      </w:r>
    </w:p>
    <w:p w14:paraId="75465EE9">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2、该部分内容填写需要参考的相关文件：</w:t>
      </w:r>
    </w:p>
    <w:p w14:paraId="6EE00ADA">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1</w:t>
      </w:r>
      <w:r>
        <w:rPr>
          <w:rFonts w:hint="eastAsia" w:ascii="黑体" w:hAnsi="黑体" w:eastAsia="黑体" w:cstheme="minorBidi"/>
          <w:color w:val="FF0000"/>
          <w:kern w:val="2"/>
          <w:sz w:val="21"/>
          <w:szCs w:val="21"/>
          <w:lang w:eastAsia="zh-CN"/>
        </w:rPr>
        <w:t>)财政部《政府采购促进中小企业发展管理办法》（财库〔2020〕46号）</w:t>
      </w:r>
    </w:p>
    <w:p w14:paraId="6E93A187">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2</w:t>
      </w:r>
      <w:r>
        <w:rPr>
          <w:rFonts w:hint="eastAsia" w:ascii="黑体" w:hAnsi="黑体" w:eastAsia="黑体" w:cstheme="minorBidi"/>
          <w:color w:val="FF0000"/>
          <w:kern w:val="2"/>
          <w:sz w:val="21"/>
          <w:szCs w:val="21"/>
          <w:lang w:eastAsia="zh-CN"/>
        </w:rPr>
        <w:t>)</w:t>
      </w:r>
      <w:bookmarkStart w:id="32" w:name="_Hlk71925120"/>
      <w:r>
        <w:rPr>
          <w:rFonts w:hint="eastAsia" w:ascii="黑体" w:hAnsi="黑体" w:eastAsia="黑体" w:cstheme="minorBidi"/>
          <w:color w:val="FF0000"/>
          <w:kern w:val="2"/>
          <w:sz w:val="21"/>
          <w:szCs w:val="21"/>
          <w:lang w:eastAsia="zh-CN"/>
        </w:rPr>
        <w:t>《工业和信息化部、国家统计局、国家发展和改革委员会、财政部关于印发中小企业划型标准规定的通知》（工信部联企业〔2011〕300号</w:t>
      </w:r>
      <w:bookmarkEnd w:id="32"/>
      <w:r>
        <w:rPr>
          <w:rFonts w:hint="eastAsia" w:ascii="黑体" w:hAnsi="黑体" w:eastAsia="黑体" w:cstheme="minorBidi"/>
          <w:color w:val="FF0000"/>
          <w:kern w:val="2"/>
          <w:sz w:val="21"/>
          <w:szCs w:val="21"/>
          <w:lang w:eastAsia="zh-CN"/>
        </w:rPr>
        <w:t>）</w:t>
      </w:r>
    </w:p>
    <w:p w14:paraId="7A41FBB4">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(3)《统计上大中小微型企业划分办法(2017)》（国统字〔2017〕213号）</w:t>
      </w:r>
    </w:p>
    <w:p w14:paraId="2666D48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(4)《关于促进残疾人就业政府采购政策的通知》（财库〔2017〕141号）</w:t>
      </w:r>
    </w:p>
    <w:p w14:paraId="2AF52DC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(5)《关于政府采购支持监狱企业发展有关问题的通知》（财库〔2014〕68号）</w:t>
      </w:r>
    </w:p>
    <w:p w14:paraId="683070A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3、请依照提供的格式和内容填写声明函，不要随意变更格式；声明函不需要盖章或签字；</w:t>
      </w:r>
      <w:r>
        <w:rPr>
          <w:rFonts w:hint="eastAsia" w:ascii="黑体" w:hAnsi="黑体" w:eastAsia="黑体" w:cstheme="minorBidi"/>
          <w:color w:val="FF0000"/>
          <w:kern w:val="2"/>
          <w:sz w:val="21"/>
          <w:szCs w:val="21"/>
          <w:lang w:eastAsia="zh-CN"/>
        </w:rPr>
        <w:t>满足多项优惠政策的投标人，不重复享受多项价格扣除政策。</w:t>
      </w:r>
    </w:p>
    <w:p w14:paraId="33BBF39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4、声明函具体填写要求：</w:t>
      </w:r>
    </w:p>
    <w:p w14:paraId="79B3012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（1）声明是中小企业须填写《中小企业声明函》的以下内容：</w:t>
      </w:r>
    </w:p>
    <w:p w14:paraId="60EBAED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第一处，在“单位名称”下划线处如实填写采购人名称（深圳公共资源交易中心不是本项目的采购人，而是组织实施机构）；</w:t>
      </w:r>
    </w:p>
    <w:p w14:paraId="2F65F36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0CBC52E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6F16A6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223ECBF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第五处，在“企业名称”下划线处如实填写</w:t>
      </w:r>
      <w:r>
        <w:rPr>
          <w:rFonts w:hint="eastAsia" w:ascii="黑体" w:hAnsi="宋体" w:eastAsia="黑体" w:cstheme="minorBidi"/>
          <w:b/>
          <w:color w:val="FF0000"/>
          <w:sz w:val="21"/>
          <w:szCs w:val="21"/>
          <w:lang w:eastAsia="zh-CN"/>
        </w:rPr>
        <w:t>服务承接商名称。</w:t>
      </w:r>
      <w:r>
        <w:rPr>
          <w:rFonts w:hint="eastAsia" w:ascii="黑体" w:hAnsi="宋体" w:eastAsia="黑体" w:cstheme="minorBidi"/>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73FDF20A">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第六、</w:t>
      </w:r>
      <w:r>
        <w:rPr>
          <w:rFonts w:hint="eastAsia" w:ascii="黑体" w:hAnsi="宋体" w:eastAsia="黑体" w:cstheme="minorBidi"/>
          <w:bCs/>
          <w:color w:val="FF0000"/>
          <w:sz w:val="21"/>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6E0F538C">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3FD6674E">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E88E90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（3）事业单位、社会组织等非企业主体不享受中小企业扶持政策。</w:t>
      </w:r>
    </w:p>
    <w:p w14:paraId="57ED5B6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（4）声明是残疾人福利性单位须填写《残疾人福利性单位声明函》的相关内容，具体参照以上《中小企业声明函》填写要求执行。</w:t>
      </w:r>
    </w:p>
    <w:p w14:paraId="3D7710F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（5）声明是监狱企业须填写《监狱企业声明函》的三项内容（填写位置的字体已加粗），具体参照以上《中小企业声明函》填写要求执行。</w:t>
      </w:r>
    </w:p>
    <w:p w14:paraId="27003FC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14:paraId="715E63B2">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68DC7E5">
      <w:pPr>
        <w:widowControl w:val="0"/>
        <w:ind w:firstLine="420" w:firstLineChars="200"/>
        <w:jc w:val="both"/>
        <w:rPr>
          <w:rFonts w:ascii="Calibri" w:hAnsi="Calibri" w:eastAsia="宋体"/>
          <w:kern w:val="2"/>
          <w:sz w:val="21"/>
          <w:szCs w:val="22"/>
          <w:lang w:eastAsia="zh-CN"/>
        </w:rPr>
      </w:pPr>
      <w:r>
        <w:rPr>
          <w:rFonts w:hint="eastAsia" w:ascii="黑体" w:hAnsi="宋体" w:eastAsia="黑体" w:cstheme="minorBidi"/>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149894F">
      <w:pPr>
        <w:widowControl w:val="0"/>
        <w:ind w:firstLine="420" w:firstLineChars="200"/>
        <w:jc w:val="both"/>
        <w:rPr>
          <w:rFonts w:ascii="Calibri" w:hAnsi="Calibri" w:eastAsia="宋体"/>
          <w:kern w:val="2"/>
          <w:sz w:val="21"/>
          <w:szCs w:val="22"/>
          <w:lang w:eastAsia="zh-CN"/>
        </w:rPr>
      </w:pPr>
    </w:p>
    <w:p w14:paraId="003C4AAD">
      <w:pPr>
        <w:widowControl w:val="0"/>
        <w:numPr>
          <w:ilvl w:val="0"/>
          <w:numId w:val="3"/>
        </w:numPr>
        <w:jc w:val="center"/>
        <w:outlineLvl w:val="3"/>
        <w:rPr>
          <w:rFonts w:ascii="Calibri" w:hAnsi="Calibri" w:eastAsia="宋体"/>
          <w:b/>
          <w:kern w:val="2"/>
          <w:szCs w:val="22"/>
          <w:lang w:eastAsia="zh-CN"/>
        </w:rPr>
      </w:pPr>
      <w:r>
        <w:rPr>
          <w:rFonts w:ascii="Calibri" w:hAnsi="Calibri" w:eastAsia="宋体" w:cstheme="minorBidi"/>
          <w:b/>
          <w:kern w:val="2"/>
          <w:szCs w:val="22"/>
          <w:lang w:eastAsia="zh-CN"/>
        </w:rPr>
        <w:t>中小企业声明函（货物）</w:t>
      </w:r>
    </w:p>
    <w:p w14:paraId="631F4E04">
      <w:pPr>
        <w:widowControl w:val="0"/>
        <w:spacing w:line="360" w:lineRule="auto"/>
        <w:jc w:val="both"/>
        <w:rPr>
          <w:rFonts w:ascii="Calibri" w:hAnsi="Calibri" w:eastAsia="宋体"/>
          <w:b/>
          <w:bCs/>
          <w:kern w:val="2"/>
          <w:szCs w:val="22"/>
          <w:lang w:eastAsia="zh-CN"/>
        </w:rPr>
      </w:pPr>
    </w:p>
    <w:p w14:paraId="7FB9881A">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14:paraId="592C074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560AEE5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3A98A084">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593CEBDC">
      <w:pPr>
        <w:widowControl w:val="0"/>
        <w:spacing w:line="360" w:lineRule="auto"/>
        <w:ind w:firstLine="420" w:firstLineChars="200"/>
        <w:jc w:val="both"/>
        <w:rPr>
          <w:rFonts w:ascii="宋体" w:hAnsi="宋体" w:eastAsia="宋体" w:cs="宋体"/>
          <w:kern w:val="2"/>
          <w:sz w:val="21"/>
          <w:szCs w:val="21"/>
          <w:lang w:eastAsia="zh-CN"/>
        </w:rPr>
      </w:pPr>
    </w:p>
    <w:p w14:paraId="60CABD87">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01386A02">
      <w:pPr>
        <w:widowControl w:val="0"/>
        <w:spacing w:line="360" w:lineRule="auto"/>
        <w:ind w:firstLine="420" w:firstLineChars="200"/>
        <w:jc w:val="both"/>
        <w:rPr>
          <w:rFonts w:ascii="宋体" w:hAnsi="宋体" w:eastAsia="宋体" w:cs="宋体"/>
          <w:kern w:val="2"/>
          <w:sz w:val="21"/>
          <w:szCs w:val="21"/>
          <w:lang w:eastAsia="zh-CN"/>
        </w:rPr>
      </w:pPr>
      <w:bookmarkStart w:id="33" w:name="_Hlk73562203"/>
      <w:r>
        <w:rPr>
          <w:rFonts w:hint="eastAsia" w:ascii="宋体" w:hAnsi="宋体" w:eastAsia="宋体" w:cs="宋体"/>
          <w:kern w:val="2"/>
          <w:sz w:val="21"/>
          <w:szCs w:val="21"/>
          <w:lang w:eastAsia="zh-CN"/>
        </w:rPr>
        <w:t>本投标人对上述声明内容的真实性负责。如有虚假，将依法承担相应责任。</w:t>
      </w:r>
    </w:p>
    <w:p w14:paraId="005D129D">
      <w:pPr>
        <w:widowControl w:val="0"/>
        <w:spacing w:line="360" w:lineRule="auto"/>
        <w:ind w:firstLine="420" w:firstLineChars="200"/>
        <w:jc w:val="both"/>
        <w:rPr>
          <w:rFonts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3"/>
    </w:p>
    <w:p w14:paraId="5771B4E9">
      <w:pPr>
        <w:widowControl w:val="0"/>
        <w:ind w:firstLine="420" w:firstLineChars="200"/>
        <w:jc w:val="both"/>
        <w:outlineLvl w:val="3"/>
        <w:rPr>
          <w:rFonts w:ascii="宋体" w:hAnsi="宋体" w:eastAsia="宋体"/>
          <w:bCs/>
          <w:color w:val="FF0000"/>
          <w:sz w:val="21"/>
          <w:szCs w:val="21"/>
          <w:lang w:eastAsia="zh-CN"/>
        </w:rPr>
      </w:pPr>
    </w:p>
    <w:p w14:paraId="5B857145">
      <w:pPr>
        <w:widowControl w:val="0"/>
        <w:jc w:val="both"/>
        <w:rPr>
          <w:rFonts w:ascii="Calibri" w:hAnsi="Calibri" w:eastAsia="宋体"/>
          <w:kern w:val="2"/>
          <w:sz w:val="21"/>
          <w:szCs w:val="22"/>
          <w:lang w:eastAsia="zh-CN"/>
        </w:rPr>
      </w:pPr>
    </w:p>
    <w:p w14:paraId="155055D6">
      <w:pPr>
        <w:widowControl w:val="0"/>
        <w:ind w:firstLine="420" w:firstLineChars="200"/>
        <w:jc w:val="both"/>
        <w:rPr>
          <w:rFonts w:ascii="Calibri" w:hAnsi="Calibri" w:eastAsia="宋体"/>
          <w:kern w:val="2"/>
          <w:sz w:val="21"/>
          <w:szCs w:val="22"/>
          <w:lang w:eastAsia="zh-CN"/>
        </w:rPr>
      </w:pPr>
    </w:p>
    <w:p w14:paraId="3AB0F6AE">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2、残疾人福利性单位声明函（货物类）</w:t>
      </w:r>
    </w:p>
    <w:p w14:paraId="5D473B9F">
      <w:pPr>
        <w:widowControl w:val="0"/>
        <w:jc w:val="both"/>
        <w:rPr>
          <w:rFonts w:ascii="Calibri" w:hAnsi="Calibri" w:eastAsia="宋体"/>
          <w:b/>
          <w:bCs/>
          <w:kern w:val="2"/>
          <w:sz w:val="21"/>
          <w:szCs w:val="22"/>
          <w:lang w:eastAsia="zh-CN"/>
        </w:rPr>
      </w:pPr>
    </w:p>
    <w:p w14:paraId="2FFEF4AA">
      <w:pPr>
        <w:widowControl w:val="0"/>
        <w:spacing w:line="360" w:lineRule="auto"/>
        <w:ind w:firstLine="420" w:firstLineChars="200"/>
        <w:jc w:val="both"/>
        <w:rPr>
          <w:rFonts w:ascii="宋体" w:hAnsi="宋体" w:eastAsia="宋体" w:cs="宋体"/>
          <w:kern w:val="2"/>
          <w:sz w:val="21"/>
          <w:szCs w:val="21"/>
          <w:lang w:eastAsia="zh-CN"/>
        </w:rPr>
      </w:pPr>
      <w:bookmarkStart w:id="34" w:name="_Hlk73562331"/>
      <w:bookmarkStart w:id="35" w:name="_Hlk73562245"/>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024891D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278824C1">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34"/>
    </w:p>
    <w:bookmarkEnd w:id="35"/>
    <w:p w14:paraId="5C59EDAF">
      <w:pPr>
        <w:widowControl w:val="0"/>
        <w:ind w:firstLine="420" w:firstLineChars="200"/>
        <w:jc w:val="both"/>
        <w:rPr>
          <w:rFonts w:ascii="宋体" w:hAnsi="宋体" w:eastAsia="宋体"/>
          <w:kern w:val="2"/>
          <w:sz w:val="21"/>
          <w:szCs w:val="21"/>
          <w:lang w:eastAsia="zh-CN"/>
        </w:rPr>
      </w:pPr>
    </w:p>
    <w:p w14:paraId="0EB502BE">
      <w:pPr>
        <w:widowControl w:val="0"/>
        <w:ind w:firstLine="420" w:firstLineChars="200"/>
        <w:jc w:val="both"/>
        <w:rPr>
          <w:rFonts w:ascii="宋体" w:hAnsi="宋体" w:eastAsia="宋体"/>
          <w:kern w:val="2"/>
          <w:sz w:val="21"/>
          <w:szCs w:val="21"/>
          <w:lang w:eastAsia="zh-CN"/>
        </w:rPr>
      </w:pPr>
    </w:p>
    <w:p w14:paraId="035C0901">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14:paraId="004FF67B">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本投标人郑重声明，根据《财政部司法部关于政府采购支持监狱企业发展有关问题的通知》（财库〔</w:t>
      </w:r>
      <w:r>
        <w:rPr>
          <w:rFonts w:ascii="宋体" w:hAnsi="宋体" w:eastAsia="宋体" w:cstheme="minorBidi"/>
          <w:kern w:val="2"/>
          <w:sz w:val="21"/>
          <w:szCs w:val="21"/>
          <w:lang w:eastAsia="zh-CN"/>
        </w:rPr>
        <w:t>2014</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68</w:t>
      </w:r>
      <w:r>
        <w:rPr>
          <w:rFonts w:hint="eastAsia" w:ascii="宋体" w:hAnsi="宋体" w:eastAsia="宋体" w:cstheme="minorBidi"/>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采购人</w:t>
      </w:r>
      <w:r>
        <w:rPr>
          <w:rFonts w:ascii="宋体" w:hAnsi="宋体" w:eastAsia="宋体" w:cstheme="minorBidi"/>
          <w:b/>
          <w:bCs/>
          <w:i/>
          <w:iCs/>
          <w:kern w:val="2"/>
          <w:sz w:val="21"/>
          <w:szCs w:val="21"/>
          <w:u w:val="single"/>
          <w:lang w:eastAsia="zh-CN"/>
        </w:rPr>
        <w:t>名称）</w:t>
      </w:r>
      <w:r>
        <w:rPr>
          <w:rFonts w:ascii="宋体" w:hAnsi="宋体" w:eastAsia="宋体" w:cstheme="minorBidi"/>
          <w:kern w:val="2"/>
          <w:sz w:val="21"/>
          <w:szCs w:val="21"/>
          <w:lang w:eastAsia="zh-CN"/>
        </w:rPr>
        <w:t>的</w:t>
      </w:r>
      <w:r>
        <w:rPr>
          <w:rFonts w:ascii="宋体" w:hAnsi="宋体" w:eastAsia="宋体" w:cstheme="minorBidi"/>
          <w:b/>
          <w:bCs/>
          <w:i/>
          <w:iCs/>
          <w:kern w:val="2"/>
          <w:sz w:val="21"/>
          <w:szCs w:val="21"/>
          <w:u w:val="single"/>
          <w:lang w:eastAsia="zh-CN"/>
        </w:rPr>
        <w:t>（项目名称）</w:t>
      </w:r>
      <w:r>
        <w:rPr>
          <w:rFonts w:ascii="宋体" w:hAnsi="宋体" w:eastAsia="宋体" w:cstheme="minorBidi"/>
          <w:kern w:val="2"/>
          <w:sz w:val="21"/>
          <w:szCs w:val="21"/>
          <w:lang w:eastAsia="zh-CN"/>
        </w:rPr>
        <w:t>采购活动，提供的货物全部由符合政策要求的</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制造。相关</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的具体情况如下：</w:t>
      </w:r>
    </w:p>
    <w:p w14:paraId="39F988B9">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ascii="宋体" w:hAnsi="宋体" w:eastAsia="宋体" w:cstheme="minorBidi"/>
          <w:kern w:val="2"/>
          <w:sz w:val="21"/>
          <w:szCs w:val="21"/>
          <w:lang w:eastAsia="zh-CN"/>
        </w:rPr>
        <w:t>；</w:t>
      </w:r>
    </w:p>
    <w:p w14:paraId="1954BB9C">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hint="eastAsia" w:ascii="宋体" w:hAnsi="宋体" w:eastAsia="宋体" w:cstheme="minorBidi"/>
          <w:kern w:val="2"/>
          <w:sz w:val="21"/>
          <w:szCs w:val="21"/>
          <w:lang w:eastAsia="zh-CN"/>
        </w:rPr>
        <w:t>。</w:t>
      </w:r>
    </w:p>
    <w:p w14:paraId="79C22F67">
      <w:pPr>
        <w:widowControl w:val="0"/>
        <w:spacing w:line="360" w:lineRule="auto"/>
        <w:ind w:firstLine="420" w:firstLineChars="200"/>
        <w:jc w:val="both"/>
        <w:outlineLvl w:val="3"/>
        <w:rPr>
          <w:rFonts w:ascii="宋体" w:hAnsi="宋体" w:eastAsia="宋体"/>
          <w:kern w:val="2"/>
          <w:sz w:val="21"/>
          <w:szCs w:val="21"/>
          <w:lang w:eastAsia="zh-CN"/>
        </w:rPr>
      </w:pPr>
      <w:r>
        <w:rPr>
          <w:rFonts w:ascii="宋体" w:hAnsi="宋体" w:eastAsia="宋体" w:cstheme="minorBidi"/>
          <w:kern w:val="2"/>
          <w:sz w:val="21"/>
          <w:szCs w:val="21"/>
          <w:lang w:eastAsia="zh-CN"/>
        </w:rPr>
        <w:t xml:space="preserve">…… </w:t>
      </w:r>
    </w:p>
    <w:p w14:paraId="63CEEBD5">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cstheme="minorBidi"/>
          <w:kern w:val="2"/>
          <w:sz w:val="21"/>
          <w:szCs w:val="21"/>
          <w:lang w:eastAsia="zh-CN"/>
        </w:rPr>
        <w:t>对上述声明内容的真实性负责。如有虚假，将依法承担相应责任。</w:t>
      </w:r>
    </w:p>
    <w:p w14:paraId="36DEB583">
      <w:pPr>
        <w:widowControl w:val="0"/>
        <w:spacing w:line="360" w:lineRule="auto"/>
        <w:ind w:firstLine="420" w:firstLineChars="200"/>
        <w:jc w:val="both"/>
        <w:rPr>
          <w:rFonts w:ascii="Calibri" w:hAnsi="Calibri" w:eastAsia="宋体"/>
          <w:b/>
          <w:bCs/>
          <w:color w:val="FF0000"/>
          <w:kern w:val="2"/>
          <w:sz w:val="21"/>
          <w:szCs w:val="21"/>
          <w:lang w:eastAsia="zh-CN"/>
        </w:rPr>
      </w:pPr>
      <w:r>
        <w:rPr>
          <w:rFonts w:hint="eastAsia" w:ascii="宋体" w:hAnsi="宋体" w:eastAsia="宋体" w:cstheme="minorBidi"/>
          <w:kern w:val="2"/>
          <w:sz w:val="21"/>
          <w:szCs w:val="21"/>
          <w:lang w:eastAsia="zh-CN"/>
        </w:rPr>
        <w:t>附：省级以上监狱管理局、戒毒管理局（含新疆生产建设兵团）出具的监狱企业证明文件。</w:t>
      </w:r>
      <w:bookmarkEnd w:id="31"/>
    </w:p>
    <w:p w14:paraId="11081845">
      <w:pPr>
        <w:keepNext/>
        <w:keepLines/>
        <w:pageBreakBefore/>
        <w:widowControl w:val="0"/>
        <w:adjustRightInd w:val="0"/>
        <w:snapToGrid w:val="0"/>
        <w:spacing w:line="360" w:lineRule="auto"/>
        <w:jc w:val="center"/>
        <w:textAlignment w:val="baseline"/>
        <w:outlineLvl w:val="3"/>
        <w:rPr>
          <w:rFonts w:ascii="宋体" w:hAnsi="宋体" w:eastAsia="宋体"/>
          <w:b/>
          <w:bCs/>
          <w:szCs w:val="20"/>
          <w:lang w:eastAsia="zh-CN"/>
        </w:rPr>
      </w:pPr>
      <w:r>
        <w:rPr>
          <w:rFonts w:hint="eastAsia" w:ascii="黑体" w:hAnsi="Calibri" w:eastAsia="黑体" w:cstheme="minorBidi"/>
          <w:kern w:val="2"/>
          <w:lang w:eastAsia="zh-CN"/>
        </w:rPr>
        <w:t>四、</w:t>
      </w:r>
      <w:r>
        <w:rPr>
          <w:rFonts w:hint="eastAsia" w:ascii="宋体" w:hAnsi="宋体" w:eastAsia="宋体"/>
          <w:b/>
          <w:bCs/>
          <w:szCs w:val="20"/>
          <w:lang w:eastAsia="zh-CN"/>
        </w:rPr>
        <w:t>分项报价清单</w:t>
      </w:r>
    </w:p>
    <w:p w14:paraId="08516523">
      <w:pPr>
        <w:widowControl w:val="0"/>
        <w:spacing w:after="60" w:afterLines="25" w:line="300" w:lineRule="auto"/>
        <w:jc w:val="both"/>
        <w:rPr>
          <w:rFonts w:ascii="Arial" w:hAnsi="Arial" w:eastAsia="宋体" w:cs="Arial"/>
          <w:kern w:val="2"/>
          <w:sz w:val="21"/>
          <w:lang w:eastAsia="zh-CN"/>
        </w:rPr>
      </w:pPr>
      <w:r>
        <w:rPr>
          <w:rFonts w:hint="eastAsia" w:ascii="Arial" w:hAnsi="Arial" w:eastAsia="宋体" w:cs="Arial"/>
          <w:color w:val="000000"/>
          <w:kern w:val="2"/>
          <w:sz w:val="21"/>
          <w:lang w:eastAsia="zh-CN"/>
        </w:rPr>
        <w:t>投标单位（投标人）名称：</w:t>
      </w:r>
      <w:r>
        <w:rPr>
          <w:rFonts w:ascii="Arial" w:hAnsi="Arial" w:eastAsia="宋体" w:cs="Arial"/>
          <w:color w:val="000000"/>
          <w:kern w:val="2"/>
          <w:sz w:val="21"/>
          <w:u w:val="single"/>
          <w:lang w:eastAsia="zh-CN"/>
        </w:rPr>
        <w:t xml:space="preserve">                          </w:t>
      </w:r>
    </w:p>
    <w:p w14:paraId="04104DFD">
      <w:pPr>
        <w:widowControl w:val="0"/>
        <w:tabs>
          <w:tab w:val="left" w:pos="720"/>
        </w:tabs>
        <w:spacing w:after="60" w:afterLines="25" w:line="300" w:lineRule="auto"/>
        <w:jc w:val="both"/>
        <w:rPr>
          <w:rFonts w:ascii="Arial" w:hAnsi="Arial" w:eastAsia="宋体"/>
          <w:b/>
          <w:kern w:val="2"/>
          <w:lang w:eastAsia="zh-CN"/>
        </w:rPr>
      </w:pPr>
      <w:r>
        <w:rPr>
          <w:rFonts w:hint="eastAsia" w:ascii="Arial" w:hAnsi="Arial" w:eastAsia="宋体"/>
          <w:b/>
          <w:kern w:val="2"/>
          <w:lang w:eastAsia="zh-CN"/>
        </w:rPr>
        <w:t>（一）项目报价表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600"/>
        <w:gridCol w:w="725"/>
        <w:gridCol w:w="848"/>
        <w:gridCol w:w="937"/>
        <w:gridCol w:w="705"/>
        <w:gridCol w:w="499"/>
        <w:gridCol w:w="499"/>
        <w:gridCol w:w="701"/>
        <w:gridCol w:w="933"/>
        <w:gridCol w:w="935"/>
      </w:tblGrid>
      <w:tr w14:paraId="0962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72F6BC64">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序号</w:t>
            </w:r>
          </w:p>
        </w:tc>
        <w:tc>
          <w:tcPr>
            <w:tcW w:w="903" w:type="pct"/>
            <w:vAlign w:val="center"/>
          </w:tcPr>
          <w:p w14:paraId="0CE2399F">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货物名称</w:t>
            </w:r>
          </w:p>
        </w:tc>
        <w:tc>
          <w:tcPr>
            <w:tcW w:w="409" w:type="pct"/>
            <w:vAlign w:val="center"/>
          </w:tcPr>
          <w:p w14:paraId="283DBFDE">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品牌</w:t>
            </w:r>
          </w:p>
        </w:tc>
        <w:tc>
          <w:tcPr>
            <w:tcW w:w="478" w:type="pct"/>
            <w:vAlign w:val="center"/>
          </w:tcPr>
          <w:p w14:paraId="668A531A">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规格/型号</w:t>
            </w:r>
          </w:p>
        </w:tc>
        <w:tc>
          <w:tcPr>
            <w:tcW w:w="529" w:type="pct"/>
            <w:vAlign w:val="center"/>
          </w:tcPr>
          <w:p w14:paraId="5D0DBA1D">
            <w:pPr>
              <w:widowControl w:val="0"/>
              <w:spacing w:line="300" w:lineRule="auto"/>
              <w:jc w:val="center"/>
              <w:rPr>
                <w:rFonts w:ascii="Arial" w:hAnsi="Arial" w:eastAsia="宋体"/>
                <w:b/>
                <w:kern w:val="2"/>
                <w:sz w:val="21"/>
                <w:lang w:eastAsia="zh-CN"/>
              </w:rPr>
            </w:pPr>
            <w:r>
              <w:rPr>
                <w:rFonts w:hint="eastAsia" w:ascii="Arial" w:hAnsi="Arial" w:eastAsia="宋体"/>
                <w:bCs/>
                <w:kern w:val="2"/>
                <w:sz w:val="21"/>
                <w:lang w:eastAsia="zh-CN"/>
              </w:rPr>
              <w:t>制造商名称</w:t>
            </w:r>
          </w:p>
        </w:tc>
        <w:tc>
          <w:tcPr>
            <w:tcW w:w="395" w:type="pct"/>
            <w:vAlign w:val="center"/>
          </w:tcPr>
          <w:p w14:paraId="15766A2E">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原产地</w:t>
            </w:r>
          </w:p>
        </w:tc>
        <w:tc>
          <w:tcPr>
            <w:tcW w:w="282" w:type="pct"/>
            <w:vAlign w:val="center"/>
          </w:tcPr>
          <w:p w14:paraId="264294D9">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数量</w:t>
            </w:r>
          </w:p>
        </w:tc>
        <w:tc>
          <w:tcPr>
            <w:tcW w:w="282" w:type="pct"/>
          </w:tcPr>
          <w:p w14:paraId="17429271">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单位</w:t>
            </w:r>
          </w:p>
        </w:tc>
        <w:tc>
          <w:tcPr>
            <w:tcW w:w="396" w:type="pct"/>
            <w:vAlign w:val="center"/>
          </w:tcPr>
          <w:p w14:paraId="45DAED4A">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单价(元)</w:t>
            </w:r>
          </w:p>
        </w:tc>
        <w:tc>
          <w:tcPr>
            <w:tcW w:w="527" w:type="pct"/>
            <w:vAlign w:val="center"/>
          </w:tcPr>
          <w:p w14:paraId="64ACFA59">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合价(元)</w:t>
            </w:r>
          </w:p>
        </w:tc>
        <w:tc>
          <w:tcPr>
            <w:tcW w:w="527" w:type="pct"/>
            <w:vAlign w:val="center"/>
          </w:tcPr>
          <w:p w14:paraId="7A075166">
            <w:pPr>
              <w:widowControl w:val="0"/>
              <w:spacing w:line="300" w:lineRule="auto"/>
              <w:jc w:val="center"/>
              <w:rPr>
                <w:rFonts w:ascii="Arial" w:hAnsi="Arial" w:eastAsia="宋体"/>
                <w:kern w:val="2"/>
                <w:sz w:val="21"/>
                <w:lang w:eastAsia="zh-CN"/>
              </w:rPr>
            </w:pPr>
            <w:r>
              <w:rPr>
                <w:rFonts w:hint="eastAsia" w:eastAsia="宋体"/>
                <w:kern w:val="2"/>
                <w:sz w:val="21"/>
                <w:szCs w:val="21"/>
                <w:lang w:eastAsia="zh-CN"/>
              </w:rPr>
              <w:t>预算金额（元）</w:t>
            </w:r>
          </w:p>
        </w:tc>
      </w:tr>
      <w:tr w14:paraId="7C3D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32B4770E">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1</w:t>
            </w:r>
          </w:p>
        </w:tc>
        <w:tc>
          <w:tcPr>
            <w:tcW w:w="903" w:type="pct"/>
            <w:vAlign w:val="center"/>
          </w:tcPr>
          <w:p w14:paraId="39C4049A">
            <w:pPr>
              <w:widowControl w:val="0"/>
              <w:spacing w:after="60" w:afterLines="25" w:line="300" w:lineRule="auto"/>
              <w:jc w:val="both"/>
              <w:rPr>
                <w:rFonts w:ascii="Arial" w:hAnsi="Arial" w:eastAsia="宋体"/>
                <w:b/>
                <w:kern w:val="2"/>
                <w:sz w:val="21"/>
                <w:lang w:eastAsia="zh-CN"/>
              </w:rPr>
            </w:pPr>
          </w:p>
        </w:tc>
        <w:tc>
          <w:tcPr>
            <w:tcW w:w="409" w:type="pct"/>
          </w:tcPr>
          <w:p w14:paraId="19A9AA70">
            <w:pPr>
              <w:widowControl w:val="0"/>
              <w:spacing w:after="60" w:afterLines="25" w:line="300" w:lineRule="auto"/>
              <w:jc w:val="both"/>
              <w:rPr>
                <w:rFonts w:ascii="Arial" w:hAnsi="Arial" w:eastAsia="宋体"/>
                <w:kern w:val="2"/>
                <w:sz w:val="21"/>
                <w:lang w:eastAsia="zh-CN"/>
              </w:rPr>
            </w:pPr>
          </w:p>
        </w:tc>
        <w:tc>
          <w:tcPr>
            <w:tcW w:w="478" w:type="pct"/>
          </w:tcPr>
          <w:p w14:paraId="267A18CE">
            <w:pPr>
              <w:widowControl w:val="0"/>
              <w:spacing w:after="60" w:afterLines="25" w:line="300" w:lineRule="auto"/>
              <w:jc w:val="both"/>
              <w:rPr>
                <w:rFonts w:ascii="Arial" w:hAnsi="Arial" w:eastAsia="宋体"/>
                <w:kern w:val="2"/>
                <w:sz w:val="21"/>
                <w:lang w:eastAsia="zh-CN"/>
              </w:rPr>
            </w:pPr>
          </w:p>
        </w:tc>
        <w:tc>
          <w:tcPr>
            <w:tcW w:w="529" w:type="pct"/>
          </w:tcPr>
          <w:p w14:paraId="7D171AE8">
            <w:pPr>
              <w:widowControl w:val="0"/>
              <w:spacing w:after="60" w:afterLines="25" w:line="300" w:lineRule="auto"/>
              <w:jc w:val="both"/>
              <w:rPr>
                <w:rFonts w:ascii="Arial" w:hAnsi="Arial" w:eastAsia="宋体"/>
                <w:kern w:val="2"/>
                <w:sz w:val="21"/>
                <w:lang w:eastAsia="zh-CN"/>
              </w:rPr>
            </w:pPr>
          </w:p>
        </w:tc>
        <w:tc>
          <w:tcPr>
            <w:tcW w:w="395" w:type="pct"/>
          </w:tcPr>
          <w:p w14:paraId="6D951178">
            <w:pPr>
              <w:widowControl w:val="0"/>
              <w:spacing w:after="60" w:afterLines="25" w:line="300" w:lineRule="auto"/>
              <w:jc w:val="both"/>
              <w:rPr>
                <w:rFonts w:ascii="Arial" w:hAnsi="Arial" w:eastAsia="宋体"/>
                <w:kern w:val="2"/>
                <w:sz w:val="21"/>
                <w:lang w:eastAsia="zh-CN"/>
              </w:rPr>
            </w:pPr>
          </w:p>
        </w:tc>
        <w:tc>
          <w:tcPr>
            <w:tcW w:w="282" w:type="pct"/>
          </w:tcPr>
          <w:p w14:paraId="50100901">
            <w:pPr>
              <w:widowControl w:val="0"/>
              <w:spacing w:after="60" w:afterLines="25" w:line="300" w:lineRule="auto"/>
              <w:jc w:val="both"/>
              <w:rPr>
                <w:rFonts w:ascii="Arial" w:hAnsi="Arial" w:eastAsia="宋体"/>
                <w:kern w:val="2"/>
                <w:sz w:val="21"/>
                <w:lang w:eastAsia="zh-CN"/>
              </w:rPr>
            </w:pPr>
          </w:p>
        </w:tc>
        <w:tc>
          <w:tcPr>
            <w:tcW w:w="282" w:type="pct"/>
          </w:tcPr>
          <w:p w14:paraId="58FFBB40">
            <w:pPr>
              <w:widowControl w:val="0"/>
              <w:spacing w:after="60" w:afterLines="25" w:line="300" w:lineRule="auto"/>
              <w:jc w:val="both"/>
              <w:rPr>
                <w:rFonts w:ascii="Arial" w:hAnsi="Arial" w:eastAsia="宋体"/>
                <w:kern w:val="2"/>
                <w:sz w:val="21"/>
                <w:lang w:eastAsia="zh-CN"/>
              </w:rPr>
            </w:pPr>
          </w:p>
        </w:tc>
        <w:tc>
          <w:tcPr>
            <w:tcW w:w="396" w:type="pct"/>
          </w:tcPr>
          <w:p w14:paraId="6C56743C">
            <w:pPr>
              <w:widowControl w:val="0"/>
              <w:spacing w:after="60" w:afterLines="25" w:line="300" w:lineRule="auto"/>
              <w:jc w:val="both"/>
              <w:rPr>
                <w:rFonts w:ascii="Arial" w:hAnsi="Arial" w:eastAsia="宋体"/>
                <w:kern w:val="2"/>
                <w:sz w:val="21"/>
                <w:lang w:eastAsia="zh-CN"/>
              </w:rPr>
            </w:pPr>
          </w:p>
        </w:tc>
        <w:tc>
          <w:tcPr>
            <w:tcW w:w="527" w:type="pct"/>
          </w:tcPr>
          <w:p w14:paraId="360FB5F8">
            <w:pPr>
              <w:widowControl w:val="0"/>
              <w:spacing w:after="60" w:afterLines="25" w:line="300" w:lineRule="auto"/>
              <w:jc w:val="both"/>
              <w:rPr>
                <w:rFonts w:ascii="Arial" w:hAnsi="Arial" w:eastAsia="宋体"/>
                <w:kern w:val="2"/>
                <w:sz w:val="21"/>
                <w:lang w:eastAsia="zh-CN"/>
              </w:rPr>
            </w:pPr>
          </w:p>
        </w:tc>
        <w:tc>
          <w:tcPr>
            <w:tcW w:w="527" w:type="pct"/>
            <w:vMerge w:val="restart"/>
          </w:tcPr>
          <w:p w14:paraId="6719250C">
            <w:pPr>
              <w:widowControl w:val="0"/>
              <w:spacing w:after="60" w:afterLines="25" w:line="300" w:lineRule="auto"/>
              <w:jc w:val="both"/>
              <w:rPr>
                <w:rFonts w:ascii="Arial" w:hAnsi="Arial" w:eastAsia="宋体"/>
                <w:kern w:val="2"/>
                <w:sz w:val="21"/>
                <w:lang w:eastAsia="zh-CN"/>
              </w:rPr>
            </w:pPr>
          </w:p>
        </w:tc>
      </w:tr>
      <w:tr w14:paraId="47D7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7" w:type="pct"/>
          </w:tcPr>
          <w:p w14:paraId="39BADAEE">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2</w:t>
            </w:r>
          </w:p>
        </w:tc>
        <w:tc>
          <w:tcPr>
            <w:tcW w:w="903" w:type="pct"/>
          </w:tcPr>
          <w:p w14:paraId="75CEA144">
            <w:pPr>
              <w:widowControl w:val="0"/>
              <w:spacing w:after="60" w:afterLines="25" w:line="300" w:lineRule="auto"/>
              <w:jc w:val="both"/>
              <w:rPr>
                <w:rFonts w:ascii="Arial" w:hAnsi="Arial" w:eastAsia="宋体"/>
                <w:b/>
                <w:kern w:val="2"/>
                <w:sz w:val="21"/>
                <w:lang w:eastAsia="zh-CN"/>
              </w:rPr>
            </w:pPr>
          </w:p>
        </w:tc>
        <w:tc>
          <w:tcPr>
            <w:tcW w:w="409" w:type="pct"/>
          </w:tcPr>
          <w:p w14:paraId="2D7F4E29">
            <w:pPr>
              <w:widowControl w:val="0"/>
              <w:spacing w:after="60" w:afterLines="25" w:line="300" w:lineRule="auto"/>
              <w:jc w:val="both"/>
              <w:rPr>
                <w:rFonts w:ascii="Arial" w:hAnsi="Arial" w:eastAsia="宋体"/>
                <w:kern w:val="2"/>
                <w:sz w:val="21"/>
                <w:lang w:eastAsia="zh-CN"/>
              </w:rPr>
            </w:pPr>
          </w:p>
        </w:tc>
        <w:tc>
          <w:tcPr>
            <w:tcW w:w="478" w:type="pct"/>
          </w:tcPr>
          <w:p w14:paraId="140EDF4E">
            <w:pPr>
              <w:widowControl w:val="0"/>
              <w:spacing w:after="60" w:afterLines="25" w:line="300" w:lineRule="auto"/>
              <w:jc w:val="both"/>
              <w:rPr>
                <w:rFonts w:ascii="Arial" w:hAnsi="Arial" w:eastAsia="宋体"/>
                <w:kern w:val="2"/>
                <w:sz w:val="21"/>
                <w:lang w:eastAsia="zh-CN"/>
              </w:rPr>
            </w:pPr>
          </w:p>
        </w:tc>
        <w:tc>
          <w:tcPr>
            <w:tcW w:w="529" w:type="pct"/>
          </w:tcPr>
          <w:p w14:paraId="33FC8AA9">
            <w:pPr>
              <w:widowControl w:val="0"/>
              <w:spacing w:after="60" w:afterLines="25" w:line="300" w:lineRule="auto"/>
              <w:jc w:val="both"/>
              <w:rPr>
                <w:rFonts w:ascii="Arial" w:hAnsi="Arial" w:eastAsia="宋体"/>
                <w:kern w:val="2"/>
                <w:sz w:val="21"/>
                <w:lang w:eastAsia="zh-CN"/>
              </w:rPr>
            </w:pPr>
          </w:p>
        </w:tc>
        <w:tc>
          <w:tcPr>
            <w:tcW w:w="395" w:type="pct"/>
          </w:tcPr>
          <w:p w14:paraId="31E63D3D">
            <w:pPr>
              <w:widowControl w:val="0"/>
              <w:spacing w:after="60" w:afterLines="25" w:line="300" w:lineRule="auto"/>
              <w:jc w:val="both"/>
              <w:rPr>
                <w:rFonts w:ascii="Arial" w:hAnsi="Arial" w:eastAsia="宋体"/>
                <w:kern w:val="2"/>
                <w:sz w:val="21"/>
                <w:lang w:eastAsia="zh-CN"/>
              </w:rPr>
            </w:pPr>
          </w:p>
        </w:tc>
        <w:tc>
          <w:tcPr>
            <w:tcW w:w="282" w:type="pct"/>
          </w:tcPr>
          <w:p w14:paraId="63CBCAFA">
            <w:pPr>
              <w:widowControl w:val="0"/>
              <w:spacing w:after="60" w:afterLines="25" w:line="300" w:lineRule="auto"/>
              <w:jc w:val="both"/>
              <w:rPr>
                <w:rFonts w:ascii="Arial" w:hAnsi="Arial" w:eastAsia="宋体"/>
                <w:kern w:val="2"/>
                <w:sz w:val="21"/>
                <w:lang w:eastAsia="zh-CN"/>
              </w:rPr>
            </w:pPr>
          </w:p>
        </w:tc>
        <w:tc>
          <w:tcPr>
            <w:tcW w:w="282" w:type="pct"/>
          </w:tcPr>
          <w:p w14:paraId="340C7B62">
            <w:pPr>
              <w:widowControl w:val="0"/>
              <w:spacing w:after="60" w:afterLines="25" w:line="300" w:lineRule="auto"/>
              <w:jc w:val="both"/>
              <w:rPr>
                <w:rFonts w:ascii="Arial" w:hAnsi="Arial" w:eastAsia="宋体"/>
                <w:kern w:val="2"/>
                <w:sz w:val="21"/>
                <w:lang w:eastAsia="zh-CN"/>
              </w:rPr>
            </w:pPr>
          </w:p>
        </w:tc>
        <w:tc>
          <w:tcPr>
            <w:tcW w:w="396" w:type="pct"/>
          </w:tcPr>
          <w:p w14:paraId="2BFC0680">
            <w:pPr>
              <w:widowControl w:val="0"/>
              <w:spacing w:after="60" w:afterLines="25" w:line="300" w:lineRule="auto"/>
              <w:jc w:val="both"/>
              <w:rPr>
                <w:rFonts w:ascii="Arial" w:hAnsi="Arial" w:eastAsia="宋体"/>
                <w:kern w:val="2"/>
                <w:sz w:val="21"/>
                <w:lang w:eastAsia="zh-CN"/>
              </w:rPr>
            </w:pPr>
          </w:p>
        </w:tc>
        <w:tc>
          <w:tcPr>
            <w:tcW w:w="527" w:type="pct"/>
          </w:tcPr>
          <w:p w14:paraId="49A1532F">
            <w:pPr>
              <w:widowControl w:val="0"/>
              <w:spacing w:after="60" w:afterLines="25" w:line="300" w:lineRule="auto"/>
              <w:jc w:val="both"/>
              <w:rPr>
                <w:rFonts w:ascii="Arial" w:hAnsi="Arial" w:eastAsia="宋体"/>
                <w:kern w:val="2"/>
                <w:sz w:val="21"/>
                <w:lang w:eastAsia="zh-CN"/>
              </w:rPr>
            </w:pPr>
          </w:p>
        </w:tc>
        <w:tc>
          <w:tcPr>
            <w:tcW w:w="527" w:type="pct"/>
            <w:vMerge w:val="continue"/>
          </w:tcPr>
          <w:p w14:paraId="2923F8F7">
            <w:pPr>
              <w:widowControl w:val="0"/>
              <w:spacing w:after="60" w:afterLines="25" w:line="300" w:lineRule="auto"/>
              <w:jc w:val="both"/>
              <w:rPr>
                <w:rFonts w:ascii="Arial" w:hAnsi="Arial" w:eastAsia="宋体"/>
                <w:kern w:val="2"/>
                <w:sz w:val="21"/>
                <w:lang w:eastAsia="zh-CN"/>
              </w:rPr>
            </w:pPr>
          </w:p>
        </w:tc>
      </w:tr>
      <w:tr w14:paraId="3B17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 w:type="pct"/>
          </w:tcPr>
          <w:p w14:paraId="57BF880A">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3</w:t>
            </w:r>
          </w:p>
        </w:tc>
        <w:tc>
          <w:tcPr>
            <w:tcW w:w="903" w:type="pct"/>
          </w:tcPr>
          <w:p w14:paraId="1BD01EF6">
            <w:pPr>
              <w:widowControl w:val="0"/>
              <w:spacing w:after="60" w:afterLines="25" w:line="300" w:lineRule="auto"/>
              <w:jc w:val="both"/>
              <w:rPr>
                <w:rFonts w:ascii="Arial" w:hAnsi="Arial" w:eastAsia="宋体"/>
                <w:b/>
                <w:kern w:val="2"/>
                <w:sz w:val="21"/>
                <w:lang w:eastAsia="zh-CN"/>
              </w:rPr>
            </w:pPr>
          </w:p>
        </w:tc>
        <w:tc>
          <w:tcPr>
            <w:tcW w:w="409" w:type="pct"/>
          </w:tcPr>
          <w:p w14:paraId="6BE5B393">
            <w:pPr>
              <w:widowControl w:val="0"/>
              <w:spacing w:after="60" w:afterLines="25" w:line="300" w:lineRule="auto"/>
              <w:jc w:val="both"/>
              <w:rPr>
                <w:rFonts w:ascii="Arial" w:hAnsi="Arial" w:eastAsia="宋体"/>
                <w:kern w:val="2"/>
                <w:sz w:val="21"/>
                <w:lang w:eastAsia="zh-CN"/>
              </w:rPr>
            </w:pPr>
          </w:p>
        </w:tc>
        <w:tc>
          <w:tcPr>
            <w:tcW w:w="478" w:type="pct"/>
          </w:tcPr>
          <w:p w14:paraId="6C7DDB15">
            <w:pPr>
              <w:widowControl w:val="0"/>
              <w:spacing w:after="60" w:afterLines="25" w:line="300" w:lineRule="auto"/>
              <w:jc w:val="both"/>
              <w:rPr>
                <w:rFonts w:ascii="Arial" w:hAnsi="Arial" w:eastAsia="宋体"/>
                <w:kern w:val="2"/>
                <w:sz w:val="21"/>
                <w:lang w:eastAsia="zh-CN"/>
              </w:rPr>
            </w:pPr>
          </w:p>
        </w:tc>
        <w:tc>
          <w:tcPr>
            <w:tcW w:w="529" w:type="pct"/>
          </w:tcPr>
          <w:p w14:paraId="0E2DB7C9">
            <w:pPr>
              <w:widowControl w:val="0"/>
              <w:spacing w:after="60" w:afterLines="25" w:line="300" w:lineRule="auto"/>
              <w:jc w:val="both"/>
              <w:rPr>
                <w:rFonts w:ascii="Arial" w:hAnsi="Arial" w:eastAsia="宋体"/>
                <w:kern w:val="2"/>
                <w:sz w:val="21"/>
                <w:lang w:eastAsia="zh-CN"/>
              </w:rPr>
            </w:pPr>
          </w:p>
        </w:tc>
        <w:tc>
          <w:tcPr>
            <w:tcW w:w="395" w:type="pct"/>
          </w:tcPr>
          <w:p w14:paraId="160EFD5F">
            <w:pPr>
              <w:widowControl w:val="0"/>
              <w:spacing w:after="60" w:afterLines="25" w:line="300" w:lineRule="auto"/>
              <w:jc w:val="both"/>
              <w:rPr>
                <w:rFonts w:ascii="Arial" w:hAnsi="Arial" w:eastAsia="宋体"/>
                <w:kern w:val="2"/>
                <w:sz w:val="21"/>
                <w:lang w:eastAsia="zh-CN"/>
              </w:rPr>
            </w:pPr>
          </w:p>
        </w:tc>
        <w:tc>
          <w:tcPr>
            <w:tcW w:w="282" w:type="pct"/>
          </w:tcPr>
          <w:p w14:paraId="42997019">
            <w:pPr>
              <w:widowControl w:val="0"/>
              <w:spacing w:after="60" w:afterLines="25" w:line="300" w:lineRule="auto"/>
              <w:jc w:val="both"/>
              <w:rPr>
                <w:rFonts w:ascii="Arial" w:hAnsi="Arial" w:eastAsia="宋体"/>
                <w:kern w:val="2"/>
                <w:sz w:val="21"/>
                <w:lang w:eastAsia="zh-CN"/>
              </w:rPr>
            </w:pPr>
          </w:p>
        </w:tc>
        <w:tc>
          <w:tcPr>
            <w:tcW w:w="282" w:type="pct"/>
          </w:tcPr>
          <w:p w14:paraId="34FD21EF">
            <w:pPr>
              <w:widowControl w:val="0"/>
              <w:spacing w:after="60" w:afterLines="25" w:line="300" w:lineRule="auto"/>
              <w:jc w:val="both"/>
              <w:rPr>
                <w:rFonts w:ascii="Arial" w:hAnsi="Arial" w:eastAsia="宋体"/>
                <w:kern w:val="2"/>
                <w:sz w:val="21"/>
                <w:lang w:eastAsia="zh-CN"/>
              </w:rPr>
            </w:pPr>
          </w:p>
        </w:tc>
        <w:tc>
          <w:tcPr>
            <w:tcW w:w="396" w:type="pct"/>
          </w:tcPr>
          <w:p w14:paraId="7DF4F519">
            <w:pPr>
              <w:widowControl w:val="0"/>
              <w:spacing w:after="60" w:afterLines="25" w:line="300" w:lineRule="auto"/>
              <w:jc w:val="both"/>
              <w:rPr>
                <w:rFonts w:ascii="Arial" w:hAnsi="Arial" w:eastAsia="宋体"/>
                <w:kern w:val="2"/>
                <w:sz w:val="21"/>
                <w:lang w:eastAsia="zh-CN"/>
              </w:rPr>
            </w:pPr>
          </w:p>
        </w:tc>
        <w:tc>
          <w:tcPr>
            <w:tcW w:w="527" w:type="pct"/>
          </w:tcPr>
          <w:p w14:paraId="7BCE6F73">
            <w:pPr>
              <w:widowControl w:val="0"/>
              <w:spacing w:after="60" w:afterLines="25" w:line="300" w:lineRule="auto"/>
              <w:jc w:val="both"/>
              <w:rPr>
                <w:rFonts w:ascii="Arial" w:hAnsi="Arial" w:eastAsia="宋体"/>
                <w:kern w:val="2"/>
                <w:sz w:val="21"/>
                <w:lang w:eastAsia="zh-CN"/>
              </w:rPr>
            </w:pPr>
          </w:p>
        </w:tc>
        <w:tc>
          <w:tcPr>
            <w:tcW w:w="527" w:type="pct"/>
            <w:vMerge w:val="continue"/>
          </w:tcPr>
          <w:p w14:paraId="28E3690B">
            <w:pPr>
              <w:widowControl w:val="0"/>
              <w:spacing w:after="60" w:afterLines="25" w:line="300" w:lineRule="auto"/>
              <w:jc w:val="both"/>
              <w:rPr>
                <w:rFonts w:ascii="Arial" w:hAnsi="Arial" w:eastAsia="宋体"/>
                <w:kern w:val="2"/>
                <w:sz w:val="21"/>
                <w:lang w:eastAsia="zh-CN"/>
              </w:rPr>
            </w:pPr>
          </w:p>
        </w:tc>
      </w:tr>
      <w:tr w14:paraId="1939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6EC04D46">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w:t>
            </w:r>
          </w:p>
        </w:tc>
        <w:tc>
          <w:tcPr>
            <w:tcW w:w="903" w:type="pct"/>
          </w:tcPr>
          <w:p w14:paraId="3CC3581F">
            <w:pPr>
              <w:widowControl w:val="0"/>
              <w:spacing w:after="60" w:afterLines="25" w:line="300" w:lineRule="auto"/>
              <w:jc w:val="both"/>
              <w:rPr>
                <w:rFonts w:ascii="Arial" w:hAnsi="Arial" w:eastAsia="宋体"/>
                <w:b/>
                <w:kern w:val="2"/>
                <w:sz w:val="21"/>
                <w:lang w:eastAsia="zh-CN"/>
              </w:rPr>
            </w:pPr>
          </w:p>
        </w:tc>
        <w:tc>
          <w:tcPr>
            <w:tcW w:w="409" w:type="pct"/>
          </w:tcPr>
          <w:p w14:paraId="6AF2EABE">
            <w:pPr>
              <w:widowControl w:val="0"/>
              <w:spacing w:after="60" w:afterLines="25" w:line="300" w:lineRule="auto"/>
              <w:jc w:val="both"/>
              <w:rPr>
                <w:rFonts w:ascii="Arial" w:hAnsi="Arial" w:eastAsia="宋体"/>
                <w:kern w:val="2"/>
                <w:sz w:val="21"/>
                <w:lang w:eastAsia="zh-CN"/>
              </w:rPr>
            </w:pPr>
          </w:p>
        </w:tc>
        <w:tc>
          <w:tcPr>
            <w:tcW w:w="478" w:type="pct"/>
          </w:tcPr>
          <w:p w14:paraId="0A175E1A">
            <w:pPr>
              <w:widowControl w:val="0"/>
              <w:spacing w:after="60" w:afterLines="25" w:line="300" w:lineRule="auto"/>
              <w:jc w:val="both"/>
              <w:rPr>
                <w:rFonts w:ascii="Arial" w:hAnsi="Arial" w:eastAsia="宋体"/>
                <w:kern w:val="2"/>
                <w:sz w:val="21"/>
                <w:lang w:eastAsia="zh-CN"/>
              </w:rPr>
            </w:pPr>
          </w:p>
        </w:tc>
        <w:tc>
          <w:tcPr>
            <w:tcW w:w="529" w:type="pct"/>
          </w:tcPr>
          <w:p w14:paraId="7E976CB8">
            <w:pPr>
              <w:widowControl w:val="0"/>
              <w:spacing w:after="60" w:afterLines="25" w:line="300" w:lineRule="auto"/>
              <w:jc w:val="both"/>
              <w:rPr>
                <w:rFonts w:ascii="Arial" w:hAnsi="Arial" w:eastAsia="宋体"/>
                <w:kern w:val="2"/>
                <w:sz w:val="21"/>
                <w:lang w:eastAsia="zh-CN"/>
              </w:rPr>
            </w:pPr>
          </w:p>
        </w:tc>
        <w:tc>
          <w:tcPr>
            <w:tcW w:w="395" w:type="pct"/>
          </w:tcPr>
          <w:p w14:paraId="2A920FFA">
            <w:pPr>
              <w:widowControl w:val="0"/>
              <w:spacing w:after="60" w:afterLines="25" w:line="300" w:lineRule="auto"/>
              <w:jc w:val="both"/>
              <w:rPr>
                <w:rFonts w:ascii="Arial" w:hAnsi="Arial" w:eastAsia="宋体"/>
                <w:kern w:val="2"/>
                <w:sz w:val="21"/>
                <w:lang w:eastAsia="zh-CN"/>
              </w:rPr>
            </w:pPr>
          </w:p>
        </w:tc>
        <w:tc>
          <w:tcPr>
            <w:tcW w:w="282" w:type="pct"/>
          </w:tcPr>
          <w:p w14:paraId="64D211D0">
            <w:pPr>
              <w:widowControl w:val="0"/>
              <w:spacing w:after="60" w:afterLines="25" w:line="300" w:lineRule="auto"/>
              <w:jc w:val="both"/>
              <w:rPr>
                <w:rFonts w:ascii="Arial" w:hAnsi="Arial" w:eastAsia="宋体"/>
                <w:kern w:val="2"/>
                <w:sz w:val="21"/>
                <w:lang w:eastAsia="zh-CN"/>
              </w:rPr>
            </w:pPr>
          </w:p>
        </w:tc>
        <w:tc>
          <w:tcPr>
            <w:tcW w:w="282" w:type="pct"/>
          </w:tcPr>
          <w:p w14:paraId="48E75C9D">
            <w:pPr>
              <w:widowControl w:val="0"/>
              <w:spacing w:after="60" w:afterLines="25" w:line="300" w:lineRule="auto"/>
              <w:jc w:val="both"/>
              <w:rPr>
                <w:rFonts w:ascii="Arial" w:hAnsi="Arial" w:eastAsia="宋体"/>
                <w:kern w:val="2"/>
                <w:sz w:val="21"/>
                <w:lang w:eastAsia="zh-CN"/>
              </w:rPr>
            </w:pPr>
          </w:p>
        </w:tc>
        <w:tc>
          <w:tcPr>
            <w:tcW w:w="396" w:type="pct"/>
          </w:tcPr>
          <w:p w14:paraId="0F1DAFC1">
            <w:pPr>
              <w:widowControl w:val="0"/>
              <w:spacing w:after="60" w:afterLines="25" w:line="300" w:lineRule="auto"/>
              <w:jc w:val="both"/>
              <w:rPr>
                <w:rFonts w:ascii="Arial" w:hAnsi="Arial" w:eastAsia="宋体"/>
                <w:kern w:val="2"/>
                <w:sz w:val="21"/>
                <w:lang w:eastAsia="zh-CN"/>
              </w:rPr>
            </w:pPr>
          </w:p>
        </w:tc>
        <w:tc>
          <w:tcPr>
            <w:tcW w:w="527" w:type="pct"/>
          </w:tcPr>
          <w:p w14:paraId="7DB523D0">
            <w:pPr>
              <w:widowControl w:val="0"/>
              <w:spacing w:after="60" w:afterLines="25" w:line="300" w:lineRule="auto"/>
              <w:jc w:val="both"/>
              <w:rPr>
                <w:rFonts w:ascii="Arial" w:hAnsi="Arial" w:eastAsia="宋体"/>
                <w:kern w:val="2"/>
                <w:sz w:val="21"/>
                <w:lang w:eastAsia="zh-CN"/>
              </w:rPr>
            </w:pPr>
          </w:p>
        </w:tc>
        <w:tc>
          <w:tcPr>
            <w:tcW w:w="527" w:type="pct"/>
            <w:vMerge w:val="continue"/>
          </w:tcPr>
          <w:p w14:paraId="27792B43">
            <w:pPr>
              <w:widowControl w:val="0"/>
              <w:spacing w:after="60" w:afterLines="25" w:line="300" w:lineRule="auto"/>
              <w:jc w:val="both"/>
              <w:rPr>
                <w:rFonts w:ascii="Arial" w:hAnsi="Arial" w:eastAsia="宋体"/>
                <w:kern w:val="2"/>
                <w:sz w:val="21"/>
                <w:lang w:eastAsia="zh-CN"/>
              </w:rPr>
            </w:pPr>
          </w:p>
        </w:tc>
      </w:tr>
      <w:tr w14:paraId="240E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288C7B0C">
            <w:pPr>
              <w:widowControl w:val="0"/>
              <w:spacing w:after="60" w:afterLines="25" w:line="300" w:lineRule="auto"/>
              <w:jc w:val="center"/>
              <w:rPr>
                <w:rFonts w:ascii="Arial" w:hAnsi="Arial" w:eastAsia="宋体"/>
                <w:kern w:val="2"/>
                <w:sz w:val="21"/>
                <w:lang w:eastAsia="zh-CN"/>
              </w:rPr>
            </w:pPr>
            <w:r>
              <w:rPr>
                <w:rFonts w:hint="eastAsia" w:ascii="Arial" w:hAnsi="Arial" w:eastAsia="宋体"/>
                <w:b/>
                <w:kern w:val="2"/>
                <w:sz w:val="21"/>
                <w:lang w:eastAsia="zh-CN"/>
              </w:rPr>
              <w:t>投标总价</w:t>
            </w:r>
            <w:r>
              <w:rPr>
                <w:rFonts w:hint="eastAsia" w:ascii="Arial" w:hAnsi="Arial" w:eastAsia="宋体"/>
                <w:kern w:val="2"/>
                <w:sz w:val="21"/>
                <w:lang w:eastAsia="zh-CN"/>
              </w:rPr>
              <w:t>（以上各项之和；币种：人民币；单位：元）</w:t>
            </w:r>
          </w:p>
        </w:tc>
        <w:tc>
          <w:tcPr>
            <w:tcW w:w="2015" w:type="pct"/>
            <w:gridSpan w:val="5"/>
          </w:tcPr>
          <w:p w14:paraId="63B62FAF">
            <w:pPr>
              <w:widowControl w:val="0"/>
              <w:spacing w:after="60" w:afterLines="25" w:line="300" w:lineRule="auto"/>
              <w:jc w:val="both"/>
              <w:rPr>
                <w:rFonts w:ascii="Arial" w:hAnsi="Arial" w:eastAsia="宋体"/>
                <w:kern w:val="2"/>
                <w:sz w:val="21"/>
                <w:lang w:eastAsia="zh-CN"/>
              </w:rPr>
            </w:pPr>
          </w:p>
        </w:tc>
      </w:tr>
    </w:tbl>
    <w:p w14:paraId="37418C68">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填写说明：</w:t>
      </w:r>
    </w:p>
    <w:p w14:paraId="755AE027">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1.本表可按同样格式扩展。</w:t>
      </w:r>
    </w:p>
    <w:p w14:paraId="53123E24">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2. “品牌”可以与商标一致，也可以填写便于区分其他公司商品的制造商简称或者制造商认可的品牌名称。</w:t>
      </w:r>
    </w:p>
    <w:p w14:paraId="02BB53BE">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3.如所投货物属于定制类的非量产货物或无具体型号的货物，可以在“规格/型号”一栏仅填写规格信息而不填写型号信息（型号信息用“定制”描述即可）；</w:t>
      </w:r>
      <w:bookmarkStart w:id="36" w:name="_Hlk73646428"/>
      <w:r>
        <w:rPr>
          <w:rFonts w:hint="eastAsia" w:ascii="宋体" w:hAnsi="宋体" w:eastAsia="宋体"/>
          <w:b/>
          <w:kern w:val="2"/>
          <w:sz w:val="21"/>
          <w:lang w:eastAsia="zh-CN"/>
        </w:rPr>
        <w:t>此类填写错误或缺漏（所投货物为定制类的非量产货物但供应商却错误填报了型号）可能带来的不利后果由供应商承担。</w:t>
      </w:r>
      <w:bookmarkEnd w:id="36"/>
    </w:p>
    <w:p w14:paraId="4146F3C2">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4.</w:t>
      </w:r>
      <w:bookmarkStart w:id="37" w:name="_Hlk72074795"/>
      <w:r>
        <w:rPr>
          <w:rFonts w:hint="eastAsia" w:ascii="宋体" w:hAnsi="宋体" w:eastAsia="宋体"/>
          <w:b/>
          <w:kern w:val="2"/>
          <w:sz w:val="21"/>
          <w:lang w:eastAsia="zh-CN"/>
        </w:rPr>
        <w:t>“原产地”是指该货物的实际生产加工地，而非品牌所在地</w:t>
      </w:r>
      <w:bookmarkEnd w:id="37"/>
      <w:r>
        <w:rPr>
          <w:rFonts w:hint="eastAsia" w:ascii="宋体" w:hAnsi="宋体" w:eastAsia="宋体"/>
          <w:b/>
          <w:kern w:val="2"/>
          <w:sz w:val="21"/>
          <w:lang w:eastAsia="zh-CN"/>
        </w:rPr>
        <w:t>。</w:t>
      </w:r>
    </w:p>
    <w:p w14:paraId="468A73BC">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5.所投货物均应填写制造商名称。“制造商”是指产品制造厂商，产品代工制造的，应填写接受委托生产制造的制造商。</w:t>
      </w:r>
    </w:p>
    <w:p w14:paraId="731B83E2">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6.以上分项报价表的投标总价应当与开标一览表的投标总价一致。</w:t>
      </w:r>
    </w:p>
    <w:p w14:paraId="326CA02C">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14:paraId="13FE40B4">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8.所有价格应按“招标文件”中规定的货币单位填写；投标总价应为以上各分项价格之和；投标总价和项目报价表中单个采购预算条目报价均不得超过对应的财政预算限额，否则将导致投标无效。</w:t>
      </w:r>
    </w:p>
    <w:p w14:paraId="11678764">
      <w:pPr>
        <w:widowControl w:val="0"/>
        <w:snapToGrid w:val="0"/>
        <w:jc w:val="both"/>
        <w:rPr>
          <w:rFonts w:ascii="宋体" w:hAnsi="宋体" w:eastAsia="宋体"/>
          <w:b/>
          <w:kern w:val="2"/>
          <w:sz w:val="21"/>
          <w:lang w:eastAsia="zh-CN"/>
        </w:rPr>
      </w:pPr>
    </w:p>
    <w:p w14:paraId="2F11451A">
      <w:pPr>
        <w:widowControl w:val="0"/>
        <w:snapToGrid w:val="0"/>
        <w:jc w:val="both"/>
        <w:rPr>
          <w:rFonts w:ascii="宋体" w:hAnsi="宋体" w:eastAsia="宋体"/>
          <w:b/>
          <w:color w:val="FF0000"/>
          <w:kern w:val="2"/>
          <w:sz w:val="21"/>
          <w:lang w:eastAsia="zh-CN"/>
        </w:rPr>
      </w:pPr>
      <w:r>
        <w:rPr>
          <w:rFonts w:hint="eastAsia" w:ascii="宋体" w:hAnsi="宋体" w:eastAsia="宋体"/>
          <w:bCs/>
          <w:color w:val="FF0000"/>
          <w:kern w:val="2"/>
          <w:sz w:val="21"/>
          <w:lang w:eastAsia="zh-CN"/>
        </w:rPr>
        <w:t>★</w:t>
      </w:r>
      <w:r>
        <w:rPr>
          <w:rFonts w:hint="eastAsia" w:ascii="宋体" w:hAnsi="宋体" w:eastAsia="宋体"/>
          <w:b/>
          <w:color w:val="FF0000"/>
          <w:kern w:val="2"/>
          <w:sz w:val="21"/>
          <w:lang w:eastAsia="zh-CN"/>
        </w:rPr>
        <w:t>填写</w:t>
      </w:r>
      <w:r>
        <w:rPr>
          <w:rFonts w:ascii="宋体" w:hAnsi="宋体" w:eastAsia="宋体"/>
          <w:b/>
          <w:color w:val="FF0000"/>
          <w:kern w:val="2"/>
          <w:sz w:val="21"/>
          <w:lang w:eastAsia="zh-CN"/>
        </w:rPr>
        <w:t>要求：</w:t>
      </w:r>
    </w:p>
    <w:p w14:paraId="0F0D2B94">
      <w:pPr>
        <w:widowControl w:val="0"/>
        <w:snapToGrid w:val="0"/>
        <w:jc w:val="both"/>
        <w:rPr>
          <w:rFonts w:ascii="宋体" w:hAnsi="宋体" w:eastAsia="宋体"/>
          <w:b/>
          <w:color w:val="FF0000"/>
          <w:kern w:val="2"/>
          <w:sz w:val="21"/>
          <w:lang w:eastAsia="zh-CN"/>
        </w:rPr>
      </w:pPr>
      <w:r>
        <w:rPr>
          <w:rFonts w:ascii="宋体" w:hAnsi="宋体" w:eastAsia="宋体"/>
          <w:b/>
          <w:color w:val="FF0000"/>
          <w:kern w:val="2"/>
          <w:sz w:val="21"/>
          <w:lang w:eastAsia="zh-CN"/>
        </w:rPr>
        <w:t>1.</w:t>
      </w:r>
      <w:r>
        <w:rPr>
          <w:rFonts w:hint="eastAsia" w:ascii="宋体" w:hAnsi="宋体" w:eastAsia="宋体"/>
          <w:b/>
          <w:color w:val="FF0000"/>
          <w:kern w:val="2"/>
          <w:sz w:val="21"/>
          <w:lang w:eastAsia="zh-CN"/>
        </w:rPr>
        <w:t>《分项报价清单》</w:t>
      </w:r>
      <w:r>
        <w:rPr>
          <w:rFonts w:ascii="宋体" w:hAnsi="宋体" w:eastAsia="宋体"/>
          <w:b/>
          <w:color w:val="FF0000"/>
          <w:kern w:val="2"/>
          <w:sz w:val="21"/>
          <w:lang w:eastAsia="zh-CN"/>
        </w:rPr>
        <w:t>所有价格应</w:t>
      </w:r>
      <w:r>
        <w:rPr>
          <w:rFonts w:hint="eastAsia" w:ascii="宋体" w:hAnsi="宋体" w:eastAsia="宋体"/>
          <w:b/>
          <w:color w:val="FF0000"/>
          <w:kern w:val="2"/>
          <w:sz w:val="21"/>
          <w:lang w:eastAsia="zh-CN"/>
        </w:rPr>
        <w:t>以人民币为结算单位填写</w:t>
      </w:r>
      <w:r>
        <w:rPr>
          <w:rFonts w:ascii="宋体" w:hAnsi="宋体" w:eastAsia="宋体"/>
          <w:b/>
          <w:color w:val="FF0000"/>
          <w:kern w:val="2"/>
          <w:sz w:val="21"/>
          <w:lang w:eastAsia="zh-CN"/>
        </w:rPr>
        <w:t>；</w:t>
      </w:r>
    </w:p>
    <w:p w14:paraId="5393190B">
      <w:pPr>
        <w:widowControl w:val="0"/>
        <w:snapToGrid w:val="0"/>
        <w:jc w:val="both"/>
        <w:rPr>
          <w:rFonts w:ascii="宋体" w:hAnsi="宋体" w:eastAsia="宋体"/>
          <w:b/>
          <w:color w:val="FF0000"/>
          <w:kern w:val="2"/>
          <w:sz w:val="21"/>
          <w:lang w:eastAsia="zh-CN"/>
        </w:rPr>
      </w:pPr>
      <w:r>
        <w:rPr>
          <w:rFonts w:ascii="宋体" w:hAnsi="宋体" w:eastAsia="宋体"/>
          <w:b/>
          <w:color w:val="FF0000"/>
          <w:kern w:val="2"/>
          <w:sz w:val="21"/>
          <w:lang w:eastAsia="zh-CN"/>
        </w:rPr>
        <w:t>2.</w:t>
      </w:r>
      <w:r>
        <w:rPr>
          <w:rFonts w:hint="eastAsia" w:ascii="宋体" w:hAnsi="宋体" w:eastAsia="宋体"/>
          <w:b/>
          <w:color w:val="FF0000"/>
          <w:kern w:val="2"/>
          <w:sz w:val="21"/>
          <w:lang w:eastAsia="zh-CN"/>
        </w:rPr>
        <w:t>《（一）项目报价表》</w:t>
      </w:r>
      <w:r>
        <w:rPr>
          <w:rFonts w:ascii="宋体" w:hAnsi="宋体" w:eastAsia="宋体"/>
          <w:b/>
          <w:color w:val="FF0000"/>
          <w:kern w:val="2"/>
          <w:sz w:val="21"/>
          <w:lang w:eastAsia="zh-CN"/>
        </w:rPr>
        <w:t>可根据</w:t>
      </w:r>
      <w:r>
        <w:rPr>
          <w:rFonts w:hint="eastAsia" w:ascii="宋体" w:hAnsi="宋体" w:eastAsia="宋体"/>
          <w:b/>
          <w:color w:val="FF0000"/>
          <w:kern w:val="2"/>
          <w:sz w:val="21"/>
          <w:lang w:eastAsia="zh-CN"/>
        </w:rPr>
        <w:t>实际需要</w:t>
      </w:r>
      <w:r>
        <w:rPr>
          <w:rFonts w:ascii="宋体" w:hAnsi="宋体" w:eastAsia="宋体"/>
          <w:b/>
          <w:color w:val="FF0000"/>
          <w:kern w:val="2"/>
          <w:sz w:val="21"/>
          <w:lang w:eastAsia="zh-CN"/>
        </w:rPr>
        <w:t>增加</w:t>
      </w:r>
      <w:r>
        <w:rPr>
          <w:rFonts w:hint="eastAsia" w:ascii="宋体" w:hAnsi="宋体" w:eastAsia="宋体"/>
          <w:b/>
          <w:color w:val="FF0000"/>
          <w:kern w:val="2"/>
          <w:sz w:val="21"/>
          <w:lang w:eastAsia="zh-CN"/>
        </w:rPr>
        <w:t>相关</w:t>
      </w:r>
      <w:r>
        <w:rPr>
          <w:rFonts w:ascii="宋体" w:hAnsi="宋体" w:eastAsia="宋体"/>
          <w:b/>
          <w:color w:val="FF0000"/>
          <w:kern w:val="2"/>
          <w:sz w:val="21"/>
          <w:lang w:eastAsia="zh-CN"/>
        </w:rPr>
        <w:t>内容，但原</w:t>
      </w:r>
      <w:r>
        <w:rPr>
          <w:rFonts w:hint="eastAsia" w:ascii="宋体" w:hAnsi="宋体" w:eastAsia="宋体"/>
          <w:b/>
          <w:color w:val="FF0000"/>
          <w:kern w:val="2"/>
          <w:sz w:val="21"/>
          <w:lang w:eastAsia="zh-CN"/>
        </w:rPr>
        <w:t>有</w:t>
      </w:r>
      <w:r>
        <w:rPr>
          <w:rFonts w:ascii="宋体" w:hAnsi="宋体" w:eastAsia="宋体"/>
          <w:b/>
          <w:color w:val="FF0000"/>
          <w:kern w:val="2"/>
          <w:sz w:val="21"/>
          <w:lang w:eastAsia="zh-CN"/>
        </w:rPr>
        <w:t>的格式</w:t>
      </w:r>
      <w:r>
        <w:rPr>
          <w:rFonts w:hint="eastAsia" w:ascii="宋体" w:hAnsi="宋体" w:eastAsia="宋体"/>
          <w:b/>
          <w:color w:val="FF0000"/>
          <w:kern w:val="2"/>
          <w:sz w:val="21"/>
          <w:lang w:eastAsia="zh-CN"/>
        </w:rPr>
        <w:t>内容</w:t>
      </w:r>
      <w:r>
        <w:rPr>
          <w:rFonts w:ascii="宋体" w:hAnsi="宋体" w:eastAsia="宋体"/>
          <w:b/>
          <w:color w:val="FF0000"/>
          <w:kern w:val="2"/>
          <w:sz w:val="21"/>
          <w:lang w:eastAsia="zh-CN"/>
        </w:rPr>
        <w:t>不得删减；</w:t>
      </w:r>
    </w:p>
    <w:p w14:paraId="1793603F">
      <w:pPr>
        <w:widowControl w:val="0"/>
        <w:snapToGrid w:val="0"/>
        <w:jc w:val="both"/>
        <w:rPr>
          <w:rFonts w:ascii="宋体" w:hAnsi="宋体" w:eastAsia="宋体"/>
          <w:b/>
          <w:color w:val="FF0000"/>
          <w:kern w:val="2"/>
          <w:sz w:val="21"/>
          <w:lang w:eastAsia="zh-CN"/>
        </w:rPr>
      </w:pPr>
      <w:r>
        <w:rPr>
          <w:rFonts w:hint="eastAsia" w:ascii="宋体" w:hAnsi="宋体" w:eastAsia="宋体"/>
          <w:b/>
          <w:color w:val="FF0000"/>
          <w:kern w:val="2"/>
          <w:sz w:val="21"/>
          <w:lang w:eastAsia="zh-CN"/>
        </w:rPr>
        <w:t>3.</w:t>
      </w:r>
      <w:r>
        <w:rPr>
          <w:rFonts w:ascii="宋体" w:hAnsi="宋体" w:eastAsia="宋体"/>
          <w:b/>
          <w:color w:val="FF0000"/>
          <w:kern w:val="2"/>
          <w:sz w:val="21"/>
          <w:lang w:eastAsia="zh-CN"/>
        </w:rPr>
        <w:t>如</w:t>
      </w:r>
      <w:r>
        <w:rPr>
          <w:rFonts w:hint="eastAsia" w:ascii="宋体" w:hAnsi="宋体" w:eastAsia="宋体"/>
          <w:b/>
          <w:color w:val="FF0000"/>
          <w:kern w:val="2"/>
          <w:sz w:val="21"/>
          <w:lang w:eastAsia="zh-CN"/>
        </w:rPr>
        <w:t>未提供《（一）项目报价表》或者</w:t>
      </w:r>
      <w:r>
        <w:rPr>
          <w:rFonts w:ascii="宋体" w:hAnsi="宋体" w:eastAsia="宋体"/>
          <w:b/>
          <w:color w:val="FF0000"/>
          <w:kern w:val="2"/>
          <w:sz w:val="21"/>
          <w:lang w:eastAsia="zh-CN"/>
        </w:rPr>
        <w:t>不按</w:t>
      </w:r>
      <w:r>
        <w:rPr>
          <w:rFonts w:hint="eastAsia" w:ascii="宋体" w:hAnsi="宋体" w:eastAsia="宋体"/>
          <w:b/>
          <w:color w:val="FF0000"/>
          <w:kern w:val="2"/>
          <w:sz w:val="21"/>
          <w:lang w:eastAsia="zh-CN"/>
        </w:rPr>
        <w:t>《第三章 用户需求书：二、货物需求明细》</w:t>
      </w:r>
      <w:r>
        <w:rPr>
          <w:rFonts w:ascii="宋体" w:hAnsi="宋体" w:eastAsia="宋体"/>
          <w:b/>
          <w:color w:val="FF0000"/>
          <w:kern w:val="2"/>
          <w:sz w:val="21"/>
          <w:lang w:eastAsia="zh-CN"/>
        </w:rPr>
        <w:t>要求填报、漏报或错报</w:t>
      </w:r>
      <w:r>
        <w:rPr>
          <w:rFonts w:hint="eastAsia" w:ascii="宋体" w:hAnsi="宋体" w:eastAsia="宋体"/>
          <w:b/>
          <w:color w:val="FF0000"/>
          <w:kern w:val="2"/>
          <w:sz w:val="21"/>
          <w:lang w:eastAsia="zh-CN"/>
        </w:rPr>
        <w:t>的将作</w:t>
      </w:r>
      <w:r>
        <w:rPr>
          <w:rFonts w:ascii="宋体" w:hAnsi="宋体" w:eastAsia="宋体"/>
          <w:b/>
          <w:color w:val="FF0000"/>
          <w:kern w:val="2"/>
          <w:sz w:val="21"/>
          <w:lang w:eastAsia="zh-CN"/>
        </w:rPr>
        <w:t>投标无效处理。</w:t>
      </w:r>
    </w:p>
    <w:p w14:paraId="213F8FF4">
      <w:pPr>
        <w:widowControl w:val="0"/>
        <w:tabs>
          <w:tab w:val="left" w:pos="720"/>
        </w:tabs>
        <w:jc w:val="both"/>
        <w:rPr>
          <w:rFonts w:eastAsia="宋体"/>
          <w:b/>
          <w:kern w:val="2"/>
          <w:lang w:eastAsia="zh-CN"/>
        </w:rPr>
      </w:pPr>
    </w:p>
    <w:p w14:paraId="62D7E5E7">
      <w:pPr>
        <w:widowControl w:val="0"/>
        <w:tabs>
          <w:tab w:val="left" w:pos="720"/>
        </w:tabs>
        <w:jc w:val="both"/>
        <w:rPr>
          <w:rFonts w:eastAsia="宋体"/>
          <w:b/>
          <w:color w:val="FF0000"/>
          <w:kern w:val="2"/>
          <w:lang w:eastAsia="zh-CN"/>
        </w:rPr>
      </w:pPr>
      <w:r>
        <w:rPr>
          <w:rFonts w:hint="eastAsia" w:eastAsia="宋体"/>
          <w:b/>
          <w:color w:val="FF0000"/>
          <w:kern w:val="2"/>
          <w:lang w:eastAsia="zh-CN"/>
        </w:rPr>
        <w:t>（二）核心产品品牌</w:t>
      </w:r>
    </w:p>
    <w:p w14:paraId="3A544768">
      <w:pPr>
        <w:widowControl w:val="0"/>
        <w:jc w:val="both"/>
        <w:rPr>
          <w:rFonts w:eastAsia="宋体"/>
          <w:color w:val="FF0000"/>
          <w:kern w:val="2"/>
          <w:lang w:eastAsia="zh-CN"/>
        </w:rPr>
      </w:pPr>
      <w:r>
        <w:rPr>
          <w:rFonts w:hint="eastAsia" w:eastAsia="宋体"/>
          <w:b/>
          <w:color w:val="FF0000"/>
          <w:kern w:val="2"/>
          <w:lang w:eastAsia="zh-CN"/>
        </w:rPr>
        <w:t>我单位所投核心产品的品牌为：</w:t>
      </w:r>
      <w:r>
        <w:rPr>
          <w:rFonts w:hint="eastAsia" w:eastAsia="宋体"/>
          <w:color w:val="FF0000"/>
          <w:kern w:val="2"/>
          <w:u w:val="single"/>
          <w:lang w:eastAsia="zh-CN"/>
        </w:rPr>
        <w:t xml:space="preserve">               </w:t>
      </w:r>
      <w:r>
        <w:rPr>
          <w:rFonts w:hint="eastAsia" w:eastAsia="宋体"/>
          <w:color w:val="FF0000"/>
          <w:kern w:val="2"/>
          <w:lang w:eastAsia="zh-CN"/>
        </w:rPr>
        <w:t>。</w:t>
      </w:r>
    </w:p>
    <w:p w14:paraId="1C43AB5F">
      <w:pPr>
        <w:widowControl w:val="0"/>
        <w:jc w:val="both"/>
        <w:rPr>
          <w:rFonts w:ascii="Arial" w:hAnsi="Arial" w:eastAsia="宋体"/>
          <w:b/>
          <w:kern w:val="2"/>
          <w:sz w:val="21"/>
          <w:lang w:eastAsia="zh-CN"/>
        </w:rPr>
      </w:pPr>
      <w:r>
        <w:rPr>
          <w:rFonts w:hint="eastAsia" w:ascii="宋体" w:hAnsi="宋体" w:eastAsia="宋体"/>
          <w:color w:val="FF0000"/>
          <w:kern w:val="2"/>
          <w:lang w:eastAsia="zh-CN"/>
        </w:rPr>
        <w:t>备注：单一产品采购项目，核心产品即为该单一产品。</w:t>
      </w:r>
    </w:p>
    <w:p w14:paraId="3DE0D42B">
      <w:pPr>
        <w:widowControl w:val="0"/>
        <w:spacing w:after="60" w:afterLines="25" w:line="300" w:lineRule="auto"/>
        <w:jc w:val="both"/>
        <w:rPr>
          <w:rFonts w:ascii="Arial" w:hAnsi="Arial" w:eastAsia="宋体"/>
          <w:b/>
          <w:kern w:val="2"/>
          <w:sz w:val="21"/>
          <w:lang w:eastAsia="zh-CN"/>
        </w:rPr>
      </w:pPr>
    </w:p>
    <w:p w14:paraId="31727F50">
      <w:pPr>
        <w:widowControl w:val="0"/>
        <w:spacing w:after="60" w:afterLines="25" w:line="300" w:lineRule="auto"/>
        <w:jc w:val="both"/>
        <w:rPr>
          <w:rFonts w:ascii="Arial" w:hAnsi="Arial" w:eastAsia="宋体"/>
          <w:b/>
          <w:kern w:val="2"/>
          <w:lang w:eastAsia="zh-CN"/>
        </w:rPr>
      </w:pPr>
      <w:r>
        <w:rPr>
          <w:rFonts w:hint="eastAsia" w:ascii="Arial" w:hAnsi="Arial" w:eastAsia="宋体"/>
          <w:b/>
          <w:kern w:val="2"/>
          <w:lang w:eastAsia="zh-CN"/>
        </w:rPr>
        <w:t>（三）可选配件报价清单（非项目需求要求的必备配件，此部分不包括在总报价内）</w:t>
      </w:r>
    </w:p>
    <w:p w14:paraId="5546EF8F">
      <w:pPr>
        <w:widowControl w:val="0"/>
        <w:ind w:firstLine="422" w:firstLineChars="200"/>
        <w:jc w:val="both"/>
        <w:rPr>
          <w:rFonts w:ascii="Calibri" w:hAnsi="宋体" w:eastAsia="宋体"/>
          <w:b/>
          <w:bCs/>
          <w:kern w:val="2"/>
          <w:sz w:val="21"/>
          <w:szCs w:val="21"/>
          <w:lang w:eastAsia="zh-CN"/>
        </w:rPr>
      </w:pPr>
      <w:r>
        <w:rPr>
          <w:rFonts w:hint="eastAsia" w:ascii="Calibri" w:hAnsi="宋体" w:eastAsia="宋体" w:cstheme="minorBidi"/>
          <w:b/>
          <w:bCs/>
          <w:kern w:val="2"/>
          <w:sz w:val="21"/>
          <w:szCs w:val="21"/>
          <w:lang w:eastAsia="zh-CN"/>
        </w:rPr>
        <w:t>注：格式可以参照《（一）项目报价表》表格，并提供相应的品牌/规格/型号、原产地、制造商信息（没有品牌、型号的，用“定制”描述即可）、单价等详细信息</w:t>
      </w:r>
    </w:p>
    <w:p w14:paraId="6F645575">
      <w:pPr>
        <w:widowControl w:val="0"/>
        <w:ind w:firstLine="422" w:firstLineChars="200"/>
        <w:jc w:val="both"/>
        <w:rPr>
          <w:rFonts w:ascii="Calibri" w:hAnsi="宋体" w:eastAsia="宋体"/>
          <w:b/>
          <w:bCs/>
          <w:kern w:val="2"/>
          <w:sz w:val="21"/>
          <w:szCs w:val="21"/>
          <w:lang w:eastAsia="zh-CN"/>
        </w:rPr>
      </w:pPr>
    </w:p>
    <w:p w14:paraId="0D452D82">
      <w:pPr>
        <w:widowControl w:val="0"/>
        <w:spacing w:after="60" w:afterLines="25" w:line="300" w:lineRule="auto"/>
        <w:jc w:val="both"/>
        <w:rPr>
          <w:rFonts w:ascii="Arial" w:hAnsi="Arial" w:eastAsia="宋体"/>
          <w:b/>
          <w:kern w:val="2"/>
          <w:lang w:eastAsia="zh-CN"/>
        </w:rPr>
      </w:pPr>
      <w:r>
        <w:rPr>
          <w:rFonts w:hint="eastAsia" w:ascii="Arial" w:hAnsi="Arial" w:eastAsia="宋体"/>
          <w:b/>
          <w:kern w:val="2"/>
          <w:lang w:eastAsia="zh-CN"/>
        </w:rPr>
        <w:t>（四）供应商认为需要涉及的其他内容报价清单</w:t>
      </w:r>
    </w:p>
    <w:p w14:paraId="7E721FBD">
      <w:pPr>
        <w:widowControl w:val="0"/>
        <w:wordWrap w:val="0"/>
        <w:spacing w:after="60" w:afterLines="25" w:line="300" w:lineRule="auto"/>
        <w:ind w:right="420" w:firstLine="4410" w:firstLineChars="2100"/>
        <w:jc w:val="right"/>
        <w:rPr>
          <w:rFonts w:ascii="Arial" w:hAnsi="Arial" w:eastAsia="宋体"/>
          <w:kern w:val="2"/>
          <w:sz w:val="21"/>
          <w:szCs w:val="21"/>
          <w:lang w:eastAsia="zh-CN"/>
        </w:rPr>
      </w:pPr>
      <w:r>
        <w:rPr>
          <w:rFonts w:hint="eastAsia" w:ascii="Arial" w:hAnsi="Arial" w:eastAsia="宋体"/>
          <w:kern w:val="2"/>
          <w:sz w:val="21"/>
          <w:szCs w:val="21"/>
          <w:lang w:eastAsia="zh-CN"/>
        </w:rPr>
        <w:t xml:space="preserve">   </w:t>
      </w:r>
    </w:p>
    <w:p w14:paraId="1735D53C">
      <w:pPr>
        <w:rPr>
          <w:rFonts w:ascii="Arial" w:hAnsi="Arial" w:eastAsia="宋体"/>
          <w:b/>
          <w:kern w:val="2"/>
          <w:lang w:eastAsia="zh-CN"/>
        </w:rPr>
      </w:pPr>
    </w:p>
    <w:p w14:paraId="25C1F677">
      <w:pPr>
        <w:widowControl w:val="0"/>
        <w:jc w:val="both"/>
        <w:rPr>
          <w:rFonts w:ascii="宋体" w:hAnsi="宋体" w:eastAsia="宋体"/>
          <w:kern w:val="2"/>
          <w:sz w:val="21"/>
          <w:szCs w:val="22"/>
          <w:lang w:eastAsia="zh-CN"/>
        </w:rPr>
      </w:pPr>
      <w:r>
        <w:rPr>
          <w:rFonts w:ascii="Calibri" w:hAnsi="Calibri" w:eastAsia="宋体" w:cstheme="minorBidi"/>
          <w:kern w:val="2"/>
          <w:sz w:val="21"/>
          <w:szCs w:val="22"/>
          <w:lang w:eastAsia="zh-CN"/>
        </w:rPr>
        <w:t xml:space="preserve">       </w:t>
      </w:r>
      <w:bookmarkStart w:id="38" w:name="_Hlk72260501"/>
      <w:r>
        <w:rPr>
          <w:rFonts w:ascii="Calibri" w:hAnsi="Calibri" w:eastAsia="宋体" w:cstheme="minorBidi"/>
          <w:kern w:val="2"/>
          <w:sz w:val="21"/>
          <w:szCs w:val="22"/>
          <w:lang w:eastAsia="zh-CN"/>
        </w:rPr>
        <w:t xml:space="preserve">  </w:t>
      </w:r>
      <w:r>
        <w:rPr>
          <w:rFonts w:hint="eastAsia" w:ascii="宋体" w:hAnsi="宋体" w:eastAsia="宋体" w:cstheme="minorBidi"/>
          <w:kern w:val="2"/>
          <w:sz w:val="21"/>
          <w:szCs w:val="22"/>
          <w:lang w:eastAsia="zh-CN"/>
        </w:rPr>
        <w:t>………………</w:t>
      </w:r>
      <w:bookmarkEnd w:id="38"/>
      <w:r>
        <w:rPr>
          <w:rFonts w:hint="eastAsia" w:ascii="宋体" w:hAnsi="宋体" w:eastAsia="宋体" w:cstheme="minorBidi"/>
          <w:kern w:val="2"/>
          <w:sz w:val="21"/>
          <w:szCs w:val="22"/>
          <w:lang w:eastAsia="zh-CN"/>
        </w:rPr>
        <w:t>（根据项目具体情况增加与综合实力评审相关的节点）………………</w:t>
      </w:r>
    </w:p>
    <w:p w14:paraId="3C31D265">
      <w:pPr>
        <w:widowControl w:val="0"/>
        <w:jc w:val="both"/>
        <w:rPr>
          <w:rFonts w:ascii="Calibri" w:hAnsi="Calibri" w:eastAsia="宋体"/>
          <w:b/>
          <w:bCs/>
          <w:color w:val="FF0000"/>
          <w:kern w:val="2"/>
          <w:szCs w:val="22"/>
          <w:lang w:eastAsia="zh-CN"/>
        </w:rPr>
      </w:pPr>
    </w:p>
    <w:p w14:paraId="4F943D96">
      <w:pPr>
        <w:widowControl w:val="0"/>
        <w:jc w:val="center"/>
        <w:rPr>
          <w:rFonts w:ascii="宋体" w:hAnsi="宋体" w:eastAsia="宋体"/>
          <w:kern w:val="2"/>
          <w:sz w:val="21"/>
          <w:szCs w:val="22"/>
          <w:lang w:eastAsia="zh-CN"/>
        </w:rPr>
      </w:pPr>
      <w:r>
        <w:rPr>
          <w:rFonts w:hint="eastAsia" w:ascii="Calibri" w:hAnsi="Calibri" w:eastAsia="宋体" w:cstheme="minorBidi"/>
          <w:b/>
          <w:bCs/>
          <w:color w:val="FF0000"/>
          <w:kern w:val="2"/>
          <w:szCs w:val="22"/>
          <w:lang w:eastAsia="zh-CN"/>
        </w:rPr>
        <w:t>★</w:t>
      </w:r>
      <w:r>
        <w:rPr>
          <w:rFonts w:hint="eastAsia" w:ascii="黑体" w:hAnsi="Calibri" w:eastAsia="黑体" w:cstheme="minorBidi"/>
          <w:kern w:val="2"/>
          <w:lang w:eastAsia="zh-CN"/>
        </w:rPr>
        <w:t>五、供应商基本情况表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70"/>
        <w:gridCol w:w="1589"/>
        <w:gridCol w:w="939"/>
        <w:gridCol w:w="781"/>
        <w:gridCol w:w="1190"/>
        <w:gridCol w:w="1484"/>
        <w:gridCol w:w="1475"/>
      </w:tblGrid>
      <w:tr w14:paraId="0D89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02DD5FB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1427" w:type="pct"/>
            <w:gridSpan w:val="2"/>
            <w:vAlign w:val="center"/>
          </w:tcPr>
          <w:p w14:paraId="702AC9D8">
            <w:pPr>
              <w:widowControl w:val="0"/>
              <w:jc w:val="center"/>
              <w:rPr>
                <w:rFonts w:ascii="宋体" w:hAnsi="宋体" w:eastAsia="宋体" w:cs="宋体"/>
                <w:kern w:val="2"/>
                <w:sz w:val="21"/>
                <w:szCs w:val="21"/>
                <w:lang w:eastAsia="zh-CN"/>
              </w:rPr>
            </w:pPr>
          </w:p>
        </w:tc>
        <w:tc>
          <w:tcPr>
            <w:tcW w:w="1113" w:type="pct"/>
            <w:gridSpan w:val="2"/>
            <w:vAlign w:val="center"/>
          </w:tcPr>
          <w:p w14:paraId="639E6DF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项目名称及编号</w:t>
            </w:r>
          </w:p>
        </w:tc>
        <w:tc>
          <w:tcPr>
            <w:tcW w:w="1669" w:type="pct"/>
            <w:gridSpan w:val="2"/>
            <w:vAlign w:val="center"/>
          </w:tcPr>
          <w:p w14:paraId="3C264F42">
            <w:pPr>
              <w:widowControl w:val="0"/>
              <w:jc w:val="center"/>
              <w:rPr>
                <w:rFonts w:ascii="宋体" w:hAnsi="宋体" w:eastAsia="宋体" w:cs="宋体"/>
                <w:kern w:val="2"/>
                <w:sz w:val="21"/>
                <w:szCs w:val="21"/>
                <w:lang w:eastAsia="zh-CN"/>
              </w:rPr>
            </w:pPr>
          </w:p>
        </w:tc>
      </w:tr>
      <w:tr w14:paraId="08D7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176C4543">
            <w:pPr>
              <w:widowControl w:val="0"/>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6E91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692F925F">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379DCF8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529" w:type="pct"/>
            <w:tcBorders>
              <w:bottom w:val="single" w:color="auto" w:sz="4" w:space="0"/>
            </w:tcBorders>
            <w:vAlign w:val="center"/>
          </w:tcPr>
          <w:p w14:paraId="439BD43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113" w:type="pct"/>
            <w:gridSpan w:val="2"/>
            <w:tcBorders>
              <w:bottom w:val="single" w:color="auto" w:sz="4" w:space="0"/>
            </w:tcBorders>
            <w:vAlign w:val="center"/>
          </w:tcPr>
          <w:p w14:paraId="39A87D2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838" w:type="pct"/>
            <w:tcBorders>
              <w:bottom w:val="single" w:color="auto" w:sz="4" w:space="0"/>
            </w:tcBorders>
            <w:vAlign w:val="center"/>
          </w:tcPr>
          <w:p w14:paraId="6BFAC351">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42741EB4">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830" w:type="pct"/>
            <w:tcBorders>
              <w:bottom w:val="single" w:color="auto" w:sz="4" w:space="0"/>
            </w:tcBorders>
            <w:vAlign w:val="center"/>
          </w:tcPr>
          <w:p w14:paraId="664C95C7">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43C25F77">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0C6D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2123BE6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3C0FDCF">
            <w:pPr>
              <w:widowControl w:val="0"/>
              <w:spacing w:line="46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55325444">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876B644">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40F3C9F0">
            <w:pPr>
              <w:widowControl w:val="0"/>
              <w:jc w:val="center"/>
              <w:rPr>
                <w:rFonts w:ascii="宋体" w:hAnsi="宋体" w:eastAsia="宋体" w:cs="宋体"/>
                <w:kern w:val="2"/>
                <w:sz w:val="21"/>
                <w:szCs w:val="21"/>
                <w:lang w:eastAsia="zh-CN"/>
              </w:rPr>
            </w:pPr>
          </w:p>
        </w:tc>
        <w:tc>
          <w:tcPr>
            <w:tcW w:w="830" w:type="pct"/>
            <w:tcBorders>
              <w:top w:val="single" w:color="auto" w:sz="4" w:space="0"/>
              <w:left w:val="single" w:color="auto" w:sz="4" w:space="0"/>
              <w:bottom w:val="single" w:color="auto" w:sz="4" w:space="0"/>
              <w:right w:val="single" w:color="auto" w:sz="4" w:space="0"/>
            </w:tcBorders>
            <w:vAlign w:val="center"/>
          </w:tcPr>
          <w:p w14:paraId="4A9469C5">
            <w:pPr>
              <w:widowControl w:val="0"/>
              <w:jc w:val="center"/>
              <w:rPr>
                <w:rFonts w:ascii="宋体" w:hAnsi="宋体" w:eastAsia="宋体" w:cs="宋体"/>
                <w:kern w:val="2"/>
                <w:sz w:val="21"/>
                <w:szCs w:val="21"/>
                <w:lang w:eastAsia="zh-CN"/>
              </w:rPr>
            </w:pPr>
          </w:p>
        </w:tc>
      </w:tr>
      <w:tr w14:paraId="06E6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5C859958">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B4B30B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3CB49906">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4A1C2C88">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7B0F91D4">
            <w:pPr>
              <w:widowControl w:val="0"/>
              <w:jc w:val="center"/>
              <w:rPr>
                <w:rFonts w:ascii="宋体" w:hAnsi="宋体" w:eastAsia="宋体" w:cs="宋体"/>
                <w:kern w:val="2"/>
                <w:sz w:val="21"/>
                <w:szCs w:val="21"/>
                <w:lang w:eastAsia="zh-CN"/>
              </w:rPr>
            </w:pPr>
          </w:p>
        </w:tc>
        <w:tc>
          <w:tcPr>
            <w:tcW w:w="830" w:type="pct"/>
            <w:tcBorders>
              <w:top w:val="single" w:color="auto" w:sz="4" w:space="0"/>
              <w:left w:val="single" w:color="auto" w:sz="4" w:space="0"/>
              <w:bottom w:val="single" w:color="auto" w:sz="4" w:space="0"/>
              <w:right w:val="single" w:color="auto" w:sz="4" w:space="0"/>
            </w:tcBorders>
            <w:vAlign w:val="center"/>
          </w:tcPr>
          <w:p w14:paraId="54CA09F2">
            <w:pPr>
              <w:widowControl w:val="0"/>
              <w:jc w:val="center"/>
              <w:rPr>
                <w:rFonts w:ascii="宋体" w:hAnsi="宋体" w:eastAsia="宋体" w:cs="宋体"/>
                <w:kern w:val="2"/>
                <w:sz w:val="21"/>
                <w:szCs w:val="21"/>
                <w:lang w:eastAsia="zh-CN"/>
              </w:rPr>
            </w:pPr>
          </w:p>
        </w:tc>
      </w:tr>
      <w:tr w14:paraId="23AF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0E8F6C97">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1275" w:type="pct"/>
            <w:gridSpan w:val="2"/>
            <w:tcBorders>
              <w:top w:val="single" w:color="auto" w:sz="4" w:space="0"/>
            </w:tcBorders>
            <w:vAlign w:val="center"/>
          </w:tcPr>
          <w:p w14:paraId="4E225D4D">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529" w:type="pct"/>
            <w:tcBorders>
              <w:top w:val="single" w:color="auto" w:sz="4" w:space="0"/>
            </w:tcBorders>
            <w:vAlign w:val="center"/>
          </w:tcPr>
          <w:p w14:paraId="1B4BD81D">
            <w:pPr>
              <w:widowControl w:val="0"/>
              <w:jc w:val="center"/>
              <w:rPr>
                <w:rFonts w:ascii="宋体" w:hAnsi="宋体" w:eastAsia="宋体" w:cs="宋体"/>
                <w:kern w:val="2"/>
                <w:sz w:val="21"/>
                <w:szCs w:val="21"/>
                <w:lang w:eastAsia="zh-CN"/>
              </w:rPr>
            </w:pPr>
          </w:p>
        </w:tc>
        <w:tc>
          <w:tcPr>
            <w:tcW w:w="1113" w:type="pct"/>
            <w:gridSpan w:val="2"/>
            <w:tcBorders>
              <w:top w:val="single" w:color="auto" w:sz="4" w:space="0"/>
            </w:tcBorders>
            <w:vAlign w:val="center"/>
          </w:tcPr>
          <w:p w14:paraId="7395054E">
            <w:pPr>
              <w:widowControl w:val="0"/>
              <w:jc w:val="center"/>
              <w:rPr>
                <w:rFonts w:ascii="宋体" w:hAnsi="宋体" w:eastAsia="宋体" w:cs="宋体"/>
                <w:kern w:val="2"/>
                <w:sz w:val="21"/>
                <w:szCs w:val="21"/>
                <w:lang w:eastAsia="zh-CN"/>
              </w:rPr>
            </w:pPr>
          </w:p>
        </w:tc>
        <w:tc>
          <w:tcPr>
            <w:tcW w:w="838" w:type="pct"/>
            <w:tcBorders>
              <w:top w:val="single" w:color="auto" w:sz="4" w:space="0"/>
            </w:tcBorders>
            <w:vAlign w:val="center"/>
          </w:tcPr>
          <w:p w14:paraId="23B7E8AA">
            <w:pPr>
              <w:widowControl w:val="0"/>
              <w:jc w:val="center"/>
              <w:rPr>
                <w:rFonts w:ascii="宋体" w:hAnsi="宋体" w:eastAsia="宋体" w:cs="宋体"/>
                <w:kern w:val="2"/>
                <w:sz w:val="21"/>
                <w:szCs w:val="21"/>
                <w:lang w:eastAsia="zh-CN"/>
              </w:rPr>
            </w:pPr>
          </w:p>
        </w:tc>
        <w:tc>
          <w:tcPr>
            <w:tcW w:w="830" w:type="pct"/>
            <w:tcBorders>
              <w:top w:val="single" w:color="auto" w:sz="4" w:space="0"/>
            </w:tcBorders>
            <w:vAlign w:val="center"/>
          </w:tcPr>
          <w:p w14:paraId="3A2B9E1B">
            <w:pPr>
              <w:widowControl w:val="0"/>
              <w:jc w:val="center"/>
              <w:rPr>
                <w:rFonts w:ascii="宋体" w:hAnsi="宋体" w:eastAsia="宋体" w:cs="宋体"/>
                <w:kern w:val="2"/>
                <w:sz w:val="21"/>
                <w:szCs w:val="21"/>
                <w:lang w:eastAsia="zh-CN"/>
              </w:rPr>
            </w:pPr>
          </w:p>
        </w:tc>
      </w:tr>
      <w:tr w14:paraId="3641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0661C384">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1275" w:type="pct"/>
            <w:gridSpan w:val="2"/>
            <w:vAlign w:val="center"/>
          </w:tcPr>
          <w:p w14:paraId="564E666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529" w:type="pct"/>
            <w:vAlign w:val="center"/>
          </w:tcPr>
          <w:p w14:paraId="1E33F53F">
            <w:pPr>
              <w:widowControl w:val="0"/>
              <w:jc w:val="center"/>
              <w:rPr>
                <w:rFonts w:ascii="宋体" w:hAnsi="宋体" w:eastAsia="宋体" w:cs="宋体"/>
                <w:kern w:val="2"/>
                <w:sz w:val="21"/>
                <w:szCs w:val="21"/>
                <w:lang w:eastAsia="zh-CN"/>
              </w:rPr>
            </w:pPr>
          </w:p>
        </w:tc>
        <w:tc>
          <w:tcPr>
            <w:tcW w:w="1113" w:type="pct"/>
            <w:gridSpan w:val="2"/>
            <w:vAlign w:val="center"/>
          </w:tcPr>
          <w:p w14:paraId="7F32B2FE">
            <w:pPr>
              <w:widowControl w:val="0"/>
              <w:jc w:val="center"/>
              <w:rPr>
                <w:rFonts w:ascii="宋体" w:hAnsi="宋体" w:eastAsia="宋体" w:cs="宋体"/>
                <w:kern w:val="2"/>
                <w:sz w:val="21"/>
                <w:szCs w:val="21"/>
                <w:lang w:eastAsia="zh-CN"/>
              </w:rPr>
            </w:pPr>
          </w:p>
        </w:tc>
        <w:tc>
          <w:tcPr>
            <w:tcW w:w="838" w:type="pct"/>
            <w:vAlign w:val="center"/>
          </w:tcPr>
          <w:p w14:paraId="43C1AC00">
            <w:pPr>
              <w:widowControl w:val="0"/>
              <w:jc w:val="center"/>
              <w:rPr>
                <w:rFonts w:ascii="宋体" w:hAnsi="宋体" w:eastAsia="宋体" w:cs="宋体"/>
                <w:kern w:val="2"/>
                <w:sz w:val="21"/>
                <w:szCs w:val="21"/>
                <w:lang w:eastAsia="zh-CN"/>
              </w:rPr>
            </w:pPr>
          </w:p>
        </w:tc>
        <w:tc>
          <w:tcPr>
            <w:tcW w:w="830" w:type="pct"/>
            <w:vAlign w:val="center"/>
          </w:tcPr>
          <w:p w14:paraId="612EA8DF">
            <w:pPr>
              <w:widowControl w:val="0"/>
              <w:jc w:val="center"/>
              <w:rPr>
                <w:rFonts w:ascii="宋体" w:hAnsi="宋体" w:eastAsia="宋体" w:cs="宋体"/>
                <w:kern w:val="2"/>
                <w:sz w:val="21"/>
                <w:szCs w:val="21"/>
                <w:lang w:eastAsia="zh-CN"/>
              </w:rPr>
            </w:pPr>
          </w:p>
        </w:tc>
      </w:tr>
      <w:tr w14:paraId="093E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6A8D6C7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1275" w:type="pct"/>
            <w:gridSpan w:val="2"/>
            <w:vAlign w:val="center"/>
          </w:tcPr>
          <w:p w14:paraId="2F04D074">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529" w:type="pct"/>
            <w:vAlign w:val="center"/>
          </w:tcPr>
          <w:p w14:paraId="3C0AED87">
            <w:pPr>
              <w:widowControl w:val="0"/>
              <w:jc w:val="center"/>
              <w:rPr>
                <w:rFonts w:ascii="宋体" w:hAnsi="宋体" w:eastAsia="宋体" w:cs="宋体"/>
                <w:kern w:val="2"/>
                <w:sz w:val="21"/>
                <w:szCs w:val="21"/>
                <w:lang w:eastAsia="zh-CN"/>
              </w:rPr>
            </w:pPr>
          </w:p>
        </w:tc>
        <w:tc>
          <w:tcPr>
            <w:tcW w:w="1113" w:type="pct"/>
            <w:gridSpan w:val="2"/>
            <w:vAlign w:val="center"/>
          </w:tcPr>
          <w:p w14:paraId="315FCBB8">
            <w:pPr>
              <w:widowControl w:val="0"/>
              <w:jc w:val="center"/>
              <w:rPr>
                <w:rFonts w:ascii="宋体" w:hAnsi="宋体" w:eastAsia="宋体" w:cs="宋体"/>
                <w:kern w:val="2"/>
                <w:sz w:val="21"/>
                <w:szCs w:val="21"/>
                <w:lang w:eastAsia="zh-CN"/>
              </w:rPr>
            </w:pPr>
          </w:p>
        </w:tc>
        <w:tc>
          <w:tcPr>
            <w:tcW w:w="838" w:type="pct"/>
            <w:vAlign w:val="center"/>
          </w:tcPr>
          <w:p w14:paraId="2C2966F5">
            <w:pPr>
              <w:widowControl w:val="0"/>
              <w:jc w:val="center"/>
              <w:rPr>
                <w:rFonts w:ascii="宋体" w:hAnsi="宋体" w:eastAsia="宋体" w:cs="宋体"/>
                <w:kern w:val="2"/>
                <w:sz w:val="21"/>
                <w:szCs w:val="21"/>
                <w:lang w:eastAsia="zh-CN"/>
              </w:rPr>
            </w:pPr>
          </w:p>
        </w:tc>
        <w:tc>
          <w:tcPr>
            <w:tcW w:w="830" w:type="pct"/>
            <w:vAlign w:val="center"/>
          </w:tcPr>
          <w:p w14:paraId="699F658B">
            <w:pPr>
              <w:widowControl w:val="0"/>
              <w:jc w:val="center"/>
              <w:rPr>
                <w:rFonts w:ascii="宋体" w:hAnsi="宋体" w:eastAsia="宋体" w:cs="宋体"/>
                <w:kern w:val="2"/>
                <w:sz w:val="21"/>
                <w:szCs w:val="21"/>
                <w:lang w:eastAsia="zh-CN"/>
              </w:rPr>
            </w:pPr>
          </w:p>
        </w:tc>
      </w:tr>
      <w:tr w14:paraId="1079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15288E1">
            <w:pPr>
              <w:widowControl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1001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01374923">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6030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2D8D25AC">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序号</w:t>
            </w:r>
          </w:p>
        </w:tc>
        <w:tc>
          <w:tcPr>
            <w:tcW w:w="1275" w:type="pct"/>
            <w:gridSpan w:val="2"/>
            <w:tcBorders>
              <w:bottom w:val="single" w:color="auto" w:sz="4" w:space="0"/>
            </w:tcBorders>
            <w:vAlign w:val="center"/>
          </w:tcPr>
          <w:p w14:paraId="7F0AD29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971" w:type="pct"/>
            <w:gridSpan w:val="2"/>
            <w:tcBorders>
              <w:bottom w:val="single" w:color="auto" w:sz="4" w:space="0"/>
            </w:tcBorders>
            <w:vAlign w:val="center"/>
          </w:tcPr>
          <w:p w14:paraId="0044FA8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2340" w:type="pct"/>
            <w:gridSpan w:val="3"/>
            <w:tcBorders>
              <w:bottom w:val="single" w:color="auto" w:sz="4" w:space="0"/>
            </w:tcBorders>
            <w:vAlign w:val="center"/>
          </w:tcPr>
          <w:p w14:paraId="5F68957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2B02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15571B9D">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597E350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6FDE26B2">
            <w:pPr>
              <w:widowControl w:val="0"/>
              <w:jc w:val="center"/>
              <w:rPr>
                <w:rFonts w:ascii="宋体" w:hAnsi="宋体" w:eastAsia="宋体" w:cs="宋体"/>
                <w:kern w:val="2"/>
                <w:sz w:val="21"/>
                <w:szCs w:val="21"/>
                <w:lang w:eastAsia="zh-CN"/>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6D219527">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A36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52E8CF21">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F71B1E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29C3D9C7">
            <w:pPr>
              <w:widowControl w:val="0"/>
              <w:jc w:val="center"/>
              <w:rPr>
                <w:rFonts w:ascii="宋体" w:hAnsi="宋体" w:eastAsia="宋体" w:cs="宋体"/>
                <w:kern w:val="2"/>
                <w:sz w:val="21"/>
                <w:szCs w:val="21"/>
                <w:lang w:eastAsia="zh-CN"/>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6F9A8963">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38AA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E92FD9B">
            <w:pPr>
              <w:widowControl w:val="0"/>
              <w:snapToGrid w:val="0"/>
              <w:jc w:val="left"/>
              <w:rPr>
                <w:rFonts w:ascii="宋体" w:hAnsi="宋体" w:eastAsia="宋体" w:cs="宋体"/>
                <w:b/>
                <w:bCs/>
                <w:color w:val="FF0000"/>
                <w:kern w:val="2"/>
                <w:sz w:val="21"/>
                <w:szCs w:val="21"/>
                <w:lang w:eastAsia="zh-CN"/>
              </w:rPr>
            </w:pPr>
            <w:r>
              <w:rPr>
                <w:rFonts w:ascii="宋体" w:hAnsi="宋体" w:eastAsia="宋体" w:cs="宋体"/>
                <w:b/>
                <w:bCs/>
                <w:color w:val="FF0000"/>
                <w:kern w:val="2"/>
                <w:sz w:val="21"/>
                <w:szCs w:val="21"/>
                <w:lang w:eastAsia="zh-CN"/>
              </w:rPr>
              <w:t>说明：1.同一关联关系类型有多个主体的，应分行填写。</w:t>
            </w:r>
          </w:p>
          <w:p w14:paraId="44EB5CFF">
            <w:pPr>
              <w:widowControl w:val="0"/>
              <w:snapToGrid w:val="0"/>
              <w:jc w:val="left"/>
              <w:rPr>
                <w:rFonts w:ascii="宋体" w:hAnsi="宋体" w:eastAsia="宋体" w:cs="宋体"/>
                <w:kern w:val="2"/>
                <w:sz w:val="21"/>
                <w:szCs w:val="21"/>
                <w:lang w:eastAsia="zh-CN"/>
              </w:rPr>
            </w:pPr>
            <w:r>
              <w:rPr>
                <w:rFonts w:ascii="宋体" w:hAnsi="宋体" w:eastAsia="宋体" w:cs="宋体"/>
                <w:b/>
                <w:bCs/>
                <w:color w:val="FF0000"/>
                <w:kern w:val="2"/>
                <w:sz w:val="21"/>
                <w:szCs w:val="21"/>
                <w:lang w:eastAsia="zh-CN"/>
              </w:rPr>
              <w:t>2.《供应商基本情况表》为必填内容，若存在异常且不符合要求的供应商资格性审查将不予通过，作投标无效处理。</w:t>
            </w:r>
          </w:p>
        </w:tc>
      </w:tr>
    </w:tbl>
    <w:p w14:paraId="7EAAE2A8">
      <w:pPr>
        <w:widowControl w:val="0"/>
        <w:autoSpaceDE w:val="0"/>
        <w:autoSpaceDN w:val="0"/>
        <w:adjustRightInd w:val="0"/>
        <w:snapToGrid w:val="0"/>
        <w:rPr>
          <w:rFonts w:ascii="Arial" w:hAnsi="Arial" w:eastAsia="宋体"/>
          <w:b/>
          <w:kern w:val="2"/>
          <w:lang w:eastAsia="zh-CN"/>
        </w:rPr>
      </w:pPr>
    </w:p>
    <w:p w14:paraId="4EB8D0D1">
      <w:pPr>
        <w:jc w:val="center"/>
        <w:rPr>
          <w:rFonts w:ascii="Arial" w:hAnsi="Arial" w:eastAsia="宋体"/>
          <w:b/>
          <w:kern w:val="2"/>
          <w:lang w:eastAsia="zh-CN"/>
        </w:rPr>
      </w:pPr>
    </w:p>
    <w:p w14:paraId="2207E081">
      <w:pPr>
        <w:jc w:val="center"/>
        <w:rPr>
          <w:rFonts w:ascii="Arial" w:hAnsi="Arial" w:eastAsia="宋体"/>
          <w:b/>
          <w:kern w:val="2"/>
          <w:lang w:eastAsia="zh-CN"/>
        </w:rPr>
      </w:pPr>
      <w:r>
        <w:rPr>
          <w:rFonts w:hint="eastAsia" w:ascii="Arial" w:hAnsi="Arial" w:eastAsia="宋体"/>
          <w:b/>
          <w:kern w:val="2"/>
          <w:lang w:eastAsia="zh-CN"/>
        </w:rPr>
        <w:t>（本章未提供的招标要求的其他文件格式由供应商自拟）</w:t>
      </w:r>
    </w:p>
    <w:p w14:paraId="2B66697A">
      <w:pPr>
        <w:jc w:val="center"/>
        <w:rPr>
          <w:rFonts w:ascii="Arial" w:hAnsi="Arial" w:eastAsia="宋体"/>
          <w:kern w:val="2"/>
          <w:sz w:val="21"/>
          <w:lang w:eastAsia="zh-CN"/>
        </w:rPr>
      </w:pPr>
      <w:r>
        <w:rPr>
          <w:rFonts w:ascii="Arial" w:hAnsi="Arial" w:eastAsia="宋体"/>
          <w:kern w:val="2"/>
          <w:sz w:val="21"/>
          <w:lang w:eastAsia="zh-CN"/>
        </w:rPr>
        <w:br w:type="page"/>
      </w:r>
    </w:p>
    <w:p w14:paraId="5DE79B8F">
      <w:pPr>
        <w:widowControl w:val="0"/>
        <w:spacing w:after="60" w:afterLines="25" w:line="300" w:lineRule="auto"/>
        <w:jc w:val="both"/>
        <w:outlineLvl w:val="2"/>
        <w:rPr>
          <w:rFonts w:ascii="Arial" w:hAnsi="Arial" w:eastAsia="宋体"/>
          <w:b/>
          <w:color w:val="FF0000"/>
          <w:kern w:val="2"/>
          <w:sz w:val="32"/>
          <w:szCs w:val="32"/>
          <w:lang w:eastAsia="zh-CN"/>
        </w:rPr>
      </w:pPr>
      <w:r>
        <w:rPr>
          <w:rFonts w:hint="eastAsia" w:ascii="Arial" w:hAnsi="Arial" w:eastAsia="宋体"/>
          <w:b/>
          <w:color w:val="FF0000"/>
          <w:kern w:val="2"/>
          <w:sz w:val="32"/>
          <w:szCs w:val="32"/>
          <w:lang w:eastAsia="zh-CN"/>
        </w:rPr>
        <w:t>（二）投标文件附件</w:t>
      </w:r>
    </w:p>
    <w:p w14:paraId="01FBCAC8">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w:t>
      </w:r>
      <w:bookmarkStart w:id="39" w:name="_Hlk72092499"/>
      <w:r>
        <w:rPr>
          <w:rFonts w:hint="eastAsia" w:ascii="黑体" w:hAnsi="宋体" w:eastAsia="黑体" w:cstheme="minorBidi"/>
          <w:bCs/>
          <w:kern w:val="2"/>
          <w:szCs w:val="32"/>
          <w:lang w:eastAsia="zh-CN"/>
        </w:rPr>
        <w:t>法定代表人（负责人）证明书</w:t>
      </w:r>
      <w:bookmarkEnd w:id="39"/>
    </w:p>
    <w:p w14:paraId="42C52A32">
      <w:pPr>
        <w:widowControl w:val="0"/>
        <w:jc w:val="both"/>
        <w:rPr>
          <w:rFonts w:ascii="Calibri" w:hAnsi="Calibri" w:eastAsia="宋体"/>
          <w:kern w:val="2"/>
          <w:szCs w:val="22"/>
          <w:lang w:eastAsia="zh-CN"/>
        </w:rPr>
      </w:pPr>
    </w:p>
    <w:p w14:paraId="29BDE8AA">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（姓名），现任我单位</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职务，为法定代表人（负责人），身份证件号为：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508EBADB">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特此证明。</w:t>
      </w:r>
    </w:p>
    <w:p w14:paraId="23FBF0FE">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说明：1、法定代表人为投标人（企业事业单位、国家机关、社会团体）的主要行政负责人。</w:t>
      </w:r>
    </w:p>
    <w:p w14:paraId="651A828E">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Hans"/>
        </w:rPr>
        <w:t>本证明书要供法定代表人（负责人）</w:t>
      </w:r>
      <w:r>
        <w:rPr>
          <w:rFonts w:hint="eastAsia" w:ascii="Calibri" w:hAnsi="Calibri" w:eastAsia="宋体" w:cstheme="minorBidi"/>
          <w:kern w:val="2"/>
          <w:sz w:val="21"/>
          <w:szCs w:val="21"/>
          <w:lang w:eastAsia="zh-CN"/>
        </w:rPr>
        <w:t>相关身份证明文件：身份证扫描件（正反两面）；港澳台居民可提供来往通行证扫描件；非中国国籍管辖范围人员，可提供公安部门认可的身份证明材料扫描件。</w:t>
      </w:r>
    </w:p>
    <w:p w14:paraId="4330EB72">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Hans"/>
        </w:rPr>
        <w:t>本项目投标授权代表为法定代表人（负责人）的，无需提供</w:t>
      </w:r>
      <w:r>
        <w:rPr>
          <w:rFonts w:hint="eastAsia" w:ascii="Calibri" w:hAnsi="Calibri" w:eastAsia="宋体" w:cstheme="minorBidi"/>
          <w:kern w:val="2"/>
          <w:sz w:val="21"/>
          <w:szCs w:val="21"/>
          <w:lang w:eastAsia="zh-CN"/>
        </w:rPr>
        <w:t>《投标文件签署授权委托书》</w:t>
      </w:r>
      <w:r>
        <w:rPr>
          <w:rFonts w:hint="eastAsia" w:ascii="Calibri" w:hAnsi="Calibri" w:eastAsia="宋体" w:cstheme="minorBidi"/>
          <w:kern w:val="2"/>
          <w:sz w:val="21"/>
          <w:szCs w:val="21"/>
          <w:lang w:eastAsia="zh-Hans"/>
        </w:rPr>
        <w:t>。</w:t>
      </w:r>
    </w:p>
    <w:p w14:paraId="776404B5">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内容必须填写真实、清楚，涂改无效，不得转让、买卖。</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7EC4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1095D2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证件扫描件正面</w:t>
            </w:r>
          </w:p>
          <w:p w14:paraId="6396024F">
            <w:pPr>
              <w:widowControl w:val="0"/>
              <w:spacing w:line="360" w:lineRule="auto"/>
              <w:jc w:val="center"/>
              <w:rPr>
                <w:rFonts w:ascii="Calibri" w:hAnsi="Calibri" w:eastAsia="宋体"/>
                <w:b/>
                <w:bCs/>
                <w:kern w:val="2"/>
                <w:szCs w:val="22"/>
                <w:lang w:eastAsia="zh-CN"/>
              </w:rPr>
            </w:pPr>
          </w:p>
          <w:p w14:paraId="07E8F324">
            <w:pPr>
              <w:widowControl w:val="0"/>
              <w:spacing w:line="360" w:lineRule="auto"/>
              <w:jc w:val="center"/>
              <w:rPr>
                <w:rFonts w:ascii="Calibri" w:hAnsi="Calibri" w:eastAsia="宋体"/>
                <w:kern w:val="2"/>
                <w:szCs w:val="22"/>
                <w:lang w:eastAsia="zh-CN"/>
              </w:rPr>
            </w:pPr>
          </w:p>
        </w:tc>
        <w:tc>
          <w:tcPr>
            <w:tcW w:w="4265" w:type="dxa"/>
          </w:tcPr>
          <w:p w14:paraId="39D2193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证件扫描件反面</w:t>
            </w:r>
          </w:p>
          <w:p w14:paraId="3EE3EE9E">
            <w:pPr>
              <w:widowControl w:val="0"/>
              <w:spacing w:line="360" w:lineRule="auto"/>
              <w:jc w:val="center"/>
              <w:rPr>
                <w:rFonts w:ascii="Calibri" w:hAnsi="Calibri" w:eastAsia="宋体"/>
                <w:b/>
                <w:bCs/>
                <w:kern w:val="2"/>
                <w:szCs w:val="22"/>
                <w:lang w:eastAsia="zh-CN"/>
              </w:rPr>
            </w:pPr>
          </w:p>
          <w:p w14:paraId="1A61A514">
            <w:pPr>
              <w:widowControl w:val="0"/>
              <w:spacing w:line="360" w:lineRule="auto"/>
              <w:jc w:val="center"/>
              <w:rPr>
                <w:rFonts w:ascii="Calibri" w:hAnsi="Calibri" w:eastAsia="宋体"/>
                <w:kern w:val="2"/>
                <w:szCs w:val="22"/>
                <w:lang w:eastAsia="zh-CN"/>
              </w:rPr>
            </w:pPr>
          </w:p>
        </w:tc>
      </w:tr>
    </w:tbl>
    <w:p w14:paraId="5223487F">
      <w:pPr>
        <w:widowControl w:val="0"/>
        <w:jc w:val="both"/>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1B2470E6">
      <w:pPr>
        <w:widowControl w:val="0"/>
        <w:jc w:val="both"/>
        <w:rPr>
          <w:rFonts w:ascii="Calibri" w:hAnsi="Calibri" w:eastAsia="宋体"/>
          <w:b/>
          <w:bCs/>
          <w:color w:val="FF0000"/>
          <w:kern w:val="2"/>
          <w:sz w:val="21"/>
          <w:szCs w:val="21"/>
          <w:lang w:eastAsia="zh-CN"/>
        </w:rPr>
      </w:pPr>
    </w:p>
    <w:p w14:paraId="4EEC87F7">
      <w:pPr>
        <w:keepNext/>
        <w:keepLines/>
        <w:widowControl w:val="0"/>
        <w:spacing w:before="120" w:after="12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二、投标文件签署授权委托书</w:t>
      </w:r>
    </w:p>
    <w:p w14:paraId="7891A6D8">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本授权委托书声明：我</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（姓名）系</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（投标人名称）的法定代表人（负责人），现授权委托</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5CD2F154">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代理人无转委托权，特此委托。</w:t>
      </w:r>
    </w:p>
    <w:p w14:paraId="59CAA366">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代理人：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9CAEFC4">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身份证件号：</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0F2B30FA">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，手机：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，电子邮箱：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F86143F">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授权委托日期：</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年</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 xml:space="preserve">月 </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日。</w:t>
      </w:r>
    </w:p>
    <w:p w14:paraId="50BADFE5">
      <w:pPr>
        <w:widowControl w:val="0"/>
        <w:spacing w:line="360" w:lineRule="auto"/>
        <w:ind w:firstLine="422" w:firstLineChars="200"/>
        <w:jc w:val="both"/>
        <w:rPr>
          <w:rFonts w:ascii="Calibri" w:hAnsi="Calibri" w:eastAsia="宋体"/>
          <w:b/>
          <w:color w:val="FF0000"/>
          <w:kern w:val="2"/>
          <w:sz w:val="21"/>
          <w:szCs w:val="21"/>
          <w:lang w:eastAsia="zh-CN"/>
        </w:rPr>
      </w:pPr>
      <w:r>
        <w:rPr>
          <w:rFonts w:hint="eastAsia" w:ascii="Calibri" w:hAnsi="Calibri" w:eastAsia="宋体" w:cstheme="minorBidi"/>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6E88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7BFEB0E">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证件扫描件正面</w:t>
            </w:r>
          </w:p>
          <w:p w14:paraId="7FDB2B30">
            <w:pPr>
              <w:widowControl w:val="0"/>
              <w:spacing w:line="360" w:lineRule="auto"/>
              <w:jc w:val="center"/>
              <w:rPr>
                <w:rFonts w:ascii="Calibri" w:hAnsi="Calibri" w:eastAsia="宋体"/>
                <w:b/>
                <w:bCs/>
                <w:kern w:val="2"/>
                <w:szCs w:val="22"/>
                <w:lang w:eastAsia="zh-CN"/>
              </w:rPr>
            </w:pPr>
          </w:p>
          <w:p w14:paraId="1A5762C5">
            <w:pPr>
              <w:widowControl w:val="0"/>
              <w:spacing w:line="360" w:lineRule="auto"/>
              <w:jc w:val="center"/>
              <w:rPr>
                <w:rFonts w:ascii="Calibri" w:hAnsi="Calibri" w:eastAsia="宋体"/>
                <w:kern w:val="2"/>
                <w:szCs w:val="22"/>
                <w:lang w:eastAsia="zh-CN"/>
              </w:rPr>
            </w:pPr>
          </w:p>
        </w:tc>
        <w:tc>
          <w:tcPr>
            <w:tcW w:w="4265" w:type="dxa"/>
          </w:tcPr>
          <w:p w14:paraId="5816BBFD">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证件扫描件反面</w:t>
            </w:r>
          </w:p>
          <w:p w14:paraId="5CE7F46E">
            <w:pPr>
              <w:widowControl w:val="0"/>
              <w:spacing w:line="360" w:lineRule="auto"/>
              <w:jc w:val="center"/>
              <w:rPr>
                <w:rFonts w:ascii="Calibri" w:hAnsi="Calibri" w:eastAsia="宋体"/>
                <w:b/>
                <w:bCs/>
                <w:kern w:val="2"/>
                <w:szCs w:val="22"/>
                <w:lang w:eastAsia="zh-CN"/>
              </w:rPr>
            </w:pPr>
          </w:p>
          <w:p w14:paraId="140FDA29">
            <w:pPr>
              <w:widowControl w:val="0"/>
              <w:spacing w:line="360" w:lineRule="auto"/>
              <w:jc w:val="center"/>
              <w:rPr>
                <w:rFonts w:ascii="Calibri" w:hAnsi="Calibri" w:eastAsia="宋体"/>
                <w:kern w:val="2"/>
                <w:szCs w:val="22"/>
                <w:lang w:eastAsia="zh-CN"/>
              </w:rPr>
            </w:pPr>
          </w:p>
        </w:tc>
      </w:tr>
    </w:tbl>
    <w:p w14:paraId="6DEF5571">
      <w:pPr>
        <w:widowControl w:val="0"/>
        <w:tabs>
          <w:tab w:val="left" w:pos="651"/>
        </w:tabs>
        <w:snapToGrid w:val="0"/>
        <w:jc w:val="both"/>
        <w:rPr>
          <w:rFonts w:ascii="黑体" w:hAnsi="Calibri" w:eastAsia="黑体"/>
          <w:lang w:eastAsia="zh-CN"/>
        </w:rPr>
      </w:pPr>
      <w:r>
        <w:rPr>
          <w:rFonts w:hint="eastAsia" w:ascii="Calibri" w:hAnsi="Calibri" w:eastAsia="宋体" w:cstheme="minorBidi"/>
          <w:b/>
          <w:bCs/>
          <w:color w:val="FF0000"/>
          <w:kern w:val="2"/>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0CD52E39">
      <w:pPr>
        <w:widowControl w:val="0"/>
        <w:tabs>
          <w:tab w:val="left" w:pos="651"/>
        </w:tabs>
        <w:snapToGrid w:val="0"/>
        <w:jc w:val="center"/>
        <w:rPr>
          <w:rFonts w:ascii="黑体" w:hAnsi="Calibri" w:eastAsia="黑体"/>
          <w:lang w:eastAsia="zh-CN"/>
        </w:rPr>
      </w:pPr>
    </w:p>
    <w:p w14:paraId="77D7B061">
      <w:pPr>
        <w:widowControl w:val="0"/>
        <w:tabs>
          <w:tab w:val="left" w:pos="651"/>
        </w:tabs>
        <w:snapToGrid w:val="0"/>
        <w:jc w:val="center"/>
        <w:rPr>
          <w:rFonts w:ascii="黑体" w:hAnsi="Calibri" w:eastAsia="黑体"/>
          <w:lang w:eastAsia="zh-CN"/>
        </w:rPr>
      </w:pPr>
    </w:p>
    <w:p w14:paraId="00E9B170">
      <w:pPr>
        <w:widowControl w:val="0"/>
        <w:tabs>
          <w:tab w:val="left" w:pos="651"/>
        </w:tabs>
        <w:snapToGrid w:val="0"/>
        <w:jc w:val="center"/>
        <w:rPr>
          <w:rFonts w:ascii="黑体" w:hAnsi="Calibri" w:eastAsia="黑体"/>
          <w:lang w:eastAsia="zh-CN"/>
        </w:rPr>
      </w:pPr>
    </w:p>
    <w:p w14:paraId="5F72C29E">
      <w:pPr>
        <w:widowControl w:val="0"/>
        <w:tabs>
          <w:tab w:val="left" w:pos="651"/>
        </w:tabs>
        <w:snapToGrid w:val="0"/>
        <w:jc w:val="center"/>
        <w:rPr>
          <w:rFonts w:ascii="宋体" w:hAnsi="宋体" w:eastAsia="宋体"/>
          <w:b/>
          <w:bCs/>
          <w:szCs w:val="20"/>
          <w:lang w:eastAsia="zh-CN"/>
        </w:rPr>
      </w:pPr>
      <w:r>
        <w:rPr>
          <w:rFonts w:hint="eastAsia" w:ascii="黑体" w:hAnsi="Calibri" w:eastAsia="黑体" w:cstheme="minorBidi"/>
          <w:lang w:eastAsia="zh-CN"/>
        </w:rPr>
        <w:t>三、</w:t>
      </w:r>
      <w:bookmarkStart w:id="40" w:name="_Hlk72092634"/>
      <w:r>
        <w:rPr>
          <w:rFonts w:hint="eastAsia" w:ascii="黑体" w:hAnsi="Calibri" w:eastAsia="黑体" w:cstheme="minorBidi"/>
          <w:lang w:eastAsia="zh-CN"/>
        </w:rPr>
        <w:t>实质性条款响应情况表</w:t>
      </w:r>
      <w:bookmarkEnd w:id="40"/>
    </w:p>
    <w:p w14:paraId="65699814">
      <w:pPr>
        <w:widowControl w:val="0"/>
        <w:snapToGrid w:val="0"/>
        <w:jc w:val="both"/>
        <w:rPr>
          <w:rFonts w:ascii="Arial" w:hAnsi="Arial" w:eastAsia="宋体" w:cs="Arial"/>
          <w:kern w:val="2"/>
          <w:lang w:eastAsia="zh-CN"/>
        </w:rPr>
      </w:pPr>
      <w:r>
        <w:rPr>
          <w:rFonts w:hint="eastAsia" w:ascii="Arial" w:hAnsi="Arial" w:eastAsia="宋体" w:cs="Arial"/>
          <w:color w:val="000000"/>
          <w:kern w:val="2"/>
          <w:lang w:eastAsia="zh-CN"/>
        </w:rPr>
        <w:t>投标单位（投标人）名称：</w:t>
      </w:r>
      <w:r>
        <w:rPr>
          <w:rFonts w:ascii="Arial" w:hAnsi="Arial" w:eastAsia="宋体" w:cs="Arial"/>
          <w:color w:val="000000"/>
          <w:kern w:val="2"/>
          <w:u w:val="single"/>
          <w:lang w:eastAsia="zh-CN"/>
        </w:rPr>
        <w:t xml:space="preserve">                         </w:t>
      </w:r>
    </w:p>
    <w:p w14:paraId="67789893">
      <w:pPr>
        <w:widowControl w:val="0"/>
        <w:snapToGrid w:val="0"/>
        <w:jc w:val="both"/>
        <w:rPr>
          <w:rFonts w:ascii="宋体" w:hAnsi="宋体" w:eastAsia="宋体"/>
          <w:b/>
          <w:kern w:val="2"/>
          <w:lang w:eastAsia="zh-CN"/>
        </w:rPr>
      </w:pPr>
    </w:p>
    <w:tbl>
      <w:tblPr>
        <w:tblStyle w:val="11"/>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78"/>
        <w:gridCol w:w="3657"/>
        <w:gridCol w:w="2047"/>
        <w:gridCol w:w="1632"/>
        <w:gridCol w:w="942"/>
      </w:tblGrid>
      <w:tr w14:paraId="3919070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578" w:type="dxa"/>
            <w:vAlign w:val="center"/>
          </w:tcPr>
          <w:p w14:paraId="3F09D785">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序号</w:t>
            </w:r>
          </w:p>
        </w:tc>
        <w:tc>
          <w:tcPr>
            <w:tcW w:w="3657" w:type="dxa"/>
            <w:vAlign w:val="center"/>
          </w:tcPr>
          <w:p w14:paraId="281E93C4">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实质性条款具体内容</w:t>
            </w:r>
          </w:p>
        </w:tc>
        <w:tc>
          <w:tcPr>
            <w:tcW w:w="2047" w:type="dxa"/>
            <w:vAlign w:val="center"/>
          </w:tcPr>
          <w:p w14:paraId="7C1AC38F">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投标文件响应</w:t>
            </w:r>
          </w:p>
        </w:tc>
        <w:tc>
          <w:tcPr>
            <w:tcW w:w="1632" w:type="dxa"/>
          </w:tcPr>
          <w:p w14:paraId="357CEB96">
            <w:pPr>
              <w:widowControl w:val="0"/>
              <w:spacing w:before="120" w:beforeLines="5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偏离情况</w:t>
            </w:r>
          </w:p>
        </w:tc>
        <w:tc>
          <w:tcPr>
            <w:tcW w:w="942" w:type="dxa"/>
            <w:vAlign w:val="center"/>
          </w:tcPr>
          <w:p w14:paraId="12FA4158">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说明</w:t>
            </w:r>
          </w:p>
        </w:tc>
      </w:tr>
      <w:tr w14:paraId="2787D90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578" w:type="dxa"/>
            <w:vAlign w:val="center"/>
          </w:tcPr>
          <w:p w14:paraId="56D2F31F">
            <w:pPr>
              <w:widowControl w:val="0"/>
              <w:spacing w:line="300" w:lineRule="auto"/>
              <w:jc w:val="center"/>
              <w:rPr>
                <w:rFonts w:ascii="宋体" w:hAnsi="宋体" w:eastAsia="宋体"/>
                <w:b/>
                <w:color w:val="auto"/>
                <w:sz w:val="21"/>
                <w:szCs w:val="21"/>
                <w:lang w:eastAsia="zh-CN"/>
              </w:rPr>
            </w:pPr>
            <w:bookmarkStart w:id="41" w:name="OLE_LINK15" w:colFirst="2" w:colLast="3"/>
            <w:r>
              <w:rPr>
                <w:rFonts w:hint="eastAsia" w:ascii="宋体" w:hAnsi="宋体" w:eastAsia="宋体"/>
                <w:b/>
                <w:color w:val="auto"/>
                <w:sz w:val="21"/>
                <w:szCs w:val="21"/>
                <w:lang w:eastAsia="zh-CN"/>
              </w:rPr>
              <w:t>1</w:t>
            </w:r>
          </w:p>
        </w:tc>
        <w:tc>
          <w:tcPr>
            <w:tcW w:w="3657" w:type="dxa"/>
            <w:vAlign w:val="center"/>
          </w:tcPr>
          <w:p w14:paraId="7806D771">
            <w:pPr>
              <w:widowControl w:val="0"/>
              <w:spacing w:line="300" w:lineRule="auto"/>
              <w:jc w:val="center"/>
              <w:rPr>
                <w:rFonts w:ascii="宋体" w:hAnsi="宋体" w:eastAsia="宋体"/>
                <w:b/>
                <w:color w:val="auto"/>
                <w:sz w:val="21"/>
                <w:szCs w:val="21"/>
                <w:lang w:eastAsia="zh-CN"/>
              </w:rPr>
            </w:pPr>
            <w:r>
              <w:rPr>
                <w:rFonts w:hint="eastAsia" w:ascii="宋体" w:hAnsi="宋体" w:eastAsia="宋体"/>
                <w:b/>
                <w:color w:val="auto"/>
                <w:sz w:val="21"/>
                <w:szCs w:val="21"/>
                <w:lang w:eastAsia="zh-CN"/>
              </w:rPr>
              <w:t>本项目招标文件中所有带★号条款内容</w:t>
            </w:r>
          </w:p>
        </w:tc>
        <w:tc>
          <w:tcPr>
            <w:tcW w:w="2047" w:type="dxa"/>
            <w:vAlign w:val="center"/>
          </w:tcPr>
          <w:p w14:paraId="23C4AA7E">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632" w:type="dxa"/>
            <w:vAlign w:val="center"/>
          </w:tcPr>
          <w:p w14:paraId="02FCDD9A">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42" w:type="dxa"/>
            <w:vAlign w:val="center"/>
          </w:tcPr>
          <w:p w14:paraId="19E1E677">
            <w:pPr>
              <w:widowControl w:val="0"/>
              <w:spacing w:line="300" w:lineRule="auto"/>
              <w:jc w:val="center"/>
              <w:rPr>
                <w:rFonts w:ascii="宋体" w:hAnsi="宋体" w:eastAsia="宋体"/>
                <w:b/>
                <w:color w:val="FF0000"/>
                <w:sz w:val="21"/>
                <w:szCs w:val="21"/>
                <w:lang w:eastAsia="zh-CN"/>
              </w:rPr>
            </w:pPr>
          </w:p>
        </w:tc>
      </w:tr>
      <w:tr w14:paraId="4B27CD6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578" w:type="dxa"/>
            <w:vAlign w:val="center"/>
          </w:tcPr>
          <w:p w14:paraId="72E8C9B2">
            <w:pPr>
              <w:widowControl w:val="0"/>
              <w:spacing w:line="300" w:lineRule="auto"/>
              <w:jc w:val="center"/>
              <w:rPr>
                <w:rFonts w:hint="default" w:ascii="宋体" w:hAnsi="宋体" w:eastAsia="宋体"/>
                <w:b/>
                <w:bCs w:val="0"/>
                <w:color w:val="auto"/>
                <w:sz w:val="21"/>
                <w:szCs w:val="21"/>
                <w:lang w:val="en-US" w:eastAsia="zh-CN"/>
              </w:rPr>
            </w:pPr>
            <w:r>
              <w:rPr>
                <w:rFonts w:hint="eastAsia" w:ascii="宋体" w:hAnsi="宋体" w:eastAsia="宋体"/>
                <w:b/>
                <w:bCs w:val="0"/>
                <w:color w:val="auto"/>
                <w:sz w:val="21"/>
                <w:szCs w:val="21"/>
                <w:lang w:val="en-US" w:eastAsia="zh-CN"/>
              </w:rPr>
              <w:t>2</w:t>
            </w:r>
          </w:p>
        </w:tc>
        <w:tc>
          <w:tcPr>
            <w:tcW w:w="3657" w:type="dxa"/>
            <w:vAlign w:val="center"/>
          </w:tcPr>
          <w:p w14:paraId="6B1FFC28">
            <w:pPr>
              <w:widowControl w:val="0"/>
              <w:spacing w:line="300" w:lineRule="auto"/>
              <w:jc w:val="center"/>
              <w:rPr>
                <w:rFonts w:hint="eastAsia" w:ascii="宋体" w:hAnsi="宋体" w:eastAsia="宋体"/>
                <w:b/>
                <w:bCs w:val="0"/>
                <w:color w:val="auto"/>
                <w:sz w:val="21"/>
                <w:szCs w:val="21"/>
                <w:lang w:eastAsia="zh-CN"/>
              </w:rPr>
            </w:pPr>
            <w:r>
              <w:rPr>
                <w:rFonts w:hint="eastAsia" w:ascii="Calibri" w:hAnsi="Calibri" w:eastAsia="宋体" w:cstheme="minorBidi"/>
                <w:b/>
                <w:bCs w:val="0"/>
                <w:kern w:val="2"/>
                <w:sz w:val="21"/>
                <w:szCs w:val="22"/>
                <w:lang w:eastAsia="zh-CN"/>
              </w:rPr>
              <w:t>所投产品符合检测依据：GB/T 3976-2014《学校课桌椅功能尺寸及技术要求》、QB/T 4071-2021《课桌椅》，检测参数至少包含本项目国标型号</w:t>
            </w:r>
            <w:r>
              <w:rPr>
                <w:rFonts w:hint="eastAsia" w:ascii="Calibri" w:hAnsi="Calibri" w:eastAsia="宋体" w:cstheme="minorBidi"/>
                <w:b/>
                <w:bCs w:val="0"/>
                <w:kern w:val="2"/>
                <w:sz w:val="21"/>
                <w:szCs w:val="22"/>
                <w:lang w:val="en-US" w:eastAsia="zh-CN"/>
              </w:rPr>
              <w:t>3</w:t>
            </w:r>
            <w:r>
              <w:rPr>
                <w:rFonts w:hint="eastAsia" w:ascii="Calibri" w:hAnsi="Calibri" w:eastAsia="宋体" w:cstheme="minorBidi"/>
                <w:b/>
                <w:bCs w:val="0"/>
                <w:kern w:val="2"/>
                <w:sz w:val="21"/>
                <w:szCs w:val="22"/>
                <w:lang w:eastAsia="zh-CN"/>
              </w:rPr>
              <w:t>号、</w:t>
            </w:r>
            <w:r>
              <w:rPr>
                <w:rFonts w:hint="eastAsia" w:ascii="Calibri" w:hAnsi="Calibri" w:eastAsia="宋体" w:cstheme="minorBidi"/>
                <w:b/>
                <w:bCs w:val="0"/>
                <w:kern w:val="2"/>
                <w:sz w:val="21"/>
                <w:szCs w:val="22"/>
                <w:lang w:val="en-US" w:eastAsia="zh-CN"/>
              </w:rPr>
              <w:t>4</w:t>
            </w:r>
            <w:r>
              <w:rPr>
                <w:rFonts w:hint="eastAsia" w:ascii="Calibri" w:hAnsi="Calibri" w:eastAsia="宋体" w:cstheme="minorBidi"/>
                <w:b/>
                <w:bCs w:val="0"/>
                <w:kern w:val="2"/>
                <w:sz w:val="21"/>
                <w:szCs w:val="22"/>
                <w:lang w:eastAsia="zh-CN"/>
              </w:rPr>
              <w:t>号和</w:t>
            </w:r>
            <w:r>
              <w:rPr>
                <w:rFonts w:hint="eastAsia" w:ascii="Calibri" w:hAnsi="Calibri" w:eastAsia="宋体" w:cstheme="minorBidi"/>
                <w:b/>
                <w:bCs w:val="0"/>
                <w:kern w:val="2"/>
                <w:sz w:val="21"/>
                <w:szCs w:val="22"/>
                <w:lang w:val="en-US" w:eastAsia="zh-CN"/>
              </w:rPr>
              <w:t>5</w:t>
            </w:r>
            <w:r>
              <w:rPr>
                <w:rFonts w:hint="eastAsia" w:ascii="Calibri" w:hAnsi="Calibri" w:eastAsia="宋体" w:cstheme="minorBidi"/>
                <w:b/>
                <w:bCs w:val="0"/>
                <w:kern w:val="2"/>
                <w:sz w:val="21"/>
                <w:szCs w:val="22"/>
                <w:lang w:eastAsia="zh-CN"/>
              </w:rPr>
              <w:t>号课桌椅要求的全部内容，检测结果符合标准要求。（提供第三方检测机构出具带有CMA标志的符合上述检测依据和检测参数要求的检测报告扫描件</w:t>
            </w:r>
            <w:bookmarkStart w:id="112" w:name="_GoBack"/>
            <w:bookmarkEnd w:id="112"/>
            <w:r>
              <w:rPr>
                <w:rFonts w:hint="eastAsia" w:ascii="Calibri" w:hAnsi="Calibri" w:eastAsia="宋体" w:cstheme="minorBidi"/>
                <w:b/>
                <w:bCs w:val="0"/>
                <w:kern w:val="2"/>
                <w:sz w:val="21"/>
                <w:szCs w:val="22"/>
                <w:lang w:eastAsia="zh-CN"/>
              </w:rPr>
              <w:t>，原件备查。或在投标时出具《课桌椅标准承诺书》进行承诺（格式自拟），承诺中标后提供所投产品的符合上述要求的检测报告。）</w:t>
            </w:r>
          </w:p>
        </w:tc>
        <w:tc>
          <w:tcPr>
            <w:tcW w:w="2047" w:type="dxa"/>
            <w:shd w:val="clear" w:color="auto" w:fill="auto"/>
            <w:vAlign w:val="center"/>
          </w:tcPr>
          <w:p w14:paraId="1FE8F519">
            <w:pPr>
              <w:widowControl w:val="0"/>
              <w:spacing w:line="300" w:lineRule="auto"/>
              <w:jc w:val="center"/>
              <w:rPr>
                <w:rFonts w:hint="eastAsia" w:ascii="宋体" w:hAnsi="宋体" w:eastAsia="宋体" w:cs="Times New Roman"/>
                <w:b/>
                <w:sz w:val="21"/>
                <w:szCs w:val="21"/>
                <w:lang w:val="en-US" w:eastAsia="zh-CN" w:bidi="ar-SA"/>
              </w:rPr>
            </w:pPr>
            <w:r>
              <w:rPr>
                <w:rFonts w:hint="eastAsia" w:ascii="宋体" w:hAnsi="宋体" w:eastAsia="宋体"/>
                <w:b/>
                <w:sz w:val="21"/>
                <w:szCs w:val="21"/>
                <w:lang w:eastAsia="zh-CN"/>
              </w:rPr>
              <w:t>完全响应</w:t>
            </w:r>
          </w:p>
        </w:tc>
        <w:tc>
          <w:tcPr>
            <w:tcW w:w="1632" w:type="dxa"/>
            <w:shd w:val="clear" w:color="auto" w:fill="auto"/>
            <w:vAlign w:val="center"/>
          </w:tcPr>
          <w:p w14:paraId="06E95910">
            <w:pPr>
              <w:widowControl w:val="0"/>
              <w:spacing w:line="300" w:lineRule="auto"/>
              <w:jc w:val="center"/>
              <w:rPr>
                <w:rFonts w:hint="eastAsia" w:ascii="宋体" w:hAnsi="宋体" w:eastAsia="宋体" w:cs="Times New Roman"/>
                <w:b/>
                <w:sz w:val="21"/>
                <w:szCs w:val="21"/>
                <w:lang w:val="en-US" w:eastAsia="zh-CN" w:bidi="ar-SA"/>
              </w:rPr>
            </w:pPr>
            <w:r>
              <w:rPr>
                <w:rFonts w:hint="eastAsia" w:ascii="宋体" w:hAnsi="宋体" w:eastAsia="宋体"/>
                <w:b/>
                <w:sz w:val="21"/>
                <w:szCs w:val="21"/>
                <w:lang w:eastAsia="zh-CN"/>
              </w:rPr>
              <w:t>无偏离</w:t>
            </w:r>
          </w:p>
        </w:tc>
        <w:tc>
          <w:tcPr>
            <w:tcW w:w="942" w:type="dxa"/>
            <w:vAlign w:val="center"/>
          </w:tcPr>
          <w:p w14:paraId="1D192BF4">
            <w:pPr>
              <w:widowControl w:val="0"/>
              <w:spacing w:line="300" w:lineRule="auto"/>
              <w:jc w:val="center"/>
              <w:rPr>
                <w:rFonts w:ascii="宋体" w:hAnsi="宋体" w:eastAsia="宋体"/>
                <w:b/>
                <w:color w:val="FF0000"/>
                <w:sz w:val="21"/>
                <w:szCs w:val="21"/>
                <w:lang w:eastAsia="zh-CN"/>
              </w:rPr>
            </w:pPr>
          </w:p>
        </w:tc>
      </w:tr>
      <w:bookmarkEnd w:id="41"/>
    </w:tbl>
    <w:p w14:paraId="2B543A7C">
      <w:pPr>
        <w:widowControl w:val="0"/>
        <w:snapToGrid w:val="0"/>
        <w:jc w:val="both"/>
        <w:rPr>
          <w:rFonts w:ascii="宋体" w:hAnsi="宋体" w:eastAsia="宋体"/>
          <w:b/>
          <w:kern w:val="2"/>
          <w:lang w:eastAsia="zh-CN"/>
        </w:rPr>
      </w:pPr>
      <w:r>
        <w:rPr>
          <w:rFonts w:hint="eastAsia" w:ascii="宋体" w:hAnsi="宋体" w:eastAsia="宋体"/>
          <w:b/>
          <w:kern w:val="2"/>
          <w:lang w:eastAsia="zh-CN"/>
        </w:rPr>
        <w:t>填写说明：</w:t>
      </w:r>
    </w:p>
    <w:p w14:paraId="34EFCEE1">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1、上表所列各项均为不可负偏离条款。</w:t>
      </w:r>
    </w:p>
    <w:p w14:paraId="03AE469B">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2、“投标文件响应”一栏应当详细填写投标人自身响应情况，而不能不合理照搬照抄招标文件实质性条款具体内容。</w:t>
      </w:r>
      <w:r>
        <w:rPr>
          <w:rFonts w:hint="eastAsia" w:ascii="宋体" w:hAnsi="宋体" w:eastAsia="宋体" w:cs="宋体"/>
          <w:b/>
          <w:bCs/>
          <w:kern w:val="2"/>
          <w:lang w:eastAsia="zh-CN"/>
        </w:rPr>
        <w:t>如完全满足实质性条款具体内容可填写“完全响应”，除招标文件另有注明外，不强制要求逐条列出响应。</w:t>
      </w:r>
    </w:p>
    <w:p w14:paraId="414B6269">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3、“偏离情况”一栏应填写</w:t>
      </w:r>
      <w:r>
        <w:rPr>
          <w:rFonts w:hint="eastAsia" w:ascii="宋体" w:hAnsi="宋体" w:eastAsia="宋体" w:cs="宋体"/>
          <w:kern w:val="2"/>
          <w:lang w:eastAsia="zh-CN"/>
        </w:rPr>
        <w:t>“</w:t>
      </w:r>
      <w:r>
        <w:rPr>
          <w:rFonts w:hint="eastAsia" w:ascii="宋体" w:hAnsi="宋体" w:eastAsia="宋体" w:cs="宋体"/>
          <w:b/>
          <w:bCs/>
          <w:kern w:val="2"/>
          <w:lang w:eastAsia="zh-CN"/>
        </w:rPr>
        <w:t>正偏离</w:t>
      </w:r>
      <w:r>
        <w:rPr>
          <w:rFonts w:hint="eastAsia" w:ascii="宋体" w:hAnsi="宋体" w:eastAsia="宋体" w:cs="宋体"/>
          <w:kern w:val="2"/>
          <w:lang w:eastAsia="zh-CN"/>
        </w:rPr>
        <w:t>”或“</w:t>
      </w:r>
      <w:r>
        <w:rPr>
          <w:rFonts w:hint="eastAsia" w:ascii="宋体" w:hAnsi="宋体" w:eastAsia="宋体" w:cs="宋体"/>
          <w:b/>
          <w:bCs/>
          <w:kern w:val="2"/>
          <w:lang w:eastAsia="zh-CN"/>
        </w:rPr>
        <w:t>负偏离</w:t>
      </w:r>
      <w:r>
        <w:rPr>
          <w:rFonts w:hint="eastAsia" w:ascii="宋体" w:hAnsi="宋体" w:eastAsia="宋体" w:cs="宋体"/>
          <w:kern w:val="2"/>
          <w:lang w:eastAsia="zh-CN"/>
        </w:rPr>
        <w:t>”或“</w:t>
      </w:r>
      <w:r>
        <w:rPr>
          <w:rFonts w:hint="eastAsia" w:ascii="宋体" w:hAnsi="宋体" w:eastAsia="宋体" w:cs="宋体"/>
          <w:b/>
          <w:bCs/>
          <w:kern w:val="2"/>
          <w:lang w:eastAsia="zh-CN"/>
        </w:rPr>
        <w:t>无偏离</w:t>
      </w:r>
      <w:r>
        <w:rPr>
          <w:rFonts w:hint="eastAsia" w:ascii="宋体" w:hAnsi="宋体" w:eastAsia="宋体" w:cs="宋体"/>
          <w:kern w:val="2"/>
          <w:lang w:eastAsia="zh-CN"/>
        </w:rPr>
        <w:t>”</w:t>
      </w:r>
      <w:r>
        <w:rPr>
          <w:rFonts w:hint="eastAsia" w:ascii="宋体" w:hAnsi="宋体" w:eastAsia="宋体" w:cs="宋体"/>
          <w:bCs/>
          <w:kern w:val="2"/>
          <w:lang w:eastAsia="zh-CN"/>
        </w:rPr>
        <w:t>，“正偏离”表示“投标响应优于实质性条款具体内容要求”，“负偏离”表示“投标响应不满足实质性条款具体内容要求”，“无偏离”表示“投标响应与实质性条款具体内容要求一致”。</w:t>
      </w:r>
    </w:p>
    <w:p w14:paraId="5A196C19">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4、评审委员会有权对投标响应情况作出判断。</w:t>
      </w:r>
    </w:p>
    <w:p w14:paraId="13E29AF7">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5、实质性响应条款“投标响应情况”与投标文件其它内容冲突的，以实质性响应条款“投标响应情况”为准。</w:t>
      </w:r>
    </w:p>
    <w:p w14:paraId="5CCE4864">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6、以上实质性条款中要求提供证明材料，需如实提供证明材料扫描件，在“说明”一栏中列明证明材料的位置，以便评审；未要求提供证明材料的，投标人可以不提供。</w:t>
      </w:r>
    </w:p>
    <w:p w14:paraId="5D7F99FB">
      <w:pPr>
        <w:widowControl w:val="0"/>
        <w:jc w:val="both"/>
        <w:rPr>
          <w:rFonts w:ascii="宋体" w:hAnsi="宋体" w:eastAsia="宋体"/>
          <w:b/>
          <w:bCs/>
          <w:szCs w:val="20"/>
          <w:lang w:eastAsia="zh-CN"/>
        </w:rPr>
      </w:pPr>
      <w:r>
        <w:rPr>
          <w:rFonts w:hint="eastAsia" w:ascii="宋体" w:hAnsi="宋体" w:eastAsia="宋体"/>
          <w:b/>
          <w:bCs/>
          <w:szCs w:val="20"/>
          <w:lang w:eastAsia="zh-CN"/>
        </w:rPr>
        <w:br w:type="page"/>
      </w:r>
    </w:p>
    <w:p w14:paraId="35CE81B4">
      <w:pPr>
        <w:keepNext/>
        <w:keepLines/>
        <w:widowControl w:val="0"/>
        <w:spacing w:before="260" w:after="260"/>
        <w:jc w:val="center"/>
        <w:outlineLvl w:val="2"/>
        <w:rPr>
          <w:rFonts w:ascii="宋体" w:hAnsi="宋体" w:eastAsia="宋体"/>
          <w:b/>
          <w:bCs/>
          <w:kern w:val="2"/>
          <w:szCs w:val="32"/>
          <w:lang w:eastAsia="zh-CN"/>
        </w:rPr>
      </w:pPr>
      <w:r>
        <w:rPr>
          <w:rFonts w:hint="eastAsia" w:ascii="黑体" w:hAnsi="宋体" w:eastAsia="黑体" w:cstheme="minorBidi"/>
          <w:kern w:val="2"/>
          <w:szCs w:val="20"/>
          <w:lang w:eastAsia="zh-CN"/>
        </w:rPr>
        <w:t>四、商务要求偏离表</w:t>
      </w:r>
    </w:p>
    <w:tbl>
      <w:tblPr>
        <w:tblStyle w:val="11"/>
        <w:tblW w:w="5000" w:type="pct"/>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72"/>
        <w:gridCol w:w="4775"/>
        <w:gridCol w:w="950"/>
        <w:gridCol w:w="630"/>
        <w:gridCol w:w="531"/>
      </w:tblGrid>
      <w:tr w14:paraId="4B9B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793878CC">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序号</w:t>
            </w:r>
          </w:p>
        </w:tc>
        <w:tc>
          <w:tcPr>
            <w:tcW w:w="1408" w:type="dxa"/>
            <w:vAlign w:val="center"/>
          </w:tcPr>
          <w:p w14:paraId="212E8B6E">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商务需求项</w:t>
            </w:r>
          </w:p>
        </w:tc>
        <w:tc>
          <w:tcPr>
            <w:tcW w:w="4918" w:type="dxa"/>
            <w:vAlign w:val="center"/>
          </w:tcPr>
          <w:p w14:paraId="47682A59">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招标商务要求</w:t>
            </w:r>
          </w:p>
        </w:tc>
        <w:tc>
          <w:tcPr>
            <w:tcW w:w="973" w:type="dxa"/>
            <w:vAlign w:val="center"/>
          </w:tcPr>
          <w:p w14:paraId="4AF9D0EE">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投标商务响应</w:t>
            </w:r>
          </w:p>
        </w:tc>
        <w:tc>
          <w:tcPr>
            <w:tcW w:w="642" w:type="dxa"/>
            <w:vAlign w:val="center"/>
          </w:tcPr>
          <w:p w14:paraId="027A3BB5">
            <w:pPr>
              <w:widowControl w:val="0"/>
              <w:jc w:val="center"/>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偏离情况</w:t>
            </w:r>
          </w:p>
        </w:tc>
        <w:tc>
          <w:tcPr>
            <w:tcW w:w="540" w:type="dxa"/>
            <w:vAlign w:val="center"/>
          </w:tcPr>
          <w:p w14:paraId="0564ED7B">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说明</w:t>
            </w:r>
          </w:p>
        </w:tc>
      </w:tr>
      <w:tr w14:paraId="419B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242335D7">
            <w:pPr>
              <w:widowControl w:val="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（一）免费保修期内售后服务要求</w:t>
            </w:r>
          </w:p>
        </w:tc>
      </w:tr>
      <w:tr w14:paraId="442F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DE22720">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1</w:t>
            </w:r>
          </w:p>
        </w:tc>
        <w:tc>
          <w:tcPr>
            <w:tcW w:w="1408" w:type="dxa"/>
          </w:tcPr>
          <w:p w14:paraId="24EBCCF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w:t>
            </w:r>
          </w:p>
        </w:tc>
        <w:tc>
          <w:tcPr>
            <w:tcW w:w="4918" w:type="dxa"/>
          </w:tcPr>
          <w:p w14:paraId="0B99931A">
            <w:pPr>
              <w:widowControl w:val="0"/>
              <w:jc w:val="center"/>
              <w:rPr>
                <w:rFonts w:ascii="Calibri" w:hAnsi="Calibri" w:eastAsia="宋体"/>
                <w:b/>
                <w:kern w:val="2"/>
                <w:sz w:val="21"/>
                <w:szCs w:val="22"/>
                <w:lang w:eastAsia="zh-CN"/>
              </w:rPr>
            </w:pPr>
            <w:r>
              <w:rPr>
                <w:rFonts w:hint="eastAsia" w:ascii="Calibri" w:hAnsi="Calibri" w:eastAsia="宋体" w:cstheme="minorBidi"/>
                <w:bCs/>
                <w:kern w:val="2"/>
                <w:sz w:val="21"/>
                <w:szCs w:val="21"/>
                <w:lang w:eastAsia="zh-CN"/>
              </w:rPr>
              <w:t>（填写相关内容）</w:t>
            </w:r>
          </w:p>
        </w:tc>
        <w:tc>
          <w:tcPr>
            <w:tcW w:w="973" w:type="dxa"/>
          </w:tcPr>
          <w:p w14:paraId="68CD8CA0">
            <w:pPr>
              <w:widowControl w:val="0"/>
              <w:jc w:val="both"/>
              <w:rPr>
                <w:rFonts w:ascii="Calibri" w:hAnsi="Calibri" w:eastAsia="宋体"/>
                <w:bCs/>
                <w:kern w:val="2"/>
                <w:sz w:val="21"/>
                <w:szCs w:val="21"/>
                <w:lang w:eastAsia="zh-CN"/>
              </w:rPr>
            </w:pPr>
          </w:p>
        </w:tc>
        <w:tc>
          <w:tcPr>
            <w:tcW w:w="642" w:type="dxa"/>
          </w:tcPr>
          <w:p w14:paraId="16294E30">
            <w:pPr>
              <w:widowControl w:val="0"/>
              <w:jc w:val="both"/>
              <w:rPr>
                <w:rFonts w:ascii="Calibri" w:hAnsi="Calibri" w:eastAsia="宋体"/>
                <w:bCs/>
                <w:kern w:val="2"/>
                <w:sz w:val="21"/>
                <w:szCs w:val="21"/>
                <w:lang w:eastAsia="zh-CN"/>
              </w:rPr>
            </w:pPr>
          </w:p>
        </w:tc>
        <w:tc>
          <w:tcPr>
            <w:tcW w:w="540" w:type="dxa"/>
          </w:tcPr>
          <w:p w14:paraId="7EB94444">
            <w:pPr>
              <w:widowControl w:val="0"/>
              <w:jc w:val="both"/>
              <w:rPr>
                <w:rFonts w:ascii="Calibri" w:hAnsi="Calibri" w:eastAsia="宋体"/>
                <w:bCs/>
                <w:kern w:val="2"/>
                <w:sz w:val="21"/>
                <w:szCs w:val="21"/>
                <w:lang w:eastAsia="zh-CN"/>
              </w:rPr>
            </w:pPr>
          </w:p>
        </w:tc>
      </w:tr>
      <w:tr w14:paraId="2EC9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08E3EA9">
            <w:pPr>
              <w:widowControl w:val="0"/>
              <w:jc w:val="center"/>
              <w:rPr>
                <w:rFonts w:ascii="Calibri" w:hAnsi="Calibri" w:eastAsia="宋体"/>
                <w:bCs/>
                <w:kern w:val="2"/>
                <w:sz w:val="21"/>
                <w:szCs w:val="22"/>
                <w:lang w:eastAsia="zh-CN"/>
              </w:rPr>
            </w:pPr>
            <w:r>
              <w:rPr>
                <w:rFonts w:ascii="Calibri" w:hAnsi="Calibri" w:eastAsia="宋体" w:cstheme="minorBidi"/>
                <w:bCs/>
                <w:kern w:val="2"/>
                <w:sz w:val="21"/>
                <w:szCs w:val="22"/>
                <w:lang w:eastAsia="zh-CN"/>
              </w:rPr>
              <w:t>2</w:t>
            </w:r>
          </w:p>
        </w:tc>
        <w:tc>
          <w:tcPr>
            <w:tcW w:w="1408" w:type="dxa"/>
          </w:tcPr>
          <w:p w14:paraId="4B83D61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1A4589ED">
            <w:pPr>
              <w:widowControl w:val="0"/>
              <w:jc w:val="center"/>
              <w:rPr>
                <w:rFonts w:ascii="Calibri" w:hAnsi="Calibri" w:eastAsia="宋体"/>
                <w:bCs/>
                <w:kern w:val="2"/>
                <w:sz w:val="21"/>
                <w:szCs w:val="21"/>
                <w:lang w:eastAsia="zh-CN"/>
              </w:rPr>
            </w:pPr>
            <w:r>
              <w:rPr>
                <w:rFonts w:hint="eastAsia" w:ascii="Calibri" w:hAnsi="Calibri" w:eastAsia="宋体" w:cstheme="minorBidi"/>
                <w:kern w:val="2"/>
                <w:sz w:val="21"/>
                <w:szCs w:val="22"/>
                <w:lang w:eastAsia="zh-CN"/>
              </w:rPr>
              <w:t>（填写相关内容）</w:t>
            </w:r>
          </w:p>
        </w:tc>
        <w:tc>
          <w:tcPr>
            <w:tcW w:w="973" w:type="dxa"/>
          </w:tcPr>
          <w:p w14:paraId="42344C7B">
            <w:pPr>
              <w:widowControl w:val="0"/>
              <w:jc w:val="both"/>
              <w:rPr>
                <w:rFonts w:ascii="Calibri" w:hAnsi="Calibri" w:eastAsia="宋体"/>
                <w:bCs/>
                <w:kern w:val="2"/>
                <w:sz w:val="21"/>
                <w:szCs w:val="21"/>
                <w:lang w:eastAsia="zh-CN"/>
              </w:rPr>
            </w:pPr>
          </w:p>
        </w:tc>
        <w:tc>
          <w:tcPr>
            <w:tcW w:w="642" w:type="dxa"/>
          </w:tcPr>
          <w:p w14:paraId="04F3142A">
            <w:pPr>
              <w:widowControl w:val="0"/>
              <w:jc w:val="both"/>
              <w:rPr>
                <w:rFonts w:ascii="Calibri" w:hAnsi="Calibri" w:eastAsia="宋体"/>
                <w:bCs/>
                <w:kern w:val="2"/>
                <w:sz w:val="21"/>
                <w:szCs w:val="21"/>
                <w:lang w:eastAsia="zh-CN"/>
              </w:rPr>
            </w:pPr>
          </w:p>
        </w:tc>
        <w:tc>
          <w:tcPr>
            <w:tcW w:w="540" w:type="dxa"/>
          </w:tcPr>
          <w:p w14:paraId="19F9C119">
            <w:pPr>
              <w:widowControl w:val="0"/>
              <w:jc w:val="both"/>
              <w:rPr>
                <w:rFonts w:ascii="Calibri" w:hAnsi="Calibri" w:eastAsia="宋体"/>
                <w:bCs/>
                <w:kern w:val="2"/>
                <w:sz w:val="21"/>
                <w:szCs w:val="21"/>
                <w:lang w:eastAsia="zh-CN"/>
              </w:rPr>
            </w:pPr>
          </w:p>
        </w:tc>
      </w:tr>
      <w:tr w14:paraId="6DF8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6CF51806">
            <w:pPr>
              <w:widowControl w:val="0"/>
              <w:jc w:val="both"/>
              <w:rPr>
                <w:rFonts w:ascii="Calibri" w:hAnsi="Calibri" w:eastAsia="宋体"/>
                <w:bCs/>
                <w:kern w:val="2"/>
                <w:sz w:val="21"/>
                <w:szCs w:val="21"/>
                <w:lang w:eastAsia="zh-CN"/>
              </w:rPr>
            </w:pPr>
            <w:r>
              <w:rPr>
                <w:rFonts w:hint="eastAsia" w:ascii="Calibri" w:hAnsi="Calibri" w:eastAsia="宋体" w:cstheme="minorBidi"/>
                <w:b/>
                <w:kern w:val="2"/>
                <w:sz w:val="21"/>
                <w:szCs w:val="22"/>
                <w:lang w:eastAsia="zh-CN"/>
              </w:rPr>
              <w:t>（二）免费保修期外售后服务要求</w:t>
            </w:r>
          </w:p>
        </w:tc>
      </w:tr>
      <w:tr w14:paraId="7A68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5D24CAA9">
            <w:pPr>
              <w:widowControl w:val="0"/>
              <w:jc w:val="center"/>
              <w:rPr>
                <w:rFonts w:ascii="Calibri" w:hAnsi="Calibri" w:eastAsia="宋体"/>
                <w:bCs/>
                <w:kern w:val="2"/>
                <w:sz w:val="21"/>
                <w:szCs w:val="22"/>
                <w:lang w:eastAsia="zh-CN"/>
              </w:rPr>
            </w:pPr>
            <w:r>
              <w:rPr>
                <w:rFonts w:hint="eastAsia" w:ascii="Calibri" w:hAnsi="Calibri" w:eastAsia="宋体" w:cstheme="minorBidi"/>
                <w:kern w:val="2"/>
                <w:sz w:val="21"/>
                <w:szCs w:val="22"/>
                <w:lang w:eastAsia="zh-CN"/>
              </w:rPr>
              <w:t>1</w:t>
            </w:r>
          </w:p>
        </w:tc>
        <w:tc>
          <w:tcPr>
            <w:tcW w:w="1408" w:type="dxa"/>
          </w:tcPr>
          <w:p w14:paraId="0838B4DC">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6AADD3D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（填写相关内容）</w:t>
            </w:r>
          </w:p>
        </w:tc>
        <w:tc>
          <w:tcPr>
            <w:tcW w:w="973" w:type="dxa"/>
          </w:tcPr>
          <w:p w14:paraId="20403B24">
            <w:pPr>
              <w:widowControl w:val="0"/>
              <w:jc w:val="both"/>
              <w:rPr>
                <w:rFonts w:ascii="Calibri" w:hAnsi="Calibri" w:eastAsia="宋体"/>
                <w:bCs/>
                <w:kern w:val="2"/>
                <w:sz w:val="21"/>
                <w:szCs w:val="21"/>
                <w:lang w:eastAsia="zh-CN"/>
              </w:rPr>
            </w:pPr>
          </w:p>
        </w:tc>
        <w:tc>
          <w:tcPr>
            <w:tcW w:w="642" w:type="dxa"/>
          </w:tcPr>
          <w:p w14:paraId="22CEA0CA">
            <w:pPr>
              <w:widowControl w:val="0"/>
              <w:jc w:val="both"/>
              <w:rPr>
                <w:rFonts w:ascii="Calibri" w:hAnsi="Calibri" w:eastAsia="宋体"/>
                <w:bCs/>
                <w:kern w:val="2"/>
                <w:sz w:val="21"/>
                <w:szCs w:val="21"/>
                <w:lang w:eastAsia="zh-CN"/>
              </w:rPr>
            </w:pPr>
          </w:p>
        </w:tc>
        <w:tc>
          <w:tcPr>
            <w:tcW w:w="540" w:type="dxa"/>
          </w:tcPr>
          <w:p w14:paraId="7097C76F">
            <w:pPr>
              <w:widowControl w:val="0"/>
              <w:jc w:val="both"/>
              <w:rPr>
                <w:rFonts w:ascii="Calibri" w:hAnsi="Calibri" w:eastAsia="宋体"/>
                <w:bCs/>
                <w:kern w:val="2"/>
                <w:sz w:val="21"/>
                <w:szCs w:val="21"/>
                <w:lang w:eastAsia="zh-CN"/>
              </w:rPr>
            </w:pPr>
          </w:p>
        </w:tc>
      </w:tr>
      <w:tr w14:paraId="5E64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344C8E9C">
            <w:pPr>
              <w:widowControl w:val="0"/>
              <w:jc w:val="both"/>
              <w:rPr>
                <w:rFonts w:ascii="Calibri" w:hAnsi="Calibri" w:eastAsia="宋体"/>
                <w:bCs/>
                <w:kern w:val="2"/>
                <w:sz w:val="21"/>
                <w:szCs w:val="21"/>
                <w:lang w:eastAsia="zh-CN"/>
              </w:rPr>
            </w:pPr>
            <w:r>
              <w:rPr>
                <w:rFonts w:hint="eastAsia" w:ascii="Calibri" w:hAnsi="Calibri" w:eastAsia="宋体" w:cstheme="minorBidi"/>
                <w:b/>
                <w:kern w:val="2"/>
                <w:sz w:val="21"/>
                <w:szCs w:val="22"/>
                <w:lang w:eastAsia="zh-CN"/>
              </w:rPr>
              <w:t>（三）其他商务要求</w:t>
            </w:r>
          </w:p>
        </w:tc>
      </w:tr>
      <w:tr w14:paraId="6900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21F355A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1408" w:type="dxa"/>
          </w:tcPr>
          <w:p w14:paraId="14B11390">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26BC191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（填写相关内容）</w:t>
            </w:r>
          </w:p>
        </w:tc>
        <w:tc>
          <w:tcPr>
            <w:tcW w:w="973" w:type="dxa"/>
          </w:tcPr>
          <w:p w14:paraId="6F343849">
            <w:pPr>
              <w:widowControl w:val="0"/>
              <w:jc w:val="both"/>
              <w:rPr>
                <w:rFonts w:ascii="Calibri" w:hAnsi="Calibri" w:eastAsia="宋体"/>
                <w:bCs/>
                <w:kern w:val="2"/>
                <w:sz w:val="21"/>
                <w:szCs w:val="21"/>
                <w:lang w:eastAsia="zh-CN"/>
              </w:rPr>
            </w:pPr>
          </w:p>
        </w:tc>
        <w:tc>
          <w:tcPr>
            <w:tcW w:w="642" w:type="dxa"/>
          </w:tcPr>
          <w:p w14:paraId="7C880BAD">
            <w:pPr>
              <w:widowControl w:val="0"/>
              <w:jc w:val="both"/>
              <w:rPr>
                <w:rFonts w:ascii="Calibri" w:hAnsi="Calibri" w:eastAsia="宋体"/>
                <w:bCs/>
                <w:kern w:val="2"/>
                <w:sz w:val="21"/>
                <w:szCs w:val="21"/>
                <w:lang w:eastAsia="zh-CN"/>
              </w:rPr>
            </w:pPr>
          </w:p>
        </w:tc>
        <w:tc>
          <w:tcPr>
            <w:tcW w:w="540" w:type="dxa"/>
          </w:tcPr>
          <w:p w14:paraId="7263ED8F">
            <w:pPr>
              <w:widowControl w:val="0"/>
              <w:jc w:val="both"/>
              <w:rPr>
                <w:rFonts w:ascii="Calibri" w:hAnsi="Calibri" w:eastAsia="宋体"/>
                <w:bCs/>
                <w:kern w:val="2"/>
                <w:sz w:val="21"/>
                <w:szCs w:val="21"/>
                <w:lang w:eastAsia="zh-CN"/>
              </w:rPr>
            </w:pPr>
          </w:p>
        </w:tc>
      </w:tr>
    </w:tbl>
    <w:p w14:paraId="21316674">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《商务要求偏离表》编制指引：</w:t>
      </w:r>
    </w:p>
    <w:p w14:paraId="1876548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1、商务要求偏离表的序号、商务需求项、招标商务要求等栏目对应“用户需求书”中的“商务要求”章节相关内容。</w:t>
      </w:r>
    </w:p>
    <w:p w14:paraId="1B44DFCC">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2</w:t>
      </w:r>
      <w:r>
        <w:rPr>
          <w:rFonts w:hint="eastAsia" w:ascii="Calibri" w:hAnsi="Calibri" w:eastAsia="宋体" w:cstheme="minorBidi"/>
          <w:bCs/>
          <w:kern w:val="2"/>
          <w:sz w:val="21"/>
          <w:szCs w:val="21"/>
          <w:lang w:eastAsia="zh-CN"/>
        </w:rPr>
        <w:t>、“投标商务响应”一栏必须一一对照“招标商务要求”，详细填写自身响应情况，而不能不合理照搬照抄招标文件的商务要求，以体现具体响应情况。</w:t>
      </w:r>
    </w:p>
    <w:p w14:paraId="74857C5B">
      <w:pPr>
        <w:widowControl w:val="0"/>
        <w:ind w:firstLine="420" w:firstLineChars="200"/>
        <w:jc w:val="both"/>
        <w:rPr>
          <w:rFonts w:ascii="Calibri" w:hAnsi="Calibri" w:eastAsia="宋体"/>
          <w:bCs/>
          <w:color w:val="FF0000"/>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14:paraId="230C41FC">
      <w:pPr>
        <w:widowControl w:val="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“投标商务响应”对比“招标商务要求”存在响应不全（包括未响应整项招标商务要求或者未响应一项招标商务要求的部分内容），均视为“负偏离”。</w:t>
      </w:r>
    </w:p>
    <w:p w14:paraId="1EE904C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4、带★号条款为不可偏离条款，如未响应或出现负偏离的，将作投标无效处理。</w:t>
      </w:r>
    </w:p>
    <w:p w14:paraId="6C7E71C3">
      <w:pPr>
        <w:rPr>
          <w:rFonts w:ascii="宋体" w:hAnsi="宋体" w:eastAsia="宋体"/>
          <w:color w:val="FF0000"/>
          <w:kern w:val="2"/>
          <w:sz w:val="32"/>
          <w:szCs w:val="32"/>
          <w:lang w:eastAsia="zh-CN"/>
        </w:rPr>
      </w:pPr>
      <w:r>
        <w:rPr>
          <w:rFonts w:ascii="宋体" w:hAnsi="宋体" w:eastAsia="宋体"/>
          <w:color w:val="FF0000"/>
          <w:kern w:val="2"/>
          <w:sz w:val="32"/>
          <w:szCs w:val="32"/>
          <w:lang w:eastAsia="zh-CN"/>
        </w:rPr>
        <w:br w:type="page"/>
      </w:r>
    </w:p>
    <w:p w14:paraId="08D17A64">
      <w:pPr>
        <w:keepNext/>
        <w:keepLines/>
        <w:widowControl w:val="0"/>
        <w:spacing w:before="260" w:after="260"/>
        <w:jc w:val="center"/>
        <w:outlineLvl w:val="2"/>
        <w:rPr>
          <w:rFonts w:ascii="宋体" w:hAnsi="宋体" w:eastAsia="宋体"/>
          <w:b/>
          <w:bCs/>
          <w:kern w:val="2"/>
          <w:szCs w:val="32"/>
          <w:lang w:eastAsia="zh-CN"/>
        </w:rPr>
      </w:pPr>
      <w:r>
        <w:rPr>
          <w:rFonts w:hint="eastAsia" w:ascii="黑体" w:hAnsi="宋体" w:eastAsia="黑体" w:cstheme="minorBidi"/>
          <w:bCs/>
          <w:kern w:val="2"/>
          <w:lang w:eastAsia="zh-CN"/>
        </w:rPr>
        <w:t>五、技术要求偏离表</w:t>
      </w:r>
    </w:p>
    <w:tbl>
      <w:tblPr>
        <w:tblStyle w:val="11"/>
        <w:tblW w:w="5000"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81"/>
        <w:gridCol w:w="3839"/>
        <w:gridCol w:w="2654"/>
        <w:gridCol w:w="718"/>
        <w:gridCol w:w="395"/>
      </w:tblGrid>
      <w:tr w14:paraId="3AAB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1E991FB8">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序号</w:t>
            </w:r>
          </w:p>
        </w:tc>
        <w:tc>
          <w:tcPr>
            <w:tcW w:w="772" w:type="dxa"/>
            <w:vAlign w:val="center"/>
          </w:tcPr>
          <w:p w14:paraId="4E314137">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货物名称</w:t>
            </w:r>
          </w:p>
        </w:tc>
        <w:tc>
          <w:tcPr>
            <w:tcW w:w="3795" w:type="dxa"/>
            <w:vAlign w:val="center"/>
          </w:tcPr>
          <w:p w14:paraId="11BE5CA3">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招标技术要求</w:t>
            </w:r>
          </w:p>
        </w:tc>
        <w:tc>
          <w:tcPr>
            <w:tcW w:w="2623" w:type="dxa"/>
            <w:vAlign w:val="center"/>
          </w:tcPr>
          <w:p w14:paraId="0197FA3D">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投标技术响应</w:t>
            </w:r>
          </w:p>
        </w:tc>
        <w:tc>
          <w:tcPr>
            <w:tcW w:w="710" w:type="dxa"/>
            <w:vAlign w:val="center"/>
          </w:tcPr>
          <w:p w14:paraId="2C7E301E">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偏离情况</w:t>
            </w:r>
          </w:p>
        </w:tc>
        <w:tc>
          <w:tcPr>
            <w:tcW w:w="390" w:type="dxa"/>
            <w:vAlign w:val="center"/>
          </w:tcPr>
          <w:p w14:paraId="05899161">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说明</w:t>
            </w:r>
          </w:p>
        </w:tc>
      </w:tr>
      <w:tr w14:paraId="155A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20986819">
            <w:pPr>
              <w:widowControl w:val="0"/>
              <w:jc w:val="center"/>
              <w:rPr>
                <w:rFonts w:ascii="Calibri" w:hAnsi="Calibri" w:eastAsia="宋体"/>
                <w:color w:val="000000"/>
                <w:kern w:val="2"/>
                <w:sz w:val="21"/>
                <w:szCs w:val="21"/>
                <w:lang w:eastAsia="zh-CN"/>
              </w:rPr>
            </w:pPr>
            <w:r>
              <w:rPr>
                <w:rFonts w:ascii="Calibri" w:hAnsi="Calibri" w:eastAsia="宋体" w:cstheme="minorBidi"/>
                <w:color w:val="000000"/>
                <w:kern w:val="2"/>
                <w:sz w:val="21"/>
                <w:szCs w:val="21"/>
                <w:lang w:eastAsia="zh-CN"/>
              </w:rPr>
              <w:t>1</w:t>
            </w:r>
          </w:p>
        </w:tc>
        <w:tc>
          <w:tcPr>
            <w:tcW w:w="772" w:type="dxa"/>
            <w:vMerge w:val="restart"/>
            <w:vAlign w:val="center"/>
          </w:tcPr>
          <w:p w14:paraId="128ED60B">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w:t>
            </w:r>
            <w:r>
              <w:rPr>
                <w:rFonts w:ascii="Calibri" w:hAnsi="Calibri" w:eastAsia="宋体" w:cstheme="minorBidi"/>
                <w:color w:val="000000"/>
                <w:kern w:val="2"/>
                <w:sz w:val="21"/>
                <w:szCs w:val="21"/>
                <w:lang w:eastAsia="zh-CN"/>
              </w:rPr>
              <w:t>**</w:t>
            </w:r>
            <w:r>
              <w:rPr>
                <w:rFonts w:hint="eastAsia" w:ascii="Calibri" w:hAnsi="Calibri" w:eastAsia="宋体" w:cstheme="minorBidi"/>
                <w:color w:val="000000"/>
                <w:kern w:val="2"/>
                <w:sz w:val="21"/>
                <w:szCs w:val="21"/>
                <w:lang w:eastAsia="zh-CN"/>
              </w:rPr>
              <w:t>设备</w:t>
            </w:r>
          </w:p>
        </w:tc>
        <w:tc>
          <w:tcPr>
            <w:tcW w:w="3795" w:type="dxa"/>
          </w:tcPr>
          <w:p w14:paraId="0A109938">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E315620">
            <w:pPr>
              <w:widowControl w:val="0"/>
              <w:jc w:val="both"/>
              <w:rPr>
                <w:rFonts w:ascii="Calibri" w:hAnsi="Calibri" w:eastAsia="宋体"/>
                <w:color w:val="000000"/>
                <w:kern w:val="2"/>
                <w:sz w:val="21"/>
                <w:szCs w:val="21"/>
                <w:lang w:eastAsia="zh-CN"/>
              </w:rPr>
            </w:pPr>
          </w:p>
        </w:tc>
        <w:tc>
          <w:tcPr>
            <w:tcW w:w="710" w:type="dxa"/>
          </w:tcPr>
          <w:p w14:paraId="245803CF">
            <w:pPr>
              <w:widowControl w:val="0"/>
              <w:jc w:val="both"/>
              <w:rPr>
                <w:rFonts w:ascii="Calibri" w:hAnsi="Calibri" w:eastAsia="宋体"/>
                <w:color w:val="000000"/>
                <w:kern w:val="2"/>
                <w:sz w:val="21"/>
                <w:szCs w:val="21"/>
                <w:lang w:eastAsia="zh-CN"/>
              </w:rPr>
            </w:pPr>
          </w:p>
        </w:tc>
        <w:tc>
          <w:tcPr>
            <w:tcW w:w="390" w:type="dxa"/>
          </w:tcPr>
          <w:p w14:paraId="49084054">
            <w:pPr>
              <w:widowControl w:val="0"/>
              <w:jc w:val="both"/>
              <w:rPr>
                <w:rFonts w:ascii="Calibri" w:hAnsi="Calibri" w:eastAsia="宋体"/>
                <w:color w:val="000000"/>
                <w:kern w:val="2"/>
                <w:sz w:val="21"/>
                <w:szCs w:val="21"/>
                <w:lang w:eastAsia="zh-CN"/>
              </w:rPr>
            </w:pPr>
          </w:p>
        </w:tc>
      </w:tr>
      <w:tr w14:paraId="6CC5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FF8A825">
            <w:pPr>
              <w:widowControl w:val="0"/>
              <w:jc w:val="center"/>
              <w:rPr>
                <w:rFonts w:ascii="Calibri" w:hAnsi="Calibri" w:eastAsia="宋体"/>
                <w:color w:val="000000"/>
                <w:kern w:val="2"/>
                <w:sz w:val="21"/>
                <w:szCs w:val="21"/>
                <w:lang w:eastAsia="zh-CN"/>
              </w:rPr>
            </w:pPr>
          </w:p>
        </w:tc>
        <w:tc>
          <w:tcPr>
            <w:tcW w:w="772" w:type="dxa"/>
            <w:vMerge w:val="continue"/>
            <w:vAlign w:val="center"/>
          </w:tcPr>
          <w:p w14:paraId="3EA903E0">
            <w:pPr>
              <w:widowControl w:val="0"/>
              <w:jc w:val="center"/>
              <w:rPr>
                <w:rFonts w:ascii="Calibri" w:hAnsi="Calibri" w:eastAsia="宋体"/>
                <w:color w:val="000000"/>
                <w:kern w:val="2"/>
                <w:sz w:val="21"/>
                <w:szCs w:val="21"/>
                <w:lang w:eastAsia="zh-CN"/>
              </w:rPr>
            </w:pPr>
          </w:p>
        </w:tc>
        <w:tc>
          <w:tcPr>
            <w:tcW w:w="3795" w:type="dxa"/>
          </w:tcPr>
          <w:p w14:paraId="10FEAAE7">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277EF36B">
            <w:pPr>
              <w:widowControl w:val="0"/>
              <w:jc w:val="both"/>
              <w:rPr>
                <w:rFonts w:ascii="Calibri" w:hAnsi="Calibri" w:eastAsia="宋体"/>
                <w:color w:val="000000"/>
                <w:kern w:val="2"/>
                <w:sz w:val="21"/>
                <w:szCs w:val="21"/>
                <w:lang w:eastAsia="zh-CN"/>
              </w:rPr>
            </w:pPr>
          </w:p>
        </w:tc>
        <w:tc>
          <w:tcPr>
            <w:tcW w:w="710" w:type="dxa"/>
          </w:tcPr>
          <w:p w14:paraId="3940EDB8">
            <w:pPr>
              <w:widowControl w:val="0"/>
              <w:jc w:val="both"/>
              <w:rPr>
                <w:rFonts w:ascii="Calibri" w:hAnsi="Calibri" w:eastAsia="宋体"/>
                <w:color w:val="000000"/>
                <w:kern w:val="2"/>
                <w:sz w:val="21"/>
                <w:szCs w:val="21"/>
                <w:lang w:eastAsia="zh-CN"/>
              </w:rPr>
            </w:pPr>
          </w:p>
        </w:tc>
        <w:tc>
          <w:tcPr>
            <w:tcW w:w="390" w:type="dxa"/>
          </w:tcPr>
          <w:p w14:paraId="5770B995">
            <w:pPr>
              <w:widowControl w:val="0"/>
              <w:jc w:val="both"/>
              <w:rPr>
                <w:rFonts w:ascii="Calibri" w:hAnsi="Calibri" w:eastAsia="宋体"/>
                <w:color w:val="000000"/>
                <w:kern w:val="2"/>
                <w:sz w:val="21"/>
                <w:szCs w:val="21"/>
                <w:lang w:eastAsia="zh-CN"/>
              </w:rPr>
            </w:pPr>
          </w:p>
        </w:tc>
      </w:tr>
      <w:tr w14:paraId="132E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57D7B39">
            <w:pPr>
              <w:widowControl w:val="0"/>
              <w:jc w:val="center"/>
              <w:rPr>
                <w:rFonts w:ascii="Calibri" w:hAnsi="Calibri" w:eastAsia="宋体"/>
                <w:color w:val="000000"/>
                <w:kern w:val="2"/>
                <w:sz w:val="21"/>
                <w:szCs w:val="21"/>
                <w:lang w:eastAsia="zh-CN"/>
              </w:rPr>
            </w:pPr>
          </w:p>
        </w:tc>
        <w:tc>
          <w:tcPr>
            <w:tcW w:w="772" w:type="dxa"/>
            <w:vMerge w:val="continue"/>
            <w:vAlign w:val="center"/>
          </w:tcPr>
          <w:p w14:paraId="51688F73">
            <w:pPr>
              <w:widowControl w:val="0"/>
              <w:jc w:val="center"/>
              <w:rPr>
                <w:rFonts w:ascii="Calibri" w:hAnsi="Calibri" w:eastAsia="宋体"/>
                <w:color w:val="000000"/>
                <w:kern w:val="2"/>
                <w:sz w:val="21"/>
                <w:szCs w:val="21"/>
                <w:lang w:eastAsia="zh-CN"/>
              </w:rPr>
            </w:pPr>
          </w:p>
        </w:tc>
        <w:tc>
          <w:tcPr>
            <w:tcW w:w="3795" w:type="dxa"/>
          </w:tcPr>
          <w:p w14:paraId="3F243C14">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F6F6638">
            <w:pPr>
              <w:widowControl w:val="0"/>
              <w:jc w:val="both"/>
              <w:rPr>
                <w:rFonts w:ascii="Calibri" w:hAnsi="Calibri" w:eastAsia="宋体"/>
                <w:color w:val="000000"/>
                <w:kern w:val="2"/>
                <w:sz w:val="21"/>
                <w:szCs w:val="21"/>
                <w:lang w:eastAsia="zh-CN"/>
              </w:rPr>
            </w:pPr>
          </w:p>
        </w:tc>
        <w:tc>
          <w:tcPr>
            <w:tcW w:w="710" w:type="dxa"/>
          </w:tcPr>
          <w:p w14:paraId="19358CC9">
            <w:pPr>
              <w:widowControl w:val="0"/>
              <w:jc w:val="both"/>
              <w:rPr>
                <w:rFonts w:ascii="Calibri" w:hAnsi="Calibri" w:eastAsia="宋体"/>
                <w:color w:val="000000"/>
                <w:kern w:val="2"/>
                <w:sz w:val="21"/>
                <w:szCs w:val="21"/>
                <w:lang w:eastAsia="zh-CN"/>
              </w:rPr>
            </w:pPr>
          </w:p>
        </w:tc>
        <w:tc>
          <w:tcPr>
            <w:tcW w:w="390" w:type="dxa"/>
          </w:tcPr>
          <w:p w14:paraId="39FCF49F">
            <w:pPr>
              <w:widowControl w:val="0"/>
              <w:jc w:val="both"/>
              <w:rPr>
                <w:rFonts w:ascii="Calibri" w:hAnsi="Calibri" w:eastAsia="宋体"/>
                <w:color w:val="000000"/>
                <w:kern w:val="2"/>
                <w:sz w:val="21"/>
                <w:szCs w:val="21"/>
                <w:lang w:eastAsia="zh-CN"/>
              </w:rPr>
            </w:pPr>
          </w:p>
        </w:tc>
      </w:tr>
      <w:tr w14:paraId="5317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CEBF0AD">
            <w:pPr>
              <w:widowControl w:val="0"/>
              <w:jc w:val="center"/>
              <w:rPr>
                <w:rFonts w:ascii="Calibri" w:hAnsi="Calibri" w:eastAsia="宋体"/>
                <w:color w:val="000000"/>
                <w:kern w:val="2"/>
                <w:sz w:val="21"/>
                <w:szCs w:val="21"/>
                <w:lang w:eastAsia="zh-CN"/>
              </w:rPr>
            </w:pPr>
          </w:p>
        </w:tc>
        <w:tc>
          <w:tcPr>
            <w:tcW w:w="772" w:type="dxa"/>
            <w:vMerge w:val="continue"/>
            <w:vAlign w:val="center"/>
          </w:tcPr>
          <w:p w14:paraId="7E9DA667">
            <w:pPr>
              <w:widowControl w:val="0"/>
              <w:jc w:val="center"/>
              <w:rPr>
                <w:rFonts w:ascii="Calibri" w:hAnsi="Calibri" w:eastAsia="宋体"/>
                <w:color w:val="000000"/>
                <w:kern w:val="2"/>
                <w:sz w:val="21"/>
                <w:szCs w:val="21"/>
                <w:lang w:eastAsia="zh-CN"/>
              </w:rPr>
            </w:pPr>
          </w:p>
        </w:tc>
        <w:tc>
          <w:tcPr>
            <w:tcW w:w="3795" w:type="dxa"/>
          </w:tcPr>
          <w:p w14:paraId="60B02674">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3D2A4EF6">
            <w:pPr>
              <w:widowControl w:val="0"/>
              <w:jc w:val="both"/>
              <w:rPr>
                <w:rFonts w:ascii="Calibri" w:hAnsi="Calibri" w:eastAsia="宋体"/>
                <w:color w:val="000000"/>
                <w:kern w:val="2"/>
                <w:sz w:val="21"/>
                <w:szCs w:val="21"/>
                <w:lang w:eastAsia="zh-CN"/>
              </w:rPr>
            </w:pPr>
          </w:p>
        </w:tc>
        <w:tc>
          <w:tcPr>
            <w:tcW w:w="710" w:type="dxa"/>
          </w:tcPr>
          <w:p w14:paraId="177B2DBF">
            <w:pPr>
              <w:widowControl w:val="0"/>
              <w:jc w:val="both"/>
              <w:rPr>
                <w:rFonts w:ascii="Calibri" w:hAnsi="Calibri" w:eastAsia="宋体"/>
                <w:color w:val="000000"/>
                <w:kern w:val="2"/>
                <w:sz w:val="21"/>
                <w:szCs w:val="21"/>
                <w:lang w:eastAsia="zh-CN"/>
              </w:rPr>
            </w:pPr>
          </w:p>
        </w:tc>
        <w:tc>
          <w:tcPr>
            <w:tcW w:w="390" w:type="dxa"/>
          </w:tcPr>
          <w:p w14:paraId="2FC18273">
            <w:pPr>
              <w:widowControl w:val="0"/>
              <w:jc w:val="both"/>
              <w:rPr>
                <w:rFonts w:ascii="Calibri" w:hAnsi="Calibri" w:eastAsia="宋体"/>
                <w:color w:val="000000"/>
                <w:kern w:val="2"/>
                <w:sz w:val="21"/>
                <w:szCs w:val="21"/>
                <w:lang w:eastAsia="zh-CN"/>
              </w:rPr>
            </w:pPr>
          </w:p>
        </w:tc>
      </w:tr>
      <w:tr w14:paraId="1557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1C6A412">
            <w:pPr>
              <w:widowControl w:val="0"/>
              <w:jc w:val="center"/>
              <w:rPr>
                <w:rFonts w:ascii="Calibri" w:hAnsi="Calibri" w:eastAsia="宋体"/>
                <w:color w:val="000000"/>
                <w:kern w:val="2"/>
                <w:sz w:val="21"/>
                <w:szCs w:val="21"/>
                <w:lang w:eastAsia="zh-CN"/>
              </w:rPr>
            </w:pPr>
          </w:p>
        </w:tc>
        <w:tc>
          <w:tcPr>
            <w:tcW w:w="772" w:type="dxa"/>
            <w:vMerge w:val="continue"/>
            <w:vAlign w:val="center"/>
          </w:tcPr>
          <w:p w14:paraId="312E3E16">
            <w:pPr>
              <w:widowControl w:val="0"/>
              <w:jc w:val="center"/>
              <w:rPr>
                <w:rFonts w:ascii="Calibri" w:hAnsi="Calibri" w:eastAsia="宋体"/>
                <w:color w:val="000000"/>
                <w:kern w:val="2"/>
                <w:sz w:val="21"/>
                <w:szCs w:val="21"/>
                <w:lang w:eastAsia="zh-CN"/>
              </w:rPr>
            </w:pPr>
          </w:p>
        </w:tc>
        <w:tc>
          <w:tcPr>
            <w:tcW w:w="3795" w:type="dxa"/>
          </w:tcPr>
          <w:p w14:paraId="368A889D">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5C8B795">
            <w:pPr>
              <w:widowControl w:val="0"/>
              <w:jc w:val="both"/>
              <w:rPr>
                <w:rFonts w:ascii="Calibri" w:hAnsi="Calibri" w:eastAsia="宋体"/>
                <w:color w:val="000000"/>
                <w:kern w:val="2"/>
                <w:sz w:val="21"/>
                <w:szCs w:val="21"/>
                <w:lang w:eastAsia="zh-CN"/>
              </w:rPr>
            </w:pPr>
          </w:p>
        </w:tc>
        <w:tc>
          <w:tcPr>
            <w:tcW w:w="710" w:type="dxa"/>
          </w:tcPr>
          <w:p w14:paraId="26E0021E">
            <w:pPr>
              <w:widowControl w:val="0"/>
              <w:jc w:val="both"/>
              <w:rPr>
                <w:rFonts w:ascii="Calibri" w:hAnsi="Calibri" w:eastAsia="宋体"/>
                <w:color w:val="000000"/>
                <w:kern w:val="2"/>
                <w:sz w:val="21"/>
                <w:szCs w:val="21"/>
                <w:lang w:eastAsia="zh-CN"/>
              </w:rPr>
            </w:pPr>
          </w:p>
        </w:tc>
        <w:tc>
          <w:tcPr>
            <w:tcW w:w="390" w:type="dxa"/>
          </w:tcPr>
          <w:p w14:paraId="0F6628A6">
            <w:pPr>
              <w:widowControl w:val="0"/>
              <w:jc w:val="both"/>
              <w:rPr>
                <w:rFonts w:ascii="Calibri" w:hAnsi="Calibri" w:eastAsia="宋体"/>
                <w:color w:val="000000"/>
                <w:kern w:val="2"/>
                <w:sz w:val="21"/>
                <w:szCs w:val="21"/>
                <w:lang w:eastAsia="zh-CN"/>
              </w:rPr>
            </w:pPr>
          </w:p>
        </w:tc>
      </w:tr>
      <w:tr w14:paraId="48AD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10590A6">
            <w:pPr>
              <w:widowControl w:val="0"/>
              <w:jc w:val="center"/>
              <w:rPr>
                <w:rFonts w:ascii="Calibri" w:hAnsi="Calibri" w:eastAsia="宋体"/>
                <w:color w:val="000000"/>
                <w:kern w:val="2"/>
                <w:sz w:val="21"/>
                <w:szCs w:val="21"/>
                <w:lang w:eastAsia="zh-CN"/>
              </w:rPr>
            </w:pPr>
          </w:p>
        </w:tc>
        <w:tc>
          <w:tcPr>
            <w:tcW w:w="772" w:type="dxa"/>
            <w:vMerge w:val="continue"/>
            <w:vAlign w:val="center"/>
          </w:tcPr>
          <w:p w14:paraId="1369D3BC">
            <w:pPr>
              <w:widowControl w:val="0"/>
              <w:jc w:val="center"/>
              <w:rPr>
                <w:rFonts w:ascii="Calibri" w:hAnsi="Calibri" w:eastAsia="宋体"/>
                <w:color w:val="000000"/>
                <w:kern w:val="2"/>
                <w:sz w:val="21"/>
                <w:szCs w:val="21"/>
                <w:lang w:eastAsia="zh-CN"/>
              </w:rPr>
            </w:pPr>
          </w:p>
        </w:tc>
        <w:tc>
          <w:tcPr>
            <w:tcW w:w="3795" w:type="dxa"/>
          </w:tcPr>
          <w:p w14:paraId="0A00E4C6">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4F68538E">
            <w:pPr>
              <w:widowControl w:val="0"/>
              <w:jc w:val="both"/>
              <w:rPr>
                <w:rFonts w:ascii="Calibri" w:hAnsi="Calibri" w:eastAsia="宋体"/>
                <w:color w:val="000000"/>
                <w:kern w:val="2"/>
                <w:sz w:val="21"/>
                <w:szCs w:val="21"/>
                <w:lang w:eastAsia="zh-CN"/>
              </w:rPr>
            </w:pPr>
          </w:p>
        </w:tc>
        <w:tc>
          <w:tcPr>
            <w:tcW w:w="710" w:type="dxa"/>
          </w:tcPr>
          <w:p w14:paraId="546A0C5D">
            <w:pPr>
              <w:widowControl w:val="0"/>
              <w:jc w:val="both"/>
              <w:rPr>
                <w:rFonts w:ascii="Calibri" w:hAnsi="Calibri" w:eastAsia="宋体"/>
                <w:color w:val="000000"/>
                <w:kern w:val="2"/>
                <w:sz w:val="21"/>
                <w:szCs w:val="21"/>
                <w:lang w:eastAsia="zh-CN"/>
              </w:rPr>
            </w:pPr>
          </w:p>
        </w:tc>
        <w:tc>
          <w:tcPr>
            <w:tcW w:w="390" w:type="dxa"/>
          </w:tcPr>
          <w:p w14:paraId="6EA7A8AE">
            <w:pPr>
              <w:widowControl w:val="0"/>
              <w:jc w:val="both"/>
              <w:rPr>
                <w:rFonts w:ascii="Calibri" w:hAnsi="Calibri" w:eastAsia="宋体"/>
                <w:color w:val="000000"/>
                <w:kern w:val="2"/>
                <w:sz w:val="21"/>
                <w:szCs w:val="21"/>
                <w:lang w:eastAsia="zh-CN"/>
              </w:rPr>
            </w:pPr>
          </w:p>
        </w:tc>
      </w:tr>
      <w:tr w14:paraId="241C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092A02A">
            <w:pPr>
              <w:widowControl w:val="0"/>
              <w:jc w:val="center"/>
              <w:rPr>
                <w:rFonts w:ascii="Calibri" w:hAnsi="Calibri" w:eastAsia="宋体"/>
                <w:color w:val="000000"/>
                <w:kern w:val="2"/>
                <w:sz w:val="21"/>
                <w:szCs w:val="21"/>
                <w:lang w:eastAsia="zh-CN"/>
              </w:rPr>
            </w:pPr>
          </w:p>
        </w:tc>
        <w:tc>
          <w:tcPr>
            <w:tcW w:w="772" w:type="dxa"/>
            <w:vMerge w:val="continue"/>
            <w:vAlign w:val="center"/>
          </w:tcPr>
          <w:p w14:paraId="750E3417">
            <w:pPr>
              <w:widowControl w:val="0"/>
              <w:jc w:val="center"/>
              <w:rPr>
                <w:rFonts w:ascii="Calibri" w:hAnsi="Calibri" w:eastAsia="宋体"/>
                <w:color w:val="000000"/>
                <w:kern w:val="2"/>
                <w:sz w:val="21"/>
                <w:szCs w:val="21"/>
                <w:lang w:eastAsia="zh-CN"/>
              </w:rPr>
            </w:pPr>
          </w:p>
        </w:tc>
        <w:tc>
          <w:tcPr>
            <w:tcW w:w="3795" w:type="dxa"/>
          </w:tcPr>
          <w:p w14:paraId="5AA7DDD8">
            <w:pPr>
              <w:widowControl w:val="0"/>
              <w:jc w:val="center"/>
              <w:rPr>
                <w:rFonts w:ascii="Calibri" w:hAnsi="Calibri" w:eastAsia="宋体"/>
                <w:b/>
                <w:bCs/>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4AF64BB1">
            <w:pPr>
              <w:widowControl w:val="0"/>
              <w:jc w:val="both"/>
              <w:rPr>
                <w:rFonts w:ascii="Calibri" w:hAnsi="Calibri" w:eastAsia="宋体"/>
                <w:b/>
                <w:bCs/>
                <w:color w:val="FF0000"/>
                <w:kern w:val="2"/>
                <w:sz w:val="21"/>
                <w:szCs w:val="21"/>
                <w:lang w:eastAsia="zh-CN"/>
              </w:rPr>
            </w:pPr>
          </w:p>
        </w:tc>
        <w:tc>
          <w:tcPr>
            <w:tcW w:w="710" w:type="dxa"/>
          </w:tcPr>
          <w:p w14:paraId="7A3C1F60">
            <w:pPr>
              <w:widowControl w:val="0"/>
              <w:jc w:val="both"/>
              <w:rPr>
                <w:rFonts w:ascii="Calibri" w:hAnsi="Calibri" w:eastAsia="宋体"/>
                <w:b/>
                <w:bCs/>
                <w:color w:val="FF0000"/>
                <w:kern w:val="2"/>
                <w:sz w:val="21"/>
                <w:szCs w:val="21"/>
                <w:lang w:eastAsia="zh-CN"/>
              </w:rPr>
            </w:pPr>
          </w:p>
        </w:tc>
        <w:tc>
          <w:tcPr>
            <w:tcW w:w="390" w:type="dxa"/>
          </w:tcPr>
          <w:p w14:paraId="271F2757">
            <w:pPr>
              <w:widowControl w:val="0"/>
              <w:jc w:val="both"/>
              <w:rPr>
                <w:rFonts w:ascii="Calibri" w:hAnsi="Calibri" w:eastAsia="宋体"/>
                <w:b/>
                <w:bCs/>
                <w:color w:val="FF0000"/>
                <w:kern w:val="2"/>
                <w:sz w:val="21"/>
                <w:szCs w:val="21"/>
                <w:lang w:eastAsia="zh-CN"/>
              </w:rPr>
            </w:pPr>
          </w:p>
        </w:tc>
      </w:tr>
      <w:tr w14:paraId="0CD0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BFD6F40">
            <w:pPr>
              <w:widowControl w:val="0"/>
              <w:jc w:val="center"/>
              <w:rPr>
                <w:rFonts w:ascii="Calibri" w:hAnsi="Calibri" w:eastAsia="宋体"/>
                <w:color w:val="000000"/>
                <w:kern w:val="2"/>
                <w:sz w:val="21"/>
                <w:szCs w:val="21"/>
                <w:lang w:eastAsia="zh-CN"/>
              </w:rPr>
            </w:pPr>
          </w:p>
        </w:tc>
        <w:tc>
          <w:tcPr>
            <w:tcW w:w="772" w:type="dxa"/>
            <w:vMerge w:val="continue"/>
            <w:vAlign w:val="center"/>
          </w:tcPr>
          <w:p w14:paraId="59CB9470">
            <w:pPr>
              <w:widowControl w:val="0"/>
              <w:jc w:val="center"/>
              <w:rPr>
                <w:rFonts w:ascii="Calibri" w:hAnsi="Calibri" w:eastAsia="宋体"/>
                <w:color w:val="000000"/>
                <w:kern w:val="2"/>
                <w:sz w:val="21"/>
                <w:szCs w:val="21"/>
                <w:lang w:eastAsia="zh-CN"/>
              </w:rPr>
            </w:pPr>
          </w:p>
        </w:tc>
        <w:tc>
          <w:tcPr>
            <w:tcW w:w="3795" w:type="dxa"/>
          </w:tcPr>
          <w:p w14:paraId="596A9BDB">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697CE7B6">
            <w:pPr>
              <w:widowControl w:val="0"/>
              <w:jc w:val="both"/>
              <w:rPr>
                <w:rFonts w:ascii="Calibri" w:hAnsi="Calibri" w:eastAsia="宋体"/>
                <w:color w:val="000000"/>
                <w:kern w:val="2"/>
                <w:sz w:val="21"/>
                <w:szCs w:val="21"/>
                <w:lang w:eastAsia="zh-CN"/>
              </w:rPr>
            </w:pPr>
          </w:p>
        </w:tc>
        <w:tc>
          <w:tcPr>
            <w:tcW w:w="710" w:type="dxa"/>
          </w:tcPr>
          <w:p w14:paraId="47D8FC61">
            <w:pPr>
              <w:widowControl w:val="0"/>
              <w:jc w:val="both"/>
              <w:rPr>
                <w:rFonts w:ascii="Calibri" w:hAnsi="Calibri" w:eastAsia="宋体"/>
                <w:color w:val="000000"/>
                <w:kern w:val="2"/>
                <w:sz w:val="21"/>
                <w:szCs w:val="21"/>
                <w:lang w:eastAsia="zh-CN"/>
              </w:rPr>
            </w:pPr>
          </w:p>
        </w:tc>
        <w:tc>
          <w:tcPr>
            <w:tcW w:w="390" w:type="dxa"/>
          </w:tcPr>
          <w:p w14:paraId="664612DB">
            <w:pPr>
              <w:widowControl w:val="0"/>
              <w:jc w:val="both"/>
              <w:rPr>
                <w:rFonts w:ascii="Calibri" w:hAnsi="Calibri" w:eastAsia="宋体"/>
                <w:color w:val="000000"/>
                <w:kern w:val="2"/>
                <w:sz w:val="21"/>
                <w:szCs w:val="21"/>
                <w:lang w:eastAsia="zh-CN"/>
              </w:rPr>
            </w:pPr>
          </w:p>
        </w:tc>
      </w:tr>
      <w:tr w14:paraId="07B8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3B756FE4">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2</w:t>
            </w:r>
          </w:p>
        </w:tc>
        <w:tc>
          <w:tcPr>
            <w:tcW w:w="772" w:type="dxa"/>
            <w:vMerge w:val="restart"/>
            <w:vAlign w:val="center"/>
          </w:tcPr>
          <w:p w14:paraId="1DEC8A03">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w:t>
            </w:r>
            <w:r>
              <w:rPr>
                <w:rFonts w:ascii="Calibri" w:hAnsi="Calibri" w:eastAsia="宋体" w:cstheme="minorBidi"/>
                <w:color w:val="000000"/>
                <w:kern w:val="2"/>
                <w:sz w:val="21"/>
                <w:szCs w:val="21"/>
                <w:lang w:eastAsia="zh-CN"/>
              </w:rPr>
              <w:t>*</w:t>
            </w:r>
            <w:r>
              <w:rPr>
                <w:rFonts w:hint="eastAsia" w:ascii="Calibri" w:hAnsi="Calibri" w:eastAsia="宋体" w:cstheme="minorBidi"/>
                <w:color w:val="000000"/>
                <w:kern w:val="2"/>
                <w:sz w:val="21"/>
                <w:szCs w:val="21"/>
                <w:lang w:eastAsia="zh-CN"/>
              </w:rPr>
              <w:t>设备</w:t>
            </w:r>
          </w:p>
        </w:tc>
        <w:tc>
          <w:tcPr>
            <w:tcW w:w="3795" w:type="dxa"/>
          </w:tcPr>
          <w:p w14:paraId="0B5A1CB3">
            <w:pPr>
              <w:widowControl w:val="0"/>
              <w:jc w:val="center"/>
              <w:rPr>
                <w:rFonts w:ascii="Calibri" w:hAnsi="Calibri" w:eastAsia="宋体"/>
                <w:b/>
                <w:bCs/>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2E8FC28">
            <w:pPr>
              <w:widowControl w:val="0"/>
              <w:jc w:val="both"/>
              <w:rPr>
                <w:rFonts w:ascii="Calibri" w:hAnsi="Calibri" w:eastAsia="宋体"/>
                <w:b/>
                <w:bCs/>
                <w:color w:val="FF0000"/>
                <w:kern w:val="2"/>
                <w:sz w:val="21"/>
                <w:szCs w:val="21"/>
                <w:lang w:eastAsia="zh-CN"/>
              </w:rPr>
            </w:pPr>
          </w:p>
        </w:tc>
        <w:tc>
          <w:tcPr>
            <w:tcW w:w="710" w:type="dxa"/>
          </w:tcPr>
          <w:p w14:paraId="5711C48D">
            <w:pPr>
              <w:widowControl w:val="0"/>
              <w:jc w:val="both"/>
              <w:rPr>
                <w:rFonts w:ascii="Calibri" w:hAnsi="Calibri" w:eastAsia="宋体"/>
                <w:b/>
                <w:bCs/>
                <w:color w:val="FF0000"/>
                <w:kern w:val="2"/>
                <w:sz w:val="21"/>
                <w:szCs w:val="21"/>
                <w:lang w:eastAsia="zh-CN"/>
              </w:rPr>
            </w:pPr>
          </w:p>
        </w:tc>
        <w:tc>
          <w:tcPr>
            <w:tcW w:w="390" w:type="dxa"/>
          </w:tcPr>
          <w:p w14:paraId="566B2039">
            <w:pPr>
              <w:widowControl w:val="0"/>
              <w:jc w:val="both"/>
              <w:rPr>
                <w:rFonts w:ascii="Calibri" w:hAnsi="Calibri" w:eastAsia="宋体"/>
                <w:b/>
                <w:bCs/>
                <w:color w:val="FF0000"/>
                <w:kern w:val="2"/>
                <w:sz w:val="21"/>
                <w:szCs w:val="21"/>
                <w:lang w:eastAsia="zh-CN"/>
              </w:rPr>
            </w:pPr>
          </w:p>
        </w:tc>
      </w:tr>
      <w:tr w14:paraId="52B8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0D282CB1">
            <w:pPr>
              <w:widowControl w:val="0"/>
              <w:jc w:val="center"/>
              <w:rPr>
                <w:rFonts w:ascii="Calibri" w:hAnsi="Calibri" w:eastAsia="宋体"/>
                <w:color w:val="000000"/>
                <w:kern w:val="2"/>
                <w:sz w:val="21"/>
                <w:szCs w:val="21"/>
                <w:lang w:eastAsia="zh-CN"/>
              </w:rPr>
            </w:pPr>
          </w:p>
        </w:tc>
        <w:tc>
          <w:tcPr>
            <w:tcW w:w="772" w:type="dxa"/>
            <w:vMerge w:val="continue"/>
          </w:tcPr>
          <w:p w14:paraId="55C575B7">
            <w:pPr>
              <w:widowControl w:val="0"/>
              <w:jc w:val="both"/>
              <w:rPr>
                <w:rFonts w:ascii="Calibri" w:hAnsi="Calibri" w:eastAsia="宋体"/>
                <w:color w:val="000000"/>
                <w:kern w:val="2"/>
                <w:sz w:val="21"/>
                <w:szCs w:val="21"/>
                <w:lang w:eastAsia="zh-CN"/>
              </w:rPr>
            </w:pPr>
          </w:p>
        </w:tc>
        <w:tc>
          <w:tcPr>
            <w:tcW w:w="3795" w:type="dxa"/>
          </w:tcPr>
          <w:p w14:paraId="29A04978">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6FD97B46">
            <w:pPr>
              <w:widowControl w:val="0"/>
              <w:jc w:val="both"/>
              <w:rPr>
                <w:rFonts w:ascii="Calibri" w:hAnsi="Calibri" w:eastAsia="宋体"/>
                <w:color w:val="000000"/>
                <w:kern w:val="2"/>
                <w:sz w:val="21"/>
                <w:szCs w:val="21"/>
                <w:lang w:eastAsia="zh-CN"/>
              </w:rPr>
            </w:pPr>
          </w:p>
        </w:tc>
        <w:tc>
          <w:tcPr>
            <w:tcW w:w="710" w:type="dxa"/>
          </w:tcPr>
          <w:p w14:paraId="0C58CD2A">
            <w:pPr>
              <w:widowControl w:val="0"/>
              <w:jc w:val="both"/>
              <w:rPr>
                <w:rFonts w:ascii="Calibri" w:hAnsi="Calibri" w:eastAsia="宋体"/>
                <w:color w:val="000000"/>
                <w:kern w:val="2"/>
                <w:sz w:val="21"/>
                <w:szCs w:val="21"/>
                <w:lang w:eastAsia="zh-CN"/>
              </w:rPr>
            </w:pPr>
          </w:p>
        </w:tc>
        <w:tc>
          <w:tcPr>
            <w:tcW w:w="390" w:type="dxa"/>
          </w:tcPr>
          <w:p w14:paraId="76666CBD">
            <w:pPr>
              <w:widowControl w:val="0"/>
              <w:jc w:val="both"/>
              <w:rPr>
                <w:rFonts w:ascii="Calibri" w:hAnsi="Calibri" w:eastAsia="宋体"/>
                <w:color w:val="000000"/>
                <w:kern w:val="2"/>
                <w:sz w:val="21"/>
                <w:szCs w:val="21"/>
                <w:lang w:eastAsia="zh-CN"/>
              </w:rPr>
            </w:pPr>
          </w:p>
        </w:tc>
      </w:tr>
      <w:tr w14:paraId="786B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79638306">
            <w:pPr>
              <w:widowControl w:val="0"/>
              <w:jc w:val="center"/>
              <w:rPr>
                <w:rFonts w:ascii="Calibri" w:hAnsi="Calibri" w:eastAsia="宋体"/>
                <w:color w:val="000000"/>
                <w:kern w:val="2"/>
                <w:sz w:val="21"/>
                <w:szCs w:val="21"/>
                <w:lang w:eastAsia="zh-CN"/>
              </w:rPr>
            </w:pPr>
          </w:p>
        </w:tc>
        <w:tc>
          <w:tcPr>
            <w:tcW w:w="772" w:type="dxa"/>
            <w:vMerge w:val="continue"/>
          </w:tcPr>
          <w:p w14:paraId="5ACDDC92">
            <w:pPr>
              <w:widowControl w:val="0"/>
              <w:jc w:val="both"/>
              <w:rPr>
                <w:rFonts w:ascii="Calibri" w:hAnsi="Calibri" w:eastAsia="宋体"/>
                <w:color w:val="000000"/>
                <w:kern w:val="2"/>
                <w:sz w:val="21"/>
                <w:szCs w:val="21"/>
                <w:lang w:eastAsia="zh-CN"/>
              </w:rPr>
            </w:pPr>
          </w:p>
        </w:tc>
        <w:tc>
          <w:tcPr>
            <w:tcW w:w="3795" w:type="dxa"/>
          </w:tcPr>
          <w:p w14:paraId="78060FD4">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0A0CDABF">
            <w:pPr>
              <w:widowControl w:val="0"/>
              <w:jc w:val="both"/>
              <w:rPr>
                <w:rFonts w:ascii="Calibri" w:hAnsi="Calibri" w:eastAsia="宋体"/>
                <w:color w:val="000000"/>
                <w:kern w:val="2"/>
                <w:sz w:val="21"/>
                <w:szCs w:val="21"/>
                <w:lang w:eastAsia="zh-CN"/>
              </w:rPr>
            </w:pPr>
          </w:p>
        </w:tc>
        <w:tc>
          <w:tcPr>
            <w:tcW w:w="710" w:type="dxa"/>
          </w:tcPr>
          <w:p w14:paraId="0702807C">
            <w:pPr>
              <w:widowControl w:val="0"/>
              <w:jc w:val="both"/>
              <w:rPr>
                <w:rFonts w:ascii="Calibri" w:hAnsi="Calibri" w:eastAsia="宋体"/>
                <w:color w:val="000000"/>
                <w:kern w:val="2"/>
                <w:sz w:val="21"/>
                <w:szCs w:val="21"/>
                <w:lang w:eastAsia="zh-CN"/>
              </w:rPr>
            </w:pPr>
          </w:p>
        </w:tc>
        <w:tc>
          <w:tcPr>
            <w:tcW w:w="390" w:type="dxa"/>
          </w:tcPr>
          <w:p w14:paraId="1BED7303">
            <w:pPr>
              <w:widowControl w:val="0"/>
              <w:jc w:val="both"/>
              <w:rPr>
                <w:rFonts w:ascii="Calibri" w:hAnsi="Calibri" w:eastAsia="宋体"/>
                <w:color w:val="000000"/>
                <w:kern w:val="2"/>
                <w:sz w:val="21"/>
                <w:szCs w:val="21"/>
                <w:lang w:eastAsia="zh-CN"/>
              </w:rPr>
            </w:pPr>
          </w:p>
        </w:tc>
      </w:tr>
      <w:tr w14:paraId="1BD5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3B0391C6">
            <w:pPr>
              <w:widowControl w:val="0"/>
              <w:jc w:val="center"/>
              <w:rPr>
                <w:rFonts w:ascii="Calibri" w:hAnsi="Calibri" w:eastAsia="宋体"/>
                <w:color w:val="000000"/>
                <w:kern w:val="2"/>
                <w:sz w:val="21"/>
                <w:szCs w:val="21"/>
                <w:lang w:eastAsia="zh-CN"/>
              </w:rPr>
            </w:pPr>
          </w:p>
        </w:tc>
        <w:tc>
          <w:tcPr>
            <w:tcW w:w="772" w:type="dxa"/>
            <w:vMerge w:val="continue"/>
          </w:tcPr>
          <w:p w14:paraId="3337334B">
            <w:pPr>
              <w:widowControl w:val="0"/>
              <w:jc w:val="both"/>
              <w:rPr>
                <w:rFonts w:ascii="Calibri" w:hAnsi="Calibri" w:eastAsia="宋体"/>
                <w:color w:val="000000"/>
                <w:kern w:val="2"/>
                <w:sz w:val="21"/>
                <w:szCs w:val="21"/>
                <w:lang w:eastAsia="zh-CN"/>
              </w:rPr>
            </w:pPr>
          </w:p>
        </w:tc>
        <w:tc>
          <w:tcPr>
            <w:tcW w:w="3795" w:type="dxa"/>
          </w:tcPr>
          <w:p w14:paraId="04188D38">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20B4D3DF">
            <w:pPr>
              <w:widowControl w:val="0"/>
              <w:jc w:val="both"/>
              <w:rPr>
                <w:rFonts w:ascii="Calibri" w:hAnsi="Calibri" w:eastAsia="宋体"/>
                <w:color w:val="000000"/>
                <w:kern w:val="2"/>
                <w:sz w:val="21"/>
                <w:szCs w:val="21"/>
                <w:lang w:eastAsia="zh-CN"/>
              </w:rPr>
            </w:pPr>
          </w:p>
        </w:tc>
        <w:tc>
          <w:tcPr>
            <w:tcW w:w="710" w:type="dxa"/>
          </w:tcPr>
          <w:p w14:paraId="2A0A5457">
            <w:pPr>
              <w:widowControl w:val="0"/>
              <w:jc w:val="both"/>
              <w:rPr>
                <w:rFonts w:ascii="Calibri" w:hAnsi="Calibri" w:eastAsia="宋体"/>
                <w:color w:val="000000"/>
                <w:kern w:val="2"/>
                <w:sz w:val="21"/>
                <w:szCs w:val="21"/>
                <w:lang w:eastAsia="zh-CN"/>
              </w:rPr>
            </w:pPr>
          </w:p>
        </w:tc>
        <w:tc>
          <w:tcPr>
            <w:tcW w:w="390" w:type="dxa"/>
          </w:tcPr>
          <w:p w14:paraId="4E59713C">
            <w:pPr>
              <w:widowControl w:val="0"/>
              <w:jc w:val="both"/>
              <w:rPr>
                <w:rFonts w:ascii="Calibri" w:hAnsi="Calibri" w:eastAsia="宋体"/>
                <w:color w:val="000000"/>
                <w:kern w:val="2"/>
                <w:sz w:val="21"/>
                <w:szCs w:val="21"/>
                <w:lang w:eastAsia="zh-CN"/>
              </w:rPr>
            </w:pPr>
          </w:p>
        </w:tc>
      </w:tr>
    </w:tbl>
    <w:p w14:paraId="1FE416CE">
      <w:pPr>
        <w:widowControl w:val="0"/>
        <w:jc w:val="both"/>
        <w:rPr>
          <w:rFonts w:ascii="Calibri" w:hAnsi="Calibri" w:eastAsia="宋体"/>
          <w:kern w:val="2"/>
          <w:szCs w:val="22"/>
          <w:lang w:eastAsia="zh-CN"/>
        </w:rPr>
      </w:pPr>
    </w:p>
    <w:p w14:paraId="38F33016">
      <w:pPr>
        <w:widowControl w:val="0"/>
        <w:jc w:val="both"/>
        <w:rPr>
          <w:rFonts w:ascii="Calibri" w:hAnsi="Calibri" w:eastAsia="宋体"/>
          <w:kern w:val="2"/>
          <w:sz w:val="21"/>
          <w:szCs w:val="21"/>
          <w:lang w:eastAsia="zh-CN"/>
        </w:rPr>
      </w:pPr>
      <w:bookmarkStart w:id="42" w:name="_Hlk72095977"/>
      <w:r>
        <w:rPr>
          <w:rFonts w:hint="eastAsia" w:ascii="Calibri" w:hAnsi="Calibri" w:eastAsia="宋体" w:cstheme="minorBidi"/>
          <w:kern w:val="2"/>
          <w:sz w:val="21"/>
          <w:szCs w:val="21"/>
          <w:lang w:eastAsia="zh-CN"/>
        </w:rPr>
        <w:t>证明资料【如有的话，提供的证明资料应统一编号（排序），格式自定】</w:t>
      </w:r>
      <w:bookmarkEnd w:id="42"/>
      <w:r>
        <w:rPr>
          <w:rFonts w:hint="eastAsia" w:ascii="Calibri" w:hAnsi="Calibri" w:eastAsia="宋体" w:cstheme="minorBidi"/>
          <w:kern w:val="2"/>
          <w:sz w:val="21"/>
          <w:szCs w:val="21"/>
          <w:lang w:eastAsia="zh-CN"/>
        </w:rPr>
        <w:t>：</w:t>
      </w:r>
    </w:p>
    <w:p w14:paraId="5B67668A">
      <w:pPr>
        <w:widowControl w:val="0"/>
        <w:jc w:val="both"/>
        <w:rPr>
          <w:rFonts w:ascii="Calibri" w:hAnsi="Calibri" w:eastAsia="宋体"/>
          <w:b/>
          <w:kern w:val="2"/>
          <w:sz w:val="21"/>
          <w:szCs w:val="21"/>
          <w:lang w:eastAsia="zh-CN"/>
        </w:rPr>
      </w:pPr>
    </w:p>
    <w:p w14:paraId="1DBFD7C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《技术要求偏离表》编制指引：</w:t>
      </w:r>
    </w:p>
    <w:p w14:paraId="037EAF65">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1、技术要求偏离表的序号、货物名称、招标技术要求等栏目</w:t>
      </w:r>
      <w:bookmarkStart w:id="43" w:name="_Hlk72094407"/>
      <w:r>
        <w:rPr>
          <w:rFonts w:hint="eastAsia" w:ascii="Calibri" w:hAnsi="Calibri" w:eastAsia="宋体" w:cstheme="minorBidi"/>
          <w:bCs/>
          <w:kern w:val="2"/>
          <w:sz w:val="21"/>
          <w:szCs w:val="21"/>
          <w:lang w:eastAsia="zh-CN"/>
        </w:rPr>
        <w:t>对应“用户需求书”中的“技术要求”章节</w:t>
      </w:r>
      <w:bookmarkEnd w:id="43"/>
      <w:r>
        <w:rPr>
          <w:rFonts w:hint="eastAsia" w:ascii="Calibri" w:hAnsi="Calibri" w:eastAsia="宋体" w:cstheme="minorBidi"/>
          <w:bCs/>
          <w:kern w:val="2"/>
          <w:sz w:val="21"/>
          <w:szCs w:val="21"/>
          <w:lang w:eastAsia="zh-CN"/>
        </w:rPr>
        <w:t>相关内容。</w:t>
      </w:r>
    </w:p>
    <w:p w14:paraId="39DC59CD">
      <w:pPr>
        <w:spacing w:before="100"/>
        <w:ind w:firstLine="420" w:firstLineChars="200"/>
        <w:jc w:val="both"/>
        <w:outlineLvl w:val="1"/>
        <w:rPr>
          <w:rFonts w:eastAsia="宋体"/>
          <w:bCs/>
          <w:color w:val="FF0000"/>
          <w:kern w:val="2"/>
          <w:sz w:val="21"/>
          <w:szCs w:val="21"/>
          <w:lang w:eastAsia="zh-CN"/>
        </w:rPr>
      </w:pPr>
      <w:r>
        <w:rPr>
          <w:rFonts w:ascii="宋体" w:hAnsi="宋体" w:eastAsia="宋体" w:cstheme="minorBidi"/>
          <w:bCs/>
          <w:kern w:val="2"/>
          <w:sz w:val="21"/>
          <w:szCs w:val="21"/>
          <w:lang w:eastAsia="zh-CN"/>
        </w:rPr>
        <w:t>2</w:t>
      </w:r>
      <w:r>
        <w:rPr>
          <w:rFonts w:hint="eastAsia" w:ascii="宋体" w:hAnsi="宋体" w:eastAsia="宋体" w:cstheme="minorBidi"/>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hint="eastAsia" w:eastAsia="宋体"/>
          <w:bCs/>
          <w:color w:val="FF0000"/>
          <w:kern w:val="2"/>
          <w:sz w:val="21"/>
          <w:szCs w:val="21"/>
          <w:lang w:eastAsia="zh-CN"/>
        </w:rPr>
        <w:t>“投标技术响应”必须与</w:t>
      </w:r>
      <w:r>
        <w:rPr>
          <w:rFonts w:hint="eastAsia" w:ascii="宋体" w:hAnsi="宋体" w:eastAsia="宋体"/>
          <w:bCs/>
          <w:color w:val="FF0000"/>
          <w:kern w:val="2"/>
          <w:sz w:val="21"/>
          <w:szCs w:val="21"/>
          <w:lang w:eastAsia="zh-CN"/>
        </w:rPr>
        <w:t>所投产品</w:t>
      </w:r>
      <w:r>
        <w:rPr>
          <w:rFonts w:hint="eastAsia" w:eastAsia="宋体"/>
          <w:bCs/>
          <w:color w:val="FF0000"/>
          <w:kern w:val="2"/>
          <w:sz w:val="21"/>
          <w:szCs w:val="21"/>
          <w:lang w:eastAsia="zh-CN"/>
        </w:rPr>
        <w:t>客观实际保持一致，响应不实且情节严重的，经查实，将依法记入供应商诚信档案或受到行政处罚。</w:t>
      </w:r>
    </w:p>
    <w:p w14:paraId="28255C84">
      <w:pPr>
        <w:widowControl w:val="0"/>
        <w:ind w:firstLine="420" w:firstLineChars="200"/>
        <w:jc w:val="both"/>
        <w:rPr>
          <w:rFonts w:eastAsia="宋体"/>
          <w:bCs/>
          <w:color w:val="FF0000"/>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w:t>
      </w:r>
      <w:bookmarkStart w:id="44" w:name="_Hlk72158270"/>
      <w:r>
        <w:rPr>
          <w:rFonts w:hint="eastAsia" w:ascii="Calibri" w:hAnsi="Calibri" w:eastAsia="宋体" w:cstheme="minorBidi"/>
          <w:bCs/>
          <w:kern w:val="2"/>
          <w:sz w:val="21"/>
          <w:szCs w:val="21"/>
          <w:lang w:eastAsia="zh-CN"/>
        </w:rPr>
        <w:t>“偏离情况”</w:t>
      </w:r>
      <w:bookmarkEnd w:id="44"/>
      <w:r>
        <w:rPr>
          <w:rFonts w:hint="eastAsia" w:ascii="Calibri" w:hAnsi="Calibri" w:eastAsia="宋体" w:cstheme="minorBidi"/>
          <w:bCs/>
          <w:kern w:val="2"/>
          <w:sz w:val="21"/>
          <w:szCs w:val="21"/>
          <w:lang w:eastAsia="zh-CN"/>
        </w:rPr>
        <w:t>一栏填写如实填写“正偏离”、“负偏离”或“无偏离”，其中：</w:t>
      </w:r>
      <w:bookmarkStart w:id="45" w:name="_Hlk72093866"/>
      <w:r>
        <w:rPr>
          <w:rFonts w:hint="eastAsia" w:ascii="Calibri" w:hAnsi="Calibri" w:eastAsia="宋体" w:cstheme="minorBidi"/>
          <w:bCs/>
          <w:kern w:val="2"/>
          <w:sz w:val="21"/>
          <w:szCs w:val="21"/>
          <w:lang w:eastAsia="zh-CN"/>
        </w:rPr>
        <w:t>“正偏离”表示“投标响应优于招标技术要求”，“负偏离”表示“投标响应不满足招标技术要求”，“无偏离”表示“投标响应与招标技术要求一致”</w:t>
      </w:r>
      <w:bookmarkEnd w:id="45"/>
      <w:r>
        <w:rPr>
          <w:rFonts w:hint="eastAsia" w:ascii="Calibri" w:hAnsi="Calibri" w:eastAsia="宋体" w:cstheme="minorBidi"/>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bCs/>
          <w:color w:val="FF0000"/>
          <w:kern w:val="2"/>
          <w:sz w:val="21"/>
          <w:szCs w:val="21"/>
          <w:lang w:eastAsia="zh-CN"/>
        </w:rPr>
        <w:t>“偏离情况”必须与所投产品客观实际保持一致，响应不实且情节严重的，经查实，将依法记入供应商诚信档案或受到行政处罚。</w:t>
      </w:r>
    </w:p>
    <w:p w14:paraId="4E5FAAA2">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、未要求提供证明资料的招标技术要求，可以不提供证明资料（如实响应即可）。</w:t>
      </w:r>
    </w:p>
    <w:p w14:paraId="1C6074E5">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5、</w:t>
      </w:r>
      <w:bookmarkStart w:id="46" w:name="_Hlk72096106"/>
      <w:r>
        <w:rPr>
          <w:rFonts w:hint="eastAsia" w:ascii="Calibri" w:hAnsi="Calibri" w:eastAsia="宋体" w:cstheme="minorBidi"/>
          <w:bCs/>
          <w:kern w:val="2"/>
          <w:sz w:val="21"/>
          <w:szCs w:val="21"/>
          <w:lang w:eastAsia="zh-CN"/>
        </w:rPr>
        <w:t>证明资料条款响应要求</w:t>
      </w:r>
      <w:bookmarkEnd w:id="46"/>
      <w:r>
        <w:rPr>
          <w:rFonts w:hint="eastAsia" w:ascii="Calibri" w:hAnsi="Calibri" w:eastAsia="宋体" w:cstheme="minorBidi"/>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7" w:name="_Hlk73558782"/>
      <w:r>
        <w:rPr>
          <w:rFonts w:hint="eastAsia" w:ascii="Calibri" w:hAnsi="Calibri" w:eastAsia="宋体" w:cstheme="minorBidi"/>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8" w:name="_Hlk73558164"/>
      <w:r>
        <w:rPr>
          <w:rFonts w:hint="eastAsia" w:ascii="Calibri" w:hAnsi="Calibri" w:eastAsia="宋体" w:cstheme="minorBidi"/>
          <w:bCs/>
          <w:kern w:val="2"/>
          <w:sz w:val="21"/>
          <w:szCs w:val="21"/>
          <w:lang w:eastAsia="zh-CN"/>
        </w:rPr>
        <w:t>且投标人在“偏离情况”一栏响应为“正偏离”或“无偏离”的，经评审委员会认定，将判定为负偏离。</w:t>
      </w:r>
      <w:bookmarkEnd w:id="47"/>
      <w:bookmarkEnd w:id="48"/>
    </w:p>
    <w:p w14:paraId="02359E8D">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6、</w:t>
      </w:r>
      <w:bookmarkStart w:id="49" w:name="_Hlk72096137"/>
      <w:r>
        <w:rPr>
          <w:rFonts w:hint="eastAsia" w:ascii="Calibri" w:hAnsi="Calibri" w:eastAsia="宋体" w:cstheme="minorBidi"/>
          <w:bCs/>
          <w:kern w:val="2"/>
          <w:sz w:val="21"/>
          <w:szCs w:val="21"/>
          <w:lang w:eastAsia="zh-CN"/>
        </w:rPr>
        <w:t>表后“证明资料”部分内容的编制</w:t>
      </w:r>
      <w:bookmarkEnd w:id="49"/>
      <w:r>
        <w:rPr>
          <w:rFonts w:hint="eastAsia" w:ascii="Calibri" w:hAnsi="Calibri" w:eastAsia="宋体" w:cstheme="minorBidi"/>
          <w:bCs/>
          <w:kern w:val="2"/>
          <w:sz w:val="21"/>
          <w:szCs w:val="21"/>
          <w:lang w:eastAsia="zh-CN"/>
        </w:rPr>
        <w:t>：提供的所有证明资料应当统一编号（排序），且证明资料的编号（顺序）、数量和名称（形式）均应与“说明”一栏所填内容保持一致（一一对应），以便评审委员会查看。</w:t>
      </w:r>
      <w:bookmarkStart w:id="50" w:name="_Hlk73558180"/>
      <w:r>
        <w:rPr>
          <w:rFonts w:hint="eastAsia" w:ascii="Calibri" w:hAnsi="Calibri" w:eastAsia="宋体" w:cstheme="minorBidi"/>
          <w:bCs/>
          <w:kern w:val="2"/>
          <w:sz w:val="21"/>
          <w:szCs w:val="21"/>
          <w:lang w:eastAsia="zh-CN"/>
        </w:rPr>
        <w:t>未按照招标文件要求在表后放置证明材料的供应商将承担不利后果，经评审委员会认定，相关技术要求将判定为负偏离。</w:t>
      </w:r>
      <w:bookmarkEnd w:id="50"/>
    </w:p>
    <w:p w14:paraId="5F716061">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7、</w:t>
      </w:r>
      <w:bookmarkStart w:id="51" w:name="_Hlk72096176"/>
      <w:r>
        <w:rPr>
          <w:rFonts w:hint="eastAsia" w:ascii="Calibri" w:hAnsi="Calibri" w:eastAsia="宋体" w:cstheme="minorBidi"/>
          <w:bCs/>
          <w:kern w:val="2"/>
          <w:sz w:val="21"/>
          <w:szCs w:val="21"/>
          <w:lang w:eastAsia="zh-CN"/>
        </w:rPr>
        <w:t>证明资料的形式及其它具体要求</w:t>
      </w:r>
      <w:bookmarkEnd w:id="51"/>
      <w:r>
        <w:rPr>
          <w:rFonts w:hint="eastAsia" w:ascii="Calibri" w:hAnsi="Calibri" w:eastAsia="宋体" w:cstheme="minorBidi"/>
          <w:bCs/>
          <w:kern w:val="2"/>
          <w:sz w:val="21"/>
          <w:szCs w:val="21"/>
          <w:lang w:eastAsia="zh-CN"/>
        </w:rPr>
        <w:t>：</w:t>
      </w:r>
    </w:p>
    <w:p w14:paraId="46BF6F8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（1）除照片、图片（截图）及不需加盖公章的文字说明（技术说明）外，其它证明资料均要求为原件扫描件；</w:t>
      </w:r>
    </w:p>
    <w:p w14:paraId="368C8A9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E5C3C2A">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7B72244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14:paraId="0016D85C">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03E6E4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其它证明资料的形式要求参照以上要求执行；</w:t>
      </w:r>
    </w:p>
    <w:p w14:paraId="7DFE2782">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（4）证明资料均要求原件备查。</w:t>
      </w:r>
    </w:p>
    <w:p w14:paraId="2E110F90">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8、其它注意事项：</w:t>
      </w:r>
    </w:p>
    <w:p w14:paraId="6879356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（1）评审委员会有权对投标人的响应情况作出判断（评审结论）；</w:t>
      </w:r>
    </w:p>
    <w:p w14:paraId="71EAA1C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w:t>
      </w:r>
      <w:bookmarkStart w:id="52" w:name="_Hlk72158213"/>
      <w:r>
        <w:rPr>
          <w:rFonts w:hint="eastAsia" w:ascii="Calibri" w:hAnsi="Calibri" w:eastAsia="宋体" w:cstheme="minorBidi"/>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52"/>
    </w:p>
    <w:p w14:paraId="2E1F0237">
      <w:pPr>
        <w:widowControl w:val="0"/>
        <w:ind w:firstLine="482" w:firstLineChars="200"/>
        <w:jc w:val="both"/>
        <w:rPr>
          <w:rFonts w:ascii="Calibri" w:hAnsi="Calibri" w:eastAsia="宋体"/>
          <w:b/>
          <w:kern w:val="2"/>
          <w:szCs w:val="22"/>
          <w:lang w:eastAsia="zh-CN"/>
        </w:rPr>
      </w:pPr>
    </w:p>
    <w:p w14:paraId="2CC3C1CA">
      <w:pPr>
        <w:widowControl w:val="0"/>
        <w:ind w:firstLine="482" w:firstLineChars="200"/>
        <w:jc w:val="both"/>
        <w:rPr>
          <w:rFonts w:ascii="Calibri" w:hAnsi="Calibri" w:eastAsia="宋体"/>
          <w:b/>
          <w:kern w:val="2"/>
          <w:szCs w:val="22"/>
          <w:lang w:eastAsia="zh-CN"/>
        </w:rPr>
      </w:pPr>
    </w:p>
    <w:p w14:paraId="5DD59B58">
      <w:pPr>
        <w:widowControl w:val="0"/>
        <w:ind w:firstLine="482" w:firstLineChars="200"/>
        <w:jc w:val="both"/>
        <w:rPr>
          <w:rFonts w:ascii="Calibri" w:hAnsi="Calibri" w:eastAsia="宋体"/>
          <w:b/>
          <w:kern w:val="2"/>
          <w:szCs w:val="22"/>
          <w:lang w:eastAsia="zh-CN"/>
        </w:rPr>
      </w:pPr>
    </w:p>
    <w:p w14:paraId="6DB35625">
      <w:pPr>
        <w:widowControl w:val="0"/>
        <w:jc w:val="both"/>
        <w:rPr>
          <w:rFonts w:ascii="宋体" w:hAnsi="宋体" w:eastAsia="宋体"/>
          <w:kern w:val="2"/>
          <w:sz w:val="21"/>
          <w:szCs w:val="22"/>
          <w:lang w:eastAsia="zh-CN"/>
        </w:rPr>
      </w:pPr>
      <w:r>
        <w:rPr>
          <w:rFonts w:ascii="宋体" w:hAnsi="宋体" w:eastAsia="宋体"/>
          <w:color w:val="FF0000"/>
          <w:kern w:val="2"/>
          <w:sz w:val="32"/>
          <w:szCs w:val="32"/>
          <w:lang w:eastAsia="zh-CN"/>
        </w:rPr>
        <w:br w:type="page"/>
      </w:r>
      <w:r>
        <w:rPr>
          <w:rFonts w:ascii="Calibri" w:hAnsi="Calibri" w:eastAsia="宋体" w:cstheme="minorBidi"/>
          <w:kern w:val="2"/>
          <w:sz w:val="21"/>
          <w:szCs w:val="22"/>
          <w:lang w:eastAsia="zh-CN"/>
        </w:rPr>
        <w:t xml:space="preserve"> </w:t>
      </w:r>
      <w:bookmarkStart w:id="53" w:name="_Hlk72588611"/>
      <w:bookmarkStart w:id="54" w:name="_Hlk72260843"/>
      <w:r>
        <w:rPr>
          <w:rFonts w:hint="eastAsia" w:ascii="宋体" w:hAnsi="宋体" w:eastAsia="宋体" w:cstheme="minorBidi"/>
          <w:kern w:val="2"/>
          <w:sz w:val="21"/>
          <w:szCs w:val="22"/>
          <w:lang w:eastAsia="zh-CN"/>
        </w:rPr>
        <w:t>………………</w:t>
      </w:r>
      <w:bookmarkEnd w:id="53"/>
      <w:r>
        <w:rPr>
          <w:rFonts w:hint="eastAsia" w:ascii="宋体" w:hAnsi="宋体" w:eastAsia="宋体" w:cstheme="minorBidi"/>
          <w:kern w:val="2"/>
          <w:sz w:val="21"/>
          <w:szCs w:val="22"/>
          <w:lang w:eastAsia="zh-CN"/>
        </w:rPr>
        <w:t>（根据项目具体情况增加与技术、商务评审相关的节点）</w:t>
      </w:r>
      <w:bookmarkEnd w:id="54"/>
      <w:r>
        <w:rPr>
          <w:rFonts w:hint="eastAsia" w:ascii="宋体" w:hAnsi="宋体" w:eastAsia="宋体" w:cstheme="minorBidi"/>
          <w:kern w:val="2"/>
          <w:sz w:val="21"/>
          <w:szCs w:val="22"/>
          <w:lang w:eastAsia="zh-CN"/>
        </w:rPr>
        <w:t>………………</w:t>
      </w:r>
    </w:p>
    <w:p w14:paraId="362F21A2">
      <w:pPr>
        <w:widowControl w:val="0"/>
        <w:jc w:val="center"/>
        <w:rPr>
          <w:rFonts w:ascii="Calibri" w:hAnsi="Calibri" w:eastAsia="宋体"/>
          <w:kern w:val="2"/>
          <w:szCs w:val="22"/>
          <w:lang w:eastAsia="zh-CN"/>
        </w:rPr>
      </w:pPr>
    </w:p>
    <w:p w14:paraId="1E72851A">
      <w:pPr>
        <w:widowControl w:val="0"/>
        <w:ind w:left="821" w:leftChars="342" w:firstLine="1620" w:firstLineChars="675"/>
        <w:jc w:val="both"/>
        <w:rPr>
          <w:rFonts w:hint="default" w:ascii="黑体" w:hAnsi="宋体" w:eastAsia="黑体"/>
          <w:kern w:val="2"/>
          <w:szCs w:val="20"/>
          <w:lang w:val="en-US" w:eastAsia="zh-CN"/>
        </w:rPr>
      </w:pPr>
      <w:bookmarkStart w:id="55" w:name="_Hlk72062872"/>
      <w:r>
        <w:rPr>
          <w:rFonts w:hint="eastAsia" w:ascii="黑体" w:hAnsi="宋体" w:eastAsia="黑体" w:cstheme="minorBidi"/>
          <w:kern w:val="2"/>
          <w:szCs w:val="20"/>
          <w:lang w:eastAsia="zh-CN"/>
        </w:rPr>
        <w:t>六、</w:t>
      </w:r>
      <w:r>
        <w:rPr>
          <w:rFonts w:hint="eastAsia" w:ascii="黑体" w:hAnsi="宋体" w:eastAsia="黑体" w:cstheme="minorBidi"/>
          <w:kern w:val="2"/>
          <w:szCs w:val="20"/>
          <w:lang w:val="en-US" w:eastAsia="zh-CN"/>
        </w:rPr>
        <w:t>售后服务方案</w:t>
      </w:r>
    </w:p>
    <w:p w14:paraId="1DEE1E7D">
      <w:pPr>
        <w:widowControl w:val="0"/>
        <w:ind w:left="821" w:leftChars="342" w:firstLine="1620" w:firstLineChars="675"/>
        <w:jc w:val="both"/>
        <w:rPr>
          <w:rFonts w:hint="default" w:ascii="黑体" w:hAnsi="宋体" w:eastAsia="黑体"/>
          <w:kern w:val="2"/>
          <w:szCs w:val="20"/>
          <w:lang w:val="en-US" w:eastAsia="zh-CN"/>
        </w:rPr>
      </w:pPr>
      <w:r>
        <w:rPr>
          <w:rFonts w:hint="eastAsia" w:ascii="黑体" w:hAnsi="宋体" w:eastAsia="黑体" w:cstheme="minorBidi"/>
          <w:kern w:val="2"/>
          <w:szCs w:val="20"/>
          <w:lang w:eastAsia="zh-CN"/>
        </w:rPr>
        <w:t>七、</w:t>
      </w:r>
      <w:r>
        <w:rPr>
          <w:rFonts w:hint="eastAsia" w:ascii="黑体" w:hAnsi="宋体" w:eastAsia="黑体" w:cstheme="minorBidi"/>
          <w:kern w:val="2"/>
          <w:szCs w:val="20"/>
          <w:lang w:val="en-US" w:eastAsia="zh-CN"/>
        </w:rPr>
        <w:t>体系认证</w:t>
      </w:r>
    </w:p>
    <w:p w14:paraId="652A45E9">
      <w:pPr>
        <w:widowControl w:val="0"/>
        <w:ind w:left="821" w:leftChars="342" w:firstLine="1620" w:firstLineChars="675"/>
        <w:jc w:val="both"/>
        <w:rPr>
          <w:rFonts w:hint="default" w:ascii="黑体" w:hAnsi="宋体" w:eastAsia="黑体"/>
          <w:kern w:val="2"/>
          <w:szCs w:val="20"/>
          <w:lang w:val="en-US" w:eastAsia="zh-CN"/>
        </w:rPr>
      </w:pPr>
      <w:r>
        <w:rPr>
          <w:rFonts w:hint="eastAsia" w:ascii="黑体" w:hAnsi="宋体" w:eastAsia="黑体" w:cstheme="minorBidi"/>
          <w:kern w:val="2"/>
          <w:szCs w:val="20"/>
          <w:lang w:eastAsia="zh-CN"/>
        </w:rPr>
        <w:t>八、</w:t>
      </w:r>
      <w:r>
        <w:rPr>
          <w:rFonts w:hint="eastAsia" w:ascii="黑体" w:hAnsi="宋体" w:eastAsia="黑体" w:cstheme="minorBidi"/>
          <w:kern w:val="2"/>
          <w:szCs w:val="20"/>
          <w:lang w:val="en-US" w:eastAsia="zh-CN"/>
        </w:rPr>
        <w:t>同类项目业绩</w:t>
      </w:r>
    </w:p>
    <w:p w14:paraId="10EBED71">
      <w:pPr>
        <w:widowControl w:val="0"/>
        <w:ind w:left="821" w:leftChars="342" w:firstLine="1620" w:firstLineChars="675"/>
        <w:jc w:val="both"/>
        <w:rPr>
          <w:rFonts w:hint="default" w:ascii="黑体" w:hAnsi="宋体" w:eastAsia="黑体" w:cstheme="minorBidi"/>
          <w:kern w:val="2"/>
          <w:szCs w:val="20"/>
          <w:lang w:val="en-US" w:eastAsia="zh-CN"/>
        </w:rPr>
      </w:pPr>
      <w:r>
        <w:rPr>
          <w:rFonts w:hint="eastAsia" w:ascii="黑体" w:hAnsi="宋体" w:eastAsia="黑体" w:cstheme="minorBidi"/>
          <w:kern w:val="2"/>
          <w:szCs w:val="20"/>
          <w:lang w:eastAsia="zh-CN"/>
        </w:rPr>
        <w:t>九、</w:t>
      </w:r>
      <w:r>
        <w:rPr>
          <w:rFonts w:hint="eastAsia" w:ascii="黑体" w:hAnsi="宋体" w:eastAsia="黑体" w:cstheme="minorBidi"/>
          <w:kern w:val="2"/>
          <w:szCs w:val="20"/>
          <w:lang w:val="en-US" w:eastAsia="zh-CN"/>
        </w:rPr>
        <w:t>履约评价情况</w:t>
      </w:r>
    </w:p>
    <w:p w14:paraId="0B889F3B">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十、投标人认为需要加以说明的其他内容</w:t>
      </w:r>
    </w:p>
    <w:bookmarkEnd w:id="55"/>
    <w:p w14:paraId="08E8D69A">
      <w:pPr>
        <w:jc w:val="center"/>
        <w:rPr>
          <w:rFonts w:ascii="黑体" w:hAnsi="宋体" w:eastAsia="黑体"/>
          <w:szCs w:val="20"/>
          <w:lang w:eastAsia="zh-CN"/>
        </w:rPr>
      </w:pPr>
    </w:p>
    <w:p w14:paraId="0CDC0F4E">
      <w:pPr>
        <w:jc w:val="center"/>
        <w:rPr>
          <w:rFonts w:ascii="黑体" w:hAnsi="宋体" w:eastAsia="黑体"/>
          <w:szCs w:val="20"/>
          <w:lang w:eastAsia="zh-CN"/>
        </w:rPr>
      </w:pPr>
      <w:r>
        <w:rPr>
          <w:rFonts w:hint="eastAsia" w:ascii="黑体" w:hAnsi="宋体" w:eastAsia="黑体" w:cstheme="minorBidi"/>
          <w:szCs w:val="20"/>
          <w:lang w:eastAsia="zh-CN"/>
        </w:rPr>
        <w:t>（一）</w:t>
      </w:r>
      <w:r>
        <w:rPr>
          <w:rFonts w:hint="eastAsia" w:ascii="黑体" w:hAnsi="宋体" w:eastAsia="黑体" w:cstheme="minorBidi"/>
          <w:szCs w:val="20"/>
          <w:highlight w:val="yellow"/>
          <w:lang w:eastAsia="zh-CN"/>
        </w:rPr>
        <w:t>政府采购违法行为风险知悉确认书</w:t>
      </w:r>
    </w:p>
    <w:p w14:paraId="013689DA">
      <w:pPr>
        <w:jc w:val="center"/>
        <w:rPr>
          <w:rFonts w:ascii="黑体" w:hAnsi="宋体" w:eastAsia="黑体"/>
          <w:szCs w:val="20"/>
          <w:lang w:eastAsia="zh-CN"/>
        </w:rPr>
      </w:pPr>
    </w:p>
    <w:p w14:paraId="5C633321">
      <w:pPr>
        <w:widowControl w:val="0"/>
        <w:spacing w:after="120" w:afterLines="50" w:line="360" w:lineRule="exact"/>
        <w:ind w:firstLine="482" w:firstLineChars="200"/>
        <w:jc w:val="both"/>
        <w:rPr>
          <w:rFonts w:ascii="Calibri" w:hAnsi="Calibri" w:eastAsia="宋体"/>
          <w:b/>
          <w:bCs/>
          <w:kern w:val="2"/>
          <w:szCs w:val="22"/>
          <w:lang w:eastAsia="zh-CN"/>
        </w:rPr>
      </w:pPr>
      <w:r>
        <w:rPr>
          <w:rFonts w:hint="eastAsia" w:ascii="Calibri" w:hAnsi="Calibri" w:eastAsia="宋体" w:cstheme="minorBidi"/>
          <w:b/>
          <w:bCs/>
          <w:kern w:val="2"/>
          <w:szCs w:val="22"/>
          <w:lang w:eastAsia="zh-CN"/>
        </w:rPr>
        <w:t>我</w:t>
      </w:r>
      <w:r>
        <w:rPr>
          <w:rFonts w:hint="eastAsia" w:ascii="Calibri" w:hAnsi="Calibri" w:eastAsia="宋体"/>
          <w:b/>
          <w:bCs/>
          <w:kern w:val="2"/>
          <w:lang w:eastAsia="zh-CN"/>
        </w:rPr>
        <w:t>单位</w:t>
      </w:r>
      <w:r>
        <w:rPr>
          <w:rFonts w:hint="eastAsia" w:ascii="Calibri" w:hAnsi="Calibri" w:eastAsia="宋体" w:cstheme="minorBidi"/>
          <w:b/>
          <w:bCs/>
          <w:kern w:val="2"/>
          <w:szCs w:val="22"/>
          <w:lang w:eastAsia="zh-CN"/>
        </w:rPr>
        <w:t>在投标前已充分知悉以下情形为参与政府采购活动时的重大风险事项，并承诺已对下述风险提示事项重点排查，</w:t>
      </w:r>
      <w:r>
        <w:rPr>
          <w:rFonts w:hint="eastAsia" w:ascii="Calibri" w:hAnsi="Calibri" w:eastAsia="宋体"/>
          <w:b/>
          <w:bCs/>
          <w:kern w:val="2"/>
          <w:szCs w:val="22"/>
          <w:lang w:eastAsia="zh-CN"/>
        </w:rPr>
        <w:t>若存在下述情况，我单位愿意依法承担被记入供应商诚信档案、罚款、取消参与政府采购资格、吊销营业执照等处罚；构成犯罪的，依法承担刑事责任。</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117"/>
      </w:tblGrid>
      <w:tr w14:paraId="56D0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711" w:type="dxa"/>
          </w:tcPr>
          <w:p w14:paraId="7A519613">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序号</w:t>
            </w:r>
          </w:p>
        </w:tc>
        <w:tc>
          <w:tcPr>
            <w:tcW w:w="7811" w:type="dxa"/>
          </w:tcPr>
          <w:p w14:paraId="6ECD9D06">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b/>
                <w:bCs/>
                <w:kern w:val="2"/>
                <w:lang w:eastAsia="zh-CN"/>
              </w:rPr>
              <w:t>供应商参与投标禁止情形</w:t>
            </w:r>
          </w:p>
        </w:tc>
      </w:tr>
      <w:tr w14:paraId="0175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0A354D9">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1</w:t>
            </w:r>
          </w:p>
        </w:tc>
        <w:tc>
          <w:tcPr>
            <w:tcW w:w="7811" w:type="dxa"/>
            <w:vAlign w:val="center"/>
          </w:tcPr>
          <w:p w14:paraId="5BCDD170">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与其他投标供应商的法定代表人、主要经营负责人、投标授权代表人、项目负责人、主要技术人员为</w:t>
            </w:r>
            <w:r>
              <w:rPr>
                <w:rFonts w:hint="eastAsia" w:ascii="仿宋_GB2312" w:hAnsi="仿宋_GB2312" w:eastAsia="仿宋_GB2312" w:cs="仿宋_GB2312"/>
                <w:b/>
                <w:bCs/>
                <w:kern w:val="2"/>
                <w:lang w:eastAsia="zh-CN"/>
              </w:rPr>
              <w:t>同一人、属同一单位或者在同一单位缴纳社会保险</w:t>
            </w:r>
            <w:r>
              <w:rPr>
                <w:rFonts w:hint="eastAsia" w:ascii="仿宋_GB2312" w:hAnsi="仿宋_GB2312" w:eastAsia="仿宋_GB2312" w:cs="仿宋_GB2312"/>
                <w:kern w:val="2"/>
                <w:lang w:eastAsia="zh-CN"/>
              </w:rPr>
              <w:t>。</w:t>
            </w:r>
          </w:p>
        </w:tc>
      </w:tr>
      <w:tr w14:paraId="5889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DAD8FDC">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2</w:t>
            </w:r>
          </w:p>
        </w:tc>
        <w:tc>
          <w:tcPr>
            <w:tcW w:w="7811" w:type="dxa"/>
            <w:vAlign w:val="center"/>
          </w:tcPr>
          <w:p w14:paraId="507F663C">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参与本项目政府采购活动时，与其他投标供应商存在单位负责人为</w:t>
            </w:r>
            <w:r>
              <w:rPr>
                <w:rFonts w:hint="eastAsia" w:ascii="仿宋_GB2312" w:hAnsi="仿宋_GB2312" w:eastAsia="仿宋_GB2312" w:cs="仿宋_GB2312"/>
                <w:b/>
                <w:bCs/>
                <w:kern w:val="2"/>
                <w:lang w:eastAsia="zh-CN"/>
              </w:rPr>
              <w:t>同一人或直接控股、管理关系</w:t>
            </w:r>
            <w:r>
              <w:rPr>
                <w:rFonts w:hint="eastAsia" w:ascii="仿宋_GB2312" w:hAnsi="仿宋_GB2312" w:eastAsia="仿宋_GB2312" w:cs="仿宋_GB2312"/>
                <w:kern w:val="2"/>
                <w:lang w:eastAsia="zh-CN"/>
              </w:rPr>
              <w:t>。</w:t>
            </w:r>
          </w:p>
        </w:tc>
      </w:tr>
      <w:tr w14:paraId="3C8C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860636A">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3</w:t>
            </w:r>
          </w:p>
        </w:tc>
        <w:tc>
          <w:tcPr>
            <w:tcW w:w="7811" w:type="dxa"/>
            <w:vAlign w:val="center"/>
          </w:tcPr>
          <w:p w14:paraId="66F9F30E">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与其他投标供应商的投标文件或部分投标文件</w:t>
            </w:r>
            <w:r>
              <w:rPr>
                <w:rFonts w:hint="eastAsia" w:ascii="仿宋_GB2312" w:hAnsi="仿宋_GB2312" w:eastAsia="仿宋_GB2312" w:cs="仿宋_GB2312"/>
                <w:b/>
                <w:bCs/>
                <w:kern w:val="2"/>
                <w:lang w:eastAsia="zh-CN"/>
              </w:rPr>
              <w:t>相互混装或存在非正常一致</w:t>
            </w:r>
            <w:r>
              <w:rPr>
                <w:rFonts w:hint="eastAsia" w:ascii="仿宋_GB2312" w:hAnsi="仿宋_GB2312" w:eastAsia="仿宋_GB2312" w:cs="仿宋_GB2312"/>
                <w:kern w:val="2"/>
                <w:lang w:eastAsia="zh-CN"/>
              </w:rPr>
              <w:t>。</w:t>
            </w:r>
          </w:p>
        </w:tc>
      </w:tr>
      <w:tr w14:paraId="5154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EE57AFC">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4</w:t>
            </w:r>
          </w:p>
        </w:tc>
        <w:tc>
          <w:tcPr>
            <w:tcW w:w="7811" w:type="dxa"/>
            <w:vAlign w:val="center"/>
          </w:tcPr>
          <w:p w14:paraId="202BB9C8">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与其他投标供应商的投标文件由</w:t>
            </w:r>
            <w:r>
              <w:rPr>
                <w:rFonts w:hint="eastAsia" w:ascii="仿宋_GB2312" w:hAnsi="仿宋_GB2312" w:eastAsia="仿宋_GB2312" w:cs="仿宋_GB2312"/>
                <w:b/>
                <w:bCs/>
                <w:kern w:val="2"/>
                <w:lang w:eastAsia="zh-CN"/>
              </w:rPr>
              <w:t>同一单位或者同一人编制</w:t>
            </w:r>
            <w:r>
              <w:rPr>
                <w:rFonts w:hint="eastAsia" w:ascii="仿宋_GB2312" w:hAnsi="仿宋_GB2312" w:eastAsia="仿宋_GB2312" w:cs="仿宋_GB2312"/>
                <w:kern w:val="2"/>
                <w:lang w:eastAsia="zh-CN"/>
              </w:rPr>
              <w:t>，或者使用</w:t>
            </w:r>
            <w:r>
              <w:rPr>
                <w:rFonts w:hint="eastAsia" w:ascii="仿宋_GB2312" w:hAnsi="仿宋_GB2312" w:eastAsia="仿宋_GB2312" w:cs="仿宋_GB2312"/>
                <w:b/>
                <w:bCs/>
                <w:kern w:val="2"/>
                <w:lang w:eastAsia="zh-CN"/>
              </w:rPr>
              <w:t>同一设备编制</w:t>
            </w:r>
            <w:r>
              <w:rPr>
                <w:rFonts w:hint="eastAsia" w:ascii="仿宋_GB2312" w:hAnsi="仿宋_GB2312" w:eastAsia="仿宋_GB2312" w:cs="仿宋_GB2312"/>
                <w:kern w:val="2"/>
                <w:lang w:eastAsia="zh-CN"/>
              </w:rPr>
              <w:t>（“文件制作机器码”“文件创建标识码”一致）。</w:t>
            </w:r>
          </w:p>
        </w:tc>
      </w:tr>
      <w:tr w14:paraId="0995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0FDAD71">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5</w:t>
            </w:r>
          </w:p>
        </w:tc>
        <w:tc>
          <w:tcPr>
            <w:tcW w:w="7811" w:type="dxa"/>
            <w:vAlign w:val="center"/>
          </w:tcPr>
          <w:p w14:paraId="63CCA3E5">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提供</w:t>
            </w:r>
            <w:r>
              <w:rPr>
                <w:rFonts w:hint="eastAsia" w:ascii="仿宋_GB2312" w:hAnsi="仿宋_GB2312" w:eastAsia="仿宋_GB2312" w:cs="仿宋_GB2312"/>
                <w:b/>
                <w:bCs/>
                <w:kern w:val="2"/>
                <w:lang w:eastAsia="zh-CN"/>
              </w:rPr>
              <w:t>未经出具机构核实</w:t>
            </w:r>
            <w:r>
              <w:rPr>
                <w:rFonts w:hint="eastAsia" w:ascii="仿宋_GB2312" w:hAnsi="仿宋_GB2312" w:eastAsia="仿宋_GB2312" w:cs="仿宋_GB2312"/>
                <w:kern w:val="2"/>
                <w:lang w:eastAsia="zh-CN"/>
              </w:rPr>
              <w:t>的虚假的检验检测报告、业绩材料、社保缴纳证明、学历学位证书、职称认证证书等材料。</w:t>
            </w:r>
          </w:p>
        </w:tc>
      </w:tr>
      <w:tr w14:paraId="66FD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0552130">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6</w:t>
            </w:r>
          </w:p>
        </w:tc>
        <w:tc>
          <w:tcPr>
            <w:tcW w:w="7811" w:type="dxa"/>
            <w:vAlign w:val="center"/>
          </w:tcPr>
          <w:p w14:paraId="4723C7F0">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擅自将投标密钥或电子营业执照出借他人使用或未妥善保管。</w:t>
            </w:r>
          </w:p>
        </w:tc>
      </w:tr>
    </w:tbl>
    <w:p w14:paraId="3E8E8894">
      <w:pPr>
        <w:widowControl w:val="0"/>
        <w:spacing w:before="120" w:beforeLines="50"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一、我单位已充分知悉“隐瞒真实情况，提供虚假资料”的法定情形，包括但不限于：</w:t>
      </w:r>
    </w:p>
    <w:p w14:paraId="18A20AB8">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（一）通过转让或者租借等方式从其他单位获取资格或者资质证书投标的。</w:t>
      </w:r>
    </w:p>
    <w:p w14:paraId="2CEBE56C">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（二）由其他单位或者其他单位负责人在投标供应商编制的投标文件上加盖印章或者签字的。</w:t>
      </w:r>
    </w:p>
    <w:p w14:paraId="196AFE89">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（三）项目负责人或者主要技术人员不是本单位人员的。</w:t>
      </w:r>
    </w:p>
    <w:p w14:paraId="05304AE2">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（四）投标保证金不是从投标供应商基本账户转出的。</w:t>
      </w:r>
    </w:p>
    <w:p w14:paraId="38D0947E">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（五）其他隐瞒真实情况、提供虚假资料的行为。</w:t>
      </w:r>
    </w:p>
    <w:p w14:paraId="5A65E8F7">
      <w:pPr>
        <w:widowControl w:val="0"/>
        <w:spacing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二、我单位已充分知悉“与其他采购参加人串通投标”的法定情形，包括但不限于：</w:t>
      </w:r>
    </w:p>
    <w:p w14:paraId="7A13F8CF">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（一）投标供应商之间相互约定给予未中标的供应商利益补偿。</w:t>
      </w:r>
    </w:p>
    <w:p w14:paraId="4C2EAC19">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（二）不同投标供应商的法定代表人、主要经营负责人、项目投标授权代表人、项目负责人、主要技术人员为同一人、属同一单位或者在同一单位缴纳社会保险。</w:t>
      </w:r>
    </w:p>
    <w:p w14:paraId="7003EE0B">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（三）不同投标供应商的投标文件由同一单位或者同一人编制，或者由同一人分阶段参与编制的。</w:t>
      </w:r>
    </w:p>
    <w:p w14:paraId="44E0BCA2">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（四）不同投标供应商的投标文件或部分投标文件相互混装。</w:t>
      </w:r>
    </w:p>
    <w:p w14:paraId="15854C60">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（五）不同投标供应商的投标文件内容存在非正常一致。</w:t>
      </w:r>
    </w:p>
    <w:p w14:paraId="619557DB">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（六）由同一单位工作人员为两家以上（含两家）供应商进行同一项投标活动的。</w:t>
      </w:r>
    </w:p>
    <w:p w14:paraId="44DFBB5A">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（七）不同投标人的投标报价呈规律性差异。</w:t>
      </w:r>
    </w:p>
    <w:p w14:paraId="7DB825E3">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（八）不同投标人的投标保证金从同一单位或者个人的账户转出。</w:t>
      </w:r>
    </w:p>
    <w:p w14:paraId="5A67716A">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（九）主管部门依照法律、法规认定的其他情形。</w:t>
      </w:r>
    </w:p>
    <w:p w14:paraId="50BB533F">
      <w:pPr>
        <w:widowControl w:val="0"/>
        <w:spacing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三、我单位已充分知悉下列情形存在法律风险，在投标前已对相关风险事项进行排查。</w:t>
      </w:r>
    </w:p>
    <w:p w14:paraId="6222CD8A">
      <w:pPr>
        <w:widowControl w:val="0"/>
        <w:spacing w:line="340" w:lineRule="exact"/>
        <w:ind w:firstLine="420" w:firstLineChars="20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（一）对于从其他主体获取的投标资料，我单位应审慎核查，确保其真实性。</w:t>
      </w:r>
      <w:r>
        <w:rPr>
          <w:rFonts w:hint="eastAsia" w:ascii="Calibri" w:hAnsi="Calibri" w:eastAsia="宋体" w:cstheme="minorBidi"/>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14:paraId="4396338E">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（二）对于涉及国家机关出具的公文、证件、证明材料等文件，一旦涉嫌虚假，经查实，主管部门将依法从严处理，并移送有关部门追究法律责任；涉嫌犯罪的，移送司法机关处理。</w:t>
      </w:r>
    </w:p>
    <w:p w14:paraId="09860A81">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eastAsia="宋体" w:cstheme="minorBidi"/>
          <w:b/>
          <w:bCs/>
          <w:kern w:val="2"/>
          <w:sz w:val="21"/>
          <w:szCs w:val="22"/>
          <w:lang w:eastAsia="zh-CN"/>
        </w:rPr>
        <w:t>擅自将投标密钥或电子营业执照出借他人使用所造成的法律后果，由我单位自行承担</w:t>
      </w:r>
      <w:r>
        <w:rPr>
          <w:rFonts w:hint="eastAsia" w:ascii="Calibri" w:hAnsi="Calibri" w:eastAsia="宋体" w:cstheme="minorBidi"/>
          <w:kern w:val="2"/>
          <w:sz w:val="21"/>
          <w:szCs w:val="22"/>
          <w:lang w:eastAsia="zh-CN"/>
        </w:rPr>
        <w:t>。</w:t>
      </w:r>
    </w:p>
    <w:p w14:paraId="01CC8EDA">
      <w:pPr>
        <w:widowControl w:val="0"/>
        <w:spacing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四、我单位已充分知悉政府采购违法、违规行为的法律后果。</w:t>
      </w:r>
    </w:p>
    <w:p w14:paraId="18CF0C77">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3449863">
      <w:pPr>
        <w:widowControl w:val="0"/>
        <w:spacing w:line="340" w:lineRule="exact"/>
        <w:ind w:firstLine="420" w:firstLineChars="200"/>
        <w:jc w:val="both"/>
        <w:rPr>
          <w:rFonts w:ascii="Calibri" w:hAnsi="Calibri" w:eastAsia="宋体"/>
          <w:kern w:val="2"/>
          <w:sz w:val="21"/>
          <w:szCs w:val="22"/>
          <w:highlight w:val="yellow"/>
          <w:lang w:eastAsia="zh-CN"/>
        </w:rPr>
      </w:pPr>
      <w:r>
        <w:rPr>
          <w:rFonts w:hint="eastAsia" w:ascii="Calibri" w:hAnsi="Calibri" w:eastAsia="宋体" w:cstheme="minorBidi"/>
          <w:kern w:val="2"/>
          <w:sz w:val="21"/>
          <w:szCs w:val="22"/>
          <w:highlight w:val="yellow"/>
          <w:lang w:eastAsia="zh-CN"/>
        </w:rPr>
        <w:t>以下文字请投标供应商抄写并确认：“我单位已仔细阅读《政府采购违法行为风险知悉确认书》，充分知悉违法行为的法律后果，并承诺将严谨、诚信、依法依规参与政府采购活动”。</w:t>
      </w:r>
    </w:p>
    <w:tbl>
      <w:tblPr>
        <w:tblStyle w:val="22"/>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6D9826C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B68E5D4">
            <w:pPr>
              <w:widowControl w:val="0"/>
              <w:autoSpaceDE w:val="0"/>
              <w:autoSpaceDN w:val="0"/>
              <w:spacing w:line="340" w:lineRule="exact"/>
              <w:ind w:firstLine="1866"/>
              <w:jc w:val="both"/>
              <w:rPr>
                <w:rFonts w:ascii="宋体" w:hAnsi="宋体" w:eastAsia="宋体"/>
                <w:spacing w:val="-4"/>
                <w:sz w:val="21"/>
                <w:szCs w:val="21"/>
                <w:lang w:eastAsia="zh-CN"/>
              </w:rPr>
            </w:pPr>
          </w:p>
        </w:tc>
      </w:tr>
      <w:tr w14:paraId="5DDB6E1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1C1661F">
            <w:pPr>
              <w:widowControl w:val="0"/>
              <w:autoSpaceDE w:val="0"/>
              <w:autoSpaceDN w:val="0"/>
              <w:spacing w:line="340" w:lineRule="exact"/>
              <w:ind w:firstLine="1866"/>
              <w:jc w:val="both"/>
              <w:rPr>
                <w:rFonts w:ascii="宋体" w:hAnsi="宋体" w:eastAsia="宋体"/>
                <w:spacing w:val="-4"/>
                <w:sz w:val="21"/>
                <w:szCs w:val="21"/>
                <w:lang w:eastAsia="zh-CN"/>
              </w:rPr>
            </w:pPr>
          </w:p>
        </w:tc>
      </w:tr>
      <w:tr w14:paraId="6ECFC6B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EFB064C">
            <w:pPr>
              <w:widowControl w:val="0"/>
              <w:autoSpaceDE w:val="0"/>
              <w:autoSpaceDN w:val="0"/>
              <w:spacing w:line="340" w:lineRule="exact"/>
              <w:ind w:firstLine="1866"/>
              <w:jc w:val="both"/>
              <w:rPr>
                <w:rFonts w:ascii="宋体" w:hAnsi="宋体" w:eastAsia="宋体"/>
                <w:spacing w:val="-4"/>
                <w:sz w:val="21"/>
                <w:szCs w:val="21"/>
                <w:lang w:eastAsia="zh-CN"/>
              </w:rPr>
            </w:pPr>
          </w:p>
        </w:tc>
      </w:tr>
      <w:tr w14:paraId="0CB13D4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4D5E16EC">
            <w:pPr>
              <w:widowControl w:val="0"/>
              <w:autoSpaceDE w:val="0"/>
              <w:autoSpaceDN w:val="0"/>
              <w:spacing w:line="340" w:lineRule="exact"/>
              <w:ind w:firstLine="1866"/>
              <w:jc w:val="both"/>
              <w:rPr>
                <w:rFonts w:ascii="宋体" w:hAnsi="宋体" w:eastAsia="宋体"/>
                <w:spacing w:val="-4"/>
                <w:sz w:val="21"/>
                <w:szCs w:val="21"/>
                <w:lang w:eastAsia="zh-CN"/>
              </w:rPr>
            </w:pPr>
          </w:p>
        </w:tc>
      </w:tr>
    </w:tbl>
    <w:p w14:paraId="61A526D0">
      <w:pPr>
        <w:wordWrap w:val="0"/>
        <w:autoSpaceDE w:val="0"/>
        <w:autoSpaceDN w:val="0"/>
        <w:spacing w:line="340" w:lineRule="exact"/>
        <w:ind w:right="808" w:firstLine="404" w:firstLineChars="200"/>
        <w:jc w:val="right"/>
        <w:rPr>
          <w:rFonts w:ascii="宋体" w:hAnsi="宋体" w:eastAsia="宋体"/>
          <w:spacing w:val="-4"/>
          <w:sz w:val="21"/>
          <w:szCs w:val="21"/>
          <w:lang w:eastAsia="zh-CN"/>
        </w:rPr>
      </w:pPr>
    </w:p>
    <w:p w14:paraId="4B0FA941">
      <w:pPr>
        <w:wordWrap w:val="0"/>
        <w:autoSpaceDE w:val="0"/>
        <w:autoSpaceDN w:val="0"/>
        <w:spacing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单位负责人签名：</w:t>
      </w:r>
      <w:r>
        <w:rPr>
          <w:rFonts w:hint="eastAsia" w:ascii="宋体" w:hAnsi="宋体" w:eastAsia="宋体" w:cstheme="minorBidi"/>
          <w:spacing w:val="-4"/>
          <w:sz w:val="21"/>
          <w:szCs w:val="21"/>
          <w:u w:val="single"/>
          <w:lang w:eastAsia="zh-CN"/>
        </w:rPr>
        <w:t xml:space="preserve">              </w:t>
      </w:r>
    </w:p>
    <w:p w14:paraId="0D0FA1F2">
      <w:pPr>
        <w:wordWrap w:val="0"/>
        <w:autoSpaceDE w:val="0"/>
        <w:autoSpaceDN w:val="0"/>
        <w:spacing w:line="340" w:lineRule="exact"/>
        <w:ind w:right="808" w:firstLine="404" w:firstLineChars="200"/>
        <w:jc w:val="center"/>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（加盖公章）</w:t>
      </w:r>
    </w:p>
    <w:p w14:paraId="28EA4C83">
      <w:pPr>
        <w:wordWrap w:val="0"/>
        <w:autoSpaceDE w:val="0"/>
        <w:autoSpaceDN w:val="0"/>
        <w:spacing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日期：</w:t>
      </w:r>
      <w:r>
        <w:rPr>
          <w:rFonts w:hint="eastAsia" w:ascii="宋体" w:hAnsi="宋体" w:eastAsia="宋体" w:cstheme="minorBidi"/>
          <w:spacing w:val="-4"/>
          <w:sz w:val="21"/>
          <w:szCs w:val="21"/>
          <w:u w:val="single"/>
          <w:lang w:eastAsia="zh-CN"/>
        </w:rPr>
        <w:t xml:space="preserve">              </w:t>
      </w:r>
    </w:p>
    <w:p w14:paraId="4A82C1C5">
      <w:pPr>
        <w:autoSpaceDE w:val="0"/>
        <w:autoSpaceDN w:val="0"/>
        <w:spacing w:line="340" w:lineRule="exact"/>
        <w:ind w:firstLine="406" w:firstLineChars="200"/>
        <w:rPr>
          <w:rFonts w:ascii="宋体" w:hAnsi="宋体" w:eastAsia="宋体"/>
          <w:b/>
          <w:bCs/>
          <w:spacing w:val="-4"/>
          <w:sz w:val="21"/>
          <w:szCs w:val="21"/>
          <w:lang w:eastAsia="zh-CN"/>
        </w:rPr>
      </w:pPr>
    </w:p>
    <w:p w14:paraId="25C1FF1C">
      <w:pPr>
        <w:autoSpaceDE w:val="0"/>
        <w:autoSpaceDN w:val="0"/>
        <w:spacing w:line="340" w:lineRule="exact"/>
        <w:ind w:firstLine="406" w:firstLineChars="200"/>
        <w:rPr>
          <w:rFonts w:ascii="宋体" w:hAnsi="宋体" w:eastAsia="宋体"/>
          <w:b/>
          <w:bCs/>
          <w:spacing w:val="-4"/>
          <w:sz w:val="21"/>
          <w:szCs w:val="21"/>
          <w:lang w:eastAsia="zh-CN"/>
        </w:rPr>
      </w:pPr>
      <w:r>
        <w:rPr>
          <w:rFonts w:hint="eastAsia" w:ascii="宋体" w:hAnsi="宋体" w:eastAsia="宋体" w:cstheme="minorBidi"/>
          <w:b/>
          <w:bCs/>
          <w:spacing w:val="-4"/>
          <w:sz w:val="21"/>
          <w:szCs w:val="21"/>
          <w:lang w:eastAsia="zh-CN"/>
        </w:rPr>
        <w:t>注：1.《政府采购违法行为风险知悉确认书》需由投标供应商负责人签字并加盖单位公章后，扫描上传至投标文件一并提交。</w:t>
      </w:r>
    </w:p>
    <w:p w14:paraId="7A7FC61A">
      <w:pPr>
        <w:widowControl w:val="0"/>
        <w:ind w:firstLine="422" w:firstLineChars="200"/>
        <w:jc w:val="both"/>
        <w:rPr>
          <w:rFonts w:ascii="Calibri" w:hAnsi="Calibri" w:eastAsia="宋体"/>
          <w:b/>
          <w:bCs/>
          <w:kern w:val="2"/>
          <w:sz w:val="21"/>
          <w:szCs w:val="22"/>
          <w:lang w:eastAsia="zh-CN"/>
        </w:rPr>
      </w:pPr>
      <w:r>
        <w:rPr>
          <w:rFonts w:hint="eastAsia" w:ascii="Calibri" w:hAnsi="Calibri" w:eastAsia="宋体"/>
          <w:b/>
          <w:bCs/>
          <w:kern w:val="2"/>
          <w:sz w:val="21"/>
          <w:szCs w:val="22"/>
          <w:lang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2440BB90">
      <w:pPr>
        <w:autoSpaceDE w:val="0"/>
        <w:autoSpaceDN w:val="0"/>
        <w:spacing w:line="400" w:lineRule="exact"/>
        <w:ind w:firstLine="404" w:firstLineChars="200"/>
        <w:rPr>
          <w:rFonts w:ascii="宋体" w:hAnsi="宋体" w:eastAsia="宋体"/>
          <w:color w:val="FF0000"/>
          <w:spacing w:val="-4"/>
          <w:sz w:val="21"/>
          <w:szCs w:val="21"/>
          <w:lang w:eastAsia="zh-CN"/>
        </w:rPr>
      </w:pPr>
    </w:p>
    <w:p w14:paraId="0B560449">
      <w:pPr>
        <w:autoSpaceDE w:val="0"/>
        <w:autoSpaceDN w:val="0"/>
        <w:spacing w:line="400" w:lineRule="exact"/>
        <w:ind w:right="1414" w:firstLine="480" w:firstLineChars="200"/>
        <w:jc w:val="right"/>
        <w:rPr>
          <w:rFonts w:ascii="Calibri" w:hAnsi="Calibri" w:eastAsia="宋体"/>
          <w:szCs w:val="22"/>
          <w:lang w:eastAsia="zh-CN"/>
        </w:rPr>
      </w:pPr>
    </w:p>
    <w:p w14:paraId="2811781D">
      <w:pPr>
        <w:autoSpaceDE w:val="0"/>
        <w:autoSpaceDN w:val="0"/>
        <w:spacing w:line="400" w:lineRule="exact"/>
        <w:ind w:right="1414" w:firstLine="480" w:firstLineChars="200"/>
        <w:jc w:val="right"/>
        <w:rPr>
          <w:rFonts w:ascii="Calibri" w:hAnsi="Calibri" w:eastAsia="宋体"/>
          <w:szCs w:val="22"/>
          <w:lang w:eastAsia="zh-CN"/>
        </w:rPr>
      </w:pPr>
    </w:p>
    <w:p w14:paraId="2C87F1E8">
      <w:pPr>
        <w:autoSpaceDE w:val="0"/>
        <w:autoSpaceDN w:val="0"/>
        <w:spacing w:line="400" w:lineRule="exact"/>
        <w:ind w:right="1414" w:firstLine="480" w:firstLineChars="200"/>
        <w:jc w:val="right"/>
        <w:rPr>
          <w:rFonts w:ascii="Calibri" w:hAnsi="Calibri" w:eastAsia="宋体"/>
          <w:szCs w:val="22"/>
          <w:lang w:eastAsia="zh-CN"/>
        </w:rPr>
      </w:pPr>
    </w:p>
    <w:p w14:paraId="047F8693">
      <w:pPr>
        <w:widowControl w:val="0"/>
        <w:jc w:val="center"/>
        <w:rPr>
          <w:rFonts w:ascii="黑体" w:hAnsi="Calibri" w:eastAsia="黑体"/>
          <w:kern w:val="2"/>
          <w:szCs w:val="20"/>
          <w:lang w:eastAsia="zh-CN"/>
        </w:rPr>
      </w:pPr>
      <w:r>
        <w:rPr>
          <w:rFonts w:hint="eastAsia" w:ascii="黑体" w:hAnsi="Calibri" w:eastAsia="黑体" w:cstheme="minorBidi"/>
          <w:kern w:val="2"/>
          <w:szCs w:val="20"/>
          <w:lang w:eastAsia="zh-CN"/>
        </w:rPr>
        <w:t>（二）订单融资情况</w:t>
      </w:r>
    </w:p>
    <w:p w14:paraId="7699783B">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1、关于政府采购订单融资政策</w:t>
      </w:r>
    </w:p>
    <w:p w14:paraId="6D93E9D6">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BD0DF0B">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2、供应商账户信息</w:t>
      </w:r>
    </w:p>
    <w:p w14:paraId="603BF0AE">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投标人（单位全称）：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w:t>
      </w:r>
    </w:p>
    <w:p w14:paraId="16BCA3AB">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投标人单位地址：</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0FB2C9DB">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w:t>
      </w:r>
      <w:r>
        <w:rPr>
          <w:rFonts w:hint="eastAsia" w:hAnsi="Calibri" w:eastAsia="宋体" w:cstheme="minorBidi"/>
          <w:kern w:val="2"/>
          <w:sz w:val="21"/>
          <w:szCs w:val="21"/>
          <w:lang w:eastAsia="zh-CN"/>
        </w:rPr>
        <w:t>授权</w:t>
      </w:r>
      <w:r>
        <w:rPr>
          <w:rFonts w:hint="eastAsia" w:ascii="Calibri" w:hAnsi="Calibri" w:eastAsia="宋体" w:cstheme="minorBidi"/>
          <w:kern w:val="2"/>
          <w:sz w:val="21"/>
          <w:szCs w:val="21"/>
          <w:lang w:eastAsia="zh-CN"/>
        </w:rPr>
        <w:t>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32DE0FBD">
      <w:pPr>
        <w:widowControl w:val="0"/>
        <w:wordWrap w:val="0"/>
        <w:ind w:left="480" w:leftChars="200" w:firstLine="210" w:firstLineChars="100"/>
        <w:jc w:val="both"/>
        <w:rPr>
          <w:rFonts w:ascii="Calibri" w:hAnsi="Calibri" w:eastAsia="宋体"/>
          <w:kern w:val="2"/>
          <w:sz w:val="21"/>
          <w:szCs w:val="21"/>
          <w:u w:val="thick"/>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5C56D983">
      <w:pPr>
        <w:widowControl w:val="0"/>
        <w:wordWrap w:val="0"/>
        <w:ind w:left="480" w:leftChars="200" w:firstLine="210" w:firstLineChars="100"/>
        <w:jc w:val="both"/>
        <w:rPr>
          <w:rFonts w:ascii="Calibri" w:hAnsi="Calibri" w:eastAsia="宋体"/>
          <w:kern w:val="2"/>
          <w:sz w:val="21"/>
          <w:szCs w:val="21"/>
          <w:lang w:eastAsia="zh-CN"/>
        </w:rPr>
      </w:pPr>
      <w:r>
        <w:rPr>
          <w:rFonts w:hint="eastAsia" w:hAnsi="Calibri" w:eastAsia="宋体" w:cstheme="minorBidi"/>
          <w:kern w:val="2"/>
          <w:sz w:val="21"/>
          <w:szCs w:val="21"/>
          <w:lang w:eastAsia="zh-CN"/>
        </w:rPr>
        <w:t>开户银行名称：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7C1010CE">
      <w:pPr>
        <w:widowControl w:val="0"/>
        <w:wordWrap w:val="0"/>
        <w:ind w:left="480" w:leftChars="200" w:firstLine="210" w:firstLineChars="100"/>
        <w:jc w:val="both"/>
        <w:rPr>
          <w:rFonts w:ascii="Calibri" w:hAnsi="Calibri" w:eastAsia="宋体"/>
          <w:kern w:val="2"/>
          <w:sz w:val="21"/>
          <w:szCs w:val="21"/>
          <w:u w:val="thick"/>
          <w:lang w:eastAsia="zh-CN"/>
        </w:rPr>
      </w:pPr>
      <w:r>
        <w:rPr>
          <w:rFonts w:hint="eastAsia" w:ascii="Calibri" w:hAnsi="Calibri" w:eastAsia="宋体" w:cstheme="minorBidi"/>
          <w:kern w:val="2"/>
          <w:sz w:val="21"/>
          <w:szCs w:val="21"/>
          <w:lang w:eastAsia="zh-CN"/>
        </w:rPr>
        <w:t>开户银行账号：</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349A9032">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开户银行地址：</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55FADF26">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 xml:space="preserve"> </w:t>
      </w:r>
      <w:r>
        <w:rPr>
          <w:rFonts w:hint="eastAsia" w:ascii="宋体" w:hAnsi="宋体" w:eastAsia="宋体" w:cstheme="minorBidi"/>
          <w:b/>
          <w:bCs/>
          <w:color w:val="FF0000"/>
          <w:spacing w:val="-4"/>
          <w:sz w:val="21"/>
          <w:szCs w:val="21"/>
          <w:lang w:eastAsia="zh-CN"/>
        </w:rPr>
        <w:t>注：本项填写内容作为订单融资开展的参考信息，不作为供应商资格性审查及符合性审查条件。</w:t>
      </w:r>
    </w:p>
    <w:p w14:paraId="6D9D72C7">
      <w:pPr>
        <w:tabs>
          <w:tab w:val="left" w:pos="8200"/>
        </w:tabs>
        <w:autoSpaceDE w:val="0"/>
        <w:autoSpaceDN w:val="0"/>
        <w:spacing w:line="400" w:lineRule="exact"/>
        <w:ind w:right="1414" w:firstLine="406" w:firstLineChars="200"/>
        <w:jc w:val="both"/>
        <w:rPr>
          <w:rFonts w:ascii="宋体" w:hAnsi="宋体" w:eastAsia="宋体"/>
          <w:b/>
          <w:bCs/>
          <w:color w:val="FF0000"/>
          <w:spacing w:val="-4"/>
          <w:sz w:val="21"/>
          <w:szCs w:val="21"/>
          <w:lang w:eastAsia="zh-CN"/>
        </w:rPr>
      </w:pPr>
    </w:p>
    <w:p w14:paraId="54F9AAC2">
      <w:pPr>
        <w:tabs>
          <w:tab w:val="left" w:pos="6930"/>
          <w:tab w:val="left" w:pos="8200"/>
        </w:tabs>
        <w:autoSpaceDE w:val="0"/>
        <w:autoSpaceDN w:val="0"/>
        <w:spacing w:line="400" w:lineRule="exact"/>
        <w:ind w:right="1414" w:firstLine="480" w:firstLineChars="200"/>
        <w:jc w:val="both"/>
        <w:rPr>
          <w:rFonts w:ascii="Calibri" w:hAnsi="Calibri" w:eastAsia="宋体"/>
          <w:szCs w:val="22"/>
          <w:lang w:eastAsia="zh-CN"/>
        </w:rPr>
      </w:pPr>
    </w:p>
    <w:p w14:paraId="6A67513D">
      <w:pPr>
        <w:autoSpaceDE w:val="0"/>
        <w:autoSpaceDN w:val="0"/>
        <w:spacing w:line="400" w:lineRule="exact"/>
        <w:ind w:right="1414" w:firstLine="480" w:firstLineChars="200"/>
        <w:jc w:val="right"/>
        <w:rPr>
          <w:rFonts w:ascii="Calibri" w:hAnsi="Calibri" w:eastAsia="宋体"/>
          <w:szCs w:val="22"/>
          <w:lang w:eastAsia="zh-CN"/>
        </w:rPr>
      </w:pPr>
    </w:p>
    <w:p w14:paraId="0F61F017">
      <w:pPr>
        <w:widowControl w:val="0"/>
        <w:ind w:firstLine="630" w:firstLineChars="300"/>
        <w:jc w:val="both"/>
        <w:rPr>
          <w:rFonts w:ascii="宋体" w:hAnsi="宋体" w:eastAsia="宋体"/>
          <w:kern w:val="2"/>
          <w:sz w:val="21"/>
          <w:szCs w:val="22"/>
          <w:lang w:eastAsia="zh-CN"/>
        </w:rPr>
      </w:pPr>
      <w:r>
        <w:rPr>
          <w:rFonts w:ascii="Calibri" w:hAnsi="Calibri" w:eastAsia="宋体" w:cstheme="minorBidi"/>
          <w:kern w:val="2"/>
          <w:sz w:val="21"/>
          <w:szCs w:val="22"/>
          <w:lang w:eastAsia="zh-CN"/>
        </w:rPr>
        <w:t xml:space="preserve">  </w:t>
      </w:r>
      <w:r>
        <w:rPr>
          <w:rFonts w:hint="eastAsia" w:ascii="宋体" w:hAnsi="宋体" w:eastAsia="宋体" w:cstheme="minorBidi"/>
          <w:kern w:val="2"/>
          <w:sz w:val="21"/>
          <w:szCs w:val="22"/>
          <w:lang w:eastAsia="zh-CN"/>
        </w:rPr>
        <w:t>………………（根据项目具体情况增加与综合实力评审相关的节点）</w:t>
      </w:r>
    </w:p>
    <w:p w14:paraId="31B126B3">
      <w:pPr>
        <w:widowControl w:val="0"/>
        <w:ind w:firstLine="720" w:firstLineChars="300"/>
        <w:jc w:val="both"/>
        <w:rPr>
          <w:rFonts w:ascii="Calibri" w:hAnsi="Calibri" w:eastAsia="宋体"/>
          <w:kern w:val="2"/>
          <w:szCs w:val="22"/>
          <w:lang w:eastAsia="zh-CN"/>
        </w:rPr>
      </w:pPr>
    </w:p>
    <w:p w14:paraId="38956055">
      <w:pPr>
        <w:spacing w:line="360" w:lineRule="auto"/>
        <w:rPr>
          <w:rFonts w:ascii="Calibri" w:hAnsi="Calibri" w:eastAsia="宋体"/>
          <w:b/>
          <w:bCs/>
          <w:szCs w:val="22"/>
          <w:lang w:eastAsia="zh-CN"/>
        </w:rPr>
      </w:pPr>
    </w:p>
    <w:p w14:paraId="145AFAEB">
      <w:pPr>
        <w:jc w:val="center"/>
        <w:rPr>
          <w:rFonts w:ascii="黑体" w:hAnsi="宋体" w:eastAsia="黑体"/>
          <w:szCs w:val="20"/>
          <w:lang w:eastAsia="zh-CN"/>
        </w:rPr>
      </w:pPr>
      <w:r>
        <w:rPr>
          <w:rFonts w:hint="eastAsia" w:ascii="黑体" w:hAnsi="宋体" w:eastAsia="黑体" w:cstheme="minorBidi"/>
          <w:szCs w:val="20"/>
          <w:lang w:eastAsia="zh-CN"/>
        </w:rPr>
        <w:t>（三）投标人认为需要加以说明的其他内容（格式自定）</w:t>
      </w:r>
    </w:p>
    <w:p w14:paraId="42A4F15C">
      <w:pPr>
        <w:jc w:val="center"/>
        <w:rPr>
          <w:rFonts w:ascii="黑体" w:hAnsi="宋体" w:eastAsia="黑体"/>
          <w:szCs w:val="20"/>
          <w:lang w:eastAsia="zh-CN"/>
        </w:rPr>
      </w:pPr>
    </w:p>
    <w:p w14:paraId="2F40032E">
      <w:pPr>
        <w:widowControl w:val="0"/>
        <w:spacing w:after="60" w:afterLines="25" w:line="300" w:lineRule="auto"/>
        <w:jc w:val="both"/>
        <w:rPr>
          <w:rFonts w:ascii="Arial" w:hAnsi="Arial" w:eastAsia="宋体"/>
          <w:kern w:val="2"/>
          <w:lang w:eastAsia="zh-CN"/>
        </w:rPr>
      </w:pPr>
    </w:p>
    <w:p w14:paraId="20AE23E9">
      <w:pPr>
        <w:widowControl w:val="0"/>
        <w:jc w:val="both"/>
        <w:rPr>
          <w:rFonts w:ascii="Arial" w:hAnsi="Arial" w:eastAsia="宋体"/>
          <w:kern w:val="2"/>
          <w:lang w:eastAsia="zh-CN"/>
        </w:rPr>
      </w:pPr>
      <w:r>
        <w:rPr>
          <w:rFonts w:ascii="Arial" w:hAnsi="Arial" w:eastAsia="宋体"/>
          <w:kern w:val="2"/>
          <w:lang w:eastAsia="zh-CN"/>
        </w:rPr>
        <w:br w:type="page"/>
      </w:r>
    </w:p>
    <w:p w14:paraId="54B38A7E">
      <w:pPr>
        <w:widowControl w:val="0"/>
        <w:spacing w:line="360" w:lineRule="auto"/>
        <w:jc w:val="both"/>
        <w:rPr>
          <w:rFonts w:ascii="Calibri" w:hAnsi="Calibri" w:eastAsia="宋体"/>
          <w:b/>
          <w:bCs/>
          <w:kern w:val="2"/>
          <w:szCs w:val="22"/>
          <w:lang w:eastAsia="zh-CN"/>
        </w:rPr>
      </w:pPr>
    </w:p>
    <w:p w14:paraId="0B69F62B">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14:paraId="4F2E0EFF">
      <w:pPr>
        <w:jc w:val="center"/>
        <w:rPr>
          <w:rFonts w:ascii="宋体" w:hAnsi="宋体" w:eastAsia="黑体"/>
          <w:bCs/>
          <w:kern w:val="44"/>
          <w:sz w:val="28"/>
          <w:szCs w:val="44"/>
          <w:lang w:eastAsia="zh-CN"/>
        </w:rPr>
      </w:pPr>
      <w:bookmarkStart w:id="56" w:name="_Hlk72574405"/>
      <w:r>
        <w:rPr>
          <w:rFonts w:hint="eastAsia" w:ascii="Calibri" w:hAnsi="Calibri" w:eastAsia="宋体" w:cstheme="minorBidi"/>
          <w:b/>
          <w:kern w:val="2"/>
          <w:szCs w:val="22"/>
          <w:lang w:eastAsia="zh-CN"/>
        </w:rPr>
        <w:t>（仅供参考，具体以项目需求及采购结果为准）</w:t>
      </w:r>
      <w:bookmarkEnd w:id="56"/>
    </w:p>
    <w:p w14:paraId="18C2EC80">
      <w:pPr>
        <w:widowControl w:val="0"/>
        <w:snapToGrid w:val="0"/>
        <w:spacing w:line="300" w:lineRule="auto"/>
        <w:jc w:val="center"/>
        <w:rPr>
          <w:rFonts w:ascii="仿宋" w:hAnsi="仿宋" w:eastAsia="仿宋"/>
          <w:kern w:val="2"/>
          <w:sz w:val="28"/>
          <w:szCs w:val="28"/>
          <w:lang w:eastAsia="zh-CN"/>
        </w:rPr>
      </w:pPr>
    </w:p>
    <w:p w14:paraId="67B942A1">
      <w:pPr>
        <w:widowControl w:val="0"/>
        <w:jc w:val="both"/>
        <w:rPr>
          <w:rFonts w:ascii="Calibri" w:hAnsi="Calibri" w:eastAsia="宋体"/>
          <w:kern w:val="2"/>
          <w:sz w:val="21"/>
          <w:szCs w:val="22"/>
          <w:lang w:eastAsia="zh-CN"/>
        </w:rPr>
      </w:pPr>
    </w:p>
    <w:p w14:paraId="33BF7E35">
      <w:pPr>
        <w:widowControl w:val="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采购人：</w:t>
      </w:r>
      <w:r>
        <w:rPr>
          <w:rFonts w:hint="eastAsia" w:ascii="Calibri" w:hAnsi="Calibri" w:eastAsia="宋体" w:cstheme="minorBidi"/>
          <w:kern w:val="2"/>
          <w:sz w:val="21"/>
          <w:szCs w:val="21"/>
          <w:u w:val="single"/>
          <w:lang w:eastAsia="zh-CN"/>
        </w:rPr>
        <w:t xml:space="preserve">           </w:t>
      </w:r>
    </w:p>
    <w:p w14:paraId="2B76D9F1">
      <w:pPr>
        <w:widowControl w:val="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供应商：</w:t>
      </w:r>
      <w:r>
        <w:rPr>
          <w:rFonts w:hint="eastAsia" w:ascii="Calibri" w:hAnsi="Calibri" w:eastAsia="宋体" w:cstheme="minorBidi"/>
          <w:kern w:val="2"/>
          <w:sz w:val="21"/>
          <w:szCs w:val="21"/>
          <w:u w:val="single"/>
          <w:lang w:eastAsia="zh-CN"/>
        </w:rPr>
        <w:t xml:space="preserve">           </w:t>
      </w:r>
    </w:p>
    <w:p w14:paraId="18BE2DAC">
      <w:pPr>
        <w:widowControl w:val="0"/>
        <w:rPr>
          <w:rFonts w:ascii="Calibri" w:hAnsi="Calibri" w:eastAsia="宋体"/>
          <w:kern w:val="2"/>
          <w:szCs w:val="22"/>
          <w:lang w:eastAsia="zh-CN"/>
        </w:rPr>
      </w:pPr>
    </w:p>
    <w:p w14:paraId="51D471E8">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根据深圳市</w:t>
      </w:r>
      <w:r>
        <w:rPr>
          <w:rFonts w:hint="eastAsia" w:ascii="宋体" w:hAnsi="宋体" w:eastAsia="宋体" w:cs="宋体"/>
          <w:kern w:val="2"/>
          <w:sz w:val="21"/>
          <w:szCs w:val="21"/>
          <w:lang w:eastAsia="zh-CN"/>
        </w:rPr>
        <w:t>****</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号采购项目的投标结果，由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单位为中标方。按照有关规定，经深圳市</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（以下简称甲方）和</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单位（以下简称乙方）协商，达成以下合同条款：</w:t>
      </w:r>
    </w:p>
    <w:p w14:paraId="093C30A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第一条  合同标的</w:t>
      </w:r>
    </w:p>
    <w:p w14:paraId="48C52B5B">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乙方根据甲方需求提供下列货物：</w:t>
      </w:r>
    </w:p>
    <w:p w14:paraId="77CAC326">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货物名称、规格及数量详见</w:t>
      </w:r>
      <w:r>
        <w:rPr>
          <w:rFonts w:hint="eastAsia" w:ascii="Calibri" w:hAnsi="Calibri" w:eastAsia="宋体" w:cstheme="minorBidi"/>
          <w:b/>
          <w:kern w:val="2"/>
          <w:sz w:val="21"/>
          <w:szCs w:val="21"/>
          <w:u w:val="single"/>
          <w:lang w:eastAsia="zh-CN"/>
        </w:rPr>
        <w:t xml:space="preserve">                  </w:t>
      </w:r>
      <w:r>
        <w:rPr>
          <w:rFonts w:hint="eastAsia" w:ascii="Calibri" w:hAnsi="Calibri" w:eastAsia="宋体" w:cstheme="minorBidi"/>
          <w:kern w:val="2"/>
          <w:sz w:val="21"/>
          <w:szCs w:val="21"/>
          <w:lang w:eastAsia="zh-CN"/>
        </w:rPr>
        <w:t>。</w:t>
      </w:r>
    </w:p>
    <w:p w14:paraId="5FAFDE4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第二条  合同价款</w:t>
      </w:r>
    </w:p>
    <w:p w14:paraId="1DDCB2E3">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本合同项下总价款为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（大写）人民币，分项价款详见</w:t>
      </w:r>
      <w:r>
        <w:rPr>
          <w:rFonts w:hint="eastAsia" w:ascii="Calibri" w:hAnsi="Calibri" w:eastAsia="宋体" w:cstheme="minorBidi"/>
          <w:b/>
          <w:kern w:val="2"/>
          <w:sz w:val="21"/>
          <w:szCs w:val="21"/>
          <w:u w:val="single"/>
          <w:lang w:eastAsia="zh-CN"/>
        </w:rPr>
        <w:t xml:space="preserve">          </w:t>
      </w:r>
      <w:r>
        <w:rPr>
          <w:rFonts w:hint="eastAsia" w:ascii="Calibri" w:hAnsi="Calibri" w:eastAsia="宋体" w:cstheme="minorBidi"/>
          <w:kern w:val="2"/>
          <w:sz w:val="21"/>
          <w:szCs w:val="21"/>
          <w:lang w:eastAsia="zh-CN"/>
        </w:rPr>
        <w:t>。本合同总价款已包括乙方为履行本合同义务所发生的一切费用，系固定不变价格，且不随通货膨胀的影响而波动。</w:t>
      </w:r>
    </w:p>
    <w:p w14:paraId="21211194">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第三条  权利保证</w:t>
      </w:r>
    </w:p>
    <w:p w14:paraId="7A015DA4">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38BD7A16">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第四条  质量保证</w:t>
      </w:r>
    </w:p>
    <w:p w14:paraId="514321E3">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1、乙方所提供的货物的技术规格符合采购文件规定的技术规格，货物符合中华人民共和国的设计和制造生产标准或行业标准。</w:t>
      </w:r>
    </w:p>
    <w:p w14:paraId="69F508AD">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2、乙方应保证货物是全新、未使用过的原装合格正品（包括零部件），并完全符合甲方要求的质量、规格和性能的要求。如货物安装或配置了软件的，乙方保证相关软件均为正版软件。</w:t>
      </w:r>
    </w:p>
    <w:p w14:paraId="60F0495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3、乙方保证交货时一并提供货物的质量合格凭证或文件。</w:t>
      </w:r>
    </w:p>
    <w:p w14:paraId="1BA6C7E0">
      <w:pPr>
        <w:widowControl w:val="0"/>
        <w:spacing w:line="360" w:lineRule="auto"/>
        <w:rPr>
          <w:rFonts w:ascii="宋体" w:hAnsi="宋体" w:eastAsia="宋体"/>
          <w:kern w:val="2"/>
          <w:sz w:val="21"/>
          <w:szCs w:val="21"/>
          <w:lang w:eastAsia="zh-CN"/>
        </w:rPr>
      </w:pPr>
    </w:p>
    <w:p w14:paraId="4DFB648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第五条  交货和验收</w:t>
      </w:r>
    </w:p>
    <w:p w14:paraId="128C2AC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1、乙方应按照本合同或招投标文件规定的时间和方式向甲方交付货物，交货地点由甲方指定。因交货产生的费用由乙方自行承担。</w:t>
      </w:r>
    </w:p>
    <w:p w14:paraId="20F0AC3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2、乙方交付的货物应当完全符合招投标文件所规定的货物、数量、质量和规格要求。乙方提供的货物不符合招投标文件和合同规定的，甲方有权拒收货物，由此引起的风险，由乙方承担。</w:t>
      </w:r>
    </w:p>
    <w:p w14:paraId="21FF90E9">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57339348">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4、甲方应当在到货后的</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个工作日内对货物进行验收；需要乙方对货物或系统进行安装调试的，甲方应在货物安装调试完毕后的</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个工作日内进行质量验收。</w:t>
      </w:r>
    </w:p>
    <w:p w14:paraId="2B05B43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第六条  保修及其他服务</w:t>
      </w:r>
    </w:p>
    <w:p w14:paraId="7E49938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1、乙方应按照国家有关法律法规规章和“三包”规定和采购文件的要求及乙方在投标文件的相关承诺提供保修及其他服务。</w:t>
      </w:r>
    </w:p>
    <w:p w14:paraId="46C2BB8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保修期内，乙方负责对其提供的货物进行维修和系统维护，不再收取任何费用。</w:t>
      </w:r>
      <w:r>
        <w:rPr>
          <w:rFonts w:hint="eastAsia" w:ascii="宋体" w:hAnsi="宋体" w:eastAsia="宋体" w:cstheme="minorBidi"/>
          <w:kern w:val="2"/>
          <w:sz w:val="21"/>
          <w:szCs w:val="21"/>
          <w:lang w:eastAsia="zh-CN"/>
        </w:rPr>
        <w:t>所有货物保修服务方式均为乙方上门保修，即由乙方派员到货物使用现场维修，由此产生的一切费用均由乙方承担。保修期后的货物维护另行协商。</w:t>
      </w:r>
    </w:p>
    <w:p w14:paraId="3707D7A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第七条  履约保证金</w:t>
      </w:r>
    </w:p>
    <w:p w14:paraId="7C13D89F">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1、乙方应在签订本合同之日，向甲方或甲方指定的机构提交履约保证金_________元。</w:t>
      </w:r>
    </w:p>
    <w:p w14:paraId="6DEAF83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2、如乙方未能履行合同规定的义务，甲方有权从履约保证金中取得补偿。</w:t>
      </w:r>
    </w:p>
    <w:p w14:paraId="651BA7E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3、甲方在乙方履行完毕本合同项下全部义务后______天内无息退还乙方。</w:t>
      </w:r>
    </w:p>
    <w:p w14:paraId="095137D5">
      <w:pPr>
        <w:widowControl w:val="0"/>
        <w:spacing w:line="360" w:lineRule="auto"/>
        <w:ind w:firstLine="560"/>
        <w:rPr>
          <w:rFonts w:ascii="宋体" w:hAnsi="宋体" w:eastAsia="宋体"/>
          <w:kern w:val="2"/>
          <w:sz w:val="21"/>
          <w:szCs w:val="21"/>
          <w:lang w:eastAsia="zh-CN"/>
        </w:rPr>
      </w:pPr>
    </w:p>
    <w:p w14:paraId="4C72FD4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第八条   付款方式</w:t>
      </w:r>
    </w:p>
    <w:p w14:paraId="4E542FCE">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按照招标文件规定的付款方式进行支付。</w:t>
      </w:r>
    </w:p>
    <w:p w14:paraId="044231EC">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第九条    违约责任</w:t>
      </w:r>
    </w:p>
    <w:p w14:paraId="62AE832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１、甲方无正当理由拒收货物、拒付货物款的，由甲方向乙方偿付合同总价的【】%违约金。</w:t>
      </w:r>
    </w:p>
    <w:p w14:paraId="6A846B5D">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２、甲方未按合同规定的期限向乙方支付货款的，每逾期1天甲方向乙方偿付欠款总额的【】‰滞纳金，但累计滞纳金总额不超过欠款总额的【】% 。</w:t>
      </w:r>
    </w:p>
    <w:p w14:paraId="3A299A6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３、</w:t>
      </w:r>
      <w:r>
        <w:rPr>
          <w:rFonts w:ascii="宋体" w:hAnsi="宋体" w:eastAsia="宋体" w:cstheme="minorBidi"/>
          <w:kern w:val="2"/>
          <w:sz w:val="21"/>
          <w:szCs w:val="21"/>
          <w:lang w:eastAsia="zh-CN"/>
        </w:rPr>
        <w:t>乙方逾期交付货物的，每逾期1天，乙方向甲方偿付逾期交货部分货款总额的</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‰的滞纳金</w:t>
      </w:r>
      <w:r>
        <w:rPr>
          <w:rFonts w:hint="eastAsia" w:ascii="宋体" w:hAnsi="宋体" w:eastAsia="宋体" w:cstheme="minorBidi"/>
          <w:kern w:val="2"/>
          <w:sz w:val="21"/>
          <w:szCs w:val="21"/>
          <w:lang w:eastAsia="zh-CN"/>
        </w:rPr>
        <w:t>。如乙方逾期交货达</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天，甲方有权解除合同，履约保证金不予退回，同时乙方应向甲方支付合同总价【】％的违约金。</w:t>
      </w:r>
    </w:p>
    <w:p w14:paraId="1BA8A13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4、乙方所交付的货物品种、型号、规格不符合合同规定的，甲方有权拒收。甲方拒收的，乙方应向甲方支付货款总额【】%的违约金。</w:t>
      </w:r>
    </w:p>
    <w:p w14:paraId="0306601C">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5、在乙方承诺的或国家规定的质量保证期内（取两者中最长的期限），</w:t>
      </w:r>
      <w:r>
        <w:rPr>
          <w:rFonts w:ascii="宋体" w:hAnsi="宋体" w:eastAsia="宋体" w:cstheme="minorBidi"/>
          <w:kern w:val="2"/>
          <w:sz w:val="21"/>
          <w:szCs w:val="21"/>
          <w:lang w:eastAsia="zh-CN"/>
        </w:rPr>
        <w:t>如经乙方两次维修</w:t>
      </w:r>
      <w:r>
        <w:rPr>
          <w:rFonts w:hint="eastAsia" w:ascii="宋体" w:hAnsi="宋体" w:eastAsia="宋体" w:cstheme="minorBidi"/>
          <w:kern w:val="2"/>
          <w:sz w:val="21"/>
          <w:szCs w:val="21"/>
          <w:lang w:eastAsia="zh-CN"/>
        </w:rPr>
        <w:t>或更换</w:t>
      </w:r>
      <w:r>
        <w:rPr>
          <w:rFonts w:ascii="宋体" w:hAnsi="宋体" w:eastAsia="宋体" w:cstheme="minorBidi"/>
          <w:kern w:val="2"/>
          <w:sz w:val="21"/>
          <w:szCs w:val="21"/>
          <w:lang w:eastAsia="zh-CN"/>
        </w:rPr>
        <w:t>，货物仍不能达到合同约定</w:t>
      </w:r>
      <w:r>
        <w:rPr>
          <w:rFonts w:hint="eastAsia" w:ascii="宋体" w:hAnsi="宋体" w:eastAsia="宋体" w:cstheme="minorBidi"/>
          <w:kern w:val="2"/>
          <w:sz w:val="21"/>
          <w:szCs w:val="21"/>
          <w:lang w:eastAsia="zh-CN"/>
        </w:rPr>
        <w:t>的</w:t>
      </w:r>
      <w:r>
        <w:rPr>
          <w:rFonts w:ascii="宋体" w:hAnsi="宋体" w:eastAsia="宋体" w:cstheme="minorBidi"/>
          <w:kern w:val="2"/>
          <w:sz w:val="21"/>
          <w:szCs w:val="21"/>
          <w:lang w:eastAsia="zh-CN"/>
        </w:rPr>
        <w:t>质量标准，甲方有权退货，乙方</w:t>
      </w:r>
      <w:r>
        <w:rPr>
          <w:rFonts w:hint="eastAsia" w:ascii="宋体" w:hAnsi="宋体" w:eastAsia="宋体" w:cstheme="minorBidi"/>
          <w:kern w:val="2"/>
          <w:sz w:val="21"/>
          <w:szCs w:val="21"/>
          <w:lang w:eastAsia="zh-CN"/>
        </w:rPr>
        <w:t>应</w:t>
      </w:r>
      <w:r>
        <w:rPr>
          <w:rFonts w:ascii="宋体" w:hAnsi="宋体" w:eastAsia="宋体" w:cstheme="minorBidi"/>
          <w:kern w:val="2"/>
          <w:sz w:val="21"/>
          <w:szCs w:val="21"/>
          <w:lang w:eastAsia="zh-CN"/>
        </w:rPr>
        <w:t>退回全部货款</w:t>
      </w:r>
      <w:r>
        <w:rPr>
          <w:rFonts w:hint="eastAsia" w:ascii="宋体" w:hAnsi="宋体" w:eastAsia="宋体" w:cstheme="minorBidi"/>
          <w:kern w:val="2"/>
          <w:sz w:val="21"/>
          <w:szCs w:val="21"/>
          <w:lang w:eastAsia="zh-CN"/>
        </w:rPr>
        <w:t>并</w:t>
      </w:r>
      <w:r>
        <w:rPr>
          <w:rFonts w:ascii="宋体" w:hAnsi="宋体" w:eastAsia="宋体" w:cstheme="minorBidi"/>
          <w:kern w:val="2"/>
          <w:sz w:val="21"/>
          <w:szCs w:val="21"/>
          <w:lang w:eastAsia="zh-CN"/>
        </w:rPr>
        <w:t>赔偿甲方因此遭受的损失。</w:t>
      </w:r>
    </w:p>
    <w:p w14:paraId="564AB878">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6、乙方未履行本合同项下的其他义务或违反其在投标文件中的相关承诺的，应按合同总价款的【】%向甲方承担违约责任。</w:t>
      </w:r>
    </w:p>
    <w:p w14:paraId="768470F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7、乙方在承担上述一项或多项违约责任后，仍应继续履行合同规定的义务（甲方解除合同的除外）。甲方未能及时追究乙方的任何一项违约责任并不表明甲方放弃追究乙方该项或其他违约责任。</w:t>
      </w:r>
    </w:p>
    <w:p w14:paraId="7502CD98">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第十条    合同的变更和终止</w:t>
      </w:r>
    </w:p>
    <w:p w14:paraId="6D956578">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除《中华人民共和国政府采购法》第４９条、第５０条第二款规定的情形外，本合同一经签订，甲乙双方不得擅自变更、中止或终止合同。</w:t>
      </w:r>
    </w:p>
    <w:p w14:paraId="053D05A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第十一条   争议的解决</w:t>
      </w:r>
    </w:p>
    <w:p w14:paraId="13EC634C">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1、因货物的质量问题发生争议的，应当邀请国家认可的质量检测机构对货物质量进行鉴定。货物符合标准的，鉴定费由甲方承担；货物不符合质量标准的，鉴定费由乙方承担。</w:t>
      </w:r>
    </w:p>
    <w:p w14:paraId="5E095D3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2、因履行本合同引起的或与本合同有关的争议，甲、乙双方应首先通过友好协商解决，如果协商不能解决争议，则向甲方所在地有管辖权的人民法院提起诉讼；</w:t>
      </w:r>
    </w:p>
    <w:p w14:paraId="20D346B1">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第十二条   合同生效及其他</w:t>
      </w:r>
    </w:p>
    <w:p w14:paraId="47BF9DF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1、下列文件均为本合同的重要组成部分：</w:t>
      </w:r>
    </w:p>
    <w:p w14:paraId="43B4DA9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（1）本项目的采购文件、答疑及补充通知；</w:t>
      </w:r>
    </w:p>
    <w:p w14:paraId="261F1CA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（2）本项目中标的投标文件；</w:t>
      </w:r>
    </w:p>
    <w:p w14:paraId="0A28FCE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（3）本合同执行中共同签署的补充与修正文件。</w:t>
      </w:r>
    </w:p>
    <w:p w14:paraId="0C83A9A5">
      <w:pPr>
        <w:widowControl w:val="0"/>
        <w:spacing w:line="360" w:lineRule="auto"/>
        <w:jc w:val="both"/>
        <w:rPr>
          <w:rFonts w:ascii="Calibri" w:hAnsi="Calibri" w:eastAsia="宋体"/>
          <w:b/>
          <w:bCs/>
          <w:kern w:val="2"/>
          <w:szCs w:val="22"/>
          <w:lang w:eastAsia="zh-CN"/>
        </w:rPr>
      </w:pPr>
      <w:r>
        <w:rPr>
          <w:rFonts w:hint="eastAsia" w:ascii="Calibri" w:hAnsi="Calibri" w:eastAsia="宋体" w:cstheme="minorBidi"/>
          <w:b/>
          <w:bCs/>
          <w:kern w:val="2"/>
          <w:szCs w:val="22"/>
          <w:lang w:eastAsia="zh-CN"/>
        </w:rPr>
        <w:t xml:space="preserve">   </w:t>
      </w:r>
      <w:r>
        <w:rPr>
          <w:rFonts w:hint="eastAsia" w:ascii="宋体" w:hAnsi="宋体" w:eastAsia="宋体" w:cstheme="minorBidi"/>
          <w:bCs/>
          <w:kern w:val="2"/>
          <w:sz w:val="21"/>
          <w:szCs w:val="21"/>
          <w:lang w:eastAsia="zh-CN"/>
        </w:rPr>
        <w:t xml:space="preserve"> 以上文件互为补充，如果出现内容冲突的情况，为准的优先顺序为（2）、（1）、（3）。</w:t>
      </w:r>
    </w:p>
    <w:p w14:paraId="5B2E5E45">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2、本合同一式___份，甲、乙方双方各执份，具有同等法律效力。本合同自双方法人代表签字（盖章）认可之日起生效。</w:t>
      </w:r>
    </w:p>
    <w:p w14:paraId="5B1C026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3、本合同未尽事宜，双方友好协商，达成解决方案，经双方签字后，可作为本合同的有效附件。</w:t>
      </w:r>
    </w:p>
    <w:p w14:paraId="7D067CD7">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本合同未尽事宜，双方友好协商，达成解决方案，经双方签字后，可作为本合同的有效附件。</w:t>
      </w:r>
    </w:p>
    <w:p w14:paraId="1900B1E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甲方（采购人）：   （盖章）       乙方（供应商）：    （盖章）</w:t>
      </w:r>
    </w:p>
    <w:p w14:paraId="0C342E9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法定代表人：                     法定代表人： </w:t>
      </w:r>
    </w:p>
    <w:p w14:paraId="2A225C9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委托代理人：                     委托代理人：</w:t>
      </w:r>
    </w:p>
    <w:p w14:paraId="4D72A0B7">
      <w:pPr>
        <w:widowControl w:val="0"/>
        <w:ind w:firstLine="525" w:firstLineChars="25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日期：   年     月    日         日期：   年     月    日</w:t>
      </w:r>
    </w:p>
    <w:p w14:paraId="142623C3">
      <w:pPr>
        <w:widowControl w:val="0"/>
        <w:spacing w:line="360" w:lineRule="auto"/>
        <w:jc w:val="both"/>
        <w:rPr>
          <w:rFonts w:ascii="Calibri" w:hAnsi="Calibri" w:eastAsia="宋体"/>
          <w:b/>
          <w:bCs/>
          <w:kern w:val="2"/>
          <w:szCs w:val="22"/>
          <w:lang w:eastAsia="zh-CN"/>
        </w:rPr>
      </w:pPr>
    </w:p>
    <w:p w14:paraId="77769FDC">
      <w:pPr>
        <w:widowControl w:val="0"/>
        <w:jc w:val="both"/>
        <w:rPr>
          <w:rFonts w:ascii="Calibri" w:hAnsi="Calibri" w:eastAsia="宋体"/>
          <w:kern w:val="2"/>
          <w:sz w:val="21"/>
          <w:szCs w:val="22"/>
          <w:lang w:eastAsia="zh-CN"/>
        </w:rPr>
      </w:pPr>
    </w:p>
    <w:p w14:paraId="526BA511">
      <w:pPr>
        <w:rPr>
          <w:rFonts w:ascii="Arial" w:hAnsi="Arial" w:eastAsia="宋体"/>
          <w:color w:val="FF0000"/>
          <w:kern w:val="2"/>
          <w:sz w:val="21"/>
          <w:lang w:eastAsia="zh-CN"/>
        </w:rPr>
      </w:pPr>
    </w:p>
    <w:p w14:paraId="72CD00D8">
      <w:pPr>
        <w:rPr>
          <w:rFonts w:ascii="宋体" w:hAnsi="宋体" w:eastAsia="黑体"/>
          <w:b/>
          <w:bCs/>
          <w:color w:val="0000FF"/>
          <w:kern w:val="44"/>
          <w:sz w:val="36"/>
          <w:szCs w:val="44"/>
          <w:lang w:eastAsia="zh-CN"/>
        </w:rPr>
      </w:pPr>
      <w:r>
        <w:rPr>
          <w:rFonts w:ascii="宋体" w:hAnsi="宋体" w:eastAsia="黑体"/>
          <w:b/>
          <w:bCs/>
          <w:color w:val="0000FF"/>
          <w:kern w:val="44"/>
          <w:sz w:val="36"/>
          <w:szCs w:val="44"/>
          <w:lang w:eastAsia="zh-CN"/>
        </w:rPr>
        <w:br w:type="page"/>
      </w:r>
    </w:p>
    <w:p w14:paraId="76ADF472">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250FA26B">
      <w:pPr>
        <w:keepNext/>
        <w:keepLines/>
        <w:widowControl w:val="0"/>
        <w:numPr>
          <w:ilvl w:val="0"/>
          <w:numId w:val="5"/>
        </w:numPr>
        <w:tabs>
          <w:tab w:val="left" w:pos="720"/>
        </w:tabs>
        <w:adjustRightInd w:val="0"/>
        <w:spacing w:before="120" w:beforeLines="50" w:after="120" w:afterLines="50"/>
        <w:jc w:val="center"/>
        <w:textAlignment w:val="baseline"/>
        <w:outlineLvl w:val="1"/>
        <w:rPr>
          <w:rFonts w:ascii="Cambria" w:hAnsi="Cambria" w:eastAsia="宋体"/>
          <w:b/>
          <w:bCs/>
          <w:kern w:val="2"/>
          <w:sz w:val="28"/>
          <w:szCs w:val="28"/>
          <w:lang w:eastAsia="zh-CN"/>
        </w:rPr>
      </w:pPr>
      <w:bookmarkStart w:id="57" w:name="_Hlk72399513"/>
      <w:r>
        <w:rPr>
          <w:rFonts w:hint="eastAsia" w:ascii="Cambria" w:hAnsi="Cambria" w:eastAsia="宋体" w:cstheme="majorBidi"/>
          <w:b/>
          <w:bCs/>
          <w:kern w:val="2"/>
          <w:sz w:val="28"/>
          <w:szCs w:val="28"/>
          <w:lang w:eastAsia="zh-CN"/>
        </w:rPr>
        <w:t>总则</w:t>
      </w:r>
    </w:p>
    <w:bookmarkEnd w:id="57"/>
    <w:p w14:paraId="2D511FEA">
      <w:pPr>
        <w:widowControl w:val="0"/>
        <w:jc w:val="both"/>
        <w:rPr>
          <w:rFonts w:ascii="黑体" w:hAnsi="宋体" w:eastAsia="黑体"/>
          <w:kern w:val="2"/>
          <w:szCs w:val="22"/>
          <w:lang w:eastAsia="zh-CN"/>
        </w:rPr>
      </w:pPr>
      <w:bookmarkStart w:id="58" w:name="_Hlk72439706"/>
      <w:r>
        <w:rPr>
          <w:rFonts w:hint="eastAsia" w:ascii="黑体" w:hAnsi="宋体" w:eastAsia="黑体" w:cstheme="minorBidi"/>
          <w:kern w:val="2"/>
          <w:szCs w:val="22"/>
          <w:lang w:eastAsia="zh-CN"/>
        </w:rPr>
        <w:t>1. 通用条款说明</w:t>
      </w:r>
    </w:p>
    <w:p w14:paraId="332AAF3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1.1政府集中采购机构发出招标文件通用条款版本，列出深圳市政府采购项目进行招标采购所适用的通用条款内容。</w:t>
      </w:r>
      <w:bookmarkStart w:id="59" w:name="_Hlk72399729"/>
      <w:r>
        <w:rPr>
          <w:rFonts w:hint="eastAsia" w:ascii="宋体" w:hAnsi="宋体" w:eastAsia="宋体" w:cstheme="minorBidi"/>
          <w:kern w:val="2"/>
          <w:sz w:val="21"/>
          <w:szCs w:val="21"/>
          <w:lang w:eastAsia="zh-CN"/>
        </w:rPr>
        <w:t>如有需要，政府集中采购机构可以对通用条款的内容进行补充。</w:t>
      </w:r>
      <w:bookmarkEnd w:id="59"/>
    </w:p>
    <w:p w14:paraId="3028A6B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1.2招标文件分为第一册“专用条款”和第二册“通用条款”。</w:t>
      </w:r>
    </w:p>
    <w:p w14:paraId="5B4DB08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1.3“专用条款”是对本次采购项目的具体要求，包含招标公告、对通用条款的补充内容及其他关键信息、用户需求书、投标文件格式及附件、合同条款及格式等内容。</w:t>
      </w:r>
    </w:p>
    <w:p w14:paraId="429DD7E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1.4“通用条款”是适用于政府采购公开招标项目的基础性条款，具有普遍性和通用性。</w:t>
      </w:r>
    </w:p>
    <w:p w14:paraId="0775738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1.5 “专用条款”和“通用条款”表述不一致或有冲突时，以“专用条款”为准。</w:t>
      </w:r>
    </w:p>
    <w:p w14:paraId="33543FB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w:t>
      </w:r>
      <w:r>
        <w:rPr>
          <w:rFonts w:ascii="黑体" w:hAnsi="宋体" w:eastAsia="黑体" w:cstheme="minorBidi"/>
          <w:kern w:val="2"/>
          <w:szCs w:val="22"/>
          <w:lang w:eastAsia="zh-CN"/>
        </w:rPr>
        <w:t>．</w:t>
      </w:r>
      <w:r>
        <w:rPr>
          <w:rFonts w:hint="eastAsia" w:ascii="黑体" w:hAnsi="宋体" w:eastAsia="黑体" w:cstheme="minorBidi"/>
          <w:kern w:val="2"/>
          <w:szCs w:val="22"/>
          <w:lang w:eastAsia="zh-CN"/>
        </w:rPr>
        <w:t>招标说明</w:t>
      </w:r>
    </w:p>
    <w:p w14:paraId="604E6A6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本项目参照《深圳经济特区政府采购条例》、《深圳经济特区政府采购条例实施细则》及政府采购其他法律法规，通过公开招标方式确定中标供应商。</w:t>
      </w:r>
    </w:p>
    <w:p w14:paraId="161C8DE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3．定义</w:t>
      </w:r>
    </w:p>
    <w:p w14:paraId="0459A667">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招标文件中下列术语应解释为：</w:t>
      </w:r>
    </w:p>
    <w:p w14:paraId="04BD430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“采购人”：指利用财政性资金依法进行政府采购的国家机关、事业单位、团体组织；</w:t>
      </w:r>
      <w:r>
        <w:rPr>
          <w:rFonts w:ascii="宋体" w:hAnsi="宋体" w:eastAsia="宋体" w:cstheme="minorBidi"/>
          <w:kern w:val="2"/>
          <w:sz w:val="21"/>
          <w:szCs w:val="21"/>
          <w:lang w:eastAsia="zh-CN"/>
        </w:rPr>
        <w:t xml:space="preserve"> </w:t>
      </w:r>
    </w:p>
    <w:p w14:paraId="64B6278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是指市政府设立的，组织实施政府采购项目，并对政府采购活动提供服务的专门机构；</w:t>
      </w:r>
      <w:r>
        <w:rPr>
          <w:rFonts w:hint="eastAsia" w:ascii="宋体" w:hAnsi="宋体" w:eastAsia="宋体" w:cstheme="minorBidi"/>
          <w:kern w:val="2"/>
          <w:sz w:val="21"/>
          <w:szCs w:val="21"/>
          <w:lang w:eastAsia="zh-CN"/>
        </w:rPr>
        <w:t>本文件所述的“政府集中采购机构”</w:t>
      </w:r>
      <w:r>
        <w:rPr>
          <w:rFonts w:ascii="宋体" w:hAnsi="宋体" w:eastAsia="宋体" w:cstheme="minorBidi"/>
          <w:kern w:val="2"/>
          <w:sz w:val="21"/>
          <w:szCs w:val="21"/>
          <w:lang w:eastAsia="zh-CN"/>
        </w:rPr>
        <w:t>指</w:t>
      </w:r>
      <w:r>
        <w:rPr>
          <w:rFonts w:hint="eastAsia" w:ascii="宋体" w:hAnsi="宋体" w:eastAsia="宋体" w:cstheme="minorBidi"/>
          <w:b/>
          <w:bCs/>
          <w:kern w:val="2"/>
          <w:sz w:val="21"/>
          <w:szCs w:val="21"/>
          <w:lang w:eastAsia="zh-CN"/>
        </w:rPr>
        <w:t>深圳公共资源交易中心</w:t>
      </w:r>
      <w:r>
        <w:rPr>
          <w:rFonts w:hint="eastAsia" w:ascii="宋体" w:hAnsi="宋体" w:eastAsia="宋体" w:cstheme="minorBidi"/>
          <w:kern w:val="2"/>
          <w:sz w:val="21"/>
          <w:szCs w:val="21"/>
          <w:lang w:eastAsia="zh-CN"/>
        </w:rPr>
        <w:t>；</w:t>
      </w:r>
    </w:p>
    <w:p w14:paraId="6975635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3.3“投标人”，即供应商，指参加投标竞争并愿意按照招标文件要求向采购人提供货物、工程或者服务的依法成立的法人、其他组织或者自然人；</w:t>
      </w:r>
    </w:p>
    <w:p w14:paraId="456501D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3.4“评审委员会”是依据《深圳经济特区政府采购条例》、《深圳经济特区政府采购条例实施细则》等有关规定组建的专门负责本次招标其评审工作的临时性机构；</w:t>
      </w:r>
    </w:p>
    <w:p w14:paraId="07B690C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3.5“日期”</w:t>
      </w:r>
      <w:r>
        <w:rPr>
          <w:rFonts w:ascii="宋体" w:hAnsi="宋体" w:eastAsia="宋体" w:cstheme="minorBidi"/>
          <w:kern w:val="2"/>
          <w:sz w:val="21"/>
          <w:szCs w:val="21"/>
          <w:lang w:eastAsia="zh-CN"/>
        </w:rPr>
        <w:t>指</w:t>
      </w:r>
      <w:r>
        <w:rPr>
          <w:rFonts w:hint="eastAsia" w:ascii="宋体" w:hAnsi="宋体" w:eastAsia="宋体" w:cstheme="minorBidi"/>
          <w:kern w:val="2"/>
          <w:sz w:val="21"/>
          <w:szCs w:val="21"/>
          <w:lang w:eastAsia="zh-CN"/>
        </w:rPr>
        <w:t>公历日；</w:t>
      </w:r>
    </w:p>
    <w:p w14:paraId="31173AD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3.6“合同”指由本次招标所产生的合同或合约文件；</w:t>
      </w:r>
    </w:p>
    <w:p w14:paraId="77ACAB5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3.7“电子投标文件”指利用</w:t>
      </w:r>
      <w:r>
        <w:rPr>
          <w:rFonts w:hint="eastAsia" w:ascii="宋体" w:hAnsi="宋体" w:eastAsia="宋体" w:cstheme="minorBidi"/>
          <w:b/>
          <w:bCs/>
          <w:color w:val="FF0000"/>
          <w:kern w:val="2"/>
          <w:sz w:val="21"/>
          <w:szCs w:val="21"/>
          <w:lang w:eastAsia="zh-CN"/>
        </w:rPr>
        <w:t>深圳公共资源交易中心（深圳交易集团有限公司龙华分公司）</w:t>
      </w:r>
      <w:r>
        <w:rPr>
          <w:rFonts w:hint="eastAsia" w:ascii="宋体" w:hAnsi="宋体" w:eastAsia="宋体" w:cstheme="minorBidi"/>
          <w:kern w:val="2"/>
          <w:sz w:val="21"/>
          <w:szCs w:val="21"/>
          <w:lang w:eastAsia="zh-CN"/>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2911633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3.8“网上投标”指通过</w:t>
      </w:r>
      <w:r>
        <w:rPr>
          <w:rFonts w:hint="eastAsia" w:ascii="宋体" w:hAnsi="宋体" w:eastAsia="宋体" w:cstheme="minorBidi"/>
          <w:b/>
          <w:bCs/>
          <w:color w:val="FF0000"/>
          <w:kern w:val="2"/>
          <w:sz w:val="21"/>
          <w:szCs w:val="21"/>
          <w:lang w:eastAsia="zh-CN"/>
        </w:rPr>
        <w:t>深圳公共资源交易中心（深圳交易集团有限公司龙华分公司）</w:t>
      </w:r>
      <w:r>
        <w:rPr>
          <w:rFonts w:hint="eastAsia" w:ascii="宋体" w:hAnsi="宋体" w:eastAsia="宋体" w:cstheme="minorBidi"/>
          <w:kern w:val="2"/>
          <w:sz w:val="21"/>
          <w:szCs w:val="21"/>
          <w:lang w:eastAsia="zh-CN"/>
        </w:rPr>
        <w:t>网站上传电子投标文件；</w:t>
      </w:r>
    </w:p>
    <w:p w14:paraId="77B4FF2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3.9招标文件中的标题或题名仅起引导作用，而不应视为对招标文件内容的理解和解释。</w:t>
      </w:r>
    </w:p>
    <w:p w14:paraId="11920AA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 xml:space="preserve">4. </w:t>
      </w:r>
      <w:bookmarkStart w:id="60" w:name="_Hlk72398643"/>
      <w:r>
        <w:rPr>
          <w:rFonts w:hint="eastAsia" w:ascii="黑体" w:hAnsi="宋体" w:eastAsia="黑体" w:cstheme="minorBidi"/>
          <w:kern w:val="2"/>
          <w:szCs w:val="22"/>
          <w:lang w:eastAsia="zh-CN"/>
        </w:rPr>
        <w:t>政府采购供应商责任</w:t>
      </w:r>
    </w:p>
    <w:p w14:paraId="60A5975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4.1欢迎诚信、有实力和有社会责任心的供应商参与政府采购事业。</w:t>
      </w:r>
    </w:p>
    <w:p w14:paraId="6585824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5FE0A21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5．投标人参加政府采购的条件</w:t>
      </w:r>
    </w:p>
    <w:p w14:paraId="29B39EE1">
      <w:pPr>
        <w:widowControl w:val="0"/>
        <w:ind w:firstLine="411" w:firstLineChars="196"/>
        <w:rPr>
          <w:rFonts w:ascii="宋体" w:hAnsi="宋体" w:eastAsia="宋体"/>
          <w:kern w:val="2"/>
          <w:sz w:val="21"/>
          <w:szCs w:val="21"/>
          <w:lang w:eastAsia="zh-CN"/>
        </w:rPr>
      </w:pPr>
      <w:r>
        <w:rPr>
          <w:rFonts w:hint="eastAsia" w:ascii="宋体" w:hAnsi="宋体" w:eastAsia="宋体" w:cstheme="minorBidi"/>
          <w:kern w:val="2"/>
          <w:sz w:val="21"/>
          <w:szCs w:val="21"/>
          <w:lang w:eastAsia="zh-CN"/>
        </w:rPr>
        <w:t>5.1投标人应在投标前到</w:t>
      </w:r>
      <w:r>
        <w:rPr>
          <w:rFonts w:hint="eastAsia" w:ascii="宋体" w:hAnsi="宋体" w:eastAsia="宋体" w:cstheme="minorBidi"/>
          <w:b/>
          <w:bCs/>
          <w:kern w:val="2"/>
          <w:sz w:val="21"/>
          <w:szCs w:val="21"/>
          <w:lang w:eastAsia="zh-CN"/>
        </w:rPr>
        <w:t>深圳公共资源交易中心（具体在深圳交易集团有限公司政府采购业务分公司进行办理）</w:t>
      </w:r>
      <w:r>
        <w:rPr>
          <w:rFonts w:hint="eastAsia" w:ascii="宋体" w:hAnsi="宋体" w:eastAsia="宋体" w:cstheme="minorBidi"/>
          <w:kern w:val="2"/>
          <w:sz w:val="21"/>
          <w:szCs w:val="21"/>
          <w:lang w:eastAsia="zh-CN"/>
        </w:rPr>
        <w:t>进行注册并办理电子密钥。《供应商注册及信息变更指引》详见www.szggzy.com网站“交易服务指南-政府采购”。</w:t>
      </w:r>
    </w:p>
    <w:p w14:paraId="5954130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5.2投标人资格要求</w:t>
      </w:r>
    </w:p>
    <w:p w14:paraId="6AE168C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参加本项目的投标人应具备的资格条件详见本项目招标公告中 “投标人资格要求”（即申请人的资格要求）的内容。</w:t>
      </w:r>
    </w:p>
    <w:p w14:paraId="2849164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5.3联合体投标</w:t>
      </w:r>
    </w:p>
    <w:p w14:paraId="0E06557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5.3.1　以下有关联合体投标的条款仅适用于允许投标人组成联合体投标的项目。</w:t>
      </w:r>
    </w:p>
    <w:p w14:paraId="252DB5B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5.3.2  由两个或两个以上的自然人、法人或者其他组织可以组成一个联合体，以一个供应商的身份共同投标时，应符合以下原则：</w:t>
      </w:r>
    </w:p>
    <w:p w14:paraId="06CEB471">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（1）投标联合体各方参加政府采购活动应当具备下列条件：</w:t>
      </w:r>
      <w:r>
        <w:rPr>
          <w:rFonts w:ascii="宋体" w:hAnsi="宋体" w:eastAsia="宋体" w:cstheme="minorBidi"/>
          <w:kern w:val="2"/>
          <w:sz w:val="21"/>
          <w:szCs w:val="22"/>
          <w:lang w:eastAsia="zh-CN"/>
        </w:rPr>
        <w:t xml:space="preserve"> </w:t>
      </w:r>
    </w:p>
    <w:p w14:paraId="7861EADB">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1、具有独立承担民事责任的能力；</w:t>
      </w:r>
      <w:r>
        <w:rPr>
          <w:rFonts w:ascii="宋体" w:hAnsi="宋体" w:eastAsia="宋体" w:cstheme="minorBidi"/>
          <w:kern w:val="2"/>
          <w:sz w:val="21"/>
          <w:szCs w:val="22"/>
          <w:lang w:eastAsia="zh-CN"/>
        </w:rPr>
        <w:t xml:space="preserve"> </w:t>
      </w:r>
    </w:p>
    <w:p w14:paraId="6D8856BC">
      <w:pPr>
        <w:widowControl w:val="0"/>
        <w:ind w:left="42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2、有良好的商业信誉和健全的财务会计制度；</w:t>
      </w:r>
      <w:r>
        <w:rPr>
          <w:rFonts w:ascii="宋体" w:hAnsi="宋体" w:eastAsia="宋体" w:cstheme="minorBidi"/>
          <w:kern w:val="2"/>
          <w:sz w:val="21"/>
          <w:szCs w:val="22"/>
          <w:lang w:eastAsia="zh-CN"/>
        </w:rPr>
        <w:t xml:space="preserve"> </w:t>
      </w:r>
    </w:p>
    <w:p w14:paraId="6186ED29">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3、具有履行合同所必需的设备和专业技术能力；</w:t>
      </w:r>
      <w:r>
        <w:rPr>
          <w:rFonts w:ascii="宋体" w:hAnsi="宋体" w:eastAsia="宋体" w:cstheme="minorBidi"/>
          <w:kern w:val="2"/>
          <w:sz w:val="21"/>
          <w:szCs w:val="22"/>
          <w:lang w:eastAsia="zh-CN"/>
        </w:rPr>
        <w:t xml:space="preserve"> </w:t>
      </w:r>
    </w:p>
    <w:p w14:paraId="36380970">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4、有依法缴纳税收和社会保障资金的良好记录；</w:t>
      </w:r>
      <w:r>
        <w:rPr>
          <w:rFonts w:ascii="宋体" w:hAnsi="宋体" w:eastAsia="宋体" w:cstheme="minorBidi"/>
          <w:kern w:val="2"/>
          <w:sz w:val="21"/>
          <w:szCs w:val="22"/>
          <w:lang w:eastAsia="zh-CN"/>
        </w:rPr>
        <w:t xml:space="preserve"> </w:t>
      </w:r>
    </w:p>
    <w:p w14:paraId="7A58A6F1">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5、参加政府采购活动前三年内，在经营活动中没有重大违法记录；</w:t>
      </w:r>
      <w:r>
        <w:rPr>
          <w:rFonts w:ascii="宋体" w:hAnsi="宋体" w:eastAsia="宋体" w:cstheme="minorBidi"/>
          <w:kern w:val="2"/>
          <w:sz w:val="21"/>
          <w:szCs w:val="22"/>
          <w:lang w:eastAsia="zh-CN"/>
        </w:rPr>
        <w:t xml:space="preserve"> </w:t>
      </w:r>
    </w:p>
    <w:p w14:paraId="04C335B6">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6、法律、行政法规规定的其他条件。</w:t>
      </w:r>
      <w:r>
        <w:rPr>
          <w:rFonts w:ascii="宋体" w:hAnsi="宋体" w:eastAsia="宋体" w:cstheme="minorBidi"/>
          <w:kern w:val="2"/>
          <w:sz w:val="21"/>
          <w:szCs w:val="22"/>
          <w:lang w:eastAsia="zh-CN"/>
        </w:rPr>
        <w:t xml:space="preserve"> </w:t>
      </w:r>
    </w:p>
    <w:p w14:paraId="7048124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（2）在投标截止前，投标联合体各方均应注册成政府集中采购机构供应商；</w:t>
      </w:r>
    </w:p>
    <w:p w14:paraId="3331448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（3）联合体中有同类资质的供应商按照联合体分工承担相同工作的，应当按照资质等级较低的供应商确定资质等级；</w:t>
      </w:r>
    </w:p>
    <w:p w14:paraId="4D8DD2FB">
      <w:pPr>
        <w:widowControl w:val="0"/>
        <w:ind w:firstLine="411" w:firstLineChars="196"/>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（4）是否允许联合体参加投标，应当由采购人和采购代理机构根据项目的实际情况和潜在供应商的数量自主决定，如果决定接受联合体投标则应当在招标公告中明示；</w:t>
      </w:r>
    </w:p>
    <w:p w14:paraId="4BA6702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（5）投标人的投标文件及中标后签署的合同协议对联合体各方均具法律约束力；</w:t>
      </w:r>
    </w:p>
    <w:p w14:paraId="72C9098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（6）联合体各方应当签订联合体投标协议，明确约定各方拟承担的工作和责任，并将该协议随投标文件一并递交给政府集中采购机构；</w:t>
      </w:r>
    </w:p>
    <w:p w14:paraId="3915520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（7）联合体中标后，联合体各方应当共同与采购人签订合同，就中标项目向采购人承担连带责任；</w:t>
      </w:r>
    </w:p>
    <w:p w14:paraId="51487432">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275097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2"/>
          <w:lang w:eastAsia="zh-CN"/>
        </w:rPr>
        <w:t>（9）本通用条款中“投标人”一词亦指联合体各方，专用条款另有规定或说明的除外。</w:t>
      </w:r>
    </w:p>
    <w:p w14:paraId="4B1694A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6．政策导向</w:t>
      </w:r>
    </w:p>
    <w:p w14:paraId="7E042AA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6.1</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政府采购支持本国产品、支持中小企业、监狱企业和残疾人福利性单位发展，支持乡村产业振兴，支持创新、节能减排、绿色环保等。</w:t>
      </w:r>
    </w:p>
    <w:p w14:paraId="54B594FE">
      <w:pPr>
        <w:widowControl w:val="0"/>
        <w:ind w:firstLine="405"/>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6.2</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本项目落实深圳市政府采购供应商诚信管理政策要求。</w:t>
      </w:r>
    </w:p>
    <w:p w14:paraId="401C3645">
      <w:pPr>
        <w:widowControl w:val="0"/>
        <w:ind w:firstLine="405"/>
        <w:jc w:val="both"/>
        <w:rPr>
          <w:rFonts w:ascii="Calibri" w:hAnsi="Calibri" w:eastAsia="宋体"/>
          <w:kern w:val="2"/>
          <w:sz w:val="21"/>
          <w:szCs w:val="22"/>
          <w:lang w:eastAsia="zh-CN"/>
        </w:rPr>
      </w:pPr>
      <w:r>
        <w:rPr>
          <w:rFonts w:hint="eastAsia" w:ascii="宋体" w:hAnsi="宋体" w:eastAsia="宋体" w:cstheme="minorBidi"/>
          <w:kern w:val="2"/>
          <w:sz w:val="21"/>
          <w:szCs w:val="22"/>
          <w:lang w:eastAsia="zh-CN"/>
        </w:rPr>
        <w:t>6.3  本项目支持投标人性别平等的相关政策。</w:t>
      </w:r>
    </w:p>
    <w:p w14:paraId="4DAFC88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7. 本项目若涉及采购货物，则合格的货物及相应服务应满足以下要求：</w:t>
      </w:r>
    </w:p>
    <w:p w14:paraId="5E17FC8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 xml:space="preserve">.1  </w:t>
      </w:r>
      <w:r>
        <w:rPr>
          <w:rFonts w:hint="eastAsia" w:ascii="宋体" w:hAnsi="宋体" w:eastAsia="宋体" w:cstheme="minorBidi"/>
          <w:kern w:val="2"/>
          <w:sz w:val="21"/>
          <w:szCs w:val="22"/>
          <w:lang w:eastAsia="zh-CN"/>
        </w:rPr>
        <w:t>必须是全新、未使用过的原装合格正品（包括零部件），如安装或配置了软件的，须为正版软件。</w:t>
      </w:r>
    </w:p>
    <w:p w14:paraId="40F357E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7.2  国产的货物及其有关服务必须符合中华人民共和国的设计、制造生产标准及行业标准。招标公告有其他要求的，亦应符合其要求。</w:t>
      </w:r>
    </w:p>
    <w:p w14:paraId="7DB20D1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7CB99E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4</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投标人</w:t>
      </w:r>
      <w:bookmarkStart w:id="61" w:name="_Hlk72152753"/>
      <w:r>
        <w:rPr>
          <w:rFonts w:hint="eastAsia" w:ascii="宋体" w:hAnsi="宋体" w:eastAsia="宋体" w:cstheme="minorBidi"/>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1"/>
    </w:p>
    <w:p w14:paraId="6609448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0CA7F81">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7.6  工期要求：投标人在投标时对其所投项目应提交交货进度、交货计划等，在合同规定的时间内完成项目实施工作。</w:t>
      </w:r>
    </w:p>
    <w:p w14:paraId="7ABD191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7.7  投标人必须承担的设备运输、安装调试、验收检测和提供设备操作说明书、图纸等其他相关及类似的义务。</w:t>
      </w:r>
    </w:p>
    <w:p w14:paraId="3B3E55E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8．投标费用</w:t>
      </w:r>
    </w:p>
    <w:p w14:paraId="653005F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不论投标结果如何，投标人应承担其编制投标文件与递交投标文件所涉及的一切费用。</w:t>
      </w:r>
    </w:p>
    <w:p w14:paraId="2A7E8B1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9．踏勘现场</w:t>
      </w:r>
    </w:p>
    <w:p w14:paraId="508F9FC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4DA37F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9.2投标人及其人员经过采购人的允许，可以进入采购人的项目现场踏勘。若招标文件要求投标人于统一时间地点踏勘现场的，投标人应当按时前往。</w:t>
      </w:r>
    </w:p>
    <w:p w14:paraId="33FFA6B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9.3采购人应当通过政府集中采购机构向投标人提供有关现场的书面资料和数据。</w:t>
      </w:r>
    </w:p>
    <w:p w14:paraId="3DE687A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9.4任何人或任何组织在踏勘现场时向投标人提供的任何书面资料或口头承诺，未经政府集中采购机构在网上发布或书面通知，均作无效处理。</w:t>
      </w:r>
    </w:p>
    <w:p w14:paraId="4DE57812">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1"/>
          <w:lang w:eastAsia="zh-CN"/>
        </w:rPr>
        <w:t>9</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5</w:t>
      </w:r>
      <w:r>
        <w:rPr>
          <w:rFonts w:hint="eastAsia" w:ascii="宋体" w:hAnsi="宋体" w:eastAsia="宋体" w:cstheme="minorBidi"/>
          <w:kern w:val="2"/>
          <w:sz w:val="21"/>
          <w:szCs w:val="21"/>
          <w:lang w:eastAsia="zh-CN"/>
        </w:rPr>
        <w:t>未参与踏勘现场不作为否定投标人资格的理由。</w:t>
      </w:r>
    </w:p>
    <w:p w14:paraId="571407AD">
      <w:pPr>
        <w:widowControl w:val="0"/>
        <w:jc w:val="both"/>
        <w:rPr>
          <w:rFonts w:ascii="宋体" w:hAnsi="宋体" w:eastAsia="宋体"/>
          <w:kern w:val="2"/>
          <w:sz w:val="21"/>
          <w:szCs w:val="21"/>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0</w:t>
      </w:r>
      <w:r>
        <w:rPr>
          <w:rFonts w:hint="eastAsia" w:ascii="黑体" w:hAnsi="宋体" w:eastAsia="黑体" w:cstheme="minorBidi"/>
          <w:kern w:val="2"/>
          <w:szCs w:val="22"/>
          <w:lang w:eastAsia="zh-CN"/>
        </w:rPr>
        <w:t>．标前会议</w:t>
      </w:r>
    </w:p>
    <w:p w14:paraId="2F69270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28DB22B0">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2"/>
          <w:lang w:eastAsia="zh-CN"/>
        </w:rPr>
        <w:t>10</w:t>
      </w:r>
      <w:r>
        <w:rPr>
          <w:rFonts w:hint="eastAsia" w:ascii="宋体" w:hAnsi="宋体" w:eastAsia="宋体" w:cstheme="minorBidi"/>
          <w:kern w:val="2"/>
          <w:sz w:val="21"/>
          <w:szCs w:val="22"/>
          <w:lang w:eastAsia="zh-CN"/>
        </w:rPr>
        <w:t>.</w:t>
      </w: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任何人或任何组织在标前会议时向投标人提供的任何书面资料或口头承诺，未经政府集中采购机构在网上发布或书面通知，均作无效处理。</w:t>
      </w:r>
    </w:p>
    <w:p w14:paraId="42FC299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未参与标前会议不作为否定投标人资格的理由。</w:t>
      </w:r>
    </w:p>
    <w:bookmarkEnd w:id="60"/>
    <w:p w14:paraId="311B496D">
      <w:pPr>
        <w:widowControl w:val="0"/>
        <w:ind w:firstLine="411" w:firstLineChars="196"/>
        <w:jc w:val="both"/>
        <w:rPr>
          <w:rFonts w:ascii="宋体" w:hAnsi="宋体" w:eastAsia="宋体"/>
          <w:kern w:val="2"/>
          <w:sz w:val="21"/>
          <w:szCs w:val="22"/>
          <w:lang w:eastAsia="zh-CN"/>
        </w:rPr>
      </w:pPr>
    </w:p>
    <w:p w14:paraId="36970D18">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14:paraId="715B64D8">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1</w:t>
      </w:r>
      <w:r>
        <w:rPr>
          <w:rFonts w:hint="eastAsia" w:ascii="黑体" w:hAnsi="宋体" w:eastAsia="黑体" w:cstheme="minorBidi"/>
          <w:kern w:val="2"/>
          <w:szCs w:val="22"/>
          <w:lang w:eastAsia="zh-CN"/>
        </w:rPr>
        <w:t>．</w:t>
      </w:r>
      <w:bookmarkStart w:id="62" w:name="_Hlk72399819"/>
      <w:r>
        <w:rPr>
          <w:rFonts w:hint="eastAsia" w:ascii="黑体" w:hAnsi="宋体" w:eastAsia="黑体" w:cstheme="minorBidi"/>
          <w:kern w:val="2"/>
          <w:szCs w:val="22"/>
          <w:lang w:eastAsia="zh-CN"/>
        </w:rPr>
        <w:t>招标文件的编制与组成</w:t>
      </w:r>
    </w:p>
    <w:p w14:paraId="640AC47B">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.1招标文件除以下内容外，政府集中采购机构在招标期间发出的澄清或修改等相关公告或通知内容，均是招标文件的组成部分，对投标人起约束作用；</w:t>
      </w:r>
    </w:p>
    <w:p w14:paraId="04CF3A3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招标文件包括下列内容：</w:t>
      </w:r>
    </w:p>
    <w:p w14:paraId="26465695">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第一册  专用条款</w:t>
      </w:r>
    </w:p>
    <w:p w14:paraId="36C412B9">
      <w:pPr>
        <w:widowControl w:val="0"/>
        <w:ind w:left="1234" w:leftChars="514"/>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关键信息</w:t>
      </w:r>
    </w:p>
    <w:p w14:paraId="3F7DD067">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7B683AF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4798A826">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用户需求书</w:t>
      </w:r>
    </w:p>
    <w:p w14:paraId="124DC817">
      <w:pPr>
        <w:widowControl w:val="0"/>
        <w:ind w:left="720" w:leftChars="300" w:firstLine="411" w:firstLineChars="196"/>
        <w:jc w:val="both"/>
        <w:rPr>
          <w:rFonts w:ascii="宋体" w:hAnsi="宋体" w:eastAsia="宋体"/>
          <w:kern w:val="2"/>
          <w:sz w:val="21"/>
          <w:szCs w:val="21"/>
          <w:lang w:eastAsia="zh-CN"/>
        </w:rPr>
      </w:pPr>
      <w:r>
        <w:rPr>
          <w:rFonts w:hint="eastAsia" w:ascii="Calibri" w:hAnsi="Calibri" w:eastAsia="宋体" w:cstheme="minorBidi"/>
          <w:kern w:val="2"/>
          <w:sz w:val="21"/>
          <w:szCs w:val="22"/>
          <w:lang w:eastAsia="zh-CN"/>
        </w:rPr>
        <w:t xml:space="preserve">第四章 </w:t>
      </w:r>
      <w:r>
        <w:rPr>
          <w:rFonts w:ascii="Calibri" w:hAnsi="Calibri" w:eastAsia="宋体" w:cstheme="minorBidi"/>
          <w:kern w:val="2"/>
          <w:sz w:val="21"/>
          <w:szCs w:val="22"/>
          <w:lang w:eastAsia="zh-CN"/>
        </w:rPr>
        <w:t xml:space="preserve"> </w:t>
      </w:r>
      <w:r>
        <w:rPr>
          <w:rFonts w:hint="eastAsia" w:ascii="Calibri" w:hAnsi="Calibri" w:eastAsia="宋体" w:cstheme="minorBidi"/>
          <w:kern w:val="2"/>
          <w:sz w:val="21"/>
          <w:szCs w:val="22"/>
          <w:lang w:eastAsia="zh-CN"/>
        </w:rPr>
        <w:t>投标文件格式及附件</w:t>
      </w:r>
    </w:p>
    <w:p w14:paraId="760DC94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4CBBF877">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第二册  通用条款</w:t>
      </w:r>
    </w:p>
    <w:p w14:paraId="726A27A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2EF8040B">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64A7594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149EA71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12F1DCB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55C4852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6C6B1732">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55FC5774">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7352B07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713A288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48BA58FE">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第十一章  质疑处理</w:t>
      </w:r>
    </w:p>
    <w:p w14:paraId="1663BCD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431526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w:t>
      </w:r>
      <w:r>
        <w:rPr>
          <w:rFonts w:hint="eastAsia" w:ascii="宋体" w:hAnsi="宋体" w:eastAsia="宋体" w:cstheme="minorBidi"/>
          <w:kern w:val="2"/>
          <w:sz w:val="21"/>
          <w:szCs w:val="22"/>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4A2F280">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2</w:t>
      </w:r>
      <w:r>
        <w:rPr>
          <w:rFonts w:hint="eastAsia" w:ascii="黑体" w:hAnsi="宋体" w:eastAsia="黑体" w:cstheme="minorBidi"/>
          <w:kern w:val="2"/>
          <w:szCs w:val="22"/>
          <w:lang w:eastAsia="zh-CN"/>
        </w:rPr>
        <w:t>．招标文件的澄清</w:t>
      </w:r>
    </w:p>
    <w:p w14:paraId="6D693B2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.1招标文件澄清的目的是澄清、解答投标人在查阅招标文件后或现场踏勘中可能提出的与投标有关的疑问或询问。</w:t>
      </w:r>
    </w:p>
    <w:p w14:paraId="2AA7AB6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.2投标人如对招标文件内容有疑问，应当在招标公告规定的澄清（提问）截止时间前以网上提问的形式通过网上政府采购系统提交政府集中采购机构。</w:t>
      </w:r>
    </w:p>
    <w:p w14:paraId="1BA857A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cstheme="minorBidi"/>
          <w:kern w:val="2"/>
          <w:sz w:val="21"/>
          <w:szCs w:val="21"/>
          <w:lang w:eastAsia="zh-CN"/>
        </w:rPr>
        <w:t>3.3</w:t>
      </w: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3.4</w:t>
      </w:r>
      <w:r>
        <w:rPr>
          <w:rFonts w:hint="eastAsia" w:ascii="宋体" w:hAnsi="宋体" w:eastAsia="宋体" w:cstheme="minorBidi"/>
          <w:kern w:val="2"/>
          <w:sz w:val="21"/>
          <w:szCs w:val="21"/>
          <w:lang w:eastAsia="zh-CN"/>
        </w:rPr>
        <w:t>款规定执行。</w:t>
      </w:r>
    </w:p>
    <w:p w14:paraId="5CFA6D8D">
      <w:pPr>
        <w:widowControl w:val="0"/>
        <w:jc w:val="both"/>
        <w:rPr>
          <w:rFonts w:ascii="黑体" w:hAnsi="宋体" w:eastAsia="黑体"/>
          <w:kern w:val="2"/>
          <w:szCs w:val="22"/>
          <w:lang w:eastAsia="zh-CN"/>
        </w:rPr>
      </w:pPr>
      <w:r>
        <w:rPr>
          <w:rFonts w:ascii="黑体" w:hAnsi="宋体" w:eastAsia="黑体" w:cstheme="minorBidi"/>
          <w:kern w:val="2"/>
          <w:szCs w:val="22"/>
          <w:lang w:eastAsia="zh-CN"/>
        </w:rPr>
        <w:t>1</w:t>
      </w:r>
      <w:r>
        <w:rPr>
          <w:rFonts w:hint="eastAsia" w:ascii="黑体" w:hAnsi="宋体" w:eastAsia="黑体" w:cstheme="minorBidi"/>
          <w:kern w:val="2"/>
          <w:szCs w:val="22"/>
          <w:lang w:eastAsia="zh-CN"/>
        </w:rPr>
        <w:t>3．招标文件的修改</w:t>
      </w:r>
    </w:p>
    <w:p w14:paraId="5DA36B3D">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3.1招标文件发出后，在投标截止日期前任何时候，确需要变更招标文件内容的，政府集中采购机构可主动或在解答投标人提出的澄清问题时对招标文件进行修改。</w:t>
      </w:r>
    </w:p>
    <w:p w14:paraId="6EA496A7">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14:paraId="5EFCB6AB">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2AD322E7">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2"/>
    </w:p>
    <w:p w14:paraId="2BB02D89">
      <w:pPr>
        <w:widowControl w:val="0"/>
        <w:jc w:val="both"/>
        <w:rPr>
          <w:rFonts w:ascii="宋体" w:hAnsi="宋体" w:eastAsia="宋体"/>
          <w:kern w:val="2"/>
          <w:sz w:val="21"/>
          <w:szCs w:val="21"/>
          <w:lang w:eastAsia="zh-CN"/>
        </w:rPr>
      </w:pPr>
    </w:p>
    <w:p w14:paraId="2BC93B05">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14:paraId="6D85769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14．</w:t>
      </w:r>
      <w:bookmarkStart w:id="63" w:name="_Hlk72400236"/>
      <w:r>
        <w:rPr>
          <w:rFonts w:hint="eastAsia" w:ascii="黑体" w:hAnsi="宋体" w:eastAsia="黑体" w:cstheme="minorBidi"/>
          <w:kern w:val="2"/>
          <w:szCs w:val="22"/>
          <w:lang w:eastAsia="zh-CN"/>
        </w:rPr>
        <w:t>投标文件的语言及度量单位</w:t>
      </w:r>
    </w:p>
    <w:p w14:paraId="08B5C32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52EEFD7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14.2 除技术规范另有规定外，投标文件使用的度量单位，均采用中华人民共和国法定计量单位。</w:t>
      </w:r>
    </w:p>
    <w:bookmarkEnd w:id="63"/>
    <w:p w14:paraId="79884618">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15．</w:t>
      </w:r>
      <w:bookmarkStart w:id="64" w:name="_Hlk72401567"/>
      <w:r>
        <w:rPr>
          <w:rFonts w:hint="eastAsia" w:ascii="黑体" w:hAnsi="宋体" w:eastAsia="黑体" w:cstheme="minorBidi"/>
          <w:kern w:val="2"/>
          <w:szCs w:val="22"/>
          <w:lang w:eastAsia="zh-CN"/>
        </w:rPr>
        <w:t>投标文件的组成</w:t>
      </w:r>
    </w:p>
    <w:p w14:paraId="3CB197B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具体内容在招标文件专用条款中进行规定。</w:t>
      </w:r>
    </w:p>
    <w:p w14:paraId="0A24963B">
      <w:pPr>
        <w:widowControl w:val="0"/>
        <w:jc w:val="both"/>
        <w:rPr>
          <w:rFonts w:ascii="黑体" w:hAnsi="宋体" w:eastAsia="黑体"/>
          <w:kern w:val="2"/>
          <w:szCs w:val="22"/>
          <w:lang w:eastAsia="zh-CN"/>
        </w:rPr>
      </w:pPr>
      <w:r>
        <w:rPr>
          <w:rFonts w:ascii="黑体" w:hAnsi="宋体" w:eastAsia="黑体" w:cstheme="minorBidi"/>
          <w:kern w:val="2"/>
          <w:szCs w:val="22"/>
          <w:lang w:eastAsia="zh-CN"/>
        </w:rPr>
        <w:t>16．投标文件格式</w:t>
      </w:r>
    </w:p>
    <w:p w14:paraId="1CE1949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投标文件包括本通用条款第</w:t>
      </w:r>
      <w:r>
        <w:rPr>
          <w:rFonts w:ascii="宋体" w:hAnsi="宋体" w:eastAsia="宋体" w:cstheme="minorBidi"/>
          <w:kern w:val="2"/>
          <w:sz w:val="21"/>
          <w:szCs w:val="21"/>
          <w:lang w:eastAsia="zh-CN"/>
        </w:rPr>
        <w:t>15条中规定的内容。如招标文件提供了投标文件格式，则</w:t>
      </w:r>
      <w:r>
        <w:rPr>
          <w:rFonts w:hint="eastAsia" w:ascii="宋体" w:hAnsi="宋体" w:eastAsia="宋体" w:cstheme="minorBidi"/>
          <w:b/>
          <w:bCs/>
          <w:kern w:val="2"/>
          <w:sz w:val="21"/>
          <w:szCs w:val="21"/>
          <w:lang w:eastAsia="zh-CN"/>
        </w:rPr>
        <w:t>投标人提交的投标文件应毫无例外地使用招标文件所提供的相应格式</w:t>
      </w:r>
      <w:r>
        <w:rPr>
          <w:rFonts w:hint="eastAsia" w:ascii="宋体" w:hAnsi="宋体" w:eastAsia="宋体" w:cstheme="minorBidi"/>
          <w:kern w:val="2"/>
          <w:sz w:val="21"/>
          <w:szCs w:val="21"/>
          <w:lang w:eastAsia="zh-CN"/>
        </w:rPr>
        <w:t>（表格均可按同样格式扩展）。</w:t>
      </w:r>
    </w:p>
    <w:p w14:paraId="45BD51F3">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17．投标货币</w:t>
      </w:r>
    </w:p>
    <w:p w14:paraId="7BBCA52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本项目的投标报价应以人民币计。</w:t>
      </w:r>
    </w:p>
    <w:bookmarkEnd w:id="64"/>
    <w:p w14:paraId="71DEC1C8">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18．</w:t>
      </w:r>
      <w:bookmarkStart w:id="65" w:name="_Hlk72401735"/>
      <w:r>
        <w:rPr>
          <w:rFonts w:hint="eastAsia" w:ascii="黑体" w:hAnsi="宋体" w:eastAsia="黑体" w:cstheme="minorBidi"/>
          <w:kern w:val="2"/>
          <w:szCs w:val="22"/>
          <w:lang w:eastAsia="zh-CN"/>
        </w:rPr>
        <w:t>证明投标文件投标技术方案的合格性和符合招标文件规定的文件要求</w:t>
      </w:r>
    </w:p>
    <w:p w14:paraId="7770681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w:t>
      </w:r>
      <w:r>
        <w:rPr>
          <w:rFonts w:ascii="宋体" w:hAnsi="宋体" w:eastAsia="宋体" w:cstheme="minorBidi"/>
          <w:kern w:val="2"/>
          <w:sz w:val="21"/>
          <w:szCs w:val="21"/>
          <w:lang w:eastAsia="zh-CN"/>
        </w:rPr>
        <w:t xml:space="preserve">.1 </w:t>
      </w:r>
      <w:r>
        <w:rPr>
          <w:rFonts w:hint="eastAsia" w:ascii="宋体" w:hAnsi="宋体" w:eastAsia="宋体" w:cstheme="minorBidi"/>
          <w:kern w:val="2"/>
          <w:sz w:val="21"/>
          <w:szCs w:val="21"/>
          <w:lang w:eastAsia="zh-CN"/>
        </w:rPr>
        <w:t>投标人应提交证明文件，证明其投标技术方案项下的货物和服务的合格性符合招标文件规定。该投标技术方案及其证明文件均作为投标文件组成部分。</w:t>
      </w:r>
    </w:p>
    <w:p w14:paraId="41F13BB5">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 xml:space="preserve">.2 </w:t>
      </w:r>
      <w:r>
        <w:rPr>
          <w:rFonts w:hint="eastAsia" w:ascii="宋体" w:hAnsi="宋体" w:eastAsia="宋体" w:cstheme="minorBidi"/>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5BD3CA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18.2.1主要技术指标和性能的详细说明。</w:t>
      </w:r>
    </w:p>
    <w:p w14:paraId="648352D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投标产品从采购人开始使用至招标文件中规定的周期内正常、连续地使用所必须的备件和专用工具清单，包括备件和专用工具的货源及现行价格。</w:t>
      </w:r>
    </w:p>
    <w:p w14:paraId="127AFD9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575B5D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Calibri" w:hAnsi="Calibri" w:eastAsia="宋体" w:cstheme="minorBidi"/>
          <w:kern w:val="2"/>
          <w:sz w:val="21"/>
          <w:szCs w:val="22"/>
          <w:lang w:eastAsia="zh-CN"/>
        </w:rPr>
        <w:t>清晰度要求能够使用电脑阅读、识别和判断</w:t>
      </w:r>
      <w:r>
        <w:rPr>
          <w:rFonts w:hint="eastAsia" w:ascii="宋体" w:hAnsi="宋体" w:eastAsia="宋体" w:cstheme="minorBidi"/>
          <w:kern w:val="2"/>
          <w:sz w:val="21"/>
          <w:szCs w:val="21"/>
          <w:lang w:eastAsia="zh-CN"/>
        </w:rPr>
        <w:t>；</w:t>
      </w:r>
    </w:p>
    <w:p w14:paraId="79CF09B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41B44DF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18.3相关资料不符合18.2款要求的，评审委员会有权认定为投标技术方案不合格响应，其相关分数予以扣减或作投标无效处理。</w:t>
      </w:r>
    </w:p>
    <w:p w14:paraId="696A5F90">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Calibri" w:hAnsi="Calibri" w:eastAsia="宋体" w:cstheme="minorBidi"/>
          <w:kern w:val="2"/>
          <w:sz w:val="21"/>
          <w:szCs w:val="22"/>
          <w:lang w:eastAsia="zh-CN"/>
        </w:rPr>
        <w:t>满足要求</w:t>
      </w:r>
      <w:r>
        <w:rPr>
          <w:rFonts w:hint="eastAsia" w:ascii="宋体" w:hAnsi="宋体" w:eastAsia="宋体" w:cstheme="minorBidi"/>
          <w:kern w:val="2"/>
          <w:sz w:val="21"/>
          <w:szCs w:val="21"/>
          <w:lang w:eastAsia="zh-CN"/>
        </w:rPr>
        <w:t>，由评审委员会来评判。</w:t>
      </w:r>
    </w:p>
    <w:p w14:paraId="6120198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18.5除非另有规定或说明，投标人对同一项目投标时，不得同时提供两套或两套以上的投标方案。</w:t>
      </w:r>
    </w:p>
    <w:bookmarkEnd w:id="65"/>
    <w:p w14:paraId="4C8770C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19．</w:t>
      </w:r>
      <w:bookmarkStart w:id="66" w:name="_Hlk72402034"/>
      <w:r>
        <w:rPr>
          <w:rFonts w:hint="eastAsia" w:ascii="黑体" w:hAnsi="宋体" w:eastAsia="黑体" w:cstheme="minorBidi"/>
          <w:kern w:val="2"/>
          <w:szCs w:val="22"/>
          <w:lang w:eastAsia="zh-CN"/>
        </w:rPr>
        <w:t>投标文件其他证明文件的要求</w:t>
      </w:r>
    </w:p>
    <w:p w14:paraId="726D5690">
      <w:pPr>
        <w:widowControl w:val="0"/>
        <w:jc w:val="both"/>
        <w:rPr>
          <w:rFonts w:ascii="宋体" w:hAnsi="宋体" w:eastAsia="宋体"/>
          <w:color w:val="FF0000"/>
          <w:kern w:val="2"/>
          <w:sz w:val="21"/>
          <w:szCs w:val="21"/>
          <w:lang w:eastAsia="zh-CN"/>
        </w:rPr>
      </w:pPr>
      <w:r>
        <w:rPr>
          <w:rFonts w:hint="eastAsia" w:ascii="黑体" w:hAnsi="宋体" w:eastAsia="黑体" w:cstheme="minorBidi"/>
          <w:kern w:val="2"/>
          <w:szCs w:val="22"/>
          <w:lang w:eastAsia="zh-CN"/>
        </w:rPr>
        <w:t xml:space="preserve">    </w:t>
      </w:r>
      <w:r>
        <w:rPr>
          <w:rFonts w:hint="eastAsia" w:ascii="宋体" w:hAnsi="宋体" w:eastAsia="宋体" w:cstheme="minorBidi"/>
          <w:kern w:val="2"/>
          <w:sz w:val="21"/>
          <w:szCs w:val="21"/>
          <w:lang w:eastAsia="zh-CN"/>
        </w:rPr>
        <w:t>19.1</w:t>
      </w:r>
      <w:bookmarkStart w:id="67" w:name="_Hlk71407299"/>
      <w:r>
        <w:rPr>
          <w:rFonts w:hint="eastAsia" w:ascii="宋体" w:hAnsi="宋体" w:eastAsia="宋体" w:cstheme="minorBidi"/>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7"/>
    <w:p w14:paraId="5CB678B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89AB03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20．投标有效期</w:t>
      </w:r>
    </w:p>
    <w:bookmarkEnd w:id="66"/>
    <w:p w14:paraId="57F392BD">
      <w:pPr>
        <w:widowControl w:val="0"/>
        <w:ind w:firstLine="411" w:firstLineChars="196"/>
        <w:jc w:val="both"/>
        <w:rPr>
          <w:rFonts w:ascii="宋体" w:hAnsi="宋体" w:eastAsia="宋体"/>
          <w:kern w:val="2"/>
          <w:sz w:val="21"/>
          <w:szCs w:val="21"/>
          <w:lang w:eastAsia="zh-CN"/>
        </w:rPr>
      </w:pPr>
      <w:bookmarkStart w:id="68" w:name="_Hlk72402214"/>
      <w:r>
        <w:rPr>
          <w:rFonts w:hint="eastAsia" w:ascii="宋体" w:hAnsi="宋体" w:eastAsia="宋体" w:cstheme="minorBidi"/>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cstheme="minorBidi"/>
          <w:kern w:val="2"/>
          <w:sz w:val="21"/>
          <w:szCs w:val="21"/>
          <w:lang w:eastAsia="zh-CN"/>
        </w:rPr>
        <w:t>在此期限内，所有投标文件均保持有效。</w:t>
      </w:r>
    </w:p>
    <w:p w14:paraId="51C2AE4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A94850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 xml:space="preserve"> 中标供应商的投标文件有效期，截止于完成本招标文件规定的全部项目内容，并通过竣工验收及保修期结束。</w:t>
      </w:r>
    </w:p>
    <w:bookmarkEnd w:id="68"/>
    <w:p w14:paraId="45D9399A">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21．</w:t>
      </w:r>
      <w:bookmarkStart w:id="69" w:name="_Hlk72402325"/>
      <w:r>
        <w:rPr>
          <w:rFonts w:hint="eastAsia" w:ascii="黑体" w:hAnsi="宋体" w:eastAsia="黑体" w:cstheme="minorBidi"/>
          <w:kern w:val="2"/>
          <w:szCs w:val="22"/>
          <w:lang w:eastAsia="zh-CN"/>
        </w:rPr>
        <w:t xml:space="preserve">关于投标保证金 </w:t>
      </w:r>
    </w:p>
    <w:p w14:paraId="198E105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21.1</w:t>
      </w:r>
      <w:r>
        <w:rPr>
          <w:rFonts w:hint="eastAsia" w:ascii="Calibri" w:hAnsi="Calibri" w:eastAsia="宋体" w:cstheme="minorBidi"/>
          <w:kern w:val="2"/>
          <w:sz w:val="21"/>
          <w:szCs w:val="22"/>
          <w:lang w:eastAsia="zh-CN"/>
        </w:rPr>
        <w:t>根据《深圳市财政局关于调整政府采购投标（响应）保证金管理政策的通知》（深财购〔2021〕51号）文的规定，本项目不收取投标保证金。</w:t>
      </w:r>
    </w:p>
    <w:p w14:paraId="7C09427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22．投标人的替代方案</w:t>
      </w:r>
    </w:p>
    <w:p w14:paraId="37ED64E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E52D41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9"/>
    <w:p w14:paraId="6C66D6A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23．</w:t>
      </w:r>
      <w:bookmarkStart w:id="70" w:name="_Hlk72402860"/>
      <w:r>
        <w:rPr>
          <w:rFonts w:ascii="黑体" w:hAnsi="宋体" w:eastAsia="黑体" w:cstheme="minorBidi"/>
          <w:kern w:val="2"/>
          <w:szCs w:val="22"/>
          <w:lang w:eastAsia="zh-CN"/>
        </w:rPr>
        <w:t>投标文件的</w:t>
      </w:r>
      <w:r>
        <w:rPr>
          <w:rFonts w:hint="eastAsia" w:ascii="黑体" w:hAnsi="宋体" w:eastAsia="黑体" w:cstheme="minorBidi"/>
          <w:kern w:val="2"/>
          <w:szCs w:val="22"/>
          <w:lang w:eastAsia="zh-CN"/>
        </w:rPr>
        <w:t>制作</w:t>
      </w:r>
      <w:r>
        <w:rPr>
          <w:rFonts w:ascii="黑体" w:hAnsi="宋体" w:eastAsia="黑体" w:cstheme="minorBidi"/>
          <w:kern w:val="2"/>
          <w:szCs w:val="22"/>
          <w:lang w:eastAsia="zh-CN"/>
        </w:rPr>
        <w:t>要求</w:t>
      </w:r>
    </w:p>
    <w:p w14:paraId="407DDB5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23.1投标人应准备所投项目的电子投标文件一份。</w:t>
      </w:r>
    </w:p>
    <w:p w14:paraId="7D51B9D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23.2投标人在使用《投标书编制软件》编制投标书时须注意：</w:t>
      </w:r>
    </w:p>
    <w:p w14:paraId="76F0F7C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23.2.1导入《投标书编制软件》的招标文件项目编号、包号应与以此制作的投标文件项目编号、包号一致。例如，不能将甲项目A包的招标书导入《投标书编制软件》，制作乙项目B包的投标书。</w:t>
      </w:r>
    </w:p>
    <w:p w14:paraId="70A3A35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23.2.2不能用非本公司的电子密钥加密本公司的投标文件，或者用其它公司的登录用户上传本公司的投标文件。</w:t>
      </w:r>
    </w:p>
    <w:p w14:paraId="2EBB52E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23.2.3要求用《投标书编制软件》编制投标书的包，不能用其它方式编制投标书。编制投标文件时，电脑须连通互联网。</w:t>
      </w:r>
    </w:p>
    <w:p w14:paraId="447B51F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23.2.4投标文件不能带病毒。政府集中采购机构将用专业杀毒软件对投标文件进行病毒检测，如果这两种软件均报告发现病毒，则政府集中采购机构认为该投标文件带病毒。</w:t>
      </w:r>
    </w:p>
    <w:p w14:paraId="5A516A3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23.2.6投标人在编辑投标文件时，</w:t>
      </w:r>
      <w:r>
        <w:rPr>
          <w:rFonts w:hint="eastAsia" w:ascii="宋体" w:hAnsi="宋体" w:eastAsia="宋体" w:cstheme="minorBidi"/>
          <w:b/>
          <w:kern w:val="2"/>
          <w:sz w:val="21"/>
          <w:szCs w:val="22"/>
          <w:lang w:eastAsia="zh-CN"/>
        </w:rPr>
        <w:t>在投标文件目录中属于本节点内容的必须在本节点中填写，填写到其他节点或附件，</w:t>
      </w:r>
      <w:r>
        <w:rPr>
          <w:rFonts w:hint="eastAsia" w:ascii="宋体" w:hAnsi="宋体" w:eastAsia="宋体" w:cstheme="minorBidi"/>
          <w:kern w:val="2"/>
          <w:sz w:val="21"/>
          <w:szCs w:val="22"/>
          <w:lang w:eastAsia="zh-CN"/>
        </w:rPr>
        <w:t>一切后果由供应商自行承担。</w:t>
      </w:r>
    </w:p>
    <w:p w14:paraId="699882E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23.2.7投标文件编写完成后，</w:t>
      </w:r>
      <w:r>
        <w:rPr>
          <w:rFonts w:hint="eastAsia" w:ascii="宋体" w:hAnsi="宋体" w:eastAsia="宋体" w:cstheme="minorBidi"/>
          <w:b/>
          <w:kern w:val="2"/>
          <w:sz w:val="21"/>
          <w:szCs w:val="22"/>
          <w:lang w:eastAsia="zh-CN"/>
        </w:rPr>
        <w:t>必须用属于投标人的电子密钥或电子营业执照进行加密，否则视同未盖公章，将导致投标文件无效。</w:t>
      </w:r>
    </w:p>
    <w:p w14:paraId="612F45F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CFC8C22">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23.2.9如果开标时出现网络故障、技术故障，影响了政府采购活动，政府集中采购机构有权采取措施如延期、接受无法从网上上传的投标书等，以保障政府采购活动的公开、公平和公正。</w:t>
      </w:r>
    </w:p>
    <w:p w14:paraId="3C116C9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23.3电报、电话、传真形式的投标概不接受。</w:t>
      </w:r>
    </w:p>
    <w:p w14:paraId="60C1798F">
      <w:pPr>
        <w:widowControl w:val="0"/>
        <w:ind w:firstLine="413" w:firstLineChars="196"/>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23.4经投标人电子密钥或电子营业执照加密的投标文件无须盖章或签字，</w:t>
      </w:r>
      <w:r>
        <w:rPr>
          <w:rFonts w:hint="eastAsia" w:ascii="宋体" w:hAnsi="宋体" w:eastAsia="宋体" w:cstheme="minorBidi"/>
          <w:kern w:val="2"/>
          <w:sz w:val="21"/>
          <w:szCs w:val="22"/>
          <w:lang w:eastAsia="zh-CN"/>
        </w:rPr>
        <w:t>专用条款另有要求的除外。</w:t>
      </w:r>
    </w:p>
    <w:p w14:paraId="2FE1CFFC">
      <w:pPr>
        <w:widowControl w:val="0"/>
        <w:ind w:firstLine="413" w:firstLineChars="196"/>
        <w:jc w:val="both"/>
        <w:rPr>
          <w:rFonts w:ascii="宋体" w:hAnsi="宋体" w:eastAsia="宋体"/>
          <w:kern w:val="2"/>
          <w:sz w:val="21"/>
          <w:szCs w:val="22"/>
          <w:lang w:eastAsia="zh-CN"/>
        </w:rPr>
      </w:pPr>
      <w:r>
        <w:rPr>
          <w:rFonts w:hint="eastAsia" w:ascii="宋体" w:hAnsi="宋体" w:eastAsia="宋体" w:cstheme="minorBidi"/>
          <w:b/>
          <w:kern w:val="2"/>
          <w:sz w:val="21"/>
          <w:szCs w:val="22"/>
          <w:lang w:eastAsia="zh-CN"/>
        </w:rPr>
        <w:t>23.5</w:t>
      </w:r>
      <w:r>
        <w:rPr>
          <w:rFonts w:hint="eastAsia" w:ascii="宋体" w:hAnsi="宋体" w:eastAsia="宋体" w:cstheme="minorBidi"/>
          <w:kern w:val="2"/>
          <w:sz w:val="21"/>
          <w:szCs w:val="22"/>
          <w:lang w:eastAsia="zh-CN"/>
        </w:rPr>
        <w:t xml:space="preserve"> 各类资格（资质）文件提供扫描件，专用条款另有要求的除外。</w:t>
      </w:r>
      <w:bookmarkEnd w:id="70"/>
    </w:p>
    <w:p w14:paraId="26A5A68B">
      <w:pPr>
        <w:widowControl w:val="0"/>
        <w:ind w:firstLine="411" w:firstLineChars="196"/>
        <w:jc w:val="both"/>
        <w:rPr>
          <w:rFonts w:ascii="宋体" w:hAnsi="宋体" w:eastAsia="宋体"/>
          <w:kern w:val="2"/>
          <w:sz w:val="21"/>
          <w:szCs w:val="21"/>
          <w:lang w:eastAsia="zh-CN"/>
        </w:rPr>
      </w:pPr>
    </w:p>
    <w:p w14:paraId="39F5F7D7">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14:paraId="33D1D49E">
      <w:pPr>
        <w:widowControl w:val="0"/>
        <w:jc w:val="both"/>
        <w:rPr>
          <w:rFonts w:ascii="黑体" w:hAnsi="宋体" w:eastAsia="黑体"/>
          <w:kern w:val="2"/>
          <w:szCs w:val="22"/>
          <w:lang w:eastAsia="zh-CN"/>
        </w:rPr>
      </w:pPr>
      <w:bookmarkStart w:id="71" w:name="_Hlk72405459"/>
      <w:r>
        <w:rPr>
          <w:rFonts w:hint="eastAsia" w:ascii="黑体" w:hAnsi="宋体" w:eastAsia="黑体" w:cstheme="minorBidi"/>
          <w:kern w:val="2"/>
          <w:szCs w:val="22"/>
          <w:lang w:eastAsia="zh-CN"/>
        </w:rPr>
        <w:t>24．投标文件的保密</w:t>
      </w:r>
    </w:p>
    <w:p w14:paraId="421B848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eastAsia="宋体" w:cstheme="minorBidi"/>
          <w:kern w:val="2"/>
          <w:sz w:val="21"/>
          <w:szCs w:val="22"/>
          <w:highlight w:val="yellow"/>
          <w:lang w:eastAsia="zh-CN"/>
        </w:rPr>
        <w:t>(注意：加密的投标文件开标时须使用加密文件时使用的锁在项目规定时间内解密！)</w:t>
      </w:r>
    </w:p>
    <w:p w14:paraId="166CF0E5">
      <w:pPr>
        <w:widowControl w:val="0"/>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24.2若采购项目出现延期情况：</w:t>
      </w:r>
    </w:p>
    <w:p w14:paraId="7F7A9996">
      <w:pPr>
        <w:widowControl w:val="0"/>
        <w:ind w:firstLine="422" w:firstLineChars="200"/>
        <w:jc w:val="both"/>
        <w:rPr>
          <w:rFonts w:ascii="黑体" w:hAnsi="宋体" w:eastAsia="黑体"/>
          <w:b/>
          <w:kern w:val="2"/>
          <w:szCs w:val="22"/>
          <w:lang w:eastAsia="zh-CN"/>
        </w:rPr>
      </w:pPr>
      <w:r>
        <w:rPr>
          <w:rFonts w:hint="eastAsia" w:ascii="宋体" w:hAnsi="宋体" w:eastAsia="宋体" w:cstheme="minorBidi"/>
          <w:b/>
          <w:kern w:val="2"/>
          <w:sz w:val="21"/>
          <w:szCs w:val="22"/>
          <w:lang w:eastAsia="zh-CN"/>
        </w:rPr>
        <w:t>如果供下载的招标文件有更新，投标人必须重新下载招标文件、重新制作投标文件、重新加密投标文件、重新上传投标文件。</w:t>
      </w:r>
    </w:p>
    <w:p w14:paraId="77E9E6F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25．上传投标文件及投标截止日期</w:t>
      </w:r>
    </w:p>
    <w:p w14:paraId="7026FA3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1实行网上投标，</w:t>
      </w:r>
      <w:r>
        <w:rPr>
          <w:rFonts w:ascii="宋体" w:hAnsi="宋体" w:eastAsia="宋体" w:cstheme="minorBidi"/>
          <w:kern w:val="2"/>
          <w:sz w:val="21"/>
          <w:szCs w:val="22"/>
          <w:lang w:eastAsia="zh-CN"/>
        </w:rPr>
        <w:t>投标人必须</w:t>
      </w:r>
      <w:r>
        <w:rPr>
          <w:rFonts w:hint="eastAsia" w:ascii="宋体" w:hAnsi="宋体" w:eastAsia="宋体" w:cstheme="minorBidi"/>
          <w:kern w:val="2"/>
          <w:sz w:val="21"/>
          <w:szCs w:val="22"/>
          <w:lang w:eastAsia="zh-CN"/>
        </w:rPr>
        <w:t>在招标</w:t>
      </w:r>
      <w:r>
        <w:rPr>
          <w:rFonts w:ascii="宋体" w:hAnsi="宋体" w:eastAsia="宋体" w:cstheme="minorBidi"/>
          <w:kern w:val="2"/>
          <w:sz w:val="21"/>
          <w:szCs w:val="22"/>
          <w:lang w:eastAsia="zh-CN"/>
        </w:rPr>
        <w:t>文件规定的投标截止时间前</w:t>
      </w:r>
      <w:r>
        <w:rPr>
          <w:rFonts w:hint="eastAsia" w:ascii="宋体" w:hAnsi="宋体" w:eastAsia="宋体" w:cstheme="minorBidi"/>
          <w:kern w:val="2"/>
          <w:sz w:val="21"/>
          <w:szCs w:val="22"/>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cstheme="minorBidi"/>
          <w:b/>
          <w:bCs/>
          <w:kern w:val="2"/>
          <w:sz w:val="21"/>
          <w:szCs w:val="21"/>
          <w:lang w:eastAsia="zh-CN"/>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eastAsia="宋体" w:cstheme="minorBidi"/>
          <w:kern w:val="2"/>
          <w:sz w:val="21"/>
          <w:szCs w:val="22"/>
          <w:lang w:eastAsia="zh-CN"/>
        </w:rPr>
        <w:t>。</w:t>
      </w:r>
    </w:p>
    <w:p w14:paraId="4E730AD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C463D16">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3投标截止时间以后不得上传投标文件。</w:t>
      </w:r>
    </w:p>
    <w:p w14:paraId="2E1F4EE2">
      <w:pPr>
        <w:widowControl w:val="0"/>
        <w:ind w:firstLine="411" w:firstLineChars="196"/>
        <w:jc w:val="both"/>
        <w:rPr>
          <w:rFonts w:ascii="宋体" w:hAnsi="宋体" w:eastAsia="宋体"/>
          <w:kern w:val="2"/>
          <w:sz w:val="21"/>
          <w:szCs w:val="22"/>
          <w:lang w:eastAsia="zh-CN"/>
        </w:rPr>
      </w:pPr>
    </w:p>
    <w:p w14:paraId="69A1E99F">
      <w:pPr>
        <w:widowControl w:val="0"/>
        <w:ind w:firstLine="411" w:firstLineChars="196"/>
        <w:jc w:val="both"/>
        <w:rPr>
          <w:rFonts w:ascii="宋体" w:hAnsi="宋体" w:eastAsia="宋体"/>
          <w:kern w:val="2"/>
          <w:sz w:val="21"/>
          <w:szCs w:val="22"/>
          <w:lang w:eastAsia="zh-CN"/>
        </w:rPr>
      </w:pPr>
    </w:p>
    <w:bookmarkEnd w:id="71"/>
    <w:p w14:paraId="586060E0">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26. 样品、现场演示、方案讲解</w:t>
      </w:r>
    </w:p>
    <w:p w14:paraId="362F0BB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26.1 样品、现场演示、方案讲解等事项在招标文件专用条款中进行规定。</w:t>
      </w:r>
    </w:p>
    <w:p w14:paraId="30CBFFF7">
      <w:pPr>
        <w:widowControl w:val="0"/>
        <w:jc w:val="both"/>
        <w:rPr>
          <w:rFonts w:ascii="黑体" w:hAnsi="宋体" w:eastAsia="黑体"/>
          <w:kern w:val="2"/>
          <w:szCs w:val="22"/>
          <w:lang w:eastAsia="zh-CN"/>
        </w:rPr>
      </w:pPr>
      <w:bookmarkStart w:id="72" w:name="_Hlk72428346"/>
      <w:r>
        <w:rPr>
          <w:rFonts w:ascii="黑体" w:hAnsi="宋体" w:eastAsia="黑体" w:cstheme="minorBidi"/>
          <w:kern w:val="2"/>
          <w:szCs w:val="22"/>
          <w:lang w:eastAsia="zh-CN"/>
        </w:rPr>
        <w:t>2</w:t>
      </w:r>
      <w:r>
        <w:rPr>
          <w:rFonts w:hint="eastAsia" w:ascii="黑体" w:hAnsi="宋体" w:eastAsia="黑体" w:cstheme="minorBidi"/>
          <w:kern w:val="2"/>
          <w:szCs w:val="22"/>
          <w:lang w:eastAsia="zh-CN"/>
        </w:rPr>
        <w:t>7．</w:t>
      </w:r>
      <w:r>
        <w:rPr>
          <w:rFonts w:ascii="黑体" w:hAnsi="宋体" w:eastAsia="黑体" w:cstheme="minorBidi"/>
          <w:kern w:val="2"/>
          <w:szCs w:val="22"/>
          <w:lang w:eastAsia="zh-CN"/>
        </w:rPr>
        <w:t>投标文件的修改和撤销</w:t>
      </w:r>
    </w:p>
    <w:p w14:paraId="4E580F69">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投标方在提交投标文件后可对其投标文件进行修改</w:t>
      </w:r>
      <w:r>
        <w:rPr>
          <w:rFonts w:hint="eastAsia" w:ascii="宋体" w:hAnsi="宋体" w:eastAsia="宋体" w:cstheme="minorBidi"/>
          <w:kern w:val="2"/>
          <w:sz w:val="21"/>
          <w:szCs w:val="22"/>
          <w:lang w:eastAsia="zh-CN"/>
        </w:rPr>
        <w:t>并重新上传投标文件</w:t>
      </w:r>
      <w:r>
        <w:rPr>
          <w:rFonts w:ascii="宋体" w:hAnsi="宋体" w:eastAsia="宋体" w:cstheme="minorBidi"/>
          <w:kern w:val="2"/>
          <w:sz w:val="21"/>
          <w:szCs w:val="22"/>
          <w:lang w:eastAsia="zh-CN"/>
        </w:rPr>
        <w:t>或</w:t>
      </w:r>
      <w:r>
        <w:rPr>
          <w:rFonts w:hint="eastAsia" w:ascii="宋体" w:hAnsi="宋体" w:eastAsia="宋体" w:cstheme="minorBidi"/>
          <w:kern w:val="2"/>
          <w:sz w:val="21"/>
          <w:szCs w:val="22"/>
          <w:lang w:eastAsia="zh-CN"/>
        </w:rPr>
        <w:t>在网上进行</w:t>
      </w:r>
      <w:r>
        <w:rPr>
          <w:rFonts w:ascii="宋体" w:hAnsi="宋体" w:eastAsia="宋体" w:cstheme="minorBidi"/>
          <w:kern w:val="2"/>
          <w:sz w:val="21"/>
          <w:szCs w:val="22"/>
          <w:lang w:eastAsia="zh-CN"/>
        </w:rPr>
        <w:t>撤销</w:t>
      </w:r>
      <w:r>
        <w:rPr>
          <w:rFonts w:hint="eastAsia" w:ascii="宋体" w:hAnsi="宋体" w:eastAsia="宋体" w:cstheme="minorBidi"/>
          <w:kern w:val="2"/>
          <w:sz w:val="21"/>
          <w:szCs w:val="22"/>
          <w:lang w:eastAsia="zh-CN"/>
        </w:rPr>
        <w:t>投标的操作</w:t>
      </w:r>
      <w:r>
        <w:rPr>
          <w:rFonts w:ascii="宋体" w:hAnsi="宋体" w:eastAsia="宋体" w:cstheme="minorBidi"/>
          <w:kern w:val="2"/>
          <w:sz w:val="21"/>
          <w:szCs w:val="22"/>
          <w:lang w:eastAsia="zh-CN"/>
        </w:rPr>
        <w:t>。</w:t>
      </w:r>
    </w:p>
    <w:p w14:paraId="149E4E42">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投标截止时间以后不得修改投标文件。</w:t>
      </w:r>
    </w:p>
    <w:p w14:paraId="12DBB29F">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3从投标截止期至投标人在投标文件中确定的投标有效期之间的这段时间内，投标人不得撤回其投标。</w:t>
      </w:r>
    </w:p>
    <w:p w14:paraId="5014AFC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27.4政府集中采购机构不退还投标文件，专用条款另有规定的除外。</w:t>
      </w:r>
    </w:p>
    <w:bookmarkEnd w:id="72"/>
    <w:p w14:paraId="0EF16498">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14:paraId="360C119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28．开标</w:t>
      </w:r>
    </w:p>
    <w:p w14:paraId="7D598C94">
      <w:pPr>
        <w:widowControl w:val="0"/>
        <w:ind w:firstLine="359" w:firstLineChars="171"/>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1投标人须在开标当日的开标时间至解密截止时间内进行解密，逾期未解密的作无效处理。解密方法：登录“</w:t>
      </w:r>
      <w:r>
        <w:rPr>
          <w:rFonts w:hint="eastAsia" w:ascii="宋体" w:hAnsi="宋体" w:eastAsia="宋体" w:cstheme="minorBidi"/>
          <w:kern w:val="2"/>
          <w:sz w:val="21"/>
          <w:szCs w:val="22"/>
          <w:lang w:eastAsia="zh-CN"/>
        </w:rPr>
        <w:t>深圳政府采购自行采购系统（https://trade.szggzy.com/ggzy/center/#/login）</w:t>
      </w:r>
      <w:r>
        <w:rPr>
          <w:rFonts w:hint="eastAsia" w:ascii="宋体" w:hAnsi="宋体" w:eastAsia="宋体" w:cstheme="minorBidi"/>
          <w:kern w:val="2"/>
          <w:sz w:val="21"/>
          <w:szCs w:val="21"/>
          <w:lang w:eastAsia="zh-CN"/>
        </w:rPr>
        <w:t>”，使用本单位制作电子投标文件同一个电子密钥进行在线解密、查询开标情况。</w:t>
      </w:r>
    </w:p>
    <w:p w14:paraId="5D5D0500">
      <w:pPr>
        <w:widowControl w:val="0"/>
        <w:ind w:firstLine="315" w:firstLineChars="15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22E10FE5">
      <w:pPr>
        <w:widowControl w:val="0"/>
        <w:ind w:firstLine="315" w:firstLineChars="150"/>
        <w:jc w:val="both"/>
        <w:rPr>
          <w:rFonts w:ascii="宋体" w:hAnsi="宋体" w:eastAsia="宋体"/>
          <w:kern w:val="2"/>
          <w:sz w:val="21"/>
          <w:szCs w:val="21"/>
          <w:lang w:eastAsia="zh-CN"/>
        </w:rPr>
      </w:pPr>
    </w:p>
    <w:p w14:paraId="6AAA1DB8">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14:paraId="4381D75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29．评审委员会组成</w:t>
      </w:r>
    </w:p>
    <w:p w14:paraId="535E281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29.1网上开标结束后召开评审会议，</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由政府集中采购机构依法组建，负责评审活动。</w:t>
      </w:r>
    </w:p>
    <w:p w14:paraId="2A93E5C0">
      <w:pPr>
        <w:widowControl w:val="0"/>
        <w:ind w:firstLine="411" w:firstLineChars="196"/>
        <w:jc w:val="both"/>
        <w:rPr>
          <w:rFonts w:ascii="宋体" w:hAnsi="宋体" w:eastAsia="宋体"/>
          <w:kern w:val="2"/>
          <w:sz w:val="21"/>
          <w:szCs w:val="22"/>
          <w:lang w:eastAsia="zh-CN"/>
        </w:rPr>
      </w:pPr>
      <w:bookmarkStart w:id="73" w:name="_Hlk72436580"/>
      <w:r>
        <w:rPr>
          <w:rFonts w:hint="eastAsia" w:ascii="宋体" w:hAnsi="宋体" w:eastAsia="宋体" w:cstheme="minorBidi"/>
          <w:kern w:val="2"/>
          <w:sz w:val="21"/>
          <w:szCs w:val="22"/>
          <w:lang w:eastAsia="zh-CN"/>
        </w:rPr>
        <w:t>评审委员会由采购人代表和评审专家组成，成员人数应当为5人以上单数（部分条件下为7人以上单数），其中评审专家不得少于成员总数的三分之二。</w:t>
      </w:r>
      <w:bookmarkEnd w:id="73"/>
      <w:r>
        <w:rPr>
          <w:rFonts w:hint="eastAsia" w:ascii="宋体" w:hAnsi="宋体" w:eastAsia="宋体" w:cstheme="minorBidi"/>
          <w:kern w:val="2"/>
          <w:sz w:val="21"/>
          <w:szCs w:val="22"/>
          <w:lang w:eastAsia="zh-CN"/>
        </w:rPr>
        <w:t>评定</w:t>
      </w:r>
      <w:r>
        <w:rPr>
          <w:rFonts w:hint="eastAsia" w:ascii="Calibri" w:hAnsi="Calibri" w:eastAsia="宋体" w:cstheme="minorBidi"/>
          <w:kern w:val="2"/>
          <w:sz w:val="21"/>
          <w:szCs w:val="22"/>
          <w:lang w:eastAsia="zh-CN"/>
        </w:rPr>
        <w:t>分离项目</w:t>
      </w:r>
      <w:r>
        <w:rPr>
          <w:rFonts w:ascii="Calibri" w:hAnsi="Calibri" w:eastAsia="宋体" w:cstheme="minorBidi"/>
          <w:kern w:val="2"/>
          <w:sz w:val="21"/>
          <w:szCs w:val="22"/>
          <w:lang w:eastAsia="zh-CN"/>
        </w:rPr>
        <w:t>评审专家</w:t>
      </w:r>
      <w:r>
        <w:rPr>
          <w:rFonts w:hint="eastAsia" w:ascii="Calibri" w:hAnsi="Calibri" w:eastAsia="宋体" w:cstheme="minorBidi"/>
          <w:kern w:val="2"/>
          <w:sz w:val="21"/>
          <w:szCs w:val="22"/>
          <w:lang w:eastAsia="zh-CN"/>
        </w:rPr>
        <w:t>均</w:t>
      </w:r>
      <w:r>
        <w:rPr>
          <w:rFonts w:ascii="Calibri" w:hAnsi="Calibri" w:eastAsia="宋体" w:cstheme="minorBidi"/>
          <w:kern w:val="2"/>
          <w:sz w:val="21"/>
          <w:szCs w:val="22"/>
          <w:lang w:eastAsia="zh-CN"/>
        </w:rPr>
        <w:t>由</w:t>
      </w:r>
      <w:r>
        <w:rPr>
          <w:rFonts w:hint="eastAsia" w:ascii="Calibri" w:hAnsi="Calibri" w:eastAsia="宋体" w:cstheme="minorBidi"/>
          <w:kern w:val="2"/>
          <w:sz w:val="21"/>
          <w:szCs w:val="22"/>
          <w:lang w:eastAsia="zh-CN"/>
        </w:rPr>
        <w:t>评审专家组成。</w:t>
      </w:r>
      <w:r>
        <w:rPr>
          <w:rFonts w:hint="eastAsia" w:ascii="宋体" w:hAnsi="宋体" w:eastAsia="宋体" w:cstheme="minorBidi"/>
          <w:kern w:val="2"/>
          <w:sz w:val="21"/>
          <w:szCs w:val="21"/>
          <w:lang w:eastAsia="zh-CN"/>
        </w:rPr>
        <w:t>评审专家一般是</w:t>
      </w:r>
      <w:r>
        <w:rPr>
          <w:rFonts w:hint="eastAsia" w:ascii="宋体" w:hAnsi="宋体" w:eastAsia="宋体" w:cstheme="minorBidi"/>
          <w:kern w:val="2"/>
          <w:sz w:val="21"/>
          <w:szCs w:val="22"/>
          <w:lang w:eastAsia="zh-CN"/>
        </w:rPr>
        <w:t>从深圳市政府采购评审专家库中随机抽取。采购人代表须持本单位签发的《评审授权书》参加评审。</w:t>
      </w:r>
    </w:p>
    <w:p w14:paraId="5C8F2F9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29.2评审定标应当遵循公平、公正、科学、择优的原则。</w:t>
      </w:r>
    </w:p>
    <w:p w14:paraId="26AC116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29.3评审活动依法进行，任何单位和个人不得非法干预评标过程和结果。</w:t>
      </w:r>
    </w:p>
    <w:p w14:paraId="7761CCE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29.4评审过程中不允许违背评标程序或采用招标文件未载明的评标方法或评标因素进行评标。</w:t>
      </w:r>
    </w:p>
    <w:p w14:paraId="67D46C1C">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hint="eastAsia" w:ascii="Calibri" w:hAnsi="Calibri" w:eastAsia="宋体" w:cstheme="minorBidi"/>
          <w:kern w:val="2"/>
          <w:sz w:val="21"/>
          <w:szCs w:val="22"/>
          <w:lang w:eastAsia="zh-CN"/>
        </w:rPr>
        <w:t>信息公开的内容除外</w:t>
      </w:r>
      <w:r>
        <w:rPr>
          <w:rFonts w:hint="eastAsia" w:ascii="宋体" w:hAnsi="宋体" w:eastAsia="宋体" w:cstheme="minorBidi"/>
          <w:bCs/>
          <w:kern w:val="2"/>
          <w:sz w:val="21"/>
          <w:szCs w:val="22"/>
          <w:lang w:eastAsia="zh-CN"/>
        </w:rPr>
        <w:t>）。</w:t>
      </w:r>
    </w:p>
    <w:p w14:paraId="3ADE0C0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30．向评审委员会提供的资料</w:t>
      </w:r>
    </w:p>
    <w:p w14:paraId="73669AB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30.1公开发布的招标文件，包括图纸、服务清单、答疑文件等；</w:t>
      </w:r>
    </w:p>
    <w:p w14:paraId="41BF429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30.2其他评标必须的资料。</w:t>
      </w:r>
    </w:p>
    <w:p w14:paraId="0E8FC8D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30.3</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应当认真研究招标文件，至少应了解熟悉以下内容：</w:t>
      </w:r>
    </w:p>
    <w:p w14:paraId="7E40D4A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（1）招标的目的；</w:t>
      </w:r>
    </w:p>
    <w:p w14:paraId="2996C8B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（2）招标项目需求的范围和性质；</w:t>
      </w:r>
    </w:p>
    <w:p w14:paraId="53258BC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（3）招标文件规定的投标人的资格、财政预算限额、商务条款；</w:t>
      </w:r>
    </w:p>
    <w:p w14:paraId="6EB4F54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（4）招标文件规定的评标程序、评标方法和评标因素；</w:t>
      </w:r>
    </w:p>
    <w:p w14:paraId="5740317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（5）招标文件所列示的资格性审查表及符合性审查表。</w:t>
      </w:r>
    </w:p>
    <w:p w14:paraId="4759360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31．独立评审</w:t>
      </w:r>
    </w:p>
    <w:p w14:paraId="0B54F346">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w:t>
      </w:r>
      <w:r>
        <w:rPr>
          <w:rFonts w:ascii="宋体" w:hAnsi="宋体" w:eastAsia="宋体" w:cstheme="minorBidi"/>
          <w:bCs/>
          <w:kern w:val="2"/>
          <w:sz w:val="21"/>
          <w:szCs w:val="22"/>
          <w:lang w:eastAsia="zh-CN"/>
        </w:rPr>
        <w:t>1</w:t>
      </w:r>
      <w:r>
        <w:rPr>
          <w:rFonts w:hint="eastAsia" w:ascii="宋体" w:hAnsi="宋体" w:eastAsia="宋体" w:cstheme="minorBidi"/>
          <w:bCs/>
          <w:kern w:val="2"/>
          <w:sz w:val="21"/>
          <w:szCs w:val="22"/>
          <w:lang w:eastAsia="zh-CN"/>
        </w:rPr>
        <w:t>.1</w:t>
      </w:r>
      <w:r>
        <w:rPr>
          <w:rFonts w:hint="eastAsia" w:ascii="宋体" w:hAnsi="宋体" w:eastAsia="宋体" w:cstheme="minorBidi"/>
          <w:kern w:val="2"/>
          <w:sz w:val="21"/>
          <w:szCs w:val="21"/>
          <w:lang w:eastAsia="zh-CN"/>
        </w:rPr>
        <w:t>评审委员会</w:t>
      </w:r>
      <w:r>
        <w:rPr>
          <w:rFonts w:hint="eastAsia" w:ascii="宋体" w:hAnsi="宋体" w:eastAsia="宋体" w:cstheme="minorBidi"/>
          <w:bCs/>
          <w:kern w:val="2"/>
          <w:sz w:val="21"/>
          <w:szCs w:val="22"/>
          <w:lang w:eastAsia="zh-CN"/>
        </w:rPr>
        <w:t>成员的评标活动应当独立进行，并应遵循投标文件初审、澄清有关问题、比较与评价、确定中标供应商、编写评审报告的工作程序。</w:t>
      </w:r>
    </w:p>
    <w:p w14:paraId="4A4D8F44">
      <w:pPr>
        <w:widowControl w:val="0"/>
        <w:ind w:firstLine="411" w:firstLineChars="196"/>
        <w:jc w:val="both"/>
        <w:rPr>
          <w:rFonts w:ascii="宋体" w:hAnsi="宋体" w:eastAsia="宋体"/>
          <w:bCs/>
          <w:kern w:val="2"/>
          <w:sz w:val="21"/>
          <w:szCs w:val="21"/>
          <w:lang w:eastAsia="zh-CN"/>
        </w:rPr>
      </w:pPr>
    </w:p>
    <w:p w14:paraId="0DE149B2">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14:paraId="2F0F8DA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32．投标文件初审</w:t>
      </w:r>
    </w:p>
    <w:p w14:paraId="1450C4F6">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32.1投标文件初审包括资格性审查和符合性审查。</w:t>
      </w:r>
    </w:p>
    <w:p w14:paraId="1EE047D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资格性审查：依据法律法规和招标文件的规定，对投标文件中的资格证明等进行审查，以确定投标供应商是否具备投标资格。</w:t>
      </w:r>
    </w:p>
    <w:p w14:paraId="6D86345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符合性审查：依据招标文件的规定，对投标文件的有效性、完整性和对招标文件的响应程度进行审查，以确定是否满足符合性审查的要求。</w:t>
      </w:r>
    </w:p>
    <w:p w14:paraId="7160220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32.2 投标文件初审内容请详见《资格性审查表》和《符合性审查表》部分。投标人若有一条审查不通过则按投标无效处理。</w:t>
      </w:r>
    </w:p>
    <w:p w14:paraId="03BB3BB0">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 投标文件初审中关于供应商家数的计算:</w:t>
      </w:r>
    </w:p>
    <w:p w14:paraId="767CF465">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0B06E3D8">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heme="minorBidi"/>
          <w:bCs/>
          <w:kern w:val="2"/>
          <w:sz w:val="21"/>
          <w:szCs w:val="21"/>
          <w:lang w:eastAsia="zh-CN"/>
        </w:rPr>
        <w:t>评审委员会</w:t>
      </w:r>
      <w:r>
        <w:rPr>
          <w:rFonts w:hint="eastAsia" w:ascii="宋体" w:hAnsi="宋体" w:eastAsia="宋体" w:cstheme="minorBidi"/>
          <w:bCs/>
          <w:kern w:val="2"/>
          <w:sz w:val="21"/>
          <w:szCs w:val="22"/>
          <w:lang w:eastAsia="zh-CN"/>
        </w:rPr>
        <w:t>按照招标文件规定的方式确定一个投标人获得中标人推荐资格，招标文件未规定的采取随机抽取方式确定，其他同品牌投标人不作为中标候选人。</w:t>
      </w:r>
    </w:p>
    <w:p w14:paraId="0E6EB693">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14:paraId="5696A02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32.4投标人投标文件作无效处理的情形，具体包括但不限于以下：</w:t>
      </w:r>
    </w:p>
    <w:p w14:paraId="3C6F33FF">
      <w:pPr>
        <w:widowControl w:val="0"/>
        <w:ind w:firstLine="411" w:firstLineChars="196"/>
        <w:jc w:val="both"/>
        <w:rPr>
          <w:rFonts w:ascii="Calibri" w:hAnsi="Calibri" w:eastAsia="宋体"/>
          <w:kern w:val="2"/>
          <w:sz w:val="21"/>
          <w:szCs w:val="22"/>
          <w:lang w:eastAsia="zh-CN"/>
        </w:rPr>
      </w:pPr>
      <w:r>
        <w:rPr>
          <w:rFonts w:hint="eastAsia" w:ascii="宋体" w:hAnsi="宋体" w:eastAsia="宋体" w:cstheme="minorBidi"/>
          <w:kern w:val="2"/>
          <w:sz w:val="21"/>
          <w:szCs w:val="22"/>
          <w:lang w:eastAsia="zh-CN"/>
        </w:rPr>
        <w:t>32.4.1</w:t>
      </w:r>
      <w:r>
        <w:rPr>
          <w:rFonts w:hint="eastAsia" w:ascii="Calibri" w:hAnsi="Calibri" w:eastAsia="宋体" w:cstheme="minorBidi"/>
          <w:kern w:val="2"/>
          <w:sz w:val="21"/>
          <w:szCs w:val="22"/>
          <w:lang w:eastAsia="zh-CN"/>
        </w:rPr>
        <w:t>不同投标人的投标文件由同一单位或者同一个人编制，或者由同一个人分阶段参与编制；</w:t>
      </w:r>
    </w:p>
    <w:p w14:paraId="714AFF3D">
      <w:pPr>
        <w:widowControl w:val="0"/>
        <w:ind w:firstLine="411" w:firstLineChars="196"/>
        <w:jc w:val="both"/>
        <w:rPr>
          <w:rFonts w:ascii="Calibri" w:hAnsi="Calibri" w:eastAsia="宋体"/>
          <w:kern w:val="2"/>
          <w:sz w:val="21"/>
          <w:szCs w:val="22"/>
          <w:lang w:eastAsia="zh-CN"/>
        </w:rPr>
      </w:pPr>
      <w:r>
        <w:rPr>
          <w:rFonts w:ascii="宋体" w:hAnsi="宋体" w:eastAsia="宋体" w:cstheme="minorBidi"/>
          <w:kern w:val="2"/>
          <w:sz w:val="21"/>
          <w:szCs w:val="22"/>
          <w:lang w:eastAsia="zh-CN"/>
        </w:rPr>
        <w:t>32.4.</w:t>
      </w:r>
      <w:r>
        <w:rPr>
          <w:rFonts w:hint="eastAsia" w:ascii="宋体" w:hAnsi="宋体" w:eastAsia="宋体" w:cstheme="minorBidi"/>
          <w:kern w:val="2"/>
          <w:sz w:val="21"/>
          <w:szCs w:val="22"/>
          <w:lang w:eastAsia="zh-CN"/>
        </w:rPr>
        <w:t>2</w:t>
      </w:r>
      <w:r>
        <w:rPr>
          <w:rFonts w:hint="eastAsia" w:ascii="Calibri" w:hAnsi="Calibri" w:eastAsia="宋体" w:cstheme="minorBidi"/>
          <w:kern w:val="2"/>
          <w:sz w:val="21"/>
          <w:szCs w:val="22"/>
          <w:lang w:eastAsia="zh-CN"/>
        </w:rPr>
        <w:t>不同投标人委托同一单位或者个人办理投标事宜；</w:t>
      </w:r>
    </w:p>
    <w:p w14:paraId="17D3D9C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32.4.3不同投标人的投标文件载明的项目管理成员或者联系人员为同一人；</w:t>
      </w:r>
    </w:p>
    <w:p w14:paraId="0A17F1F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32.4.4不同投标人的投标文件异常一致或者投标报价呈规律性差异；</w:t>
      </w:r>
    </w:p>
    <w:p w14:paraId="553B763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32.4.5</w:t>
      </w:r>
      <w:r>
        <w:rPr>
          <w:rFonts w:ascii="宋体" w:hAnsi="宋体" w:eastAsia="宋体" w:cstheme="minorBidi"/>
          <w:kern w:val="2"/>
          <w:sz w:val="21"/>
          <w:szCs w:val="22"/>
          <w:lang w:eastAsia="zh-CN"/>
        </w:rPr>
        <w:t>不同投标供应商的投标文件或部分投标文件相互混装</w:t>
      </w:r>
      <w:r>
        <w:rPr>
          <w:rFonts w:hint="eastAsia" w:ascii="宋体" w:hAnsi="宋体" w:eastAsia="宋体" w:cstheme="minorBidi"/>
          <w:kern w:val="2"/>
          <w:sz w:val="21"/>
          <w:szCs w:val="22"/>
          <w:lang w:eastAsia="zh-CN"/>
        </w:rPr>
        <w:t>；</w:t>
      </w:r>
    </w:p>
    <w:p w14:paraId="64D9DB7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32.4.6投标供应商之间相互约定给予未中标的供应商利益补偿；</w:t>
      </w:r>
    </w:p>
    <w:p w14:paraId="365B3E6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32.4.7不同投标供应商的法定代表人、主要经营负责人、项目投标授权代表人、项目负责人、主要技术人员为同一人、属同一单位或者同一单位缴纳社会保险；</w:t>
      </w:r>
    </w:p>
    <w:p w14:paraId="023D06D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32.4.8不同投标供应商的投标文件内容存在非正常一致；</w:t>
      </w:r>
    </w:p>
    <w:p w14:paraId="6124412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32.4.9在同一单位工作人员为两家以上（含两家）供应商进行同一项投标活动；</w:t>
      </w:r>
    </w:p>
    <w:p w14:paraId="4C1B0AB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32.4.10主管部门依照法律、法规认定的其他情形。</w:t>
      </w:r>
    </w:p>
    <w:p w14:paraId="185B052B">
      <w:pPr>
        <w:widowControl w:val="0"/>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32.5对不属于《资格性审查表》和《符合性审查表》所列的其他情形，除专用条款另有规定和32.4条款所列情形外，不得作为投标无效的理由。</w:t>
      </w:r>
    </w:p>
    <w:p w14:paraId="6D8BA9C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33．澄清有关问题</w:t>
      </w:r>
    </w:p>
    <w:p w14:paraId="743C6D7E">
      <w:pPr>
        <w:widowControl w:val="0"/>
        <w:ind w:firstLine="411" w:firstLineChars="196"/>
        <w:jc w:val="both"/>
        <w:rPr>
          <w:rFonts w:ascii="宋体" w:hAnsi="宋体" w:eastAsia="宋体"/>
          <w:kern w:val="2"/>
          <w:sz w:val="21"/>
          <w:szCs w:val="22"/>
          <w:lang w:eastAsia="zh-CN"/>
        </w:rPr>
      </w:pPr>
      <w:bookmarkStart w:id="74" w:name="_Hlk71407321"/>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3.1</w:t>
      </w:r>
      <w:r>
        <w:rPr>
          <w:rFonts w:hint="eastAsia" w:ascii="宋体" w:hAnsi="宋体" w:eastAsia="宋体" w:cstheme="minorBidi"/>
          <w:kern w:val="2"/>
          <w:sz w:val="21"/>
          <w:szCs w:val="22"/>
          <w:lang w:eastAsia="zh-CN"/>
        </w:rPr>
        <w:t>对招标文件中描述有歧义或前后不一致的地方（不含</w:t>
      </w:r>
      <w:r>
        <w:rPr>
          <w:rFonts w:ascii="Calibri" w:hAnsi="Calibri" w:eastAsia="宋体" w:cstheme="minorBidi"/>
          <w:kern w:val="2"/>
          <w:sz w:val="21"/>
          <w:szCs w:val="21"/>
          <w:lang w:eastAsia="zh-CN"/>
        </w:rPr>
        <w:t>招标文件存在歧义、重大缺陷导致评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w:t>
      </w:r>
      <w:r>
        <w:rPr>
          <w:rFonts w:hint="eastAsia" w:ascii="Calibri" w:hAnsi="Calibri" w:eastAsia="宋体" w:cstheme="minorBidi"/>
          <w:kern w:val="2"/>
          <w:sz w:val="21"/>
          <w:szCs w:val="21"/>
          <w:lang w:eastAsia="zh-CN"/>
        </w:rPr>
        <w:t>的情况）</w:t>
      </w:r>
      <w:r>
        <w:rPr>
          <w:rFonts w:hint="eastAsia" w:ascii="宋体" w:hAnsi="宋体" w:eastAsia="宋体" w:cstheme="minorBidi"/>
          <w:kern w:val="2"/>
          <w:sz w:val="21"/>
          <w:szCs w:val="22"/>
          <w:lang w:eastAsia="zh-CN"/>
        </w:rPr>
        <w:t>，评审委员会有权进行评判，但对同一条款的评判应适用于每个投标人。</w:t>
      </w:r>
      <w:bookmarkEnd w:id="74"/>
    </w:p>
    <w:p w14:paraId="1CBEAAF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3.2</w:t>
      </w:r>
      <w:r>
        <w:rPr>
          <w:rFonts w:ascii="Calibri" w:hAnsi="Calibri" w:eastAsia="宋体" w:cstheme="minorBidi"/>
          <w:kern w:val="2"/>
          <w:sz w:val="21"/>
          <w:szCs w:val="21"/>
          <w:lang w:eastAsia="zh-CN"/>
        </w:rPr>
        <w:t>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委员会发现招标文件存在歧义、重大缺陷导致评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工作无法进行，或者招标文件内容违反国家有关强制性规定的，应当停止评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工作，与</w:t>
      </w:r>
      <w:r>
        <w:rPr>
          <w:rFonts w:hint="eastAsia" w:ascii="Calibri" w:hAnsi="Calibri" w:eastAsia="宋体" w:cstheme="minorBidi"/>
          <w:kern w:val="2"/>
          <w:sz w:val="21"/>
          <w:szCs w:val="21"/>
          <w:lang w:eastAsia="zh-CN"/>
        </w:rPr>
        <w:t>政府集中采购机构</w:t>
      </w:r>
      <w:r>
        <w:rPr>
          <w:rFonts w:ascii="Calibri" w:hAnsi="Calibri" w:eastAsia="宋体" w:cstheme="minorBidi"/>
          <w:kern w:val="2"/>
          <w:sz w:val="21"/>
          <w:szCs w:val="21"/>
          <w:lang w:eastAsia="zh-CN"/>
        </w:rPr>
        <w:t>沟通并作书面记录。</w:t>
      </w:r>
      <w:r>
        <w:rPr>
          <w:rFonts w:hint="eastAsia" w:ascii="Calibri" w:hAnsi="Calibri" w:eastAsia="宋体" w:cstheme="minorBidi"/>
          <w:kern w:val="2"/>
          <w:sz w:val="21"/>
          <w:szCs w:val="21"/>
          <w:lang w:eastAsia="zh-CN"/>
        </w:rPr>
        <w:t>经</w:t>
      </w:r>
      <w:r>
        <w:rPr>
          <w:rFonts w:ascii="Calibri" w:hAnsi="Calibri" w:eastAsia="宋体" w:cstheme="minorBidi"/>
          <w:kern w:val="2"/>
          <w:sz w:val="21"/>
          <w:szCs w:val="21"/>
          <w:lang w:eastAsia="zh-CN"/>
        </w:rPr>
        <w:t>确认后，</w:t>
      </w:r>
      <w:r>
        <w:rPr>
          <w:rFonts w:hint="eastAsia" w:ascii="Calibri" w:hAnsi="Calibri" w:eastAsia="宋体" w:cstheme="minorBidi"/>
          <w:kern w:val="2"/>
          <w:sz w:val="21"/>
          <w:szCs w:val="21"/>
          <w:lang w:eastAsia="zh-CN"/>
        </w:rPr>
        <w:t>项目</w:t>
      </w:r>
      <w:r>
        <w:rPr>
          <w:rFonts w:ascii="Calibri" w:hAnsi="Calibri" w:eastAsia="宋体" w:cstheme="minorBidi"/>
          <w:kern w:val="2"/>
          <w:sz w:val="21"/>
          <w:szCs w:val="21"/>
          <w:lang w:eastAsia="zh-CN"/>
        </w:rPr>
        <w:t>应当修改招标文件，重新组织采购活动。</w:t>
      </w:r>
    </w:p>
    <w:p w14:paraId="6FF48C03">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33.3</w:t>
      </w:r>
      <w:r>
        <w:rPr>
          <w:rFonts w:hint="eastAsia" w:ascii="宋体" w:hAnsi="宋体" w:eastAsia="宋体" w:cstheme="minorBidi"/>
          <w:kern w:val="2"/>
          <w:sz w:val="21"/>
          <w:szCs w:val="22"/>
          <w:lang w:eastAsia="zh-CN"/>
        </w:rPr>
        <w:t>对于投标文件中含义不明确、同类问题表述不一致或者有明显文字和计算错误的内容，评审委员会应当以书面形式要求投标人作出必要的澄清、说明或者补正。</w:t>
      </w:r>
    </w:p>
    <w:p w14:paraId="68DCED8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50C99DC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根据本通用条款第34条，凡属于评审委员会在评审中发现的算术错误进行核实的修改不在此列。</w:t>
      </w:r>
    </w:p>
    <w:p w14:paraId="78945687">
      <w:pPr>
        <w:widowControl w:val="0"/>
        <w:jc w:val="both"/>
        <w:rPr>
          <w:rFonts w:ascii="黑体" w:hAnsi="宋体" w:eastAsia="黑体"/>
          <w:kern w:val="2"/>
          <w:szCs w:val="22"/>
          <w:lang w:eastAsia="zh-CN"/>
        </w:rPr>
      </w:pPr>
      <w:bookmarkStart w:id="75" w:name="_Toc73521669"/>
      <w:bookmarkStart w:id="76" w:name="_Toc73518151"/>
      <w:bookmarkStart w:id="77" w:name="_Toc100052400"/>
      <w:bookmarkStart w:id="78" w:name="_Toc73521581"/>
      <w:bookmarkStart w:id="79" w:name="_Toc73517673"/>
      <w:r>
        <w:rPr>
          <w:rFonts w:hint="eastAsia" w:ascii="黑体" w:hAnsi="宋体" w:eastAsia="黑体" w:cstheme="minorBidi"/>
          <w:kern w:val="2"/>
          <w:szCs w:val="22"/>
          <w:lang w:eastAsia="zh-CN"/>
        </w:rPr>
        <w:t>34．错误的修正</w:t>
      </w:r>
      <w:bookmarkEnd w:id="75"/>
      <w:bookmarkEnd w:id="76"/>
      <w:bookmarkEnd w:id="77"/>
      <w:bookmarkEnd w:id="78"/>
      <w:bookmarkEnd w:id="79"/>
    </w:p>
    <w:p w14:paraId="6B68623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投标文件报价出现前后不一致的，除专用条款另有规定外，按照下列规定修正：</w:t>
      </w:r>
    </w:p>
    <w:p w14:paraId="79B1D5C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34.1投标文件中开标一览表投标报价内容与投标文件中投标报价相应内容不一致的，以开标一览表为准；</w:t>
      </w:r>
    </w:p>
    <w:p w14:paraId="530E2C0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34.2大写金额和小写金额不一致的，以大写金额为准；</w:t>
      </w:r>
    </w:p>
    <w:p w14:paraId="554F3FA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34.3单价金额小数点或者百分比有明显错位，以开标一览表的总价为准，并修改单价；</w:t>
      </w:r>
    </w:p>
    <w:p w14:paraId="239639C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34.4总价金额与按单价汇总金额不一致的，以单价金额计算结果为准。</w:t>
      </w:r>
    </w:p>
    <w:p w14:paraId="237A88C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21A1DAC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35．投标文件的比较与评价</w:t>
      </w:r>
    </w:p>
    <w:p w14:paraId="7643997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7BAB859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47CD3499">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36. 实地考察或资料查验</w:t>
      </w:r>
    </w:p>
    <w:p w14:paraId="5D57A23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36.1在评审过程中，评审委员会有权决定是否对本项目投标人进行实地考察或资料查验（原件）。投标人应随时做好接受实地考察或资料查验的准备。</w:t>
      </w:r>
    </w:p>
    <w:p w14:paraId="50A2C12D">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37．评审方法</w:t>
      </w:r>
    </w:p>
    <w:p w14:paraId="3F979468">
      <w:pPr>
        <w:widowControl w:val="0"/>
        <w:ind w:firstLine="413" w:firstLineChars="196"/>
        <w:jc w:val="both"/>
        <w:rPr>
          <w:rFonts w:ascii="宋体" w:hAnsi="宋体" w:eastAsia="宋体"/>
          <w:b/>
          <w:bCs/>
          <w:kern w:val="2"/>
          <w:sz w:val="21"/>
          <w:szCs w:val="21"/>
          <w:lang w:eastAsia="zh-CN"/>
        </w:rPr>
      </w:pPr>
      <w:bookmarkStart w:id="80" w:name="_Hlk72438142"/>
      <w:r>
        <w:rPr>
          <w:rFonts w:hint="eastAsia" w:ascii="宋体" w:hAnsi="宋体" w:eastAsia="宋体" w:cstheme="minorBidi"/>
          <w:b/>
          <w:bCs/>
          <w:kern w:val="2"/>
          <w:sz w:val="21"/>
          <w:szCs w:val="21"/>
          <w:lang w:eastAsia="zh-CN"/>
        </w:rPr>
        <w:t>37.1.1最低价法</w:t>
      </w:r>
    </w:p>
    <w:p w14:paraId="2EAE61A0">
      <w:pPr>
        <w:widowControl w:val="0"/>
        <w:ind w:firstLine="411" w:firstLineChars="196"/>
        <w:jc w:val="both"/>
        <w:rPr>
          <w:rFonts w:ascii="ˎ̥" w:hAnsi="ˎ̥" w:eastAsia="宋体"/>
          <w:kern w:val="2"/>
          <w:sz w:val="21"/>
          <w:szCs w:val="22"/>
          <w:lang w:eastAsia="zh-CN"/>
        </w:rPr>
      </w:pPr>
      <w:r>
        <w:rPr>
          <w:rFonts w:ascii="ˎ̥" w:hAnsi="ˎ̥" w:eastAsia="宋体" w:cstheme="minorBidi"/>
          <w:kern w:val="2"/>
          <w:sz w:val="21"/>
          <w:szCs w:val="22"/>
          <w:lang w:eastAsia="zh-CN"/>
        </w:rPr>
        <w:t>最低价法，</w:t>
      </w:r>
      <w:r>
        <w:rPr>
          <w:rFonts w:hint="eastAsia" w:ascii="ˎ̥" w:hAnsi="ˎ̥" w:eastAsia="宋体" w:cstheme="minorBidi"/>
          <w:kern w:val="2"/>
          <w:sz w:val="21"/>
          <w:szCs w:val="22"/>
          <w:lang w:eastAsia="zh-CN"/>
        </w:rPr>
        <w:t>是指投标文件满足招标文件全部实质性要求，且投标报价最低的投标人为中标候选人的评标方法。</w:t>
      </w:r>
    </w:p>
    <w:p w14:paraId="2A7A919F">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9B29321">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37.1.2综合评分法</w:t>
      </w:r>
    </w:p>
    <w:p w14:paraId="3B490C7D">
      <w:pPr>
        <w:widowControl w:val="0"/>
        <w:ind w:firstLine="411" w:firstLineChars="196"/>
        <w:jc w:val="both"/>
        <w:rPr>
          <w:rFonts w:ascii="ˎ̥" w:hAnsi="ˎ̥" w:eastAsia="宋体"/>
          <w:kern w:val="2"/>
          <w:sz w:val="21"/>
          <w:szCs w:val="22"/>
          <w:lang w:eastAsia="zh-CN"/>
        </w:rPr>
      </w:pPr>
      <w:r>
        <w:rPr>
          <w:rFonts w:ascii="ˎ̥" w:hAnsi="ˎ̥" w:eastAsia="宋体" w:cstheme="minorBidi"/>
          <w:kern w:val="2"/>
          <w:sz w:val="21"/>
          <w:szCs w:val="22"/>
          <w:lang w:eastAsia="zh-CN"/>
        </w:rPr>
        <w:t>综合评分法，是指</w:t>
      </w:r>
      <w:r>
        <w:rPr>
          <w:rFonts w:hint="eastAsia" w:ascii="ˎ̥" w:hAnsi="ˎ̥" w:eastAsia="宋体" w:cstheme="minorBidi"/>
          <w:kern w:val="2"/>
          <w:sz w:val="21"/>
          <w:szCs w:val="22"/>
          <w:lang w:eastAsia="zh-CN"/>
        </w:rPr>
        <w:t>在</w:t>
      </w:r>
      <w:r>
        <w:rPr>
          <w:rFonts w:ascii="ˎ̥" w:hAnsi="ˎ̥" w:eastAsia="宋体" w:cstheme="minorBidi"/>
          <w:kern w:val="2"/>
          <w:sz w:val="21"/>
          <w:szCs w:val="22"/>
          <w:lang w:eastAsia="zh-CN"/>
        </w:rPr>
        <w:t>满足招标文件全部实质性要求</w:t>
      </w:r>
      <w:r>
        <w:rPr>
          <w:rFonts w:hint="eastAsia" w:ascii="ˎ̥" w:hAnsi="ˎ̥" w:eastAsia="宋体" w:cstheme="minorBidi"/>
          <w:kern w:val="2"/>
          <w:sz w:val="21"/>
          <w:szCs w:val="22"/>
          <w:lang w:eastAsia="zh-CN"/>
        </w:rPr>
        <w:t>的前提下</w:t>
      </w:r>
      <w:r>
        <w:rPr>
          <w:rFonts w:ascii="ˎ̥" w:hAnsi="ˎ̥" w:eastAsia="宋体" w:cstheme="minorBidi"/>
          <w:kern w:val="2"/>
          <w:sz w:val="21"/>
          <w:szCs w:val="22"/>
          <w:lang w:eastAsia="zh-CN"/>
        </w:rPr>
        <w:t>，</w:t>
      </w:r>
      <w:r>
        <w:rPr>
          <w:rFonts w:hint="eastAsia" w:ascii="ˎ̥" w:hAnsi="ˎ̥" w:eastAsia="宋体" w:cstheme="minorBidi"/>
          <w:kern w:val="2"/>
          <w:sz w:val="21"/>
          <w:szCs w:val="22"/>
          <w:lang w:eastAsia="zh-CN"/>
        </w:rPr>
        <w:t>按照招标文件中规定的各项因素进行综合评审，评审总得分排名前列的投标人，作为推荐的候选中标供应商。</w:t>
      </w:r>
    </w:p>
    <w:p w14:paraId="4C2B96BA">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80"/>
    </w:p>
    <w:p w14:paraId="1727DA69">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37.2 本项目采用的评审方法见本项目招标文件第一册“专用条款”的相关内容。</w:t>
      </w:r>
    </w:p>
    <w:p w14:paraId="613318B2">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37.3重新评审的情形</w:t>
      </w:r>
    </w:p>
    <w:p w14:paraId="02B32C14">
      <w:pPr>
        <w:widowControl w:val="0"/>
        <w:ind w:firstLine="411" w:firstLineChars="196"/>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1E923A3E">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78A20C0B">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46CDFBAA">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06EB390E">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6CEEBD4B">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3D94A63">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0E57487B">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 xml:space="preserve"> 37.4重新组建评审委员会的情形</w:t>
      </w:r>
    </w:p>
    <w:p w14:paraId="00B6AA91">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3140FFF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22DDBEB9">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04CA4D8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562CC710">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43D71ACF">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09C23571">
      <w:pPr>
        <w:widowControl w:val="0"/>
        <w:ind w:firstLine="411" w:firstLineChars="196"/>
        <w:jc w:val="both"/>
        <w:rPr>
          <w:rFonts w:ascii="宋体" w:hAnsi="宋体" w:eastAsia="宋体"/>
          <w:kern w:val="2"/>
          <w:sz w:val="21"/>
          <w:szCs w:val="21"/>
          <w:lang w:eastAsia="zh-CN"/>
        </w:rPr>
      </w:pPr>
    </w:p>
    <w:p w14:paraId="68EFE2CC">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14:paraId="2E727DA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38．定标方法</w:t>
      </w:r>
    </w:p>
    <w:p w14:paraId="6A5AFBFE">
      <w:pPr>
        <w:widowControl w:val="0"/>
        <w:ind w:firstLine="411" w:firstLineChars="196"/>
        <w:jc w:val="both"/>
        <w:rPr>
          <w:rFonts w:ascii="宋体" w:hAnsi="宋体" w:eastAsia="宋体"/>
          <w:kern w:val="2"/>
          <w:sz w:val="21"/>
          <w:szCs w:val="21"/>
          <w:lang w:eastAsia="zh-CN"/>
        </w:rPr>
      </w:pPr>
      <w:bookmarkStart w:id="81" w:name="_Hlk73782795"/>
      <w:r>
        <w:rPr>
          <w:rFonts w:hint="eastAsia" w:ascii="宋体" w:hAnsi="宋体" w:eastAsia="宋体" w:cstheme="minorBidi"/>
          <w:kern w:val="2"/>
          <w:sz w:val="21"/>
          <w:szCs w:val="21"/>
          <w:lang w:eastAsia="zh-CN"/>
        </w:rPr>
        <w:t>38.1非评定分离项目定标方法</w:t>
      </w:r>
    </w:p>
    <w:p w14:paraId="29F16D0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14:paraId="0B92FE4C">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A8F441">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3B4A067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38.2评定分离项目定标方法</w:t>
      </w:r>
    </w:p>
    <w:p w14:paraId="5F67739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FB98318">
      <w:pPr>
        <w:widowControl w:val="0"/>
        <w:ind w:firstLine="411" w:firstLineChars="196"/>
        <w:jc w:val="both"/>
        <w:rPr>
          <w:rFonts w:ascii="Calibri" w:hAnsi="Calibri" w:eastAsia="宋体"/>
          <w:kern w:val="2"/>
          <w:sz w:val="21"/>
          <w:szCs w:val="22"/>
          <w:lang w:eastAsia="zh-CN"/>
        </w:rPr>
      </w:pPr>
      <w:r>
        <w:rPr>
          <w:rFonts w:ascii="宋体" w:hAnsi="宋体" w:eastAsia="宋体" w:cstheme="minorBidi"/>
          <w:kern w:val="2"/>
          <w:sz w:val="21"/>
          <w:szCs w:val="21"/>
          <w:lang w:eastAsia="zh-CN"/>
        </w:rPr>
        <w:t xml:space="preserve">38.2.2 </w:t>
      </w:r>
      <w:bookmarkStart w:id="82" w:name="_Hlk71469733"/>
      <w:r>
        <w:rPr>
          <w:rFonts w:ascii="Calibri" w:hAnsi="Calibri" w:eastAsia="宋体" w:cstheme="minorBidi"/>
          <w:kern w:val="2"/>
          <w:sz w:val="21"/>
          <w:szCs w:val="22"/>
          <w:lang w:eastAsia="zh-CN"/>
        </w:rPr>
        <w:t>适用评定分离的政府采购项目，采用综合评分法评</w:t>
      </w:r>
      <w:r>
        <w:rPr>
          <w:rFonts w:hint="eastAsia" w:ascii="Calibri" w:hAnsi="Calibri" w:eastAsia="宋体" w:cstheme="minorBidi"/>
          <w:kern w:val="2"/>
          <w:sz w:val="21"/>
          <w:szCs w:val="22"/>
          <w:lang w:eastAsia="zh-CN"/>
        </w:rPr>
        <w:t>审。</w:t>
      </w:r>
      <w:r>
        <w:rPr>
          <w:rFonts w:hint="eastAsia" w:ascii="宋体" w:hAnsi="宋体" w:eastAsia="宋体" w:cstheme="minorBidi"/>
          <w:kern w:val="2"/>
          <w:sz w:val="21"/>
          <w:szCs w:val="21"/>
          <w:lang w:eastAsia="zh-CN"/>
        </w:rPr>
        <w:t>评审委员会按照评审结果，推荐</w:t>
      </w:r>
      <w:r>
        <w:rPr>
          <w:rFonts w:ascii="Calibri" w:hAnsi="Calibri" w:eastAsia="宋体" w:cstheme="minorBidi"/>
          <w:kern w:val="2"/>
          <w:sz w:val="21"/>
          <w:szCs w:val="22"/>
          <w:lang w:eastAsia="zh-CN"/>
        </w:rPr>
        <w:t>三个合格的候选中标供应商。</w:t>
      </w:r>
    </w:p>
    <w:p w14:paraId="3B96D47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38.2.3</w:t>
      </w:r>
      <w:bookmarkStart w:id="83" w:name="_Hlk71469688"/>
      <w:r>
        <w:rPr>
          <w:rFonts w:ascii="Calibri" w:hAnsi="Calibri" w:eastAsia="宋体" w:cstheme="minorBidi"/>
          <w:kern w:val="2"/>
          <w:sz w:val="21"/>
          <w:szCs w:val="22"/>
          <w:lang w:eastAsia="zh-CN"/>
        </w:rPr>
        <w:t>适用评定分离的政府采购项目，</w:t>
      </w:r>
      <w:r>
        <w:rPr>
          <w:rFonts w:hint="eastAsia" w:ascii="宋体" w:hAnsi="宋体" w:eastAsia="宋体" w:cstheme="minorBidi"/>
          <w:kern w:val="2"/>
          <w:sz w:val="21"/>
          <w:szCs w:val="21"/>
          <w:lang w:eastAsia="zh-CN"/>
        </w:rPr>
        <w:t>按照自定法确定中标供应商：自定法是指采购人组织定标委员会，由定标委员会在三家候选中标供应商中确定中标供应商。</w:t>
      </w:r>
      <w:bookmarkEnd w:id="82"/>
      <w:bookmarkEnd w:id="83"/>
    </w:p>
    <w:p w14:paraId="6611BAA6">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38.2.4</w:t>
      </w:r>
      <w:r>
        <w:rPr>
          <w:rFonts w:hint="eastAsia" w:ascii="宋体" w:hAnsi="宋体" w:eastAsia="宋体" w:cstheme="minorBidi"/>
          <w:kern w:val="2"/>
          <w:sz w:val="21"/>
          <w:szCs w:val="21"/>
          <w:lang w:eastAsia="zh-CN"/>
        </w:rPr>
        <w:t>政府集中采购机构</w:t>
      </w:r>
      <w:r>
        <w:rPr>
          <w:rFonts w:ascii="Calibri" w:hAnsi="Calibri" w:eastAsia="宋体" w:cstheme="minorBidi"/>
          <w:kern w:val="2"/>
          <w:sz w:val="21"/>
          <w:szCs w:val="22"/>
          <w:lang w:eastAsia="zh-CN"/>
        </w:rPr>
        <w:t>应当自评审结束之日起两个工作日内将候选中标供应商名单及其投标文件、评审报告送交采购人</w:t>
      </w:r>
      <w:r>
        <w:rPr>
          <w:rFonts w:hint="eastAsia" w:ascii="宋体" w:hAnsi="宋体" w:eastAsia="宋体" w:cstheme="minorBidi"/>
          <w:kern w:val="2"/>
          <w:sz w:val="21"/>
          <w:szCs w:val="21"/>
          <w:lang w:eastAsia="zh-CN"/>
        </w:rPr>
        <w:t>。</w:t>
      </w:r>
      <w:r>
        <w:rPr>
          <w:rFonts w:ascii="Calibri" w:hAnsi="Calibri" w:eastAsia="宋体" w:cstheme="minorBidi"/>
          <w:kern w:val="2"/>
          <w:sz w:val="21"/>
          <w:szCs w:val="22"/>
          <w:lang w:eastAsia="zh-CN"/>
        </w:rPr>
        <w:t>采购人应当安排专人对定标过程进行书面记录，形成定标报告，作为采购文件的组成部分存档，并及时将定标结果反馈</w:t>
      </w:r>
      <w:r>
        <w:rPr>
          <w:rFonts w:hint="eastAsia" w:ascii="Calibri" w:hAnsi="Calibri" w:eastAsia="宋体" w:cstheme="minorBidi"/>
          <w:kern w:val="2"/>
          <w:sz w:val="21"/>
          <w:szCs w:val="22"/>
          <w:lang w:eastAsia="zh-CN"/>
        </w:rPr>
        <w:t>政府集中采购机构。具体定标程序及相关要求以按照《</w:t>
      </w:r>
      <w:r>
        <w:rPr>
          <w:rFonts w:ascii="Calibri" w:hAnsi="Calibri" w:eastAsia="宋体" w:cstheme="minorBidi"/>
          <w:kern w:val="2"/>
          <w:sz w:val="21"/>
          <w:szCs w:val="22"/>
          <w:lang w:eastAsia="zh-CN"/>
        </w:rPr>
        <w:t>深圳市财政局关于印发</w:t>
      </w:r>
      <w:r>
        <w:rPr>
          <w:rFonts w:hint="eastAsia" w:ascii="宋体" w:hAnsi="宋体" w:eastAsia="宋体" w:cstheme="minorBidi"/>
          <w:kern w:val="2"/>
          <w:sz w:val="21"/>
          <w:szCs w:val="22"/>
          <w:lang w:eastAsia="zh-CN"/>
        </w:rPr>
        <w:t>〈</w:t>
      </w:r>
      <w:r>
        <w:rPr>
          <w:rFonts w:ascii="Calibri" w:hAnsi="Calibri" w:eastAsia="宋体" w:cstheme="minorBidi"/>
          <w:kern w:val="2"/>
          <w:sz w:val="21"/>
          <w:szCs w:val="22"/>
          <w:lang w:eastAsia="zh-CN"/>
        </w:rPr>
        <w:t>深圳市政府采购评标定标分离管理办法</w:t>
      </w:r>
      <w:r>
        <w:rPr>
          <w:rFonts w:hint="eastAsia" w:ascii="宋体" w:hAnsi="宋体" w:eastAsia="宋体" w:cstheme="minorBidi"/>
          <w:kern w:val="2"/>
          <w:sz w:val="21"/>
          <w:szCs w:val="22"/>
          <w:lang w:eastAsia="zh-CN"/>
        </w:rPr>
        <w:t>〉</w:t>
      </w:r>
      <w:r>
        <w:rPr>
          <w:rFonts w:ascii="Calibri" w:hAnsi="Calibri" w:eastAsia="宋体" w:cstheme="minorBidi"/>
          <w:kern w:val="2"/>
          <w:sz w:val="21"/>
          <w:szCs w:val="22"/>
          <w:lang w:eastAsia="zh-CN"/>
        </w:rPr>
        <w:t>的通知</w:t>
      </w:r>
      <w:r>
        <w:rPr>
          <w:rFonts w:hint="eastAsia" w:ascii="Calibri" w:hAnsi="Calibri" w:eastAsia="宋体" w:cstheme="minorBidi"/>
          <w:kern w:val="2"/>
          <w:sz w:val="21"/>
          <w:szCs w:val="22"/>
          <w:lang w:eastAsia="zh-CN"/>
        </w:rPr>
        <w:t>》（深财规【2</w:t>
      </w:r>
      <w:r>
        <w:rPr>
          <w:rFonts w:ascii="Calibri" w:hAnsi="Calibri" w:eastAsia="宋体" w:cstheme="minorBidi"/>
          <w:kern w:val="2"/>
          <w:sz w:val="21"/>
          <w:szCs w:val="22"/>
          <w:lang w:eastAsia="zh-CN"/>
        </w:rPr>
        <w:t>020</w:t>
      </w:r>
      <w:r>
        <w:rPr>
          <w:rFonts w:hint="eastAsia" w:ascii="Calibri" w:hAnsi="Calibri" w:eastAsia="宋体" w:cstheme="minorBidi"/>
          <w:kern w:val="2"/>
          <w:sz w:val="21"/>
          <w:szCs w:val="22"/>
          <w:lang w:eastAsia="zh-CN"/>
        </w:rPr>
        <w:t>】1号）执行。</w:t>
      </w:r>
    </w:p>
    <w:p w14:paraId="6C06DAE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说明：采购人及投标供应商应按照上述方法提前做好相关准备。</w:t>
      </w:r>
    </w:p>
    <w:p w14:paraId="72E32E9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38.3专用条款另有规定的，按专用条款相关要求定标。</w:t>
      </w:r>
      <w:bookmarkEnd w:id="81"/>
    </w:p>
    <w:p w14:paraId="03812D33">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39．编写评审报告</w:t>
      </w:r>
    </w:p>
    <w:p w14:paraId="3CF7237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11813F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40．中标公告</w:t>
      </w:r>
    </w:p>
    <w:p w14:paraId="25C546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40.1</w:t>
      </w:r>
      <w:bookmarkStart w:id="84" w:name="_Hlk72438709"/>
      <w:r>
        <w:rPr>
          <w:rFonts w:hint="eastAsia" w:ascii="宋体" w:hAnsi="宋体" w:eastAsia="宋体" w:cstheme="minorBidi"/>
          <w:kern w:val="2"/>
          <w:sz w:val="21"/>
          <w:szCs w:val="21"/>
          <w:lang w:eastAsia="zh-CN"/>
        </w:rPr>
        <w:t>为体现“公开、公平、公正”的原则，评审结束后经采购人确认（确定）评审结果，政府集中采购机构将在</w:t>
      </w:r>
      <w:r>
        <w:rPr>
          <w:rFonts w:hint="eastAsia" w:ascii="宋体" w:hAnsi="宋体" w:eastAsia="宋体" w:cstheme="minorBidi"/>
          <w:b/>
          <w:bCs/>
          <w:kern w:val="2"/>
          <w:sz w:val="21"/>
          <w:szCs w:val="22"/>
          <w:lang w:eastAsia="zh-CN"/>
        </w:rPr>
        <w:t>深圳政府采购自行采购系统</w:t>
      </w:r>
      <w:r>
        <w:rPr>
          <w:rFonts w:hint="eastAsia" w:ascii="宋体" w:hAnsi="宋体" w:eastAsia="宋体" w:cstheme="minorBidi"/>
          <w:b/>
          <w:bCs/>
          <w:kern w:val="2"/>
          <w:sz w:val="21"/>
          <w:szCs w:val="21"/>
          <w:lang w:eastAsia="zh-CN"/>
        </w:rPr>
        <w:t>（https://zxcg.szggzy.com/home/index.html）</w:t>
      </w:r>
      <w:r>
        <w:rPr>
          <w:rFonts w:hint="eastAsia" w:ascii="宋体" w:hAnsi="宋体" w:eastAsia="宋体" w:cstheme="minorBidi"/>
          <w:kern w:val="2"/>
          <w:sz w:val="21"/>
          <w:szCs w:val="21"/>
          <w:lang w:eastAsia="zh-CN"/>
        </w:rPr>
        <w:t>上发布中标结果公告。</w:t>
      </w:r>
      <w:bookmarkEnd w:id="84"/>
      <w:bookmarkStart w:id="85" w:name="_Hlk72438751"/>
      <w:r>
        <w:rPr>
          <w:rFonts w:hint="eastAsia" w:ascii="宋体" w:hAnsi="宋体" w:eastAsia="宋体" w:cstheme="minorBidi"/>
          <w:kern w:val="2"/>
          <w:sz w:val="21"/>
          <w:szCs w:val="21"/>
          <w:lang w:eastAsia="zh-CN"/>
        </w:rPr>
        <w:t>供应商如对评审结果有异议，</w:t>
      </w:r>
      <w:r>
        <w:rPr>
          <w:rFonts w:ascii="宋体" w:hAnsi="宋体" w:eastAsia="宋体" w:cstheme="minorBidi"/>
          <w:kern w:val="2"/>
          <w:sz w:val="21"/>
          <w:szCs w:val="21"/>
          <w:lang w:eastAsia="zh-CN"/>
        </w:rPr>
        <w:t>可在发布公示日期起</w:t>
      </w:r>
      <w:r>
        <w:rPr>
          <w:rFonts w:hint="eastAsia" w:ascii="宋体" w:hAnsi="宋体" w:eastAsia="宋体" w:cstheme="minorBidi"/>
          <w:kern w:val="2"/>
          <w:sz w:val="21"/>
          <w:szCs w:val="21"/>
          <w:lang w:eastAsia="zh-CN"/>
        </w:rPr>
        <w:t>七</w:t>
      </w:r>
      <w:r>
        <w:rPr>
          <w:rFonts w:ascii="宋体" w:hAnsi="宋体" w:eastAsia="宋体" w:cstheme="minorBidi"/>
          <w:kern w:val="2"/>
          <w:sz w:val="21"/>
          <w:szCs w:val="21"/>
          <w:lang w:eastAsia="zh-CN"/>
        </w:rPr>
        <w:t>个工作日内向</w:t>
      </w:r>
      <w:r>
        <w:rPr>
          <w:rFonts w:hint="eastAsia" w:ascii="宋体" w:hAnsi="宋体" w:eastAsia="宋体" w:cstheme="minorBidi"/>
          <w:kern w:val="2"/>
          <w:sz w:val="21"/>
          <w:szCs w:val="21"/>
          <w:lang w:eastAsia="zh-CN"/>
        </w:rPr>
        <w:t>政府集中采购机构</w:t>
      </w:r>
      <w:r>
        <w:rPr>
          <w:rFonts w:ascii="宋体" w:hAnsi="宋体" w:eastAsia="宋体" w:cstheme="minorBidi"/>
          <w:kern w:val="2"/>
          <w:sz w:val="21"/>
          <w:szCs w:val="21"/>
          <w:lang w:eastAsia="zh-CN"/>
        </w:rPr>
        <w:t>提出。 监督电话：0755-83948143。</w:t>
      </w:r>
      <w:r>
        <w:rPr>
          <w:rFonts w:hint="eastAsia" w:ascii="宋体" w:hAnsi="宋体" w:eastAsia="宋体" w:cstheme="minorBidi"/>
          <w:kern w:val="2"/>
          <w:sz w:val="21"/>
          <w:szCs w:val="21"/>
          <w:lang w:eastAsia="zh-CN"/>
        </w:rPr>
        <w:t>若在公示期内未提出质疑，则视为认同该评审结果。</w:t>
      </w:r>
    </w:p>
    <w:bookmarkEnd w:id="85"/>
    <w:p w14:paraId="0E447EC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40.2质疑、投诉供应商应保证质疑、投诉内容的真实性和可靠性，并承担相应的法律责任。</w:t>
      </w:r>
    </w:p>
    <w:p w14:paraId="45520E3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41．中标通知书</w:t>
      </w:r>
    </w:p>
    <w:p w14:paraId="02CDCFF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w:t>
      </w:r>
      <w:bookmarkStart w:id="86" w:name="_Hlk72438863"/>
      <w:r>
        <w:rPr>
          <w:rFonts w:hint="eastAsia" w:ascii="宋体" w:hAnsi="宋体" w:eastAsia="宋体" w:cstheme="minorBidi"/>
          <w:kern w:val="2"/>
          <w:sz w:val="21"/>
          <w:szCs w:val="21"/>
          <w:lang w:eastAsia="zh-CN"/>
        </w:rPr>
        <w:t>中标公告公布以后无异常的情况下,中标供应商和采购人可自行登录</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2"/>
          <w:lang w:eastAsia="zh-CN"/>
        </w:rPr>
        <w:t>深圳政府采购自行采购系统（https://trade.szggzy.com/ggzy/center/#/login）</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1"/>
          <w:lang w:eastAsia="zh-CN"/>
        </w:rPr>
        <w:t>上打印</w:t>
      </w:r>
      <w:r>
        <w:rPr>
          <w:rFonts w:hint="eastAsia" w:ascii="宋体" w:hAnsi="宋体" w:eastAsia="宋体" w:cstheme="minorBidi"/>
          <w:b/>
          <w:kern w:val="2"/>
          <w:sz w:val="21"/>
          <w:szCs w:val="21"/>
          <w:lang w:eastAsia="zh-CN"/>
        </w:rPr>
        <w:t>《数字中标通知书》</w:t>
      </w:r>
      <w:r>
        <w:rPr>
          <w:rFonts w:hint="eastAsia" w:ascii="宋体" w:hAnsi="宋体" w:eastAsia="宋体" w:cstheme="minorBidi"/>
          <w:kern w:val="2"/>
          <w:sz w:val="21"/>
          <w:szCs w:val="21"/>
          <w:lang w:eastAsia="zh-CN"/>
        </w:rPr>
        <w:t>。</w:t>
      </w:r>
      <w:bookmarkEnd w:id="86"/>
    </w:p>
    <w:p w14:paraId="75CC95B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中标通知书是合同的重要组成部分。</w:t>
      </w:r>
    </w:p>
    <w:p w14:paraId="1D392264">
      <w:pPr>
        <w:widowControl w:val="0"/>
        <w:ind w:firstLine="411" w:firstLineChars="196"/>
        <w:jc w:val="both"/>
        <w:rPr>
          <w:rFonts w:ascii="宋体" w:hAnsi="宋体" w:eastAsia="宋体"/>
          <w:kern w:val="2"/>
          <w:sz w:val="21"/>
          <w:szCs w:val="21"/>
          <w:lang w:eastAsia="zh-CN"/>
        </w:rPr>
      </w:pPr>
      <w:bookmarkStart w:id="87" w:name="_Hlk71407340"/>
      <w:r>
        <w:rPr>
          <w:rFonts w:hint="eastAsia" w:ascii="宋体" w:hAnsi="宋体" w:eastAsia="宋体" w:cstheme="minorBidi"/>
          <w:kern w:val="2"/>
          <w:sz w:val="21"/>
          <w:szCs w:val="21"/>
          <w:lang w:eastAsia="zh-CN"/>
        </w:rPr>
        <w:t>41.3因质疑投诉或其它原因导致项目结果变更或采购终止的，政府集中采购机构有权吊销中标通知书。</w:t>
      </w:r>
    </w:p>
    <w:bookmarkEnd w:id="87"/>
    <w:p w14:paraId="2CE042A6">
      <w:pPr>
        <w:widowControl w:val="0"/>
        <w:ind w:firstLine="411" w:firstLineChars="196"/>
        <w:jc w:val="both"/>
        <w:rPr>
          <w:rFonts w:ascii="宋体" w:hAnsi="宋体" w:eastAsia="宋体"/>
          <w:kern w:val="2"/>
          <w:sz w:val="21"/>
          <w:szCs w:val="21"/>
          <w:lang w:eastAsia="zh-CN"/>
        </w:rPr>
      </w:pPr>
    </w:p>
    <w:p w14:paraId="0A4F2559">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公开招标失败的后续处理</w:t>
      </w:r>
    </w:p>
    <w:p w14:paraId="77579E09">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42．公开招标失败的处理</w:t>
      </w:r>
    </w:p>
    <w:p w14:paraId="001E35B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42.1本项目公开招标过程中若由于投标截止后</w:t>
      </w:r>
      <w:r>
        <w:rPr>
          <w:rFonts w:hint="eastAsia" w:ascii="宋体" w:hAnsi="宋体" w:eastAsia="宋体" w:cstheme="minorBidi"/>
          <w:kern w:val="2"/>
          <w:sz w:val="21"/>
          <w:szCs w:val="22"/>
          <w:lang w:eastAsia="zh-CN"/>
        </w:rPr>
        <w:t>实际递交</w:t>
      </w:r>
      <w:r>
        <w:rPr>
          <w:rFonts w:ascii="宋体" w:hAnsi="宋体" w:eastAsia="宋体" w:cstheme="minorBidi"/>
          <w:kern w:val="2"/>
          <w:sz w:val="21"/>
          <w:szCs w:val="22"/>
          <w:lang w:eastAsia="zh-CN"/>
        </w:rPr>
        <w:t>投标</w:t>
      </w:r>
      <w:r>
        <w:rPr>
          <w:rFonts w:hint="eastAsia" w:ascii="宋体" w:hAnsi="宋体" w:eastAsia="宋体" w:cstheme="minorBidi"/>
          <w:kern w:val="2"/>
          <w:sz w:val="21"/>
          <w:szCs w:val="22"/>
          <w:lang w:eastAsia="zh-CN"/>
        </w:rPr>
        <w:t>文件的供应商数量不足、经</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评审对招标文件作实质响应的供应商不足等原因造成公开招标失败，可由</w:t>
      </w:r>
      <w:r>
        <w:rPr>
          <w:rFonts w:hint="eastAsia" w:ascii="宋体" w:hAnsi="宋体" w:eastAsia="宋体" w:cs="宋体"/>
          <w:kern w:val="2"/>
          <w:sz w:val="21"/>
          <w:szCs w:val="22"/>
          <w:lang w:eastAsia="zh-CN"/>
        </w:rPr>
        <w:t>政府集中采购机构</w:t>
      </w:r>
      <w:r>
        <w:rPr>
          <w:rFonts w:hint="eastAsia" w:ascii="宋体" w:hAnsi="宋体" w:eastAsia="宋体" w:cstheme="minorBidi"/>
          <w:kern w:val="2"/>
          <w:sz w:val="21"/>
          <w:szCs w:val="22"/>
          <w:lang w:eastAsia="zh-CN"/>
        </w:rPr>
        <w:t>重新组织采购。</w:t>
      </w:r>
    </w:p>
    <w:p w14:paraId="5C41562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191E210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42.3重新组织采购有以下两种组织形式：</w:t>
      </w:r>
    </w:p>
    <w:p w14:paraId="0B53D71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（1）由政府集中采购机构重新组织公开招标；</w:t>
      </w:r>
    </w:p>
    <w:p w14:paraId="208402F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（2）根据实际情况需要向同级财政部门提出非公开招标方式申请，经同级财政部门批准，公开招标失败采购项目可转为竞争性谈判或单一来源谈判方式采购。</w:t>
      </w:r>
    </w:p>
    <w:p w14:paraId="5362913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42.4公开招标失败的采购项目重新组织公开招标，由政府集中采购机构重新按公开招标流程组织采购活动。</w:t>
      </w:r>
    </w:p>
    <w:p w14:paraId="65BD4324">
      <w:pPr>
        <w:widowControl w:val="0"/>
        <w:jc w:val="both"/>
        <w:rPr>
          <w:rFonts w:ascii="宋体" w:hAnsi="宋体" w:eastAsia="宋体"/>
          <w:kern w:val="2"/>
          <w:sz w:val="21"/>
          <w:szCs w:val="22"/>
          <w:lang w:eastAsia="zh-CN"/>
        </w:rPr>
      </w:pPr>
      <w:r>
        <w:rPr>
          <w:rFonts w:hint="eastAsia" w:ascii="黑体" w:hAnsi="宋体" w:eastAsia="黑体" w:cstheme="minorBidi"/>
          <w:kern w:val="2"/>
          <w:szCs w:val="22"/>
          <w:lang w:eastAsia="zh-CN"/>
        </w:rPr>
        <w:t xml:space="preserve">    </w:t>
      </w:r>
      <w:r>
        <w:rPr>
          <w:rFonts w:hint="eastAsia" w:ascii="宋体" w:hAnsi="宋体" w:eastAsia="宋体" w:cstheme="minorBidi"/>
          <w:kern w:val="2"/>
          <w:sz w:val="21"/>
          <w:szCs w:val="22"/>
          <w:lang w:eastAsia="zh-CN"/>
        </w:rPr>
        <w:t>42.5公开招标失败的采购项目经同级财政部门批准转为竞争性谈判或单一来源谈判方式采购的，按规定要求组织政府采购工作。</w:t>
      </w:r>
    </w:p>
    <w:p w14:paraId="4C94D9C6">
      <w:pPr>
        <w:widowControl w:val="0"/>
        <w:jc w:val="both"/>
        <w:rPr>
          <w:rFonts w:ascii="黑体" w:hAnsi="宋体" w:eastAsia="黑体"/>
          <w:kern w:val="2"/>
          <w:szCs w:val="22"/>
          <w:lang w:eastAsia="zh-CN"/>
        </w:rPr>
      </w:pPr>
    </w:p>
    <w:p w14:paraId="07647771">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bookmarkStart w:id="88" w:name="_Hlk72439043"/>
      <w:r>
        <w:rPr>
          <w:rFonts w:hint="eastAsia" w:ascii="Cambria" w:hAnsi="Cambria" w:eastAsia="宋体" w:cstheme="majorBidi"/>
          <w:b/>
          <w:bCs/>
          <w:kern w:val="2"/>
          <w:sz w:val="28"/>
          <w:szCs w:val="28"/>
          <w:lang w:eastAsia="zh-CN"/>
        </w:rPr>
        <w:t>合同的授予与备案</w:t>
      </w:r>
      <w:bookmarkEnd w:id="88"/>
    </w:p>
    <w:p w14:paraId="525604D7">
      <w:pPr>
        <w:widowControl w:val="0"/>
        <w:jc w:val="both"/>
        <w:rPr>
          <w:rFonts w:ascii="黑体" w:hAnsi="宋体" w:eastAsia="黑体"/>
          <w:kern w:val="2"/>
          <w:szCs w:val="22"/>
          <w:lang w:eastAsia="zh-CN"/>
        </w:rPr>
      </w:pPr>
      <w:bookmarkStart w:id="89" w:name="_Toc73518157"/>
      <w:bookmarkStart w:id="90" w:name="_Toc73517679"/>
      <w:bookmarkStart w:id="91" w:name="_Toc73521674"/>
      <w:bookmarkStart w:id="92" w:name="_Toc73521586"/>
      <w:bookmarkStart w:id="93" w:name="_Toc100052408"/>
      <w:bookmarkStart w:id="94" w:name="_Hlk72439088"/>
      <w:r>
        <w:rPr>
          <w:rFonts w:hint="eastAsia" w:ascii="黑体" w:hAnsi="宋体" w:eastAsia="黑体" w:cstheme="minorBidi"/>
          <w:kern w:val="2"/>
          <w:szCs w:val="22"/>
          <w:lang w:eastAsia="zh-CN"/>
        </w:rPr>
        <w:t>43．合同授予标准</w:t>
      </w:r>
      <w:bookmarkEnd w:id="89"/>
      <w:bookmarkEnd w:id="90"/>
      <w:bookmarkEnd w:id="91"/>
      <w:bookmarkEnd w:id="92"/>
      <w:bookmarkEnd w:id="93"/>
    </w:p>
    <w:p w14:paraId="5824810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本项目的合同将授予经本招标文件规定评审确定的中标供应商。</w:t>
      </w:r>
    </w:p>
    <w:p w14:paraId="0F7DC617">
      <w:pPr>
        <w:widowControl w:val="0"/>
        <w:jc w:val="both"/>
        <w:rPr>
          <w:rFonts w:ascii="黑体" w:hAnsi="宋体" w:eastAsia="黑体"/>
          <w:kern w:val="2"/>
          <w:szCs w:val="22"/>
          <w:lang w:eastAsia="zh-CN"/>
        </w:rPr>
      </w:pPr>
      <w:bookmarkStart w:id="95" w:name="_Toc73517680"/>
      <w:bookmarkStart w:id="96" w:name="_Toc73521587"/>
      <w:bookmarkStart w:id="97" w:name="_Toc73518158"/>
      <w:bookmarkStart w:id="98" w:name="_Toc100052409"/>
      <w:bookmarkStart w:id="99" w:name="_Toc73521675"/>
      <w:r>
        <w:rPr>
          <w:rFonts w:hint="eastAsia" w:ascii="黑体" w:hAnsi="宋体" w:eastAsia="黑体" w:cstheme="minorBidi"/>
          <w:kern w:val="2"/>
          <w:szCs w:val="22"/>
          <w:lang w:eastAsia="zh-CN"/>
        </w:rPr>
        <w:t>44．</w:t>
      </w:r>
      <w:bookmarkEnd w:id="95"/>
      <w:bookmarkEnd w:id="96"/>
      <w:bookmarkEnd w:id="97"/>
      <w:bookmarkEnd w:id="98"/>
      <w:bookmarkEnd w:id="99"/>
      <w:r>
        <w:rPr>
          <w:rFonts w:hint="eastAsia" w:ascii="黑体" w:hAnsi="宋体" w:eastAsia="黑体" w:cstheme="minorBidi"/>
          <w:kern w:val="2"/>
          <w:szCs w:val="22"/>
          <w:lang w:eastAsia="zh-CN"/>
        </w:rPr>
        <w:t>接受和拒绝任何或所有投标的权力</w:t>
      </w:r>
    </w:p>
    <w:p w14:paraId="3FF97C3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744DD350">
      <w:pPr>
        <w:widowControl w:val="0"/>
        <w:jc w:val="both"/>
        <w:rPr>
          <w:rFonts w:ascii="黑体" w:hAnsi="宋体" w:eastAsia="黑体"/>
          <w:kern w:val="2"/>
          <w:szCs w:val="22"/>
          <w:lang w:eastAsia="zh-CN"/>
        </w:rPr>
      </w:pPr>
      <w:bookmarkStart w:id="100" w:name="_Toc73521589"/>
      <w:bookmarkStart w:id="101" w:name="_Toc73521677"/>
      <w:bookmarkStart w:id="102" w:name="_Toc73517682"/>
      <w:bookmarkStart w:id="103" w:name="_Toc100052410"/>
      <w:bookmarkStart w:id="104" w:name="_Toc73518160"/>
      <w:r>
        <w:rPr>
          <w:rFonts w:hint="eastAsia" w:ascii="黑体" w:hAnsi="宋体" w:eastAsia="黑体" w:cstheme="minorBidi"/>
          <w:kern w:val="2"/>
          <w:szCs w:val="22"/>
          <w:lang w:eastAsia="zh-CN"/>
        </w:rPr>
        <w:t>45．合同的签订</w:t>
      </w:r>
      <w:bookmarkEnd w:id="100"/>
      <w:bookmarkEnd w:id="101"/>
      <w:bookmarkEnd w:id="102"/>
      <w:bookmarkEnd w:id="103"/>
      <w:bookmarkEnd w:id="104"/>
    </w:p>
    <w:p w14:paraId="16F395A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14:paraId="7D3032D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45.2中标人如不按本通用条款第45</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款的规定与采购人签订合同，</w:t>
      </w:r>
      <w:r>
        <w:rPr>
          <w:rFonts w:ascii="宋体" w:hAnsi="宋体" w:eastAsia="宋体" w:cs="宋体"/>
          <w:sz w:val="21"/>
          <w:szCs w:val="21"/>
          <w:lang w:eastAsia="zh-CN"/>
        </w:rPr>
        <w:t>情节严重的，由</w:t>
      </w:r>
      <w:r>
        <w:rPr>
          <w:rFonts w:hint="eastAsia" w:ascii="宋体" w:hAnsi="宋体" w:eastAsia="宋体" w:cs="宋体"/>
          <w:sz w:val="21"/>
          <w:szCs w:val="21"/>
          <w:lang w:eastAsia="zh-CN"/>
        </w:rPr>
        <w:t>同级财政</w:t>
      </w:r>
      <w:r>
        <w:rPr>
          <w:rFonts w:ascii="宋体" w:hAnsi="宋体" w:eastAsia="宋体" w:cs="宋体"/>
          <w:sz w:val="21"/>
          <w:szCs w:val="21"/>
          <w:lang w:eastAsia="zh-CN"/>
        </w:rPr>
        <w:t>部门记入供应商诚信档案，予以通报</w:t>
      </w:r>
      <w:r>
        <w:rPr>
          <w:rFonts w:hint="eastAsia" w:ascii="宋体" w:hAnsi="宋体" w:eastAsia="宋体" w:cstheme="minorBidi"/>
          <w:kern w:val="2"/>
          <w:sz w:val="21"/>
          <w:szCs w:val="21"/>
          <w:lang w:eastAsia="zh-CN"/>
        </w:rPr>
        <w:t>；</w:t>
      </w:r>
    </w:p>
    <w:p w14:paraId="12D5E7D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45.3中标人应当按照合同约定履行义务，完成中标项目，不得将中标项目转让（转包）给他人。</w:t>
      </w:r>
    </w:p>
    <w:p w14:paraId="25452BF9">
      <w:pPr>
        <w:widowControl w:val="0"/>
        <w:jc w:val="both"/>
        <w:rPr>
          <w:rFonts w:ascii="黑体" w:hAnsi="宋体" w:eastAsia="黑体"/>
          <w:kern w:val="2"/>
          <w:szCs w:val="22"/>
          <w:lang w:eastAsia="zh-CN"/>
        </w:rPr>
      </w:pPr>
      <w:bookmarkStart w:id="105" w:name="_Toc73517683"/>
      <w:bookmarkStart w:id="106" w:name="_Toc100052411"/>
      <w:bookmarkStart w:id="107" w:name="_Toc73521678"/>
      <w:bookmarkStart w:id="108" w:name="_Toc73521590"/>
      <w:bookmarkStart w:id="109" w:name="_Toc73518161"/>
      <w:r>
        <w:rPr>
          <w:rFonts w:hint="eastAsia" w:ascii="黑体" w:hAnsi="宋体" w:eastAsia="黑体" w:cstheme="minorBidi"/>
          <w:kern w:val="2"/>
          <w:szCs w:val="22"/>
          <w:lang w:eastAsia="zh-CN"/>
        </w:rPr>
        <w:t>46．履约担保</w:t>
      </w:r>
      <w:bookmarkEnd w:id="105"/>
      <w:bookmarkEnd w:id="106"/>
      <w:bookmarkEnd w:id="107"/>
      <w:bookmarkEnd w:id="108"/>
      <w:bookmarkEnd w:id="109"/>
    </w:p>
    <w:p w14:paraId="0AA14CD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46.1在签订项目合同的同时，中标人应按“对通用条款的补充内容”中规定的金额向采购人提交履约担保；</w:t>
      </w:r>
    </w:p>
    <w:p w14:paraId="5E4749C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46.2，允许供应商自主选择以支票、汇票、本票、保函等非现金方式提交履约担保；</w:t>
      </w:r>
      <w:r>
        <w:rPr>
          <w:rFonts w:ascii="Calibri" w:hAnsi="Calibri" w:eastAsia="宋体" w:cstheme="minorBidi"/>
          <w:kern w:val="2"/>
          <w:sz w:val="21"/>
          <w:szCs w:val="22"/>
          <w:lang w:eastAsia="zh-CN"/>
        </w:rPr>
        <w:t>中标</w:t>
      </w:r>
      <w:r>
        <w:rPr>
          <w:rFonts w:hint="eastAsia" w:ascii="Calibri" w:hAnsi="Calibri" w:eastAsia="宋体" w:cstheme="minorBidi"/>
          <w:kern w:val="2"/>
          <w:sz w:val="21"/>
          <w:szCs w:val="22"/>
          <w:lang w:eastAsia="zh-CN"/>
        </w:rPr>
        <w:t>人</w:t>
      </w:r>
      <w:r>
        <w:rPr>
          <w:rFonts w:ascii="Calibri" w:hAnsi="Calibri" w:eastAsia="宋体" w:cstheme="minorBidi"/>
          <w:kern w:val="2"/>
          <w:sz w:val="21"/>
          <w:szCs w:val="22"/>
          <w:lang w:eastAsia="zh-CN"/>
        </w:rPr>
        <w:t>提交履约</w:t>
      </w:r>
      <w:r>
        <w:rPr>
          <w:rFonts w:hint="eastAsia" w:ascii="Calibri" w:hAnsi="Calibri" w:eastAsia="宋体" w:cstheme="minorBidi"/>
          <w:kern w:val="2"/>
          <w:sz w:val="21"/>
          <w:szCs w:val="22"/>
          <w:lang w:eastAsia="zh-CN"/>
        </w:rPr>
        <w:t>担保不是</w:t>
      </w:r>
      <w:r>
        <w:rPr>
          <w:rFonts w:ascii="Calibri" w:hAnsi="Calibri" w:eastAsia="宋体" w:cstheme="minorBidi"/>
          <w:kern w:val="2"/>
          <w:sz w:val="21"/>
          <w:szCs w:val="22"/>
          <w:lang w:eastAsia="zh-CN"/>
        </w:rPr>
        <w:t>合同签订的</w:t>
      </w:r>
      <w:r>
        <w:rPr>
          <w:rFonts w:hint="eastAsia" w:ascii="Calibri" w:hAnsi="Calibri" w:eastAsia="宋体" w:cstheme="minorBidi"/>
          <w:kern w:val="2"/>
          <w:sz w:val="21"/>
          <w:szCs w:val="22"/>
          <w:lang w:eastAsia="zh-CN"/>
        </w:rPr>
        <w:t>前提</w:t>
      </w:r>
      <w:r>
        <w:rPr>
          <w:rFonts w:ascii="Calibri" w:hAnsi="Calibri" w:eastAsia="宋体" w:cstheme="minorBidi"/>
          <w:kern w:val="2"/>
          <w:sz w:val="21"/>
          <w:szCs w:val="22"/>
          <w:lang w:eastAsia="zh-CN"/>
        </w:rPr>
        <w:t>条件，不要求中标</w:t>
      </w:r>
      <w:r>
        <w:rPr>
          <w:rFonts w:hint="eastAsia" w:ascii="Calibri" w:hAnsi="Calibri" w:eastAsia="宋体" w:cstheme="minorBidi"/>
          <w:kern w:val="2"/>
          <w:sz w:val="21"/>
          <w:szCs w:val="22"/>
          <w:lang w:eastAsia="zh-CN"/>
        </w:rPr>
        <w:t>人</w:t>
      </w:r>
      <w:r>
        <w:rPr>
          <w:rFonts w:ascii="Calibri" w:hAnsi="Calibri" w:eastAsia="宋体" w:cstheme="minorBidi"/>
          <w:kern w:val="2"/>
          <w:sz w:val="21"/>
          <w:szCs w:val="22"/>
          <w:lang w:eastAsia="zh-CN"/>
        </w:rPr>
        <w:t>提供除法律、法规明确规定外的其他担保</w:t>
      </w:r>
      <w:r>
        <w:rPr>
          <w:rFonts w:hint="eastAsia" w:ascii="Calibri" w:hAnsi="Calibri" w:eastAsia="宋体" w:cstheme="minorBidi"/>
          <w:kern w:val="2"/>
          <w:sz w:val="21"/>
          <w:szCs w:val="22"/>
          <w:lang w:eastAsia="zh-CN"/>
        </w:rPr>
        <w:t>。</w:t>
      </w:r>
    </w:p>
    <w:p w14:paraId="3411C00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47. 合同备案</w:t>
      </w:r>
    </w:p>
    <w:p w14:paraId="54C47033">
      <w:pPr>
        <w:widowControl w:val="0"/>
        <w:jc w:val="both"/>
        <w:rPr>
          <w:rFonts w:ascii="黑体" w:hAnsi="宋体" w:eastAsia="黑体"/>
          <w:kern w:val="2"/>
          <w:szCs w:val="22"/>
          <w:lang w:eastAsia="zh-CN"/>
        </w:rPr>
      </w:pPr>
      <w:r>
        <w:rPr>
          <w:rFonts w:hint="eastAsia" w:ascii="宋体" w:hAnsi="宋体" w:eastAsia="宋体"/>
          <w:kern w:val="2"/>
          <w:sz w:val="21"/>
          <w:szCs w:val="21"/>
          <w:lang w:eastAsia="zh-Hans"/>
        </w:rPr>
        <w:t>采购人与中标供应商自中标通知书发出之日起10个工作日内签订政府采购合同，</w:t>
      </w:r>
      <w:r>
        <w:rPr>
          <w:rFonts w:hint="eastAsia" w:ascii="宋体" w:hAnsi="宋体" w:eastAsia="宋体"/>
          <w:kern w:val="2"/>
          <w:sz w:val="21"/>
          <w:szCs w:val="21"/>
          <w:lang w:eastAsia="zh-CN"/>
        </w:rPr>
        <w:t>并按财政部门规定提交备案。</w:t>
      </w:r>
      <w:r>
        <w:rPr>
          <w:rFonts w:hint="eastAsia" w:ascii="黑体" w:hAnsi="宋体" w:eastAsia="黑体" w:cstheme="minorBidi"/>
          <w:kern w:val="2"/>
          <w:szCs w:val="22"/>
          <w:lang w:eastAsia="zh-CN"/>
        </w:rPr>
        <w:t>48. 合同变更</w:t>
      </w:r>
    </w:p>
    <w:p w14:paraId="1C19D57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合同变更事宜按《深圳市财政局关于优化政府采购合同备案的通知》（深财发保〔2022〕2号）相关规定执行。</w:t>
      </w:r>
    </w:p>
    <w:p w14:paraId="35BA04F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49. 项目验收</w:t>
      </w:r>
    </w:p>
    <w:p w14:paraId="4A0C01B5">
      <w:pPr>
        <w:ind w:right="176" w:firstLine="420"/>
        <w:rPr>
          <w:rFonts w:ascii="宋体" w:hAnsi="宋体" w:eastAsia="宋体"/>
          <w:kern w:val="2"/>
          <w:sz w:val="21"/>
          <w:szCs w:val="22"/>
          <w:lang w:eastAsia="zh-CN"/>
        </w:rPr>
      </w:pPr>
      <w:r>
        <w:rPr>
          <w:rFonts w:hint="eastAsia" w:ascii="宋体" w:hAnsi="宋体" w:eastAsia="宋体" w:cstheme="minorBidi"/>
          <w:kern w:val="2"/>
          <w:sz w:val="21"/>
          <w:szCs w:val="22"/>
          <w:lang w:eastAsia="zh-CN"/>
        </w:rPr>
        <w:t>49.1采购人应当按照招标文件和合同规定的标准和方法，及时组织验收。</w:t>
      </w:r>
      <w:r>
        <w:rPr>
          <w:rFonts w:ascii="宋体" w:hAnsi="宋体" w:eastAsia="宋体" w:cstheme="minorBidi"/>
          <w:kern w:val="2"/>
          <w:sz w:val="21"/>
          <w:szCs w:val="22"/>
          <w:lang w:eastAsia="zh-CN"/>
        </w:rPr>
        <w:t xml:space="preserve"> </w:t>
      </w:r>
    </w:p>
    <w:p w14:paraId="5E978A0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50. 宣传</w:t>
      </w:r>
    </w:p>
    <w:p w14:paraId="026F61EA">
      <w:pPr>
        <w:widowControl w:val="0"/>
        <w:ind w:left="240" w:leftChars="1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凡与政府采购活动有关的宣传或广告，若当中提及政府采购，</w:t>
      </w:r>
      <w:r>
        <w:rPr>
          <w:rFonts w:ascii="宋体" w:hAnsi="宋体" w:eastAsia="宋体" w:cstheme="minorBidi"/>
          <w:kern w:val="2"/>
          <w:sz w:val="21"/>
          <w:szCs w:val="22"/>
          <w:lang w:eastAsia="zh-CN"/>
        </w:rPr>
        <w:t>必须事先将具体对外宣传方案报</w:t>
      </w:r>
      <w:r>
        <w:rPr>
          <w:rFonts w:hint="eastAsia" w:ascii="宋体" w:hAnsi="宋体" w:eastAsia="宋体" w:cstheme="minorBidi"/>
          <w:kern w:val="2"/>
          <w:sz w:val="21"/>
          <w:szCs w:val="22"/>
          <w:lang w:eastAsia="zh-CN"/>
        </w:rPr>
        <w:t>同级财政部门</w:t>
      </w:r>
      <w:r>
        <w:rPr>
          <w:rFonts w:ascii="宋体" w:hAnsi="宋体" w:eastAsia="宋体" w:cstheme="minorBidi"/>
          <w:kern w:val="2"/>
          <w:sz w:val="21"/>
          <w:szCs w:val="22"/>
          <w:lang w:eastAsia="zh-CN"/>
        </w:rPr>
        <w:t>和</w:t>
      </w:r>
      <w:r>
        <w:rPr>
          <w:rFonts w:hint="eastAsia" w:ascii="宋体" w:hAnsi="宋体" w:eastAsia="宋体" w:cstheme="minorBidi"/>
          <w:kern w:val="2"/>
          <w:sz w:val="21"/>
          <w:szCs w:val="22"/>
          <w:lang w:eastAsia="zh-CN"/>
        </w:rPr>
        <w:t>政府集中采购机构</w:t>
      </w:r>
      <w:r>
        <w:rPr>
          <w:rFonts w:ascii="宋体" w:hAnsi="宋体" w:eastAsia="宋体" w:cstheme="minorBidi"/>
          <w:kern w:val="2"/>
          <w:sz w:val="21"/>
          <w:szCs w:val="22"/>
          <w:lang w:eastAsia="zh-CN"/>
        </w:rPr>
        <w:t>，并征得其同意。对外市场宣传包括但不限于以下形式：</w:t>
      </w:r>
    </w:p>
    <w:p w14:paraId="5D8705ED">
      <w:pPr>
        <w:widowControl w:val="0"/>
        <w:ind w:left="240" w:leftChars="100"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a.名片、宣传册、广告标语等；</w:t>
      </w:r>
    </w:p>
    <w:p w14:paraId="77425AF6">
      <w:pPr>
        <w:widowControl w:val="0"/>
        <w:ind w:left="240" w:leftChars="100"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b.案例介绍、推广等；</w:t>
      </w:r>
    </w:p>
    <w:p w14:paraId="6EEC9DC0">
      <w:pPr>
        <w:widowControl w:val="0"/>
        <w:ind w:left="240" w:leftChars="1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c.工作</w:t>
      </w:r>
      <w:r>
        <w:rPr>
          <w:rFonts w:ascii="宋体" w:hAnsi="宋体" w:eastAsia="宋体" w:cstheme="minorBidi"/>
          <w:kern w:val="2"/>
          <w:sz w:val="21"/>
          <w:szCs w:val="22"/>
          <w:lang w:eastAsia="zh-CN"/>
        </w:rPr>
        <w:t>人员向其他消费群体宣传。</w:t>
      </w:r>
    </w:p>
    <w:p w14:paraId="566DFCE1">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51. 供应商违法责任</w:t>
      </w:r>
    </w:p>
    <w:p w14:paraId="3B57660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1.1</w:t>
      </w:r>
      <w:r>
        <w:rPr>
          <w:rFonts w:hint="eastAsia" w:ascii="宋体" w:hAnsi="宋体" w:eastAsia="宋体" w:cstheme="minorBidi"/>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72CF8E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（1）在采购活动中应当回避而未回避的；</w:t>
      </w:r>
    </w:p>
    <w:p w14:paraId="017768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（2）未按本条例规定签订、履行采购合同，造成严重后果的；</w:t>
      </w:r>
    </w:p>
    <w:p w14:paraId="6B18629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（3）隐瞒真实情况，提供虚假资料的；</w:t>
      </w:r>
    </w:p>
    <w:p w14:paraId="058A2FC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（4）以非法手段排斥其他供应商参与竞争的；</w:t>
      </w:r>
    </w:p>
    <w:p w14:paraId="3CD11C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（5）与其他采购参加人串通投标的；</w:t>
      </w:r>
    </w:p>
    <w:p w14:paraId="23A4594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（6）恶意投诉的；</w:t>
      </w:r>
    </w:p>
    <w:p w14:paraId="7CEA3A9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（7）向采购项目相关人行贿或者提供其他不当利益的；</w:t>
      </w:r>
    </w:p>
    <w:p w14:paraId="4407DF0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（8）阻碍、抗拒主管部门监督检查的；</w:t>
      </w:r>
    </w:p>
    <w:p w14:paraId="5D04CAF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（9）其他违反本条例规定的行为。</w:t>
      </w:r>
    </w:p>
    <w:p w14:paraId="637810E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 xml:space="preserve">1.2 </w:t>
      </w:r>
      <w:r>
        <w:rPr>
          <w:rFonts w:hint="eastAsia" w:ascii="宋体" w:hAnsi="宋体" w:eastAsia="宋体" w:cstheme="minorBidi"/>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10" w:name="_Hlk72440769"/>
      <w:r>
        <w:rPr>
          <w:rFonts w:hint="eastAsia" w:ascii="宋体" w:hAnsi="宋体" w:eastAsia="宋体" w:cstheme="minorBidi"/>
          <w:kern w:val="2"/>
          <w:sz w:val="21"/>
          <w:szCs w:val="21"/>
          <w:lang w:eastAsia="zh-CN"/>
        </w:rPr>
        <w:t>政府集中采购机构或采购人不予退还其交纳的谈判保证金，情节严重的，并由主管部门</w:t>
      </w:r>
      <w:bookmarkEnd w:id="110"/>
      <w:r>
        <w:rPr>
          <w:rFonts w:hint="eastAsia" w:ascii="宋体" w:hAnsi="宋体" w:eastAsia="宋体" w:cstheme="minorBidi"/>
          <w:kern w:val="2"/>
          <w:sz w:val="21"/>
          <w:szCs w:val="21"/>
          <w:lang w:eastAsia="zh-CN"/>
        </w:rPr>
        <w:t>记入供应商诚信档案，予以通报：</w:t>
      </w:r>
    </w:p>
    <w:p w14:paraId="2B45550C">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）投标截止后，撤销投标的；</w:t>
      </w:r>
    </w:p>
    <w:p w14:paraId="6AA0E0DE">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）中标后无正当理由未在规定期限内签订合同的；</w:t>
      </w:r>
    </w:p>
    <w:p w14:paraId="674EE1D8">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）将中标项目转让给他人、或者在投标文件中未说明且未经采购人、采购招标机构同意，将中标项目分包给他人的；</w:t>
      </w:r>
    </w:p>
    <w:p w14:paraId="5B5ED7F2">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w:t>
      </w:r>
      <w:r>
        <w:rPr>
          <w:rFonts w:ascii="宋体" w:hAnsi="宋体" w:eastAsia="宋体" w:cstheme="minorBidi"/>
          <w:kern w:val="2"/>
          <w:sz w:val="21"/>
          <w:szCs w:val="21"/>
          <w:lang w:eastAsia="zh-CN"/>
        </w:rPr>
        <w:t>）拒绝履行合同义务的</w:t>
      </w:r>
      <w:r>
        <w:rPr>
          <w:rFonts w:hint="eastAsia" w:ascii="宋体" w:hAnsi="宋体" w:eastAsia="宋体" w:cstheme="minorBidi"/>
          <w:kern w:val="2"/>
          <w:sz w:val="21"/>
          <w:szCs w:val="21"/>
          <w:lang w:eastAsia="zh-CN"/>
        </w:rPr>
        <w:t>。</w:t>
      </w:r>
    </w:p>
    <w:bookmarkEnd w:id="94"/>
    <w:p w14:paraId="7349C824">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14:paraId="565F845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52.质疑提出与答复</w:t>
      </w:r>
    </w:p>
    <w:p w14:paraId="1CEBE896">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52.1提出质疑</w:t>
      </w:r>
    </w:p>
    <w:p w14:paraId="52F0EB67">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339D7709">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52.2</w:t>
      </w:r>
      <w:r>
        <w:rPr>
          <w:rFonts w:ascii="宋体" w:hAnsi="宋体" w:eastAsia="宋体" w:cstheme="minorBidi"/>
          <w:kern w:val="2"/>
          <w:sz w:val="21"/>
          <w:szCs w:val="21"/>
          <w:lang w:eastAsia="zh-CN"/>
        </w:rPr>
        <w:t>法律依据</w:t>
      </w:r>
    </w:p>
    <w:p w14:paraId="2D3316FA">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《中华人民共和国政府采购法》、《中华人民共和国政府采购法实施条例》、</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深圳经济特区政府采购</w:t>
      </w:r>
      <w:r>
        <w:rPr>
          <w:rFonts w:ascii="宋体" w:hAnsi="宋体" w:eastAsia="宋体" w:cstheme="minorBidi"/>
          <w:kern w:val="2"/>
          <w:sz w:val="21"/>
          <w:szCs w:val="21"/>
          <w:lang w:eastAsia="zh-CN"/>
        </w:rPr>
        <w:t>条例</w:t>
      </w:r>
      <w:r>
        <w:rPr>
          <w:rFonts w:hint="eastAsia" w:ascii="宋体" w:hAnsi="宋体" w:eastAsia="宋体" w:cstheme="minorBidi"/>
          <w:kern w:val="2"/>
          <w:sz w:val="21"/>
          <w:szCs w:val="21"/>
          <w:lang w:eastAsia="zh-CN"/>
        </w:rPr>
        <w:t>》、《深圳经济特区政府采购条例实施细则》、《政府采购质疑和投诉办法》（财政部令第94号）和其他有关法律法规规定。</w:t>
      </w:r>
    </w:p>
    <w:p w14:paraId="17CD5368">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r>
        <w:rPr>
          <w:rFonts w:hint="eastAsia" w:ascii="宋体" w:hAnsi="宋体" w:eastAsia="宋体" w:cstheme="minorBidi"/>
          <w:color w:val="FF0000"/>
          <w:kern w:val="2"/>
          <w:sz w:val="21"/>
          <w:szCs w:val="21"/>
          <w:lang w:eastAsia="zh-CN"/>
        </w:rPr>
        <w:t xml:space="preserve">  </w:t>
      </w:r>
      <w:r>
        <w:rPr>
          <w:rFonts w:hint="eastAsia" w:ascii="宋体" w:hAnsi="宋体" w:eastAsia="宋体" w:cstheme="minorBidi"/>
          <w:kern w:val="2"/>
          <w:sz w:val="21"/>
          <w:szCs w:val="21"/>
          <w:lang w:eastAsia="zh-CN"/>
        </w:rPr>
        <w:t>52.3质疑条件</w:t>
      </w:r>
    </w:p>
    <w:p w14:paraId="65F823F3">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52.3.1提出质疑的供应商应当是参与所质疑项目采购活动的供应商；</w:t>
      </w:r>
      <w:bookmarkStart w:id="111" w:name="_Hlk75374941"/>
      <w:r>
        <w:rPr>
          <w:rFonts w:hint="eastAsia" w:ascii="宋体" w:hAnsi="宋体" w:eastAsia="宋体" w:cstheme="minorBidi"/>
          <w:kern w:val="2"/>
          <w:sz w:val="21"/>
          <w:szCs w:val="21"/>
          <w:lang w:eastAsia="zh-CN"/>
        </w:rPr>
        <w:t>以联合体形式参与的，质疑应当由组成联合体的所有成员共同提出</w:t>
      </w:r>
      <w:bookmarkEnd w:id="111"/>
      <w:r>
        <w:rPr>
          <w:rFonts w:hint="eastAsia" w:ascii="宋体" w:hAnsi="宋体" w:eastAsia="宋体" w:cstheme="minorBidi"/>
          <w:kern w:val="2"/>
          <w:sz w:val="21"/>
          <w:szCs w:val="21"/>
          <w:lang w:eastAsia="zh-CN"/>
        </w:rPr>
        <w:t>；</w:t>
      </w:r>
    </w:p>
    <w:p w14:paraId="0B9FECE6">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AB6C11A">
      <w:pPr>
        <w:widowControl w:val="0"/>
        <w:ind w:firstLine="42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52.3.3应提交书面质疑函，质疑函应当包括以下内容：</w:t>
      </w:r>
      <w:r>
        <w:rPr>
          <w:rFonts w:ascii="宋体" w:hAnsi="宋体" w:eastAsia="宋体" w:cstheme="minorBidi"/>
          <w:kern w:val="2"/>
          <w:sz w:val="21"/>
          <w:szCs w:val="21"/>
          <w:lang w:eastAsia="zh-CN"/>
        </w:rPr>
        <w:t xml:space="preserve"> </w:t>
      </w:r>
    </w:p>
    <w:p w14:paraId="0DA41D77">
      <w:pPr>
        <w:widowControl w:val="0"/>
        <w:ind w:firstLine="42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（1）供应商的名称（或者姓名）、地址、邮编、邮箱、联系人及联系电话；</w:t>
      </w:r>
    </w:p>
    <w:p w14:paraId="4AEB55E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（2）质疑项目的名称、编号；</w:t>
      </w:r>
    </w:p>
    <w:p w14:paraId="2A50751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（3）具体、明确的质疑对象、质疑事项和质疑请求；</w:t>
      </w:r>
    </w:p>
    <w:p w14:paraId="6E66C43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（4）因质疑事项而受损害的权益；</w:t>
      </w:r>
    </w:p>
    <w:p w14:paraId="17FEDA4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（5）事实依据；</w:t>
      </w:r>
    </w:p>
    <w:p w14:paraId="6016384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（6）必要的法律依据；</w:t>
      </w:r>
    </w:p>
    <w:p w14:paraId="62E5BEB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（7）提出质疑的日期。</w:t>
      </w:r>
    </w:p>
    <w:p w14:paraId="3E20302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供应商为自然人的，应当由本人签字；供应商为法人或者其他组织的，应当由法定代表人（负责人），或者其授权代理人签字或者盖章，并加盖公章。</w:t>
      </w:r>
    </w:p>
    <w:p w14:paraId="51FA636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52.4提交</w:t>
      </w:r>
      <w:r>
        <w:rPr>
          <w:rFonts w:ascii="宋体" w:hAnsi="宋体" w:eastAsia="宋体" w:cstheme="minorBidi"/>
          <w:kern w:val="2"/>
          <w:sz w:val="21"/>
          <w:szCs w:val="21"/>
          <w:lang w:eastAsia="zh-CN"/>
        </w:rPr>
        <w:t>材料</w:t>
      </w:r>
    </w:p>
    <w:p w14:paraId="5AF97B4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07EFEBD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供应商可以委托代理人进行质疑。</w:t>
      </w:r>
      <w:r>
        <w:rPr>
          <w:rFonts w:ascii="宋体" w:hAnsi="宋体" w:eastAsia="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A0EB5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52.5收文地点</w:t>
      </w:r>
    </w:p>
    <w:p w14:paraId="42C8F995">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地址：深圳公共资源交易中心（深圳交易集团有限公司龙华分公司）（地址：深圳市龙华区观湖街道大和社区大和路288号宝观城锦鲤大厦办公楼22楼）。</w:t>
      </w:r>
    </w:p>
    <w:p w14:paraId="6CF66E1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52.6收文办理</w:t>
      </w:r>
      <w:r>
        <w:rPr>
          <w:rFonts w:ascii="宋体" w:hAnsi="宋体" w:eastAsia="宋体" w:cstheme="minorBidi"/>
          <w:kern w:val="2"/>
          <w:sz w:val="21"/>
          <w:szCs w:val="21"/>
          <w:lang w:eastAsia="zh-CN"/>
        </w:rPr>
        <w:t>程序</w:t>
      </w:r>
    </w:p>
    <w:p w14:paraId="27044F7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2358B6D">
      <w:pPr>
        <w:widowControl w:val="0"/>
        <w:ind w:firstLine="420" w:firstLineChars="200"/>
        <w:jc w:val="both"/>
        <w:rPr>
          <w:rFonts w:ascii="仿宋" w:hAnsi="仿宋" w:eastAsia="仿宋"/>
          <w:kern w:val="2"/>
          <w:sz w:val="28"/>
          <w:szCs w:val="28"/>
          <w:lang w:eastAsia="zh-CN"/>
        </w:rPr>
      </w:pPr>
      <w:r>
        <w:rPr>
          <w:rFonts w:hint="eastAsia" w:ascii="宋体" w:hAnsi="宋体" w:eastAsia="宋体" w:cstheme="minorBidi"/>
          <w:kern w:val="2"/>
          <w:sz w:val="21"/>
          <w:szCs w:val="21"/>
          <w:lang w:eastAsia="zh-CN"/>
        </w:rPr>
        <w:t>52.6.2供应商提交的质疑材料不符合质疑条件的，视情况处理：</w:t>
      </w:r>
    </w:p>
    <w:p w14:paraId="3CDE3A8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供应商提交的质疑材料不全或者未按要求签字或者盖章的，政府集中采购机构应当一次性告知供应商需补正的内容和补正期限。</w:t>
      </w:r>
    </w:p>
    <w:p w14:paraId="39D00AB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供应商提交的质疑存在下列情形之一的，不予受理：</w:t>
      </w:r>
    </w:p>
    <w:p w14:paraId="4EA8D41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（1）质疑主体不满足要求的；</w:t>
      </w:r>
    </w:p>
    <w:p w14:paraId="7474AED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（2）供应商自身权益未受到损害的；</w:t>
      </w:r>
    </w:p>
    <w:p w14:paraId="3C7D3BD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（3）供应商未在法定质疑期限内提出质疑的；</w:t>
      </w:r>
    </w:p>
    <w:p w14:paraId="539E6A7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（4）质疑材料不全或者未按要求签字或者盖章的情况下，要求补正后，逾期未补正或者补正后仍不符合规定的；</w:t>
      </w:r>
    </w:p>
    <w:p w14:paraId="3162D1C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（5）其他不符合受理条件情形的。</w:t>
      </w:r>
    </w:p>
    <w:p w14:paraId="20C2DF9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质疑事项不予受理的，政府集中采购机构应当向供应商出具不符合质疑条件告知书。</w:t>
      </w:r>
    </w:p>
    <w:p w14:paraId="3E7C7014">
      <w:pPr>
        <w:widowControl w:val="0"/>
        <w:jc w:val="both"/>
        <w:rPr>
          <w:rFonts w:ascii="宋体" w:hAnsi="宋体" w:eastAsia="宋体"/>
          <w:kern w:val="2"/>
          <w:sz w:val="21"/>
          <w:szCs w:val="21"/>
          <w:lang w:eastAsia="zh-CN"/>
        </w:rPr>
      </w:pPr>
      <w:r>
        <w:rPr>
          <w:rFonts w:hint="eastAsia" w:ascii="宋体" w:hAnsi="宋体" w:eastAsia="宋体" w:cstheme="minorBidi"/>
          <w:color w:val="FF0000"/>
          <w:kern w:val="2"/>
          <w:sz w:val="21"/>
          <w:szCs w:val="21"/>
          <w:lang w:eastAsia="zh-CN"/>
        </w:rPr>
        <w:t xml:space="preserve">  </w:t>
      </w:r>
      <w:r>
        <w:rPr>
          <w:rFonts w:hint="eastAsia" w:ascii="宋体" w:hAnsi="宋体" w:eastAsia="宋体" w:cstheme="minorBidi"/>
          <w:kern w:val="2"/>
          <w:sz w:val="21"/>
          <w:szCs w:val="21"/>
          <w:lang w:eastAsia="zh-CN"/>
        </w:rPr>
        <w:t xml:space="preserve">  52.7质疑答复时限</w:t>
      </w:r>
    </w:p>
    <w:p w14:paraId="73167E0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自收文之日起七个工作日内。</w:t>
      </w:r>
    </w:p>
    <w:p w14:paraId="76A75C93">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52.8投诉</w:t>
      </w:r>
    </w:p>
    <w:p w14:paraId="24CF7FC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对质疑答复不满意或者未在规定时间内答复的，提出质疑的供应商可以在答复期满后15个工作日内向本项目预算主管单位投诉。</w:t>
      </w:r>
    </w:p>
    <w:p w14:paraId="54EF7A01">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53. 质疑后续处理</w:t>
      </w:r>
    </w:p>
    <w:p w14:paraId="3C21E0DC">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53.1供应商质疑不成立，或者成立但未对中标、成交结果构成影响的，继续开展采购活动。</w:t>
      </w:r>
    </w:p>
    <w:p w14:paraId="76AE60AC">
      <w:pPr>
        <w:widowControl w:val="0"/>
        <w:jc w:val="center"/>
        <w:rPr>
          <w:rFonts w:ascii="Calibri" w:hAnsi="Calibri" w:eastAsia="宋体"/>
          <w:kern w:val="2"/>
          <w:sz w:val="21"/>
          <w:szCs w:val="22"/>
          <w:lang w:eastAsia="zh-CN"/>
        </w:rPr>
      </w:pPr>
      <w:r>
        <w:rPr>
          <w:rFonts w:hint="eastAsia" w:ascii="宋体" w:hAnsi="宋体" w:eastAsia="宋体" w:cstheme="minorBidi"/>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rPr>
          <w:rFonts w:ascii="Calibri" w:hAnsi="Calibri" w:eastAsia="宋体" w:cstheme="minorBidi"/>
          <w:kern w:val="2"/>
          <w:sz w:val="21"/>
          <w:szCs w:val="22"/>
          <w:lang w:eastAsia="zh-CN"/>
        </w:rPr>
        <w:t>---- END ----</w:t>
      </w:r>
    </w:p>
    <w:p w14:paraId="2EE9BAA7">
      <w:pPr>
        <w:widowControl w:val="0"/>
        <w:jc w:val="center"/>
        <w:rPr>
          <w:rFonts w:ascii="微软雅黑" w:hAnsi="微软雅黑" w:eastAsia="微软雅黑" w:cs="微软雅黑"/>
          <w:color w:val="333333"/>
          <w:lang w:val="en" w:eastAsia="zh-CN"/>
        </w:rPr>
      </w:pPr>
      <w:r>
        <w:rPr>
          <w:rFonts w:eastAsia="宋体"/>
          <w:kern w:val="2"/>
          <w:sz w:val="21"/>
          <w:lang w:eastAsia="zh-CN"/>
        </w:rPr>
        <w:t>---- END ----</w:t>
      </w:r>
      <w:bookmarkEnd w:id="58"/>
    </w:p>
    <w:sectPr>
      <w:headerReference r:id="rId6" w:type="default"/>
      <w:footerReference r:id="rId7" w:type="default"/>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简宋 常规体">
    <w:altName w:val="宋体"/>
    <w:panose1 w:val="02020300000000000000"/>
    <w:charset w:val="86"/>
    <w:family w:val="roman"/>
    <w:pitch w:val="default"/>
    <w:sig w:usb0="00000000" w:usb1="00000000" w:usb2="00000016" w:usb3="00000000" w:csb0="0004000D"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B0604020202020204"/>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5656">
    <w:pPr>
      <w:pStyle w:val="7"/>
      <w:framePr w:wrap="around" w:vAnchor="text" w:hAnchor="margin" w:xAlign="center" w:y="1"/>
      <w:rPr>
        <w:rStyle w:val="14"/>
      </w:rPr>
    </w:pPr>
    <w:r>
      <w:t xml:space="preserve">- </w:t>
    </w:r>
    <w:r>
      <w:fldChar w:fldCharType="begin"/>
    </w:r>
    <w:r>
      <w:instrText xml:space="preserve"> PAGE </w:instrText>
    </w:r>
    <w:r>
      <w:fldChar w:fldCharType="separate"/>
    </w:r>
    <w:r>
      <w:t>2</w:t>
    </w:r>
    <w:r>
      <w:fldChar w:fldCharType="end"/>
    </w:r>
    <w:r>
      <w:t xml:space="preserve"> -</w:t>
    </w:r>
  </w:p>
  <w:p w14:paraId="72FD479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CBA5B">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fldChar w:fldCharType="end"/>
    </w:r>
  </w:p>
  <w:p w14:paraId="223A7B8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48DB0579">
        <w:pPr>
          <w:pStyle w:val="7"/>
          <w:jc w:val="center"/>
        </w:pPr>
        <w:r>
          <w:fldChar w:fldCharType="begin"/>
        </w:r>
        <w:r>
          <w:instrText xml:space="preserve"> PAGE   \* MERGEFORMAT </w:instrText>
        </w:r>
        <w:r>
          <w:fldChar w:fldCharType="separate"/>
        </w:r>
        <w:r>
          <w:rPr>
            <w:lang w:val="zh-CN"/>
          </w:rPr>
          <w:t>61</w:t>
        </w:r>
        <w:r>
          <w:rPr>
            <w:lang w:val="zh-CN"/>
          </w:rPr>
          <w:fldChar w:fldCharType="end"/>
        </w:r>
      </w:p>
    </w:sdtContent>
  </w:sdt>
  <w:p w14:paraId="734F006C">
    <w:pPr>
      <w:pStyle w:val="7"/>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3C02">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FF3C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D0686203"/>
    <w:multiLevelType w:val="singleLevel"/>
    <w:tmpl w:val="D0686203"/>
    <w:lvl w:ilvl="0" w:tentative="0">
      <w:start w:val="2"/>
      <w:numFmt w:val="decimal"/>
      <w:suff w:val="nothing"/>
      <w:lvlText w:val="%1、"/>
      <w:lvlJc w:val="left"/>
    </w:lvl>
  </w:abstractNum>
  <w:abstractNum w:abstractNumId="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600C93"/>
    <w:multiLevelType w:val="singleLevel"/>
    <w:tmpl w:val="55600C93"/>
    <w:lvl w:ilvl="0" w:tentative="0">
      <w:start w:val="5"/>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MmU5NDI0YWJhNTNkNWRkYmViYzFiMWU0NjVhNjIifQ=="/>
  </w:docVars>
  <w:rsids>
    <w:rsidRoot w:val="00A77B3E"/>
    <w:rsid w:val="00204E89"/>
    <w:rsid w:val="002F41ED"/>
    <w:rsid w:val="0066795B"/>
    <w:rsid w:val="00677463"/>
    <w:rsid w:val="00844A8A"/>
    <w:rsid w:val="00872657"/>
    <w:rsid w:val="00A31211"/>
    <w:rsid w:val="00A77B3E"/>
    <w:rsid w:val="00CA2A55"/>
    <w:rsid w:val="00D9012D"/>
    <w:rsid w:val="00DB5D27"/>
    <w:rsid w:val="00DD7A39"/>
    <w:rsid w:val="00EA233A"/>
    <w:rsid w:val="00FA57CE"/>
    <w:rsid w:val="00FF44B1"/>
    <w:rsid w:val="01BB7104"/>
    <w:rsid w:val="0288005D"/>
    <w:rsid w:val="03A42F63"/>
    <w:rsid w:val="040534B5"/>
    <w:rsid w:val="0451447E"/>
    <w:rsid w:val="065402A9"/>
    <w:rsid w:val="097B46F6"/>
    <w:rsid w:val="0A1B5312"/>
    <w:rsid w:val="0B9C2483"/>
    <w:rsid w:val="0CEB6CC0"/>
    <w:rsid w:val="0D43567F"/>
    <w:rsid w:val="0D8B3E92"/>
    <w:rsid w:val="0D8B6C53"/>
    <w:rsid w:val="0E1E7AC7"/>
    <w:rsid w:val="0F933B9D"/>
    <w:rsid w:val="10BC092F"/>
    <w:rsid w:val="114333A1"/>
    <w:rsid w:val="117A14B8"/>
    <w:rsid w:val="125C7256"/>
    <w:rsid w:val="128D7A07"/>
    <w:rsid w:val="14E32355"/>
    <w:rsid w:val="14E81AF6"/>
    <w:rsid w:val="153B4ABB"/>
    <w:rsid w:val="16261B53"/>
    <w:rsid w:val="169F1079"/>
    <w:rsid w:val="16C54FA2"/>
    <w:rsid w:val="18B71157"/>
    <w:rsid w:val="198A7DBF"/>
    <w:rsid w:val="1A3674DF"/>
    <w:rsid w:val="1B5543FC"/>
    <w:rsid w:val="1C024584"/>
    <w:rsid w:val="1D6923E1"/>
    <w:rsid w:val="1E892D3B"/>
    <w:rsid w:val="1EF328AA"/>
    <w:rsid w:val="1F5F56C1"/>
    <w:rsid w:val="1F785B03"/>
    <w:rsid w:val="205D1159"/>
    <w:rsid w:val="20B322F1"/>
    <w:rsid w:val="22430866"/>
    <w:rsid w:val="23A75A11"/>
    <w:rsid w:val="23CD5478"/>
    <w:rsid w:val="23E02D14"/>
    <w:rsid w:val="25F36015"/>
    <w:rsid w:val="263739D8"/>
    <w:rsid w:val="281F0194"/>
    <w:rsid w:val="282074C9"/>
    <w:rsid w:val="2A3049B2"/>
    <w:rsid w:val="2BAE1609"/>
    <w:rsid w:val="2BB52F88"/>
    <w:rsid w:val="2C526E62"/>
    <w:rsid w:val="2CF9108B"/>
    <w:rsid w:val="2D872B3B"/>
    <w:rsid w:val="2DB87198"/>
    <w:rsid w:val="2DC93154"/>
    <w:rsid w:val="2E4E18AB"/>
    <w:rsid w:val="2FAB69BB"/>
    <w:rsid w:val="30403A98"/>
    <w:rsid w:val="304B42F4"/>
    <w:rsid w:val="30EC4516"/>
    <w:rsid w:val="3139239E"/>
    <w:rsid w:val="31865A40"/>
    <w:rsid w:val="320F1351"/>
    <w:rsid w:val="345614B9"/>
    <w:rsid w:val="348C6C89"/>
    <w:rsid w:val="34C53DFC"/>
    <w:rsid w:val="34CB5A03"/>
    <w:rsid w:val="355969BD"/>
    <w:rsid w:val="3781779A"/>
    <w:rsid w:val="37CB5D1A"/>
    <w:rsid w:val="39096AFA"/>
    <w:rsid w:val="398B0C63"/>
    <w:rsid w:val="3C2F0C7F"/>
    <w:rsid w:val="3C552056"/>
    <w:rsid w:val="3C74627D"/>
    <w:rsid w:val="3CA01523"/>
    <w:rsid w:val="3CB84BE6"/>
    <w:rsid w:val="3CE9098D"/>
    <w:rsid w:val="3CF405C0"/>
    <w:rsid w:val="3CFC24D2"/>
    <w:rsid w:val="3F0062A9"/>
    <w:rsid w:val="3F9335C1"/>
    <w:rsid w:val="3F9928DB"/>
    <w:rsid w:val="3FA577E6"/>
    <w:rsid w:val="40C15521"/>
    <w:rsid w:val="421012C3"/>
    <w:rsid w:val="433168CD"/>
    <w:rsid w:val="438346A0"/>
    <w:rsid w:val="43CD2BAD"/>
    <w:rsid w:val="43EC228B"/>
    <w:rsid w:val="441775F9"/>
    <w:rsid w:val="451A71F1"/>
    <w:rsid w:val="45FA3B99"/>
    <w:rsid w:val="465A0EE7"/>
    <w:rsid w:val="46E93AC7"/>
    <w:rsid w:val="46EE5581"/>
    <w:rsid w:val="47592105"/>
    <w:rsid w:val="47975C19"/>
    <w:rsid w:val="4850658B"/>
    <w:rsid w:val="49890A96"/>
    <w:rsid w:val="49B93689"/>
    <w:rsid w:val="4ACA0E45"/>
    <w:rsid w:val="4B2652EA"/>
    <w:rsid w:val="4BAC1094"/>
    <w:rsid w:val="4C2A2BB8"/>
    <w:rsid w:val="4C426389"/>
    <w:rsid w:val="4D16313C"/>
    <w:rsid w:val="4D714816"/>
    <w:rsid w:val="4DBC2D53"/>
    <w:rsid w:val="4DCD1498"/>
    <w:rsid w:val="4DEB7713"/>
    <w:rsid w:val="4E28581D"/>
    <w:rsid w:val="4E7116BE"/>
    <w:rsid w:val="4F3E697A"/>
    <w:rsid w:val="507D2BB2"/>
    <w:rsid w:val="515B1A65"/>
    <w:rsid w:val="51A21D5A"/>
    <w:rsid w:val="521045FE"/>
    <w:rsid w:val="527F4F1F"/>
    <w:rsid w:val="52B633F7"/>
    <w:rsid w:val="531B0635"/>
    <w:rsid w:val="54520EFE"/>
    <w:rsid w:val="54AD4386"/>
    <w:rsid w:val="54DE4E87"/>
    <w:rsid w:val="54FE4BE1"/>
    <w:rsid w:val="55060AAD"/>
    <w:rsid w:val="55690BF5"/>
    <w:rsid w:val="563840CE"/>
    <w:rsid w:val="569972B8"/>
    <w:rsid w:val="57E24933"/>
    <w:rsid w:val="581D5CC6"/>
    <w:rsid w:val="58563949"/>
    <w:rsid w:val="591B0458"/>
    <w:rsid w:val="5A9F2591"/>
    <w:rsid w:val="5AF116BD"/>
    <w:rsid w:val="5BF257BE"/>
    <w:rsid w:val="5D8038FB"/>
    <w:rsid w:val="5DA14CA4"/>
    <w:rsid w:val="5EF86B45"/>
    <w:rsid w:val="5F057133"/>
    <w:rsid w:val="5F7E5F32"/>
    <w:rsid w:val="5F944AC0"/>
    <w:rsid w:val="5FC8476A"/>
    <w:rsid w:val="61B31956"/>
    <w:rsid w:val="61EB0BE3"/>
    <w:rsid w:val="64A84B6A"/>
    <w:rsid w:val="65725F79"/>
    <w:rsid w:val="66032EEA"/>
    <w:rsid w:val="672C3C51"/>
    <w:rsid w:val="677A041A"/>
    <w:rsid w:val="69DB0826"/>
    <w:rsid w:val="6A082918"/>
    <w:rsid w:val="6B7E4876"/>
    <w:rsid w:val="6CF50B68"/>
    <w:rsid w:val="6DC971F8"/>
    <w:rsid w:val="6DEC1F6B"/>
    <w:rsid w:val="6DEF3809"/>
    <w:rsid w:val="6E3000AA"/>
    <w:rsid w:val="6EDD308C"/>
    <w:rsid w:val="72A20571"/>
    <w:rsid w:val="72D17B7D"/>
    <w:rsid w:val="7349576A"/>
    <w:rsid w:val="74064E51"/>
    <w:rsid w:val="74363F40"/>
    <w:rsid w:val="746E0A10"/>
    <w:rsid w:val="780E2ADE"/>
    <w:rsid w:val="783A38D3"/>
    <w:rsid w:val="785B529F"/>
    <w:rsid w:val="7A4F7B0A"/>
    <w:rsid w:val="7A787181"/>
    <w:rsid w:val="7B4C3952"/>
    <w:rsid w:val="7CA462C8"/>
    <w:rsid w:val="7D637428"/>
    <w:rsid w:val="7F114BC9"/>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widowControl w:val="0"/>
      <w:spacing w:line="360" w:lineRule="auto"/>
      <w:jc w:val="both"/>
    </w:pPr>
    <w:rPr>
      <w:rFonts w:asciiTheme="minorHAnsi" w:hAnsiTheme="minorHAnsi" w:eastAsiaTheme="minorEastAsia" w:cstheme="minorBidi"/>
      <w:b/>
      <w:bCs/>
      <w:kern w:val="2"/>
      <w:szCs w:val="22"/>
      <w:lang w:eastAsia="zh-CN"/>
    </w:rPr>
  </w:style>
  <w:style w:type="paragraph" w:styleId="3">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4">
    <w:name w:val="Normal Indent"/>
    <w:basedOn w:val="1"/>
    <w:autoRedefine/>
    <w:qFormat/>
    <w:uiPriority w:val="0"/>
    <w:pPr>
      <w:ind w:firstLine="420"/>
    </w:pPr>
    <w:rPr>
      <w:szCs w:val="20"/>
    </w:rPr>
  </w:style>
  <w:style w:type="paragraph" w:styleId="5">
    <w:name w:val="annotation text"/>
    <w:basedOn w:val="1"/>
    <w:link w:val="18"/>
    <w:autoRedefine/>
    <w:unhideWhenUsed/>
    <w:qFormat/>
    <w:uiPriority w:val="99"/>
    <w:pPr>
      <w:widowControl w:val="0"/>
    </w:pPr>
    <w:rPr>
      <w:rFonts w:asciiTheme="minorHAnsi" w:hAnsiTheme="minorHAnsi" w:eastAsiaTheme="minorEastAsia" w:cstheme="minorBidi"/>
      <w:kern w:val="2"/>
      <w:sz w:val="21"/>
      <w:szCs w:val="22"/>
      <w:lang w:eastAsia="zh-CN"/>
    </w:rPr>
  </w:style>
  <w:style w:type="paragraph" w:styleId="6">
    <w:name w:val="Plain Text"/>
    <w:basedOn w:val="1"/>
    <w:qFormat/>
    <w:uiPriority w:val="0"/>
    <w:rPr>
      <w:rFonts w:ascii="宋体" w:hAnsi="Courier New"/>
      <w:szCs w:val="20"/>
    </w:rPr>
  </w:style>
  <w:style w:type="paragraph" w:styleId="7">
    <w:name w:val="footer"/>
    <w:basedOn w:val="1"/>
    <w:link w:val="17"/>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8">
    <w:name w:val="header"/>
    <w:basedOn w:val="1"/>
    <w:link w:val="16"/>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9">
    <w:name w:val="Body Text 2"/>
    <w:basedOn w:val="1"/>
    <w:qFormat/>
    <w:uiPriority w:val="0"/>
    <w:pPr>
      <w:spacing w:line="360" w:lineRule="auto"/>
    </w:pPr>
    <w:rPr>
      <w:sz w:val="24"/>
    </w:rPr>
  </w:style>
  <w:style w:type="paragraph" w:styleId="10">
    <w:name w:val="Normal (Web)"/>
    <w:basedOn w:val="1"/>
    <w:link w:val="19"/>
    <w:autoRedefine/>
    <w:qFormat/>
    <w:uiPriority w:val="99"/>
    <w:pPr>
      <w:spacing w:before="100" w:beforeAutospacing="1" w:afterAutospacing="1"/>
    </w:pPr>
    <w:rPr>
      <w:rFonts w:ascii="宋体" w:hAnsi="宋体" w:eastAsiaTheme="minorEastAsia" w:cstheme="minorBidi"/>
      <w:kern w:val="2"/>
      <w:lang w:eastAsia="zh-CN"/>
    </w:rPr>
  </w:style>
  <w:style w:type="table" w:styleId="12">
    <w:name w:val="Table Grid"/>
    <w:basedOn w:val="11"/>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style>
  <w:style w:type="character" w:styleId="15">
    <w:name w:val="annotation reference"/>
    <w:basedOn w:val="13"/>
    <w:autoRedefine/>
    <w:qFormat/>
    <w:uiPriority w:val="0"/>
    <w:rPr>
      <w:sz w:val="21"/>
      <w:szCs w:val="21"/>
    </w:rPr>
  </w:style>
  <w:style w:type="character" w:customStyle="1" w:styleId="16">
    <w:name w:val="页眉 字符"/>
    <w:basedOn w:val="13"/>
    <w:link w:val="8"/>
    <w:autoRedefine/>
    <w:qFormat/>
    <w:uiPriority w:val="99"/>
    <w:rPr>
      <w:rFonts w:eastAsia="宋体"/>
      <w:sz w:val="18"/>
      <w:szCs w:val="18"/>
    </w:rPr>
  </w:style>
  <w:style w:type="character" w:customStyle="1" w:styleId="17">
    <w:name w:val="页脚 字符"/>
    <w:basedOn w:val="13"/>
    <w:link w:val="7"/>
    <w:autoRedefine/>
    <w:qFormat/>
    <w:uiPriority w:val="99"/>
    <w:rPr>
      <w:rFonts w:eastAsia="宋体"/>
      <w:sz w:val="18"/>
      <w:szCs w:val="18"/>
    </w:rPr>
  </w:style>
  <w:style w:type="character" w:customStyle="1" w:styleId="18">
    <w:name w:val="批注文字 字符"/>
    <w:basedOn w:val="13"/>
    <w:link w:val="5"/>
    <w:autoRedefine/>
    <w:qFormat/>
    <w:uiPriority w:val="99"/>
    <w:rPr>
      <w:rFonts w:eastAsia="宋体"/>
    </w:rPr>
  </w:style>
  <w:style w:type="character" w:customStyle="1" w:styleId="19">
    <w:name w:val="普通(网站) 字符"/>
    <w:link w:val="10"/>
    <w:autoRedefine/>
    <w:qFormat/>
    <w:uiPriority w:val="99"/>
    <w:rPr>
      <w:rFonts w:ascii="宋体" w:hAnsi="宋体" w:eastAsia="宋体"/>
      <w:sz w:val="24"/>
      <w:szCs w:val="24"/>
    </w:rPr>
  </w:style>
  <w:style w:type="character" w:customStyle="1" w:styleId="20">
    <w:name w:val="font01"/>
    <w:qFormat/>
    <w:uiPriority w:val="0"/>
    <w:rPr>
      <w:rFonts w:ascii="宋体" w:hAnsi="宋体" w:eastAsia="宋体" w:cs="宋体"/>
      <w:color w:val="000000"/>
      <w:sz w:val="22"/>
      <w:szCs w:val="22"/>
      <w:u w:val="none"/>
    </w:rPr>
  </w:style>
  <w:style w:type="character" w:customStyle="1" w:styleId="21">
    <w:name w:val="font11"/>
    <w:autoRedefine/>
    <w:qFormat/>
    <w:uiPriority w:val="0"/>
    <w:rPr>
      <w:rFonts w:ascii="宋体" w:hAnsi="宋体" w:eastAsia="宋体" w:cs="宋体"/>
      <w:b/>
      <w:bCs/>
      <w:color w:val="000000"/>
      <w:sz w:val="22"/>
      <w:szCs w:val="22"/>
      <w:u w:val="none"/>
    </w:rPr>
  </w:style>
  <w:style w:type="table" w:customStyle="1" w:styleId="22">
    <w:name w:val="网格型1"/>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typo_table"/>
    <w:basedOn w:val="11"/>
    <w:autoRedefine/>
    <w:qFormat/>
    <w:uiPriority w:val="0"/>
  </w:style>
  <w:style w:type="paragraph" w:customStyle="1" w:styleId="24">
    <w:name w:val="typo_h1"/>
    <w:basedOn w:val="1"/>
    <w:autoRedefine/>
    <w:qFormat/>
    <w:uiPriority w:val="0"/>
    <w:pPr>
      <w:spacing w:line="648" w:lineRule="atLeast"/>
    </w:pPr>
    <w:rPr>
      <w:rFonts w:ascii="微软雅黑" w:hAnsi="微软雅黑" w:eastAsia="微软雅黑" w:cs="微软雅黑"/>
      <w:color w:val="333333"/>
      <w:sz w:val="48"/>
      <w:szCs w:val="48"/>
    </w:rPr>
  </w:style>
  <w:style w:type="character" w:customStyle="1" w:styleId="25">
    <w:name w:val="base"/>
    <w:basedOn w:val="13"/>
    <w:autoRedefine/>
    <w:qFormat/>
    <w:uiPriority w:val="0"/>
    <w:rPr>
      <w:rFonts w:ascii="仿宋" w:hAnsi="仿宋" w:eastAsia="仿宋" w:cs="仿宋"/>
      <w:b/>
      <w:bCs/>
      <w:sz w:val="28"/>
      <w:szCs w:val="28"/>
    </w:rPr>
  </w:style>
  <w:style w:type="paragraph" w:customStyle="1" w:styleId="26">
    <w:name w:val="typo_p"/>
    <w:basedOn w:val="1"/>
    <w:autoRedefine/>
    <w:qFormat/>
    <w:uiPriority w:val="0"/>
    <w:pPr>
      <w:spacing w:line="432" w:lineRule="atLeast"/>
    </w:pPr>
    <w:rPr>
      <w:rFonts w:ascii="微软雅黑" w:hAnsi="微软雅黑" w:eastAsia="微软雅黑" w:cs="微软雅黑"/>
      <w:color w:val="333333"/>
    </w:rPr>
  </w:style>
  <w:style w:type="character" w:customStyle="1" w:styleId="27">
    <w:name w:val="span"/>
    <w:basedOn w:val="13"/>
    <w:autoRedefine/>
    <w:qFormat/>
    <w:uiPriority w:val="0"/>
    <w:rPr>
      <w:rFonts w:ascii="仿宋" w:hAnsi="仿宋" w:eastAsia="仿宋" w:cs="仿宋"/>
    </w:rPr>
  </w:style>
  <w:style w:type="character" w:customStyle="1" w:styleId="28">
    <w:name w:val="underline"/>
    <w:basedOn w:val="13"/>
    <w:autoRedefine/>
    <w:qFormat/>
    <w:uiPriority w:val="0"/>
  </w:style>
  <w:style w:type="paragraph" w:customStyle="1" w:styleId="29">
    <w:name w:val="div"/>
    <w:basedOn w:val="1"/>
    <w:autoRedefine/>
    <w:qFormat/>
    <w:uiPriority w:val="0"/>
    <w:pPr>
      <w:keepLines/>
      <w:spacing w:line="432" w:lineRule="atLeast"/>
    </w:pPr>
    <w:rPr>
      <w:rFonts w:ascii="微软雅黑" w:hAnsi="微软雅黑" w:eastAsia="微软雅黑" w:cs="微软雅黑"/>
      <w:color w:val="333333"/>
    </w:rPr>
  </w:style>
  <w:style w:type="character" w:customStyle="1" w:styleId="30">
    <w:name w:val="step-methods_step-item_label"/>
    <w:basedOn w:val="13"/>
    <w:autoRedefine/>
    <w:qFormat/>
    <w:uiPriority w:val="0"/>
  </w:style>
  <w:style w:type="table" w:customStyle="1" w:styleId="31">
    <w:name w:val="typo_table_0"/>
    <w:basedOn w:val="11"/>
    <w:autoRedefine/>
    <w:qFormat/>
    <w:uiPriority w:val="0"/>
  </w:style>
  <w:style w:type="character" w:customStyle="1" w:styleId="32">
    <w:name w:val="要点1"/>
    <w:basedOn w:val="13"/>
    <w:autoRedefine/>
    <w:qFormat/>
    <w:uiPriority w:val="0"/>
    <w:rPr>
      <w:b/>
      <w:bCs/>
      <w:color w:val="000000"/>
    </w:rPr>
  </w:style>
  <w:style w:type="paragraph" w:customStyle="1" w:styleId="33">
    <w:name w:val="正文2"/>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34">
    <w:name w:val="font41"/>
    <w:autoRedefine/>
    <w:qFormat/>
    <w:uiPriority w:val="0"/>
    <w:rPr>
      <w:rFonts w:hint="default" w:ascii="Times New Roman" w:hAnsi="Times New Roman" w:cs="Times New Roman"/>
      <w:color w:val="000000"/>
      <w:sz w:val="21"/>
      <w:szCs w:val="21"/>
      <w:u w:val="none"/>
    </w:rPr>
  </w:style>
  <w:style w:type="character" w:customStyle="1" w:styleId="35">
    <w:name w:val="font61"/>
    <w:autoRedefine/>
    <w:qFormat/>
    <w:uiPriority w:val="0"/>
    <w:rPr>
      <w:rFonts w:hint="default" w:ascii="Times New Roman" w:hAnsi="Times New Roman" w:cs="Times New Roman"/>
      <w:color w:val="000000"/>
      <w:sz w:val="24"/>
      <w:szCs w:val="24"/>
      <w:u w:val="none"/>
    </w:rPr>
  </w:style>
  <w:style w:type="character" w:customStyle="1" w:styleId="36">
    <w:name w:val="font51"/>
    <w:autoRedefine/>
    <w:qFormat/>
    <w:uiPriority w:val="0"/>
    <w:rPr>
      <w:rFonts w:hint="default" w:ascii="简宋 常规体" w:hAnsi="简宋 常规体" w:eastAsia="简宋 常规体" w:cs="简宋 常规体"/>
      <w:color w:val="000000"/>
      <w:sz w:val="24"/>
      <w:szCs w:val="24"/>
      <w:u w:val="none"/>
    </w:rPr>
  </w:style>
  <w:style w:type="paragraph" w:customStyle="1" w:styleId="37">
    <w:name w:val="Revision"/>
    <w:autoRedefine/>
    <w:hidden/>
    <w:unhideWhenUsed/>
    <w:qFormat/>
    <w:uiPriority w:val="99"/>
    <w:rPr>
      <w:rFonts w:ascii="Times New Roman" w:hAnsi="Times New Roman" w:eastAsia="Times New Roman" w:cs="Times New Roman"/>
      <w:sz w:val="24"/>
      <w:szCs w:val="24"/>
      <w:lang w:val="en-US" w:eastAsia="en-US" w:bidi="ar-SA"/>
    </w:rPr>
  </w:style>
  <w:style w:type="paragraph" w:customStyle="1" w:styleId="38">
    <w:name w:val="null3"/>
    <w:qFormat/>
    <w:uiPriority w:val="0"/>
    <w:rPr>
      <w:rFonts w:hint="eastAsia" w:ascii="Calibri" w:hAnsi="Calibri" w:eastAsia="宋体" w:cs="Times New Roman"/>
      <w:lang w:val="en-US" w:eastAsia="zh-Hans" w:bidi="ar-SA"/>
    </w:rPr>
  </w:style>
  <w:style w:type="paragraph" w:customStyle="1" w:styleId="39">
    <w:name w:val="列出段落1"/>
    <w:qFormat/>
    <w:uiPriority w:val="34"/>
    <w:pPr>
      <w:widowControl w:val="0"/>
      <w:ind w:firstLine="42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4908</Words>
  <Characters>5112</Characters>
  <Lines>462</Lines>
  <Paragraphs>130</Paragraphs>
  <TotalTime>24</TotalTime>
  <ScaleCrop>false</ScaleCrop>
  <LinksUpToDate>false</LinksUpToDate>
  <CharactersWithSpaces>5135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2025-06-05T08:06:00Z</dcterms:created>
  <dc:creator>DELL</dc:creator>
  <cp:lastModifiedBy>Jagger.</cp:lastModifiedBy>
  <cp:lastPrinted>2025-06-05T08:08:00Z</cp:lastPrinted>
  <dcterms:modified xsi:type="dcterms:W3CDTF">2025-10-14T12:59:47Z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eyJoZGlkIjoiZmY5YWIxZDc0NDljZTRmODgwZTMzMWI1NThhMDI4Y2UiLCJ1c2VySWQiOiI5ODI3ODA3NDAifQ==</vt:lpwstr>
  </property>
  <property fmtid="{D5CDD505-2E9C-101B-9397-08002B2CF9AE}" pid="3" name="KSOProductBuildVer">
    <vt:lpwstr>2052-12.1.0.19770</vt:lpwstr>
  </property>
  <property fmtid="{D5CDD505-2E9C-101B-9397-08002B2CF9AE}" pid="4" name="ICV">
    <vt:lpwstr>CEFEF1A191DB4C6B9E74B62598E75769_13</vt:lpwstr>
  </property>
</Properties>
</file>