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1"/>
        <w:rPr>
          <w:rFonts w:ascii="方正小标宋简体" w:eastAsia="方正小标宋简体" w:hAnsi="方正小标宋简体" w:cs="方正小标宋简体" w:hint="eastAsia"/>
          <w:bCs/>
          <w:color w:val="000000"/>
          <w:kern w:val="2"/>
          <w:sz w:val="44"/>
          <w:szCs w:val="44"/>
          <w:lang w:eastAsia="zh-CN"/>
        </w:rPr>
      </w:pPr>
      <w:r>
        <w:rPr>
          <w:rFonts w:ascii="方正小标宋简体" w:eastAsia="方正小标宋简体" w:hAnsi="方正小标宋简体" w:cs="方正小标宋简体" w:hint="eastAsia"/>
          <w:bCs/>
          <w:color w:val="000000"/>
          <w:kern w:val="2"/>
          <w:sz w:val="44"/>
          <w:szCs w:val="44"/>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2881"/>
        <w:gridCol w:w="5522"/>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项目编号：</w:t>
            </w:r>
          </w:p>
        </w:tc>
        <w:tc>
          <w:tcPr>
            <w:tcW w:w="5220" w:type="dxa"/>
            <w:shd w:val="clear" w:color="auto" w:fill="auto"/>
            <w:vAlign w:val="center"/>
          </w:tcPr>
          <w:p>
            <w:pPr>
              <w:widowControl/>
              <w:jc w:val="left"/>
              <w:rPr>
                <w:rFonts w:eastAsia="宋体"/>
                <w:kern w:val="2"/>
                <w:sz w:val="30"/>
                <w:szCs w:val="30"/>
                <w:lang w:eastAsia="zh-CN"/>
              </w:rPr>
            </w:pPr>
            <w:r>
              <w:rPr>
                <w:rFonts w:eastAsia="宋体" w:hint="eastAsia"/>
                <w:kern w:val="2"/>
                <w:sz w:val="30"/>
                <w:szCs w:val="30"/>
                <w:lang w:eastAsia="zh-CN"/>
              </w:rPr>
              <w:t>SZZXCG-2025-00051</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项目名称：</w:t>
            </w:r>
          </w:p>
        </w:tc>
        <w:tc>
          <w:tcPr>
            <w:tcW w:w="5220" w:type="dxa"/>
            <w:shd w:val="clear" w:color="auto" w:fill="auto"/>
            <w:vAlign w:val="center"/>
          </w:tcPr>
          <w:p>
            <w:pPr>
              <w:widowControl/>
              <w:jc w:val="left"/>
              <w:rPr>
                <w:rFonts w:eastAsia="宋体"/>
                <w:kern w:val="2"/>
                <w:sz w:val="30"/>
                <w:szCs w:val="30"/>
                <w:lang w:eastAsia="zh-CN"/>
              </w:rPr>
            </w:pPr>
            <w:bookmarkStart w:id="0" w:name="OLE_LINK3"/>
            <w:r>
              <w:rPr>
                <w:rFonts w:eastAsia="宋体" w:hint="eastAsia"/>
                <w:kern w:val="2"/>
                <w:sz w:val="30"/>
                <w:szCs w:val="30"/>
                <w:lang w:eastAsia="zh-CN"/>
              </w:rPr>
              <w:t>深圳市殡葬服务中心食堂劳务外包服务项目</w:t>
            </w:r>
            <w:bookmarkEnd w:id="0"/>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包 号：</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hint="eastAsia"/>
                <w:sz w:val="30"/>
                <w:szCs w:val="30"/>
                <w:lang w:eastAsia="zh-CN"/>
              </w:rPr>
              <w:t>服务类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采购方式：</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公开</w:t>
            </w:r>
            <w:r>
              <w:rPr>
                <w:rFonts w:ascii="宋体" w:eastAsia="宋体" w:hAnsi="宋体" w:cs="宋体" w:hint="eastAsia"/>
                <w:sz w:val="30"/>
                <w:szCs w:val="30"/>
                <w:lang w:eastAsia="zh-CN"/>
              </w:rPr>
              <w:t>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货币类型：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评标方法：</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综合评分法</w:t>
            </w:r>
          </w:p>
        </w:tc>
      </w:tr>
    </w:tbl>
    <w:p>
      <w:pPr>
        <w:widowControl w:val="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5868"/>
        <w:gridCol w:w="266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hint="eastAsia"/>
                <w:kern w:val="2"/>
                <w:sz w:val="28"/>
                <w:szCs w:val="28"/>
                <w:lang w:eastAsia="zh-CN"/>
              </w:rPr>
            </w:pPr>
            <w:r>
              <w:rPr>
                <w:rFonts w:eastAsia="宋体"/>
                <w:kern w:val="2"/>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hint="eastAsia"/>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hint="eastAsia"/>
                <w:kern w:val="2"/>
                <w:sz w:val="21"/>
                <w:szCs w:val="21"/>
                <w:lang w:eastAsia="zh-CN"/>
              </w:rPr>
            </w:pPr>
            <w:bookmarkStart w:id="1" w:name="OLE_LINK4" w:colFirst="1" w:colLast="1"/>
            <w:r>
              <w:rPr>
                <w:rFonts w:eastAsia="宋体"/>
                <w:kern w:val="2"/>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hint="eastAsia"/>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w:t>
            </w:r>
            <w:r>
              <w:rPr>
                <w:rFonts w:ascii="宋体" w:eastAsia="宋体" w:hAnsi="宋体" w:cs="宋体" w:hint="eastAsia"/>
                <w:sz w:val="21"/>
                <w:szCs w:val="21"/>
                <w:lang w:eastAsia="zh-CN"/>
              </w:rPr>
              <w:t>招标</w:t>
            </w:r>
            <w:r>
              <w:rPr>
                <w:rFonts w:ascii="宋体" w:eastAsia="宋体" w:hAnsi="宋体" w:cs="宋体"/>
                <w:sz w:val="21"/>
                <w:szCs w:val="21"/>
                <w:lang w:eastAsia="zh-CN"/>
              </w:rPr>
              <w:t>公告</w:t>
            </w:r>
            <w:r>
              <w:rPr>
                <w:rFonts w:ascii="宋体" w:eastAsia="宋体" w:hAnsi="宋体" w:hint="eastAsia"/>
                <w:kern w:val="2"/>
                <w:sz w:val="21"/>
                <w:szCs w:val="21"/>
                <w:lang w:eastAsia="zh-CN"/>
              </w:rPr>
              <w:t>投标人资格要求</w:t>
            </w:r>
            <w:r>
              <w:rPr>
                <w:rFonts w:ascii="宋体" w:eastAsia="宋体" w:hAnsi="宋体" w:cs="宋体"/>
                <w:sz w:val="21"/>
                <w:szCs w:val="21"/>
                <w:lang w:eastAsia="zh-CN"/>
              </w:rPr>
              <w:t>）</w:t>
            </w:r>
          </w:p>
        </w:tc>
      </w:tr>
      <w:bookmarkEnd w:id="1"/>
    </w:tbl>
    <w:p>
      <w:pPr>
        <w:widowControl w:val="0"/>
        <w:spacing w:before="28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7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不得将一个包内容拆开投标；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bookmarkStart w:id="2" w:name="OLE_LINK5"/>
            <w:r>
              <w:rPr>
                <w:rFonts w:eastAsia="宋体" w:hint="eastAsia"/>
                <w:kern w:val="2"/>
                <w:sz w:val="21"/>
                <w:lang w:eastAsia="zh-CN"/>
              </w:rPr>
              <w:t>对同一项目投标时，不得提供两套以上的投标方案（招标文件另有规定的除外）；</w:t>
            </w:r>
            <w:bookmarkEnd w:id="2"/>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分项报价或投标总价不得高于相应预算金额（或设定的预算金额下的最高限价）；</w:t>
            </w:r>
          </w:p>
        </w:tc>
      </w:tr>
      <w:tr>
        <w:tblPrEx>
          <w:tblW w:w="5000" w:type="pct"/>
          <w:jc w:val="center"/>
          <w:tblLayout w:type="fixed"/>
          <w:tblCellMar>
            <w:top w:w="20" w:type="dxa"/>
            <w:left w:w="108" w:type="dxa"/>
            <w:bottom w:w="20" w:type="dxa"/>
            <w:right w:w="108" w:type="dxa"/>
          </w:tblCellMar>
        </w:tblPrEx>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bookmarkStart w:id="3" w:name="OLE_LINK7"/>
            <w:r>
              <w:rPr>
                <w:rFonts w:eastAsia="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bookmarkEnd w:id="3"/>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bookmarkStart w:id="4" w:name="OLE_LINK8"/>
            <w:r>
              <w:rPr>
                <w:rFonts w:eastAsia="宋体" w:hint="eastAsia"/>
                <w:kern w:val="2"/>
                <w:sz w:val="21"/>
                <w:lang w:eastAsia="zh-CN"/>
              </w:rPr>
              <w:t>投标人响应的内容在技术、商务等方面没有实质性满足（</w:t>
            </w:r>
            <w:r>
              <w:rPr>
                <w:rFonts w:ascii="Calibri" w:eastAsia="宋体" w:hAnsi="Calibri" w:hint="eastAsia"/>
                <w:kern w:val="2"/>
                <w:sz w:val="21"/>
                <w:lang w:eastAsia="zh-CN"/>
              </w:rPr>
              <w:t>或未响应招标文件中带★号条款或响应有负偏离）</w:t>
            </w:r>
            <w:r>
              <w:rPr>
                <w:rFonts w:eastAsia="宋体" w:hint="eastAsia"/>
                <w:kern w:val="2"/>
                <w:sz w:val="21"/>
                <w:lang w:eastAsia="zh-CN"/>
              </w:rPr>
              <w:t>招标文件要求的（是否实质性满足招标文件要求，由评审委员会根据实质性条款响应情况作出评判，若招标文件未设置实质性条款，不得据此做投标无效处理）；</w:t>
            </w:r>
            <w:bookmarkEnd w:id="4"/>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未按招标文件所提供的样式填写《投标函》；未按招标文件所提供的《采购投标及履约承诺函》进行承诺或不符合承诺的；未按招标文件对投标文件组成的要求提供投标文件；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采购标的/所投产品/货物清单有缺漏项或响应不全或报价有缺漏或者对招标文件规定的项目需求内容或者需求数量进行修改，评审委员会判定投标响应不满足采购需求；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hint="eastAsia"/>
                <w:kern w:val="2"/>
                <w:sz w:val="21"/>
                <w:szCs w:val="21"/>
                <w:lang w:eastAsia="zh-CN"/>
              </w:rPr>
            </w:pPr>
            <w:r>
              <w:rPr>
                <w:rFonts w:ascii="宋体" w:eastAsia="宋体" w:hAnsi="宋体" w:cs="宋体" w:hint="eastAsia"/>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bookmarkStart w:id="5" w:name="OLE_LINK9"/>
            <w:r>
              <w:rPr>
                <w:rFonts w:eastAsia="宋体" w:hint="eastAsia"/>
                <w:kern w:val="2"/>
                <w:sz w:val="21"/>
                <w:lang w:eastAsia="zh-CN"/>
              </w:rPr>
              <w:t>投标文件电子文档不得带病毒；</w:t>
            </w:r>
            <w:bookmarkEnd w:id="5"/>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hint="eastAsia"/>
                <w:kern w:val="2"/>
                <w:sz w:val="21"/>
                <w:szCs w:val="21"/>
                <w:lang w:eastAsia="zh-CN"/>
              </w:rPr>
            </w:pPr>
            <w:r>
              <w:rPr>
                <w:rFonts w:ascii="宋体" w:eastAsia="宋体" w:hAnsi="宋体" w:cs="宋体" w:hint="eastAsia"/>
                <w:sz w:val="21"/>
                <w:szCs w:val="21"/>
                <w:lang w:eastAsia="zh-CN"/>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投标文件用不属于本公司的电子密钥进行加密或投标文件未按时解密的；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hint="eastAsia"/>
                <w:kern w:val="2"/>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bookmarkStart w:id="6" w:name="OLE_LINK10"/>
            <w:r>
              <w:rPr>
                <w:rFonts w:eastAsia="宋体" w:hint="eastAsia"/>
                <w:kern w:val="2"/>
                <w:sz w:val="21"/>
                <w:lang w:eastAsia="zh-CN"/>
              </w:rPr>
              <w:t>法律、法规、规章、规范性文件规定的其他情形。</w:t>
            </w:r>
            <w:bookmarkEnd w:id="6"/>
          </w:p>
        </w:tc>
      </w:tr>
    </w:tbl>
    <w:p>
      <w:pPr>
        <w:widowControl w:val="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
      <w:tblGrid>
        <w:gridCol w:w="667"/>
        <w:gridCol w:w="671"/>
        <w:gridCol w:w="2064"/>
        <w:gridCol w:w="967"/>
        <w:gridCol w:w="4054"/>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Ex>
        <w:trPr>
          <w:tblCellSpacing w:w="0" w:type="dxa"/>
          <w:jc w:val="center"/>
        </w:trPr>
        <w:tc>
          <w:tcPr>
            <w:tcW w:w="8423" w:type="dxa"/>
            <w:gridSpan w:val="5"/>
            <w:vAlign w:val="center"/>
          </w:tcPr>
          <w:p>
            <w:pPr>
              <w:keepNext w:val="0"/>
              <w:keepLines w:val="0"/>
              <w:pageBreakBefore w:val="0"/>
              <w:widowControl w:val="0"/>
              <w:kinsoku/>
              <w:overflowPunct/>
              <w:topLinePunct w:val="0"/>
              <w:autoSpaceDE/>
              <w:autoSpaceDN/>
              <w:bidi w:val="0"/>
              <w:adjustRightInd/>
              <w:snapToGrid/>
              <w:spacing w:line="320" w:lineRule="exact"/>
              <w:jc w:val="left"/>
              <w:textAlignment w:val="auto"/>
              <w:rPr>
                <w:rFonts w:ascii="宋体" w:eastAsia="宋体" w:hAnsi="宋体" w:cs="宋体" w:hint="eastAsia"/>
                <w:b/>
                <w:bCs/>
                <w:kern w:val="2"/>
                <w:lang w:eastAsia="zh-CN"/>
              </w:rPr>
            </w:pPr>
            <w:r>
              <w:rPr>
                <w:rFonts w:eastAsia="宋体"/>
                <w:b/>
                <w:bCs/>
                <w:kern w:val="2"/>
                <w:sz w:val="21"/>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8423" w:type="dxa"/>
            <w:gridSpan w:val="5"/>
            <w:vAlign w:val="center"/>
          </w:tcPr>
          <w:p>
            <w:pPr>
              <w:keepNext w:val="0"/>
              <w:keepLines w:val="0"/>
              <w:pageBreakBefore w:val="0"/>
              <w:widowControl w:val="0"/>
              <w:kinsoku/>
              <w:overflowPunct/>
              <w:topLinePunct w:val="0"/>
              <w:autoSpaceDE/>
              <w:autoSpaceDN/>
              <w:bidi w:val="0"/>
              <w:adjustRightInd/>
              <w:snapToGrid/>
              <w:spacing w:line="320" w:lineRule="exact"/>
              <w:ind w:firstLine="420"/>
              <w:jc w:val="both"/>
              <w:textAlignment w:val="auto"/>
              <w:rPr>
                <w:rFonts w:eastAsia="宋体"/>
                <w:kern w:val="2"/>
                <w:sz w:val="21"/>
                <w:szCs w:val="21"/>
                <w:lang w:eastAsia="zh-CN"/>
              </w:rPr>
            </w:pPr>
            <w:r>
              <w:rPr>
                <w:rFonts w:eastAsia="宋体" w:hint="eastAsia"/>
                <w:kern w:val="2"/>
                <w:sz w:val="21"/>
                <w:szCs w:val="21"/>
                <w:lang w:eastAsia="zh-CN"/>
              </w:rPr>
              <w:t>综合评分法，是指投标文件满足招标文件全部实质性要求，且按照评审因素的量化指标评审得分最高的投标人为中标候选人的评标方法。 （适用于中标候选人为1家的情形）</w:t>
            </w:r>
          </w:p>
          <w:p>
            <w:pPr>
              <w:keepNext w:val="0"/>
              <w:keepLines w:val="0"/>
              <w:pageBreakBefore w:val="0"/>
              <w:widowControl w:val="0"/>
              <w:kinsoku/>
              <w:overflowPunct/>
              <w:topLinePunct w:val="0"/>
              <w:autoSpaceDE/>
              <w:autoSpaceDN/>
              <w:bidi w:val="0"/>
              <w:adjustRightInd/>
              <w:snapToGrid/>
              <w:spacing w:line="320" w:lineRule="exact"/>
              <w:ind w:firstLine="420"/>
              <w:jc w:val="both"/>
              <w:textAlignment w:val="auto"/>
              <w:rPr>
                <w:rFonts w:eastAsia="宋体"/>
                <w:kern w:val="2"/>
                <w:sz w:val="21"/>
                <w:szCs w:val="21"/>
                <w:lang w:eastAsia="zh-CN"/>
              </w:rPr>
            </w:pPr>
            <w:r>
              <w:rPr>
                <w:rFonts w:eastAsia="宋体" w:hint="eastAsia"/>
                <w:kern w:val="2"/>
                <w:sz w:val="21"/>
                <w:szCs w:val="21"/>
                <w:lang w:eastAsia="zh-CN"/>
              </w:rPr>
              <w:t>综合评分法。在最大限度地满足招标文件实质性要求的前提下，按照招标文件中规定的各项因素进行综合评审，评标总得分排名前列的投标人，作为推荐的候选中标供应商。（适用于中标候选人为多家的情形）</w:t>
            </w:r>
          </w:p>
          <w:p>
            <w:pPr>
              <w:keepNext w:val="0"/>
              <w:keepLines w:val="0"/>
              <w:pageBreakBefore w:val="0"/>
              <w:widowControl w:val="0"/>
              <w:kinsoku/>
              <w:overflowPunct/>
              <w:topLinePunct w:val="0"/>
              <w:autoSpaceDE/>
              <w:autoSpaceDN/>
              <w:bidi w:val="0"/>
              <w:adjustRightInd/>
              <w:snapToGrid/>
              <w:spacing w:line="320" w:lineRule="exact"/>
              <w:ind w:firstLine="420"/>
              <w:jc w:val="both"/>
              <w:textAlignment w:val="auto"/>
              <w:rPr>
                <w:rFonts w:eastAsia="宋体"/>
                <w:kern w:val="2"/>
                <w:sz w:val="21"/>
                <w:szCs w:val="21"/>
                <w:lang w:eastAsia="zh-CN"/>
              </w:rPr>
            </w:pPr>
            <w:r>
              <w:rPr>
                <w:rFonts w:eastAsia="宋体"/>
                <w:kern w:val="2"/>
                <w:sz w:val="21"/>
                <w:szCs w:val="21"/>
                <w:lang w:eastAsia="zh-CN"/>
              </w:rPr>
              <w:t>价格分计算方法：</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eastAsia="宋体" w:hint="eastAsia"/>
                <w:kern w:val="2"/>
                <w:sz w:val="21"/>
                <w:szCs w:val="21"/>
                <w:lang w:eastAsia="zh-CN"/>
              </w:rPr>
            </w:pPr>
            <w:r>
              <w:rPr>
                <w:rFonts w:eastAsia="宋体"/>
                <w:kern w:val="2"/>
                <w:sz w:val="21"/>
                <w:szCs w:val="21"/>
                <w:lang w:eastAsia="zh-CN"/>
              </w:rPr>
              <w:t>采用低价优先法计算，即满足</w:t>
            </w:r>
            <w:r>
              <w:rPr>
                <w:rFonts w:eastAsia="宋体" w:hint="eastAsia"/>
                <w:kern w:val="2"/>
                <w:sz w:val="21"/>
                <w:szCs w:val="21"/>
                <w:lang w:eastAsia="zh-CN"/>
              </w:rPr>
              <w:t>招标</w:t>
            </w:r>
            <w:r>
              <w:rPr>
                <w:rFonts w:eastAsia="宋体"/>
                <w:kern w:val="2"/>
                <w:sz w:val="21"/>
                <w:szCs w:val="21"/>
                <w:lang w:eastAsia="zh-CN"/>
              </w:rPr>
              <w:t xml:space="preserve">文件要求且投标价格最低的投标报价为评标基准价，其价格分为满分。其他投标人的价格分统一按照下列公式计算： </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eastAsia="宋体" w:hint="eastAsia"/>
                <w:kern w:val="2"/>
                <w:sz w:val="21"/>
                <w:szCs w:val="21"/>
                <w:lang w:eastAsia="zh-CN"/>
              </w:rPr>
            </w:pPr>
            <w:r>
              <w:rPr>
                <w:rFonts w:eastAsia="宋体"/>
                <w:kern w:val="2"/>
                <w:sz w:val="21"/>
                <w:szCs w:val="21"/>
                <w:lang w:eastAsia="zh-CN"/>
              </w:rPr>
              <w:t xml:space="preserve">投标报价得分=(评标基准价／投标报价)×100 </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eastAsia="宋体" w:hint="eastAsia"/>
                <w:kern w:val="2"/>
                <w:sz w:val="21"/>
                <w:szCs w:val="21"/>
                <w:lang w:eastAsia="zh-CN"/>
              </w:rPr>
            </w:pPr>
            <w:r>
              <w:rPr>
                <w:rFonts w:eastAsia="宋体"/>
                <w:kern w:val="2"/>
                <w:sz w:val="21"/>
                <w:szCs w:val="21"/>
                <w:lang w:eastAsia="zh-CN"/>
              </w:rPr>
              <w:t xml:space="preserve">评标总得分＝F1×A1＋F2×A2＋……＋Fn×An </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eastAsia="宋体" w:hint="eastAsia"/>
                <w:kern w:val="2"/>
                <w:sz w:val="21"/>
                <w:szCs w:val="21"/>
                <w:lang w:eastAsia="zh-CN"/>
              </w:rPr>
            </w:pPr>
            <w:r>
              <w:rPr>
                <w:rFonts w:eastAsia="宋体"/>
                <w:kern w:val="2"/>
                <w:sz w:val="21"/>
                <w:szCs w:val="21"/>
                <w:lang w:eastAsia="zh-CN"/>
              </w:rPr>
              <w:t xml:space="preserve">F1、F2……Fn分别为各项评审因素的得分； </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eastAsia="宋体" w:hint="eastAsia"/>
                <w:kern w:val="2"/>
                <w:sz w:val="21"/>
                <w:szCs w:val="21"/>
                <w:lang w:eastAsia="zh-CN"/>
              </w:rPr>
            </w:pPr>
            <w:r>
              <w:rPr>
                <w:rFonts w:eastAsia="宋体"/>
                <w:kern w:val="2"/>
                <w:sz w:val="21"/>
                <w:szCs w:val="21"/>
                <w:lang w:eastAsia="zh-CN"/>
              </w:rPr>
              <w:t xml:space="preserve">A1、A2、……An 分别为各项评审因素所占的权重(A1＋A2＋……＋An＝1)。 </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eastAsia="宋体"/>
                <w:kern w:val="2"/>
                <w:sz w:val="21"/>
                <w:szCs w:val="21"/>
                <w:lang w:eastAsia="zh-CN"/>
              </w:rPr>
            </w:pPr>
            <w:r>
              <w:rPr>
                <w:rFonts w:eastAsia="宋体"/>
                <w:kern w:val="2"/>
                <w:sz w:val="21"/>
                <w:szCs w:val="21"/>
                <w:lang w:eastAsia="zh-CN"/>
              </w:rPr>
              <w:t>评标过程中，不得去掉报价中的最高报价和最低报价。</w:t>
            </w:r>
          </w:p>
          <w:p>
            <w:pPr>
              <w:keepNext w:val="0"/>
              <w:keepLines w:val="0"/>
              <w:pageBreakBefore w:val="0"/>
              <w:widowControl w:val="0"/>
              <w:kinsoku/>
              <w:overflowPunct/>
              <w:topLinePunct w:val="0"/>
              <w:autoSpaceDE/>
              <w:autoSpaceDN/>
              <w:bidi w:val="0"/>
              <w:adjustRightInd/>
              <w:snapToGrid/>
              <w:spacing w:line="320" w:lineRule="exact"/>
              <w:ind w:left="420"/>
              <w:jc w:val="both"/>
              <w:textAlignment w:val="auto"/>
              <w:rPr>
                <w:rFonts w:eastAsia="宋体"/>
                <w:kern w:val="2"/>
                <w:sz w:val="21"/>
                <w:szCs w:val="21"/>
                <w:lang w:eastAsia="zh-CN"/>
              </w:rPr>
            </w:pPr>
            <w:r>
              <w:rPr>
                <w:rFonts w:eastAsia="宋体" w:hint="eastAsia"/>
                <w:kern w:val="2"/>
                <w:sz w:val="21"/>
                <w:szCs w:val="21"/>
                <w:lang w:eastAsia="zh-CN"/>
              </w:rPr>
              <w:t>注：投标人的“</w:t>
            </w:r>
            <w:r>
              <w:rPr>
                <w:rFonts w:eastAsia="宋体" w:hint="eastAsia"/>
                <w:color w:val="FF0000"/>
                <w:kern w:val="2"/>
                <w:sz w:val="21"/>
                <w:szCs w:val="21"/>
                <w:lang w:eastAsia="zh-CN"/>
              </w:rPr>
              <w:t>技术规格响应情况</w:t>
            </w:r>
            <w:r>
              <w:rPr>
                <w:rFonts w:eastAsia="宋体" w:hint="eastAsia"/>
                <w:kern w:val="2"/>
                <w:sz w:val="21"/>
                <w:szCs w:val="21"/>
                <w:lang w:eastAsia="zh-CN"/>
              </w:rPr>
              <w:t>”“技术规格偏离情况”等必须与客观实际保持一致，响应不实且情节严重的，经查实，将依法记入供应商诚信档案或受到行政处罚。</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lang w:eastAsia="zh-CN"/>
              </w:rPr>
            </w:pPr>
            <w:r>
              <w:rPr>
                <w:rFonts w:eastAsia="宋体"/>
                <w:b/>
                <w:bCs/>
                <w:kern w:val="2"/>
                <w:sz w:val="21"/>
                <w:lang w:eastAsia="zh-CN"/>
              </w:rPr>
              <w:t>序号</w:t>
            </w:r>
          </w:p>
        </w:tc>
        <w:tc>
          <w:tcPr>
            <w:tcW w:w="3702" w:type="dxa"/>
            <w:gridSpan w:val="3"/>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lang w:eastAsia="zh-CN"/>
              </w:rPr>
            </w:pPr>
            <w:r>
              <w:rPr>
                <w:rFonts w:eastAsia="宋体"/>
                <w:b/>
                <w:bCs/>
                <w:kern w:val="2"/>
                <w:sz w:val="21"/>
                <w:lang w:eastAsia="zh-CN"/>
              </w:rPr>
              <w:t>评分项</w:t>
            </w:r>
          </w:p>
        </w:tc>
        <w:tc>
          <w:tcPr>
            <w:tcW w:w="405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lang w:eastAsia="zh-CN"/>
              </w:rPr>
            </w:pPr>
            <w:r>
              <w:rPr>
                <w:rFonts w:eastAsia="宋体"/>
                <w:b/>
                <w:bCs/>
                <w:kern w:val="2"/>
                <w:sz w:val="21"/>
                <w:lang w:eastAsia="zh-CN"/>
              </w:rPr>
              <w:t>权重(%)</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restart"/>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color w:val="0000FF"/>
                <w:kern w:val="2"/>
                <w:lang w:eastAsia="zh-CN"/>
              </w:rPr>
            </w:pPr>
            <w:r>
              <w:rPr>
                <w:rFonts w:eastAsia="宋体"/>
                <w:b/>
                <w:bCs/>
                <w:color w:val="0000FF"/>
                <w:kern w:val="2"/>
                <w:sz w:val="21"/>
                <w:lang w:eastAsia="zh-CN"/>
              </w:rPr>
              <w:t>1</w:t>
            </w:r>
          </w:p>
        </w:tc>
        <w:tc>
          <w:tcPr>
            <w:tcW w:w="3702" w:type="dxa"/>
            <w:gridSpan w:val="3"/>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color w:val="0000FF"/>
                <w:kern w:val="2"/>
                <w:lang w:eastAsia="zh-CN"/>
              </w:rPr>
            </w:pPr>
            <w:r>
              <w:rPr>
                <w:rFonts w:eastAsia="宋体"/>
                <w:b/>
                <w:bCs/>
                <w:color w:val="0000FF"/>
                <w:kern w:val="2"/>
                <w:sz w:val="21"/>
                <w:lang w:eastAsia="zh-CN"/>
              </w:rPr>
              <w:t>价格</w:t>
            </w:r>
          </w:p>
        </w:tc>
        <w:tc>
          <w:tcPr>
            <w:tcW w:w="4054" w:type="dxa"/>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color w:val="0000FF"/>
                <w:kern w:val="2"/>
                <w:lang w:eastAsia="zh-CN"/>
              </w:rPr>
            </w:pPr>
            <w:r>
              <w:rPr>
                <w:rFonts w:eastAsia="宋体" w:hint="eastAsia"/>
                <w:b/>
                <w:bCs/>
                <w:color w:val="0000FF"/>
                <w:kern w:val="2"/>
                <w:sz w:val="21"/>
                <w:lang w:eastAsia="zh-CN"/>
              </w:rPr>
              <w:t>1</w:t>
            </w:r>
            <w:r>
              <w:rPr>
                <w:rFonts w:eastAsia="宋体"/>
                <w:b/>
                <w:bCs/>
                <w:color w:val="0000FF"/>
                <w:kern w:val="2"/>
                <w:sz w:val="21"/>
                <w:lang w:eastAsia="zh-CN"/>
              </w:rPr>
              <w:t>0</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7756" w:type="dxa"/>
            <w:gridSpan w:val="4"/>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restart"/>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color w:val="0000FF"/>
                <w:kern w:val="2"/>
                <w:lang w:eastAsia="zh-CN"/>
              </w:rPr>
            </w:pPr>
            <w:r>
              <w:rPr>
                <w:rFonts w:eastAsia="宋体"/>
                <w:b/>
                <w:bCs/>
                <w:color w:val="0000FF"/>
                <w:kern w:val="2"/>
                <w:sz w:val="21"/>
                <w:lang w:eastAsia="zh-CN"/>
              </w:rPr>
              <w:t>2</w:t>
            </w:r>
          </w:p>
        </w:tc>
        <w:tc>
          <w:tcPr>
            <w:tcW w:w="3702" w:type="dxa"/>
            <w:gridSpan w:val="3"/>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color w:val="0000FF"/>
                <w:kern w:val="2"/>
                <w:lang w:eastAsia="zh-CN"/>
              </w:rPr>
            </w:pPr>
            <w:r>
              <w:rPr>
                <w:rFonts w:eastAsia="宋体"/>
                <w:b/>
                <w:bCs/>
                <w:color w:val="0000FF"/>
                <w:kern w:val="2"/>
                <w:sz w:val="21"/>
                <w:lang w:eastAsia="zh-CN"/>
              </w:rPr>
              <w:t>技术</w:t>
            </w:r>
            <w:r>
              <w:rPr>
                <w:rFonts w:eastAsia="宋体" w:hint="eastAsia"/>
                <w:b/>
                <w:bCs/>
                <w:color w:val="0000FF"/>
                <w:kern w:val="2"/>
                <w:sz w:val="21"/>
                <w:lang w:eastAsia="zh-CN"/>
              </w:rPr>
              <w:t>部分</w:t>
            </w:r>
          </w:p>
        </w:tc>
        <w:tc>
          <w:tcPr>
            <w:tcW w:w="4054" w:type="dxa"/>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b/>
                <w:bCs/>
                <w:color w:val="0000FF"/>
                <w:kern w:val="2"/>
                <w:lang w:eastAsia="zh-CN"/>
              </w:rPr>
            </w:pPr>
            <w:r>
              <w:rPr>
                <w:rFonts w:ascii="宋体" w:eastAsia="宋体" w:hAnsi="宋体" w:cs="宋体" w:hint="eastAsia"/>
                <w:b/>
                <w:bCs/>
                <w:color w:val="0000FF"/>
                <w:kern w:val="2"/>
                <w:lang w:eastAsia="zh-CN"/>
              </w:rPr>
              <w:t>57</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7756" w:type="dxa"/>
            <w:gridSpan w:val="4"/>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shd w:val="clear" w:color="auto" w:fill="E6EFFA"/>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206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967"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05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kern w:val="2"/>
                <w:sz w:val="21"/>
                <w:szCs w:val="21"/>
                <w:lang w:eastAsia="zh-CN"/>
              </w:rPr>
              <w:t>1</w:t>
            </w:r>
          </w:p>
        </w:tc>
        <w:tc>
          <w:tcPr>
            <w:tcW w:w="2064"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bookmarkStart w:id="7" w:name="OLE_LINK11"/>
            <w:r>
              <w:rPr>
                <w:rFonts w:ascii="宋体" w:eastAsia="宋体" w:hAnsi="宋体" w:cs="宋体" w:hint="eastAsia"/>
                <w:kern w:val="2"/>
                <w:sz w:val="21"/>
                <w:szCs w:val="21"/>
                <w:lang w:eastAsia="zh-CN"/>
              </w:rPr>
              <w:t>整体管理设想策划及实施方案</w:t>
            </w:r>
            <w:bookmarkEnd w:id="7"/>
          </w:p>
        </w:tc>
        <w:tc>
          <w:tcPr>
            <w:tcW w:w="967"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kern w:val="2"/>
                <w:sz w:val="21"/>
                <w:szCs w:val="21"/>
                <w:lang w:eastAsia="zh-CN"/>
              </w:rPr>
            </w:pPr>
            <w:bookmarkStart w:id="8" w:name="OLE_LINK16"/>
            <w:r>
              <w:rPr>
                <w:rFonts w:ascii="宋体" w:eastAsia="宋体" w:hAnsi="宋体" w:cs="宋体" w:hint="eastAsia"/>
                <w:kern w:val="2"/>
                <w:sz w:val="21"/>
                <w:szCs w:val="21"/>
                <w:lang w:eastAsia="zh-CN"/>
              </w:rPr>
              <w:t>8</w:t>
            </w:r>
            <w:bookmarkEnd w:id="8"/>
          </w:p>
        </w:tc>
        <w:tc>
          <w:tcPr>
            <w:tcW w:w="4054" w:type="dxa"/>
          </w:tcPr>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（一）评分内容：</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kern w:val="2"/>
                <w:sz w:val="21"/>
                <w:szCs w:val="21"/>
                <w:lang w:eastAsia="zh-CN"/>
              </w:rPr>
              <w:t>(1)</w:t>
            </w:r>
            <w:r>
              <w:rPr>
                <w:rFonts w:ascii="宋体" w:eastAsia="宋体" w:hAnsi="宋体" w:cs="宋体" w:hint="eastAsia"/>
                <w:kern w:val="2"/>
                <w:sz w:val="21"/>
                <w:szCs w:val="21"/>
                <w:lang w:eastAsia="zh-CN"/>
              </w:rPr>
              <w:t>本项目的整体管理设想</w:t>
            </w:r>
            <w:r>
              <w:rPr>
                <w:rFonts w:ascii="宋体" w:eastAsia="宋体" w:hAnsi="宋体" w:cs="宋体"/>
                <w:kern w:val="2"/>
                <w:sz w:val="21"/>
                <w:szCs w:val="21"/>
                <w:lang w:eastAsia="zh-CN"/>
              </w:rPr>
              <w:t>；</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eastAsia="zh-CN"/>
              </w:rPr>
              <w:t>2)</w:t>
            </w:r>
            <w:r>
              <w:rPr>
                <w:rFonts w:ascii="宋体" w:eastAsia="宋体" w:hAnsi="宋体" w:cs="宋体" w:hint="eastAsia"/>
                <w:kern w:val="2"/>
                <w:sz w:val="21"/>
                <w:szCs w:val="21"/>
                <w:lang w:eastAsia="zh-CN"/>
              </w:rPr>
              <w:t>整体运作规划</w:t>
            </w:r>
            <w:r>
              <w:rPr>
                <w:rFonts w:ascii="宋体" w:eastAsia="宋体" w:hAnsi="宋体" w:cs="宋体"/>
                <w:kern w:val="2"/>
                <w:sz w:val="21"/>
                <w:szCs w:val="21"/>
                <w:lang w:eastAsia="zh-CN"/>
              </w:rPr>
              <w:t>；</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eastAsia="zh-CN"/>
              </w:rPr>
              <w:t>3)</w:t>
            </w:r>
            <w:r>
              <w:rPr>
                <w:rFonts w:ascii="宋体" w:eastAsia="宋体" w:hAnsi="宋体" w:cs="宋体" w:hint="eastAsia"/>
                <w:kern w:val="2"/>
                <w:sz w:val="21"/>
                <w:szCs w:val="21"/>
                <w:lang w:eastAsia="zh-CN"/>
              </w:rPr>
              <w:t>组织机构</w:t>
            </w:r>
            <w:r>
              <w:rPr>
                <w:rFonts w:ascii="宋体" w:eastAsia="宋体" w:hAnsi="宋体" w:cs="宋体"/>
                <w:kern w:val="2"/>
                <w:sz w:val="21"/>
                <w:szCs w:val="21"/>
                <w:lang w:eastAsia="zh-CN"/>
              </w:rPr>
              <w:t>；</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eastAsia="zh-CN"/>
              </w:rPr>
              <w:t>4)</w:t>
            </w:r>
            <w:r>
              <w:rPr>
                <w:rFonts w:ascii="宋体" w:eastAsia="宋体" w:hAnsi="宋体" w:cs="宋体" w:hint="eastAsia"/>
                <w:kern w:val="2"/>
                <w:sz w:val="21"/>
                <w:szCs w:val="21"/>
                <w:lang w:eastAsia="zh-CN"/>
              </w:rPr>
              <w:t>服务团队配置</w:t>
            </w:r>
            <w:r>
              <w:rPr>
                <w:rFonts w:ascii="宋体" w:eastAsia="宋体" w:hAnsi="宋体" w:cs="宋体"/>
                <w:kern w:val="2"/>
                <w:sz w:val="21"/>
                <w:szCs w:val="21"/>
                <w:lang w:eastAsia="zh-CN"/>
              </w:rPr>
              <w:t>；</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eastAsia="zh-CN"/>
              </w:rPr>
              <w:t>5)</w:t>
            </w:r>
            <w:r>
              <w:rPr>
                <w:rFonts w:ascii="宋体" w:eastAsia="宋体" w:hAnsi="宋体" w:cs="宋体" w:hint="eastAsia"/>
                <w:kern w:val="2"/>
                <w:sz w:val="21"/>
                <w:szCs w:val="21"/>
                <w:lang w:eastAsia="zh-CN"/>
              </w:rPr>
              <w:t>人员培训计划</w:t>
            </w:r>
            <w:r>
              <w:rPr>
                <w:rFonts w:ascii="宋体" w:eastAsia="宋体" w:hAnsi="宋体" w:cs="宋体"/>
                <w:kern w:val="2"/>
                <w:sz w:val="21"/>
                <w:szCs w:val="21"/>
                <w:lang w:eastAsia="zh-CN"/>
              </w:rPr>
              <w:t>；</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eastAsia="zh-CN"/>
              </w:rPr>
              <w:t>6)</w:t>
            </w:r>
            <w:r>
              <w:rPr>
                <w:rFonts w:ascii="宋体" w:eastAsia="宋体" w:hAnsi="宋体" w:cs="宋体" w:hint="eastAsia"/>
                <w:kern w:val="2"/>
                <w:sz w:val="21"/>
                <w:szCs w:val="21"/>
                <w:lang w:eastAsia="zh-CN"/>
              </w:rPr>
              <w:t>管理措施等。</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（二）评分依据：</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1．提供完整得50</w:t>
            </w:r>
            <w:r>
              <w:rPr>
                <w:rFonts w:ascii="宋体" w:eastAsia="宋体" w:hAnsi="宋体" w:cs="宋体"/>
                <w:kern w:val="2"/>
                <w:sz w:val="21"/>
                <w:szCs w:val="21"/>
                <w:lang w:eastAsia="zh-CN"/>
              </w:rPr>
              <w:t>分，每少一项扣</w:t>
            </w:r>
            <w:r>
              <w:rPr>
                <w:rFonts w:ascii="宋体" w:eastAsia="宋体" w:hAnsi="宋体" w:cs="宋体" w:hint="eastAsia"/>
                <w:kern w:val="2"/>
                <w:sz w:val="21"/>
                <w:szCs w:val="21"/>
                <w:lang w:eastAsia="zh-CN"/>
              </w:rPr>
              <w:t>10</w:t>
            </w:r>
            <w:r>
              <w:rPr>
                <w:rFonts w:ascii="宋体" w:eastAsia="宋体" w:hAnsi="宋体" w:cs="宋体"/>
                <w:kern w:val="2"/>
                <w:sz w:val="21"/>
                <w:szCs w:val="21"/>
                <w:lang w:eastAsia="zh-CN"/>
              </w:rPr>
              <w:t>分，扣完为止。未提供不得分。</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 在此基础上，由评审委员进行评价：</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（1）方案整体科学合理、针对性强、可操作性强，评审为优，得50分；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（2）方案整体科学合理、针对性强、一定可操作性，评审为良，得30分；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（3）方案较合理、针对性强、可操作性一般，评审为中，得10分；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（4）方案不合理、无针对性、无可操作性，评审为差，不得分。</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 以上两项累计得分，最高得</w:t>
            </w:r>
            <w:r>
              <w:rPr>
                <w:rFonts w:ascii="宋体" w:eastAsia="宋体" w:hAnsi="宋体" w:cs="宋体" w:hint="eastAsia"/>
                <w:b/>
                <w:bCs/>
                <w:kern w:val="2"/>
                <w:sz w:val="21"/>
                <w:szCs w:val="21"/>
                <w:lang w:eastAsia="zh-CN"/>
              </w:rPr>
              <w:t>100分</w:t>
            </w:r>
            <w:r>
              <w:rPr>
                <w:rFonts w:ascii="宋体" w:eastAsia="宋体" w:hAnsi="宋体" w:cs="宋体" w:hint="eastAsia"/>
                <w:kern w:val="2"/>
                <w:sz w:val="21"/>
                <w:szCs w:val="21"/>
                <w:lang w:eastAsia="zh-CN"/>
              </w:rPr>
              <w:t>。</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kern w:val="2"/>
                <w:sz w:val="21"/>
                <w:szCs w:val="21"/>
                <w:lang w:eastAsia="zh-CN"/>
              </w:rPr>
              <w:t>2</w:t>
            </w:r>
          </w:p>
        </w:tc>
        <w:tc>
          <w:tcPr>
            <w:tcW w:w="2064"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服务质量管理方案</w:t>
            </w:r>
          </w:p>
        </w:tc>
        <w:tc>
          <w:tcPr>
            <w:tcW w:w="967"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4054" w:type="dxa"/>
            <w:vAlign w:val="center"/>
          </w:tcPr>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（一）评分内容：</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针对本项目的需求制定服务质量管理方案，内容包括：</w:t>
            </w:r>
            <w:r>
              <w:rPr>
                <w:rFonts w:ascii="宋体" w:eastAsia="宋体" w:hAnsi="宋体" w:cs="宋体"/>
                <w:kern w:val="2"/>
                <w:sz w:val="21"/>
                <w:szCs w:val="21"/>
                <w:lang w:eastAsia="zh-CN"/>
              </w:rPr>
              <w:t>(1)</w:t>
            </w:r>
            <w:r>
              <w:rPr>
                <w:rFonts w:ascii="宋体" w:eastAsia="宋体" w:hAnsi="宋体" w:cs="宋体" w:hint="eastAsia"/>
                <w:kern w:val="2"/>
                <w:sz w:val="21"/>
                <w:szCs w:val="21"/>
                <w:lang w:eastAsia="zh-CN"/>
              </w:rPr>
              <w:t>服务管理总体目标、</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2</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服务管理负责制度、</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3</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服务标准设定、</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4</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服务人员设置制度、</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5</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培训等人力资源管理制度、</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6</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食堂菜品质量保障制度等。</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（二）评分依据：</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1．提供完整得50</w:t>
            </w:r>
            <w:r>
              <w:rPr>
                <w:rFonts w:ascii="宋体" w:eastAsia="宋体" w:hAnsi="宋体" w:cs="宋体"/>
                <w:kern w:val="2"/>
                <w:sz w:val="21"/>
                <w:szCs w:val="21"/>
                <w:lang w:eastAsia="zh-CN"/>
              </w:rPr>
              <w:t>分，每少一项扣</w:t>
            </w:r>
            <w:r>
              <w:rPr>
                <w:rFonts w:ascii="宋体" w:eastAsia="宋体" w:hAnsi="宋体" w:cs="宋体" w:hint="eastAsia"/>
                <w:kern w:val="2"/>
                <w:sz w:val="21"/>
                <w:szCs w:val="21"/>
                <w:lang w:eastAsia="zh-CN"/>
              </w:rPr>
              <w:t>10</w:t>
            </w:r>
            <w:r>
              <w:rPr>
                <w:rFonts w:ascii="宋体" w:eastAsia="宋体" w:hAnsi="宋体" w:cs="宋体"/>
                <w:kern w:val="2"/>
                <w:sz w:val="21"/>
                <w:szCs w:val="21"/>
                <w:lang w:eastAsia="zh-CN"/>
              </w:rPr>
              <w:t>分，扣完为止。未提供不得分。</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 在此基础上，由评审委员进行评价：</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（1）方案整体科学合理、针对性强、可操作性强，评审为优，得50分；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（2）方案整体科学合理、针对性强、一定可操作性，评审为良，得30分；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（3）方案较合理、针对性强、可操作性一般，评审为中，得10分； </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（4）方案不合理、无针对性、无可操作性，评审为差，不得分。</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 以上两项累计得分，最高得</w:t>
            </w:r>
            <w:r>
              <w:rPr>
                <w:rFonts w:ascii="宋体" w:eastAsia="宋体" w:hAnsi="宋体" w:cs="宋体" w:hint="eastAsia"/>
                <w:b/>
                <w:bCs/>
                <w:kern w:val="2"/>
                <w:sz w:val="21"/>
                <w:szCs w:val="21"/>
                <w:lang w:eastAsia="zh-CN"/>
              </w:rPr>
              <w:t>100分</w:t>
            </w:r>
            <w:r>
              <w:rPr>
                <w:rFonts w:ascii="宋体" w:eastAsia="宋体" w:hAnsi="宋体" w:cs="宋体" w:hint="eastAsia"/>
                <w:kern w:val="2"/>
                <w:sz w:val="21"/>
                <w:szCs w:val="21"/>
                <w:lang w:eastAsia="zh-CN"/>
              </w:rPr>
              <w:t>。</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kern w:val="2"/>
                <w:sz w:val="21"/>
                <w:szCs w:val="21"/>
                <w:lang w:eastAsia="zh-CN"/>
              </w:rPr>
              <w:t>3</w:t>
            </w:r>
          </w:p>
        </w:tc>
        <w:tc>
          <w:tcPr>
            <w:tcW w:w="2064"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项目重点难点分析、应对措施及相关的合理化建议</w:t>
            </w:r>
          </w:p>
        </w:tc>
        <w:tc>
          <w:tcPr>
            <w:tcW w:w="967"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054" w:type="dxa"/>
            <w:vAlign w:val="center"/>
          </w:tcPr>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（一）评分内容：</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提供：</w:t>
            </w:r>
            <w:r>
              <w:rPr>
                <w:rFonts w:ascii="宋体" w:eastAsia="宋体" w:hAnsi="宋体" w:cs="宋体"/>
                <w:kern w:val="2"/>
                <w:sz w:val="21"/>
                <w:szCs w:val="21"/>
                <w:lang w:eastAsia="zh-CN"/>
              </w:rPr>
              <w:t>(1)</w:t>
            </w:r>
            <w:r>
              <w:rPr>
                <w:rFonts w:ascii="宋体" w:eastAsia="宋体" w:hAnsi="宋体" w:cs="宋体" w:hint="eastAsia"/>
                <w:kern w:val="2"/>
                <w:sz w:val="21"/>
                <w:szCs w:val="21"/>
                <w:lang w:eastAsia="zh-CN"/>
              </w:rPr>
              <w:t>符合本项目服务特点的相关重点难点分析；</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2</w:t>
            </w:r>
            <w:r>
              <w:rPr>
                <w:rFonts w:ascii="宋体" w:eastAsia="宋体" w:hAnsi="宋体" w:cs="宋体"/>
                <w:kern w:val="2"/>
                <w:sz w:val="21"/>
                <w:szCs w:val="21"/>
                <w:lang w:eastAsia="zh-CN"/>
              </w:rPr>
              <w:t>)</w:t>
            </w:r>
            <w:r>
              <w:rPr>
                <w:rFonts w:ascii="宋体" w:eastAsia="宋体" w:hAnsi="宋体" w:cs="宋体" w:hint="eastAsia"/>
                <w:kern w:val="2"/>
                <w:sz w:val="21"/>
                <w:szCs w:val="21"/>
                <w:lang w:eastAsia="zh-CN"/>
              </w:rPr>
              <w:t>应对措施及相关的合理化建议。</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（二）评分依据：</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eastAsia="宋体"/>
                <w:kern w:val="2"/>
                <w:sz w:val="21"/>
                <w:lang w:eastAsia="zh-CN"/>
              </w:rPr>
            </w:pPr>
            <w:r>
              <w:rPr>
                <w:rFonts w:ascii="宋体" w:eastAsia="宋体" w:hAnsi="宋体" w:cs="宋体" w:hint="eastAsia"/>
                <w:kern w:val="2"/>
                <w:sz w:val="21"/>
                <w:szCs w:val="21"/>
                <w:lang w:eastAsia="zh-CN"/>
              </w:rPr>
              <w:t>1.提供完整得50</w:t>
            </w:r>
            <w:r>
              <w:rPr>
                <w:rFonts w:ascii="宋体" w:eastAsia="宋体" w:hAnsi="宋体" w:cs="宋体"/>
                <w:kern w:val="2"/>
                <w:sz w:val="21"/>
                <w:szCs w:val="21"/>
                <w:lang w:eastAsia="zh-CN"/>
              </w:rPr>
              <w:t>分，每少一项扣</w:t>
            </w:r>
            <w:r>
              <w:rPr>
                <w:rFonts w:ascii="宋体" w:eastAsia="宋体" w:hAnsi="宋体" w:cs="宋体" w:hint="eastAsia"/>
                <w:kern w:val="2"/>
                <w:sz w:val="21"/>
                <w:szCs w:val="21"/>
                <w:lang w:eastAsia="zh-CN"/>
              </w:rPr>
              <w:t>25</w:t>
            </w:r>
            <w:r>
              <w:rPr>
                <w:rFonts w:ascii="宋体" w:eastAsia="宋体" w:hAnsi="宋体" w:cs="宋体"/>
                <w:kern w:val="2"/>
                <w:sz w:val="21"/>
                <w:szCs w:val="21"/>
                <w:lang w:eastAsia="zh-CN"/>
              </w:rPr>
              <w:t>分，扣完为止。未提供不得分。</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 在此基础上，由评审委员进行评价：</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（1）方案整体科学合理、针对性强、可操作性强，评审为优，得50分； </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（2）方案整体科学合理、针对性强、一定可操作性，评审为良，得30分； </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（3）方案较合理、针对性强、可操作性一般，评审为中，得10分；</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（4）方案不合理、无针对性、无可操作性，评审为差，不得分。</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 以上两项累计得分，最高得</w:t>
            </w:r>
            <w:r>
              <w:rPr>
                <w:rFonts w:ascii="宋体" w:eastAsia="宋体" w:hAnsi="宋体" w:cs="宋体" w:hint="eastAsia"/>
                <w:b/>
                <w:bCs/>
                <w:kern w:val="2"/>
                <w:sz w:val="21"/>
                <w:szCs w:val="21"/>
                <w:lang w:eastAsia="zh-CN"/>
              </w:rPr>
              <w:t>100分</w:t>
            </w:r>
            <w:r>
              <w:rPr>
                <w:rFonts w:ascii="宋体" w:eastAsia="宋体" w:hAnsi="宋体" w:cs="宋体" w:hint="eastAsia"/>
                <w:kern w:val="2"/>
                <w:sz w:val="21"/>
                <w:szCs w:val="21"/>
                <w:lang w:eastAsia="zh-CN"/>
              </w:rPr>
              <w:t>。</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4</w:t>
            </w:r>
          </w:p>
        </w:tc>
        <w:tc>
          <w:tcPr>
            <w:tcW w:w="2064"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bookmarkStart w:id="9" w:name="OLE_LINK12"/>
            <w:r>
              <w:rPr>
                <w:rFonts w:ascii="宋体" w:eastAsia="宋体" w:hAnsi="宋体" w:cs="宋体" w:hint="eastAsia"/>
                <w:kern w:val="2"/>
                <w:sz w:val="21"/>
                <w:szCs w:val="21"/>
                <w:lang w:eastAsia="zh-CN"/>
              </w:rPr>
              <w:t>承诺及应急响应能力</w:t>
            </w:r>
            <w:bookmarkEnd w:id="9"/>
          </w:p>
        </w:tc>
        <w:tc>
          <w:tcPr>
            <w:tcW w:w="967"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tc>
        <w:tc>
          <w:tcPr>
            <w:tcW w:w="4054" w:type="dxa"/>
          </w:tcPr>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（一）评分内容：</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1、投标人承诺按采购人的要求配置服务团队，提供承诺函（格式自拟），得50分；</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2、投标人承诺根据采购人的应急需要，承诺应急响应及时驰援，提供承诺函（格式自拟），根据承诺具体内容进行评分：</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（1）承诺1小时（含）内响应并到达本项目所在地的，得50分；</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（2）承诺1小时（不含）-2小时（含）内响应并到达本项目所在地的，得25分；</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（3）其余情况不得分。</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 以上两项累计得分，最高得</w:t>
            </w:r>
            <w:r>
              <w:rPr>
                <w:rFonts w:ascii="宋体" w:eastAsia="宋体" w:hAnsi="宋体" w:cs="宋体" w:hint="eastAsia"/>
                <w:b/>
                <w:bCs/>
                <w:kern w:val="2"/>
                <w:sz w:val="21"/>
                <w:szCs w:val="21"/>
                <w:lang w:eastAsia="zh-CN"/>
              </w:rPr>
              <w:t>100分</w:t>
            </w:r>
            <w:r>
              <w:rPr>
                <w:rFonts w:ascii="宋体" w:eastAsia="宋体" w:hAnsi="宋体" w:cs="宋体" w:hint="eastAsia"/>
                <w:kern w:val="2"/>
                <w:sz w:val="21"/>
                <w:szCs w:val="21"/>
                <w:lang w:eastAsia="zh-CN"/>
              </w:rPr>
              <w:t>。</w:t>
            </w:r>
          </w:p>
          <w:p>
            <w:pPr>
              <w:keepNext w:val="0"/>
              <w:keepLines w:val="0"/>
              <w:pageBreakBefore w:val="0"/>
              <w:widowControl w:val="0"/>
              <w:tabs>
                <w:tab w:val="left" w:pos="426"/>
              </w:tabs>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（二）评分依据：</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eastAsia="宋体" w:hAnsi="宋体" w:cs="宋体" w:hint="eastAsia"/>
                <w:kern w:val="2"/>
                <w:sz w:val="21"/>
                <w:szCs w:val="21"/>
                <w:lang w:eastAsia="zh-CN"/>
              </w:rPr>
            </w:pPr>
            <w:r>
              <w:rPr>
                <w:rFonts w:ascii="宋体" w:eastAsia="宋体" w:hAnsi="宋体" w:cs="宋体" w:hint="eastAsia"/>
                <w:kern w:val="2"/>
                <w:sz w:val="21"/>
                <w:szCs w:val="21"/>
                <w:lang w:eastAsia="zh-CN"/>
              </w:rPr>
              <w:t>第1、2点要求投标人须提供承诺函（承诺函格式自拟），承诺不全或未提供的不得分。</w:t>
            </w:r>
            <w:r>
              <w:rPr>
                <w:rFonts w:eastAsia="宋体" w:hint="eastAsia"/>
                <w:bCs/>
                <w:kern w:val="2"/>
                <w:sz w:val="21"/>
                <w:szCs w:val="21"/>
                <w:lang w:eastAsia="zh-CN"/>
              </w:rPr>
              <w:t>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rHeight w:val="2086"/>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5</w:t>
            </w:r>
          </w:p>
        </w:tc>
        <w:tc>
          <w:tcPr>
            <w:tcW w:w="2064"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拟安排的项目经理</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（仅限一人）</w:t>
            </w:r>
          </w:p>
        </w:tc>
        <w:tc>
          <w:tcPr>
            <w:tcW w:w="967"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kern w:val="2"/>
                <w:sz w:val="21"/>
                <w:szCs w:val="21"/>
                <w:lang w:eastAsia="zh-CN"/>
              </w:rPr>
            </w:pPr>
            <w:r>
              <w:rPr>
                <w:rFonts w:ascii="宋体" w:eastAsia="宋体" w:hAnsi="宋体" w:hint="eastAsia"/>
                <w:kern w:val="2"/>
                <w:sz w:val="21"/>
                <w:szCs w:val="21"/>
                <w:lang w:eastAsia="zh-CN"/>
              </w:rPr>
              <w:t>10</w:t>
            </w:r>
          </w:p>
        </w:tc>
        <w:tc>
          <w:tcPr>
            <w:tcW w:w="4054" w:type="dxa"/>
          </w:tcPr>
          <w:p>
            <w:pPr>
              <w:keepNext w:val="0"/>
              <w:keepLines w:val="0"/>
              <w:pageBreakBefore w:val="0"/>
              <w:widowControl w:val="0"/>
              <w:numPr>
                <w:ilvl w:val="0"/>
                <w:numId w:val="1"/>
              </w:numPr>
              <w:tabs>
                <w:tab w:val="left" w:pos="426"/>
              </w:tabs>
              <w:kinsoku/>
              <w:overflowPunct/>
              <w:topLinePunct w:val="0"/>
              <w:autoSpaceDE/>
              <w:autoSpaceDN/>
              <w:bidi w:val="0"/>
              <w:adjustRightInd/>
              <w:snapToGrid/>
              <w:spacing w:line="320" w:lineRule="exact"/>
              <w:jc w:val="left"/>
              <w:textAlignment w:val="auto"/>
              <w:rPr>
                <w:rFonts w:eastAsia="宋体" w:hAnsi="宋体" w:cs="宋体" w:hint="eastAsia"/>
                <w:kern w:val="2"/>
                <w:sz w:val="21"/>
                <w:szCs w:val="21"/>
                <w:lang w:eastAsia="zh-CN"/>
              </w:rPr>
            </w:pPr>
            <w:r>
              <w:rPr>
                <w:rFonts w:eastAsia="宋体" w:hAnsi="宋体" w:cs="宋体" w:hint="eastAsia"/>
                <w:kern w:val="2"/>
                <w:sz w:val="21"/>
                <w:szCs w:val="21"/>
                <w:lang w:eastAsia="zh-CN"/>
              </w:rPr>
              <w:t>评分内容：拟安排项目经理（仅限一人）为投标单位员工（以社保为准），否则本项不得分。在此基础上：</w:t>
            </w:r>
          </w:p>
          <w:p>
            <w:pPr>
              <w:keepNext w:val="0"/>
              <w:keepLines w:val="0"/>
              <w:pageBreakBefore w:val="0"/>
              <w:widowControl w:val="0"/>
              <w:numPr>
                <w:numId w:val="0"/>
              </w:numPr>
              <w:tabs>
                <w:tab w:val="left" w:pos="426"/>
              </w:tabs>
              <w:kinsoku/>
              <w:overflowPunct/>
              <w:topLinePunct w:val="0"/>
              <w:autoSpaceDE/>
              <w:autoSpaceDN/>
              <w:bidi w:val="0"/>
              <w:adjustRightInd/>
              <w:snapToGrid/>
              <w:spacing w:line="320" w:lineRule="exact"/>
              <w:ind w:left="0" w:firstLine="0"/>
              <w:jc w:val="left"/>
              <w:textAlignment w:val="auto"/>
              <w:rPr>
                <w:rFonts w:eastAsia="宋体" w:hAnsi="宋体" w:cs="宋体" w:hint="eastAsia"/>
                <w:kern w:val="2"/>
                <w:sz w:val="21"/>
                <w:szCs w:val="21"/>
                <w:lang w:eastAsia="zh-CN"/>
              </w:rPr>
            </w:pPr>
            <w:r>
              <w:rPr>
                <w:rFonts w:eastAsia="宋体" w:hAnsi="宋体" w:cs="宋体" w:hint="eastAsia"/>
                <w:kern w:val="2"/>
                <w:sz w:val="21"/>
                <w:szCs w:val="21"/>
                <w:lang w:eastAsia="zh-CN"/>
              </w:rPr>
              <w:t>1.</w:t>
            </w:r>
            <w:r>
              <w:rPr>
                <w:rFonts w:eastAsia="宋体" w:hAnsi="宋体" w:cs="宋体" w:hint="eastAsia"/>
                <w:kern w:val="2"/>
                <w:sz w:val="21"/>
                <w:szCs w:val="21"/>
                <w:lang w:eastAsia="zh-CN"/>
              </w:rPr>
              <w:t>具有食品类专业本科（或以上）学历，得30分；</w:t>
            </w:r>
          </w:p>
          <w:p>
            <w:pPr>
              <w:keepNext w:val="0"/>
              <w:keepLines w:val="0"/>
              <w:pageBreakBefore w:val="0"/>
              <w:widowControl w:val="0"/>
              <w:numPr>
                <w:numId w:val="0"/>
              </w:numPr>
              <w:tabs>
                <w:tab w:val="left" w:pos="426"/>
              </w:tabs>
              <w:kinsoku/>
              <w:overflowPunct/>
              <w:topLinePunct w:val="0"/>
              <w:autoSpaceDE/>
              <w:autoSpaceDN/>
              <w:bidi w:val="0"/>
              <w:adjustRightInd/>
              <w:snapToGrid/>
              <w:spacing w:line="320" w:lineRule="exact"/>
              <w:ind w:left="0" w:firstLine="0" w:leftChars="0"/>
              <w:jc w:val="left"/>
              <w:textAlignment w:val="auto"/>
              <w:rPr>
                <w:rFonts w:eastAsia="宋体" w:hAnsi="宋体" w:cs="宋体" w:hint="eastAsia"/>
                <w:kern w:val="2"/>
                <w:sz w:val="21"/>
                <w:szCs w:val="21"/>
                <w:lang w:eastAsia="zh-CN"/>
              </w:rPr>
            </w:pPr>
            <w:r>
              <w:rPr>
                <w:rFonts w:eastAsia="宋体" w:hAnsi="宋体" w:cs="宋体" w:hint="eastAsia"/>
                <w:kern w:val="2"/>
                <w:sz w:val="21"/>
                <w:szCs w:val="21"/>
                <w:lang w:eastAsia="zh-CN"/>
              </w:rPr>
              <w:t>2.</w:t>
            </w:r>
            <w:r>
              <w:rPr>
                <w:rFonts w:eastAsia="宋体" w:hAnsi="宋体" w:cs="宋体" w:hint="eastAsia"/>
                <w:kern w:val="2"/>
                <w:sz w:val="21"/>
                <w:szCs w:val="21"/>
                <w:lang w:eastAsia="zh-CN"/>
              </w:rPr>
              <w:t>具有中式烹调师一级（高级技师）证书，得</w:t>
            </w:r>
            <w:r>
              <w:rPr>
                <w:rFonts w:eastAsia="宋体" w:hAnsi="宋体" w:cs="宋体" w:hint="eastAsia"/>
                <w:kern w:val="2"/>
                <w:sz w:val="21"/>
                <w:szCs w:val="21"/>
                <w:lang w:eastAsia="zh-CN"/>
              </w:rPr>
              <w:t>30</w:t>
            </w:r>
            <w:r>
              <w:rPr>
                <w:rFonts w:eastAsia="宋体" w:hAnsi="宋体" w:cs="宋体" w:hint="eastAsia"/>
                <w:kern w:val="2"/>
                <w:sz w:val="21"/>
                <w:szCs w:val="21"/>
                <w:lang w:eastAsia="zh-CN"/>
              </w:rPr>
              <w:t>分；</w:t>
            </w:r>
          </w:p>
          <w:p>
            <w:pPr>
              <w:keepNext w:val="0"/>
              <w:keepLines w:val="0"/>
              <w:pageBreakBefore w:val="0"/>
              <w:widowControl w:val="0"/>
              <w:numPr>
                <w:numId w:val="0"/>
              </w:numPr>
              <w:tabs>
                <w:tab w:val="left" w:pos="426"/>
              </w:tabs>
              <w:kinsoku/>
              <w:overflowPunct/>
              <w:topLinePunct w:val="0"/>
              <w:autoSpaceDE/>
              <w:autoSpaceDN/>
              <w:bidi w:val="0"/>
              <w:adjustRightInd/>
              <w:snapToGrid/>
              <w:spacing w:line="320" w:lineRule="exact"/>
              <w:ind w:left="0" w:firstLine="0" w:leftChars="0"/>
              <w:jc w:val="left"/>
              <w:textAlignment w:val="auto"/>
              <w:rPr>
                <w:rFonts w:eastAsia="宋体" w:hAnsi="宋体" w:cs="宋体" w:hint="eastAsia"/>
                <w:kern w:val="2"/>
                <w:sz w:val="21"/>
                <w:szCs w:val="21"/>
                <w:lang w:eastAsia="zh-CN"/>
              </w:rPr>
            </w:pPr>
            <w:r>
              <w:rPr>
                <w:rFonts w:eastAsia="宋体" w:hAnsi="宋体" w:cs="宋体" w:hint="eastAsia"/>
                <w:kern w:val="2"/>
                <w:sz w:val="21"/>
                <w:szCs w:val="21"/>
                <w:lang w:eastAsia="zh-CN"/>
              </w:rPr>
              <w:t>3</w:t>
            </w:r>
            <w:r>
              <w:rPr>
                <w:rFonts w:eastAsia="宋体" w:hAnsi="宋体" w:cs="宋体" w:hint="eastAsia"/>
                <w:kern w:val="2"/>
                <w:sz w:val="21"/>
                <w:szCs w:val="21"/>
                <w:lang w:eastAsia="zh-CN"/>
              </w:rPr>
              <w:t>.具有餐饮服务经验累计15年或以上的，得</w:t>
            </w:r>
            <w:r>
              <w:rPr>
                <w:rFonts w:eastAsia="宋体" w:hAnsi="宋体" w:cs="宋体" w:hint="eastAsia"/>
                <w:kern w:val="2"/>
                <w:sz w:val="21"/>
                <w:szCs w:val="21"/>
                <w:lang w:eastAsia="zh-CN"/>
              </w:rPr>
              <w:t>40</w:t>
            </w:r>
            <w:r>
              <w:rPr>
                <w:rFonts w:eastAsia="宋体" w:hAnsi="宋体" w:cs="宋体" w:hint="eastAsia"/>
                <w:kern w:val="2"/>
                <w:sz w:val="21"/>
                <w:szCs w:val="21"/>
                <w:lang w:eastAsia="zh-CN"/>
              </w:rPr>
              <w:t>分；具有餐饮服务项目经验累计5（不含）-15（不含）年的，得</w:t>
            </w:r>
            <w:r>
              <w:rPr>
                <w:rFonts w:eastAsia="宋体" w:hAnsi="宋体" w:cs="宋体" w:hint="eastAsia"/>
                <w:kern w:val="2"/>
                <w:sz w:val="21"/>
                <w:szCs w:val="21"/>
                <w:lang w:eastAsia="zh-CN"/>
              </w:rPr>
              <w:t>20</w:t>
            </w:r>
            <w:r>
              <w:rPr>
                <w:rFonts w:eastAsia="宋体" w:hAnsi="宋体" w:cs="宋体" w:hint="eastAsia"/>
                <w:kern w:val="2"/>
                <w:sz w:val="21"/>
                <w:szCs w:val="21"/>
                <w:lang w:eastAsia="zh-CN"/>
              </w:rPr>
              <w:t>分；具有餐饮服务项目经验累计5年或以下的，得</w:t>
            </w:r>
            <w:r>
              <w:rPr>
                <w:rFonts w:eastAsia="宋体" w:hAnsi="宋体" w:cs="宋体" w:hint="eastAsia"/>
                <w:kern w:val="2"/>
                <w:sz w:val="21"/>
                <w:szCs w:val="21"/>
                <w:lang w:eastAsia="zh-CN"/>
              </w:rPr>
              <w:t>5</w:t>
            </w:r>
            <w:r>
              <w:rPr>
                <w:rFonts w:eastAsia="宋体" w:hAnsi="宋体" w:cs="宋体" w:hint="eastAsia"/>
                <w:kern w:val="2"/>
                <w:sz w:val="21"/>
                <w:szCs w:val="21"/>
                <w:lang w:eastAsia="zh-CN"/>
              </w:rPr>
              <w:t>分。</w:t>
            </w:r>
          </w:p>
          <w:p>
            <w:pPr>
              <w:keepNext w:val="0"/>
              <w:keepLines w:val="0"/>
              <w:pageBreakBefore w:val="0"/>
              <w:widowControl w:val="0"/>
              <w:numPr>
                <w:numId w:val="0"/>
              </w:numPr>
              <w:tabs>
                <w:tab w:val="left" w:pos="426"/>
              </w:tabs>
              <w:kinsoku/>
              <w:overflowPunct/>
              <w:topLinePunct w:val="0"/>
              <w:autoSpaceDE/>
              <w:autoSpaceDN/>
              <w:bidi w:val="0"/>
              <w:adjustRightInd/>
              <w:snapToGrid/>
              <w:spacing w:line="320" w:lineRule="exact"/>
              <w:ind w:left="0" w:firstLine="0" w:leftChars="0"/>
              <w:jc w:val="left"/>
              <w:textAlignment w:val="auto"/>
              <w:rPr>
                <w:rFonts w:eastAsia="宋体" w:hAnsi="宋体" w:cs="宋体" w:hint="eastAsia"/>
                <w:kern w:val="2"/>
                <w:sz w:val="21"/>
                <w:szCs w:val="21"/>
                <w:lang w:eastAsia="zh-CN"/>
              </w:rPr>
            </w:pPr>
            <w:r>
              <w:rPr>
                <w:rFonts w:eastAsia="宋体" w:hAnsi="宋体" w:cs="宋体" w:hint="eastAsia"/>
                <w:kern w:val="2"/>
                <w:sz w:val="21"/>
                <w:szCs w:val="21"/>
                <w:lang w:eastAsia="zh-CN"/>
              </w:rPr>
              <w:t>以上累计得分，最高得100分。</w:t>
            </w:r>
          </w:p>
          <w:p>
            <w:pPr>
              <w:keepNext w:val="0"/>
              <w:keepLines w:val="0"/>
              <w:pageBreakBefore w:val="0"/>
              <w:widowControl w:val="0"/>
              <w:numPr>
                <w:ilvl w:val="0"/>
                <w:numId w:val="0"/>
              </w:numPr>
              <w:tabs>
                <w:tab w:val="left" w:pos="426"/>
              </w:tabs>
              <w:kinsoku/>
              <w:overflowPunct/>
              <w:topLinePunct w:val="0"/>
              <w:autoSpaceDE/>
              <w:autoSpaceDN/>
              <w:bidi w:val="0"/>
              <w:adjustRightInd/>
              <w:snapToGrid/>
              <w:spacing w:line="320" w:lineRule="exact"/>
              <w:ind w:left="0" w:firstLine="0" w:leftChars="0" w:firstLineChars="0"/>
              <w:jc w:val="left"/>
              <w:textAlignment w:val="auto"/>
              <w:rPr>
                <w:rFonts w:eastAsia="宋体" w:hAnsi="宋体" w:cs="宋体" w:hint="eastAsia"/>
                <w:kern w:val="2"/>
                <w:sz w:val="21"/>
                <w:szCs w:val="21"/>
                <w:lang w:eastAsia="zh-CN"/>
              </w:rPr>
            </w:pPr>
            <w:r>
              <w:rPr>
                <w:rFonts w:eastAsia="宋体" w:hAnsi="宋体" w:cs="宋体" w:hint="eastAsia"/>
                <w:kern w:val="2"/>
                <w:sz w:val="21"/>
                <w:szCs w:val="21"/>
                <w:lang w:eastAsia="zh-CN"/>
              </w:rPr>
              <w:t>（</w:t>
            </w:r>
            <w:r>
              <w:rPr>
                <w:rFonts w:eastAsia="宋体" w:hAnsi="宋体" w:cs="宋体" w:hint="eastAsia"/>
                <w:kern w:val="2"/>
                <w:sz w:val="21"/>
                <w:szCs w:val="21"/>
                <w:lang w:eastAsia="zh-CN"/>
              </w:rPr>
              <w:t>二</w:t>
            </w:r>
            <w:r>
              <w:rPr>
                <w:rFonts w:eastAsia="宋体" w:hAnsi="宋体" w:cs="宋体" w:hint="eastAsia"/>
                <w:kern w:val="2"/>
                <w:sz w:val="21"/>
                <w:szCs w:val="21"/>
                <w:lang w:eastAsia="zh-CN"/>
              </w:rPr>
              <w:t>）</w:t>
            </w:r>
            <w:r>
              <w:rPr>
                <w:rFonts w:eastAsia="宋体" w:hAnsi="宋体" w:cs="宋体" w:hint="eastAsia"/>
                <w:kern w:val="2"/>
                <w:sz w:val="21"/>
                <w:szCs w:val="21"/>
                <w:lang w:eastAsia="zh-CN"/>
              </w:rPr>
              <w:t>评分依据：</w:t>
            </w:r>
          </w:p>
          <w:p>
            <w:pPr>
              <w:keepNext w:val="0"/>
              <w:keepLines w:val="0"/>
              <w:pageBreakBefore w:val="0"/>
              <w:widowControl w:val="0"/>
              <w:numPr>
                <w:ilvl w:val="0"/>
                <w:numId w:val="2"/>
              </w:numPr>
              <w:tabs>
                <w:tab w:val="clear" w:pos="312"/>
                <w:tab w:val="left" w:pos="426"/>
              </w:tabs>
              <w:kinsoku/>
              <w:overflowPunct/>
              <w:topLinePunct w:val="0"/>
              <w:autoSpaceDE/>
              <w:autoSpaceDN/>
              <w:bidi w:val="0"/>
              <w:adjustRightInd/>
              <w:snapToGrid/>
              <w:spacing w:line="320" w:lineRule="exact"/>
              <w:ind w:leftChars="0"/>
              <w:jc w:val="left"/>
              <w:textAlignment w:val="auto"/>
              <w:rPr>
                <w:rFonts w:eastAsia="宋体" w:hAnsi="宋体" w:cs="宋体" w:hint="eastAsia"/>
                <w:kern w:val="2"/>
                <w:sz w:val="21"/>
                <w:szCs w:val="21"/>
                <w:lang w:eastAsia="zh-CN"/>
              </w:rPr>
            </w:pPr>
            <w:r>
              <w:rPr>
                <w:rFonts w:eastAsia="宋体" w:hAnsi="宋体" w:cs="宋体" w:hint="eastAsia"/>
                <w:kern w:val="2"/>
                <w:sz w:val="21"/>
                <w:szCs w:val="21"/>
                <w:lang w:eastAsia="zh-CN"/>
              </w:rPr>
              <w:t>通过投标人缴纳的近三个月（含开标当月）的任意一个月的社保证明作为本单位员工的证明依据，如供应商成立不足一个月或员工入职不足一个月的，提供情况说明函（格式自拟），无需提供相关人员社保，亦可得分。</w:t>
            </w:r>
          </w:p>
          <w:p>
            <w:pPr>
              <w:keepNext w:val="0"/>
              <w:keepLines w:val="0"/>
              <w:pageBreakBefore w:val="0"/>
              <w:widowControl w:val="0"/>
              <w:numPr>
                <w:ilvl w:val="0"/>
                <w:numId w:val="2"/>
              </w:numPr>
              <w:tabs>
                <w:tab w:val="clear" w:pos="312"/>
                <w:tab w:val="left" w:pos="426"/>
              </w:tabs>
              <w:kinsoku/>
              <w:overflowPunct/>
              <w:topLinePunct w:val="0"/>
              <w:autoSpaceDE/>
              <w:autoSpaceDN/>
              <w:bidi w:val="0"/>
              <w:adjustRightInd/>
              <w:snapToGrid/>
              <w:spacing w:line="320" w:lineRule="exact"/>
              <w:ind w:left="0" w:firstLine="0" w:leftChars="0" w:firstLineChars="0"/>
              <w:jc w:val="left"/>
              <w:textAlignment w:val="auto"/>
              <w:rPr>
                <w:rFonts w:eastAsia="宋体" w:hAnsi="宋体" w:cs="宋体" w:hint="eastAsia"/>
                <w:kern w:val="2"/>
                <w:sz w:val="21"/>
                <w:szCs w:val="21"/>
                <w:lang w:eastAsia="zh-CN"/>
              </w:rPr>
            </w:pPr>
            <w:r>
              <w:rPr>
                <w:rFonts w:eastAsia="宋体" w:hAnsi="宋体" w:cs="宋体" w:hint="eastAsia"/>
                <w:kern w:val="2"/>
                <w:sz w:val="21"/>
                <w:szCs w:val="21"/>
                <w:lang w:eastAsia="zh-CN"/>
              </w:rPr>
              <w:t>服务经验证明需提供承诺函（格式自拟）作为得分依据。</w:t>
            </w:r>
          </w:p>
          <w:p>
            <w:pPr>
              <w:keepNext w:val="0"/>
              <w:keepLines w:val="0"/>
              <w:pageBreakBefore w:val="0"/>
              <w:widowControl w:val="0"/>
              <w:numPr>
                <w:ilvl w:val="0"/>
                <w:numId w:val="2"/>
              </w:numPr>
              <w:tabs>
                <w:tab w:val="clear" w:pos="312"/>
                <w:tab w:val="left" w:pos="426"/>
              </w:tabs>
              <w:kinsoku/>
              <w:overflowPunct/>
              <w:topLinePunct w:val="0"/>
              <w:autoSpaceDE/>
              <w:autoSpaceDN/>
              <w:bidi w:val="0"/>
              <w:adjustRightInd/>
              <w:snapToGrid/>
              <w:spacing w:line="320" w:lineRule="exact"/>
              <w:ind w:left="0" w:firstLine="0" w:leftChars="0" w:firstLineChars="0"/>
              <w:jc w:val="left"/>
              <w:textAlignment w:val="auto"/>
              <w:rPr>
                <w:rFonts w:eastAsia="宋体" w:hAnsi="宋体" w:cs="宋体" w:hint="eastAsia"/>
                <w:kern w:val="2"/>
                <w:sz w:val="21"/>
                <w:szCs w:val="21"/>
                <w:lang w:eastAsia="zh-CN"/>
              </w:rPr>
            </w:pPr>
            <w:r>
              <w:rPr>
                <w:rFonts w:eastAsia="宋体" w:hAnsi="宋体" w:cs="宋体" w:hint="eastAsia"/>
                <w:kern w:val="2"/>
                <w:sz w:val="21"/>
                <w:szCs w:val="21"/>
                <w:lang w:eastAsia="zh-CN"/>
              </w:rPr>
              <w:t>以上资料均要求提供扫描件。评分中出现无证明资料或专家无法凭所提供资料判断是否得分的情况，一律作不得分处理。4.学历要求需提供相关学历证书和学信网查询截图，学信网无法查询的，可提供其他佐证材料：如毕业院校、人社部门等颁发机构、监管机构或市级人才交流服务中心等单位出具的证明；留学归国人员如无法提供学信网查询记录截图，提供国（境）外学历证书扫描件（以及中文翻译件）和教育部留学服务中心出具的国外学历认证书扫描件【或教育部留学服务中心网站（http://zwfw.cscse.edu.cn/）在线查询截图】也予以认可。</w:t>
            </w:r>
          </w:p>
          <w:p>
            <w:pPr>
              <w:keepNext w:val="0"/>
              <w:keepLines w:val="0"/>
              <w:pageBreakBefore w:val="0"/>
              <w:widowControl w:val="0"/>
              <w:numPr>
                <w:ilvl w:val="0"/>
                <w:numId w:val="0"/>
              </w:numPr>
              <w:tabs>
                <w:tab w:val="left" w:pos="426"/>
              </w:tabs>
              <w:kinsoku/>
              <w:overflowPunct/>
              <w:topLinePunct w:val="0"/>
              <w:autoSpaceDE/>
              <w:autoSpaceDN/>
              <w:bidi w:val="0"/>
              <w:adjustRightInd/>
              <w:snapToGrid/>
              <w:spacing w:line="320" w:lineRule="exact"/>
              <w:ind w:left="0" w:firstLine="0" w:leftChars="0"/>
              <w:jc w:val="left"/>
              <w:textAlignment w:val="auto"/>
              <w:rPr>
                <w:rFonts w:eastAsia="宋体" w:hAnsi="宋体" w:cs="宋体" w:hint="eastAsia"/>
                <w:kern w:val="2"/>
                <w:sz w:val="21"/>
                <w:szCs w:val="21"/>
                <w:lang w:eastAsia="zh-CN"/>
              </w:rPr>
            </w:pPr>
            <w:r>
              <w:rPr>
                <w:rFonts w:eastAsia="宋体" w:hAnsi="宋体" w:cs="宋体" w:hint="eastAsia"/>
                <w:kern w:val="2"/>
                <w:sz w:val="21"/>
                <w:szCs w:val="21"/>
                <w:lang w:eastAsia="zh-CN"/>
              </w:rPr>
              <w:t>5.国家职业资格证书需提供技能人才评价证书全国联网查询（http://zscx.osta.org.cn）信息截图；如已获得职业资格证书或职业技能等级证书，但尚未能在技能人才评价证书全国联网查系统(http://zscx.osta.org.cn/)查询的，需同时提供发证机构开具加盖公章的证明文件以及该发证机构在人社部备案的查询截图。</w:t>
            </w:r>
          </w:p>
          <w:p>
            <w:pPr>
              <w:keepNext w:val="0"/>
              <w:keepLines w:val="0"/>
              <w:pageBreakBefore w:val="0"/>
              <w:widowControl w:val="0"/>
              <w:tabs>
                <w:tab w:val="left" w:pos="426"/>
              </w:tabs>
              <w:kinsoku/>
              <w:overflowPunct/>
              <w:topLinePunct w:val="0"/>
              <w:autoSpaceDE/>
              <w:autoSpaceDN/>
              <w:bidi w:val="0"/>
              <w:adjustRightInd/>
              <w:snapToGrid/>
              <w:spacing w:line="320" w:lineRule="exact"/>
              <w:jc w:val="left"/>
              <w:textAlignment w:val="auto"/>
              <w:rPr>
                <w:rFonts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kern w:val="2"/>
                <w:sz w:val="21"/>
                <w:szCs w:val="21"/>
                <w:lang w:eastAsia="zh-CN"/>
              </w:rPr>
              <w:t>6</w:t>
            </w:r>
          </w:p>
        </w:tc>
        <w:tc>
          <w:tcPr>
            <w:tcW w:w="2064"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技术团队（项目经理除外）</w:t>
            </w:r>
          </w:p>
        </w:tc>
        <w:tc>
          <w:tcPr>
            <w:tcW w:w="967"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kern w:val="2"/>
                <w:sz w:val="21"/>
                <w:szCs w:val="21"/>
                <w:lang w:eastAsia="zh-CN"/>
              </w:rPr>
            </w:pPr>
            <w:r>
              <w:rPr>
                <w:rFonts w:ascii="宋体" w:eastAsia="宋体" w:hAnsi="宋体" w:cs="宋体" w:hint="eastAsia"/>
                <w:kern w:val="2"/>
                <w:sz w:val="21"/>
                <w:szCs w:val="21"/>
                <w:lang w:eastAsia="zh-CN"/>
              </w:rPr>
              <w:t>20</w:t>
            </w:r>
          </w:p>
        </w:tc>
        <w:tc>
          <w:tcPr>
            <w:tcW w:w="4054" w:type="dxa"/>
          </w:tcPr>
          <w:p>
            <w:pPr>
              <w:keepNext w:val="0"/>
              <w:keepLines w:val="0"/>
              <w:pageBreakBefore w:val="0"/>
              <w:widowControl w:val="0"/>
              <w:numPr>
                <w:ilvl w:val="0"/>
                <w:numId w:val="3"/>
              </w:numPr>
              <w:kinsoku/>
              <w:wordWrap w:val="0"/>
              <w:overflowPunct/>
              <w:topLinePunct w:val="0"/>
              <w:autoSpaceDE/>
              <w:autoSpaceDN/>
              <w:bidi w:val="0"/>
              <w:adjustRightInd/>
              <w:snapToGrid/>
              <w:spacing w:line="320" w:lineRule="exact"/>
              <w:ind w:left="0" w:firstLine="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评分内容：拟安排的技术团队（项目经理除外）为投标单位员工（以社保为准），否则本项不得分。</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ind w:left="0" w:firstLine="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拟派总厨/厨师长：（1）具有烹饪类大专（或以上）学历，得5分；（2）具有中式烹调师一级（高级技师）证书，得20分；（3）具有餐饮服务项目经验累计5年或以上的，得15分。本小项最高得40分。</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ind w:left="0" w:firstLine="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2.拟派厨师中具有中式烹调师一级（高级技师）证书的，每提供1个得15分，最高得30分。</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ind w:left="0" w:firstLine="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3.拟派面点师中具有中式面点师一级（高级技师）或以上证书的，每提供1个得10分，最高得20分。</w:t>
            </w:r>
          </w:p>
          <w:p>
            <w:pPr>
              <w:keepNext w:val="0"/>
              <w:keepLines w:val="0"/>
              <w:pageBreakBefore w:val="0"/>
              <w:widowControl w:val="0"/>
              <w:numPr>
                <w:numId w:val="0"/>
              </w:numPr>
              <w:kinsoku/>
              <w:wordWrap w:val="0"/>
              <w:overflowPunct/>
              <w:topLinePunct w:val="0"/>
              <w:autoSpaceDE/>
              <w:autoSpaceDN/>
              <w:bidi w:val="0"/>
              <w:adjustRightInd/>
              <w:snapToGrid/>
              <w:spacing w:line="320" w:lineRule="exact"/>
              <w:ind w:left="0" w:firstLine="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4.拟派食品安全员（兼）具有食品安全管理类证书或食品安全管理类培训考核合格证的，得10分。</w:t>
            </w:r>
          </w:p>
          <w:p>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0" w:firstLine="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以上4项累计得分，最高得60分，以上岗位人员不可重复计分。</w:t>
            </w:r>
          </w:p>
          <w:p>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0" w:firstLine="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w:t>
            </w:r>
            <w:r>
              <w:rPr>
                <w:rFonts w:ascii="宋体" w:eastAsia="宋体" w:hAnsi="宋体" w:cs="宋体" w:hint="eastAsia"/>
                <w:kern w:val="2"/>
                <w:sz w:val="21"/>
                <w:szCs w:val="21"/>
                <w:lang w:eastAsia="zh-CN"/>
              </w:rPr>
              <w:t>评分依据：</w:t>
            </w:r>
          </w:p>
          <w:p>
            <w:pPr>
              <w:keepNext w:val="0"/>
              <w:keepLines w:val="0"/>
              <w:pageBreakBefore w:val="0"/>
              <w:widowControl w:val="0"/>
              <w:numPr>
                <w:ilvl w:val="0"/>
                <w:numId w:val="4"/>
              </w:numPr>
              <w:tabs>
                <w:tab w:val="left" w:pos="312"/>
              </w:tabs>
              <w:kinsoku/>
              <w:wordWrap w:val="0"/>
              <w:overflowPunct/>
              <w:topLinePunct w:val="0"/>
              <w:autoSpaceDE/>
              <w:autoSpaceDN/>
              <w:bidi w:val="0"/>
              <w:adjustRightInd/>
              <w:snapToGrid/>
              <w:spacing w:line="320" w:lineRule="exact"/>
              <w:ind w:left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通过投标人缴纳的近三个月（含开标当月）的任意一个月的社保证明作为本单位员工的证明依据，如供应商成立不足一个月或员工入职不足一个月的，提供情况说明函（格式自拟），无需提供相关人员社保，亦可得分。</w:t>
            </w:r>
          </w:p>
          <w:p>
            <w:pPr>
              <w:keepNext w:val="0"/>
              <w:keepLines w:val="0"/>
              <w:pageBreakBefore w:val="0"/>
              <w:widowControl w:val="0"/>
              <w:numPr>
                <w:ilvl w:val="0"/>
                <w:numId w:val="4"/>
              </w:numPr>
              <w:tabs>
                <w:tab w:val="left" w:pos="312"/>
              </w:tabs>
              <w:kinsoku/>
              <w:wordWrap w:val="0"/>
              <w:overflowPunct/>
              <w:topLinePunct w:val="0"/>
              <w:autoSpaceDE/>
              <w:autoSpaceDN/>
              <w:bidi w:val="0"/>
              <w:adjustRightInd/>
              <w:snapToGrid/>
              <w:spacing w:line="320" w:lineRule="exact"/>
              <w:ind w:left="0" w:firstLine="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服务经验证明需提供承诺函（格式自拟）作为得分依据。</w:t>
            </w:r>
          </w:p>
          <w:p>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0" w:firstLine="0" w:left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以上资料均要求提供扫描件。评分中出现无证明资料或专家无法凭所提供资料判断是否得分的情况，一律作不得分处理。4.学历要求需提供相关学历证书和学信网查询截图，学信网无法查询的，可提供其他佐证材料：如毕业院校、人社部门等颁发机构、监管机构或市级人才交流服务中心等单位出具的证明；留学归国人员如无法提供学信网查询记录截图，提供国（境）外学历证书扫描件（以及中文翻译件）和教育部留学服务中心出具的国外学历认证书扫描件【或教育部留学服务中心网站（http://zwfw.cscse.edu.cn/）在线查询截图】也予以认可。5.国家职业资格证书需提供技能人才评价证书全国联网查询（http://zscx.osta.org.cn）信息截图；如已获得职业资格证书或职业技能等级证书，但尚未能在技能人才评价证书全国联网查系统(http://zscx.osta.org.cn/)查询的，需同时提供发证机构开具加盖公章的证明文件以及该发证机构在人社部备案的查询截图。</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restart"/>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color w:val="0000FF"/>
                <w:kern w:val="2"/>
                <w:lang w:eastAsia="zh-CN"/>
              </w:rPr>
            </w:pPr>
            <w:r>
              <w:rPr>
                <w:rFonts w:eastAsia="宋体"/>
                <w:b/>
                <w:bCs/>
                <w:color w:val="0000FF"/>
                <w:kern w:val="2"/>
                <w:sz w:val="21"/>
                <w:lang w:eastAsia="zh-CN"/>
              </w:rPr>
              <w:t>3</w:t>
            </w:r>
          </w:p>
        </w:tc>
        <w:tc>
          <w:tcPr>
            <w:tcW w:w="3702" w:type="dxa"/>
            <w:gridSpan w:val="3"/>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color w:val="0000FF"/>
                <w:kern w:val="2"/>
                <w:lang w:eastAsia="zh-CN"/>
              </w:rPr>
            </w:pPr>
            <w:r>
              <w:rPr>
                <w:rFonts w:eastAsia="宋体" w:hint="eastAsia"/>
                <w:b/>
                <w:bCs/>
                <w:color w:val="0000FF"/>
                <w:kern w:val="2"/>
                <w:sz w:val="21"/>
                <w:lang w:eastAsia="zh-CN"/>
              </w:rPr>
              <w:t>商务部分</w:t>
            </w:r>
          </w:p>
        </w:tc>
        <w:tc>
          <w:tcPr>
            <w:tcW w:w="4054" w:type="dxa"/>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b/>
                <w:bCs/>
                <w:color w:val="0000FF"/>
                <w:kern w:val="2"/>
                <w:lang w:eastAsia="zh-CN"/>
              </w:rPr>
            </w:pPr>
            <w:r>
              <w:rPr>
                <w:rFonts w:ascii="宋体" w:eastAsia="宋体" w:hAnsi="宋体" w:cs="宋体" w:hint="eastAsia"/>
                <w:b/>
                <w:bCs/>
                <w:kern w:val="2"/>
                <w:lang w:eastAsia="zh-CN"/>
              </w:rPr>
              <w:t>28</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7756" w:type="dxa"/>
            <w:gridSpan w:val="4"/>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shd w:val="clear" w:color="auto" w:fill="E6EFFA"/>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206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967"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05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kern w:val="2"/>
                <w:sz w:val="21"/>
                <w:szCs w:val="21"/>
                <w:lang w:eastAsia="zh-CN"/>
              </w:rPr>
              <w:t>1</w:t>
            </w:r>
          </w:p>
        </w:tc>
        <w:tc>
          <w:tcPr>
            <w:tcW w:w="2064"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同类业绩</w:t>
            </w:r>
          </w:p>
        </w:tc>
        <w:tc>
          <w:tcPr>
            <w:tcW w:w="967"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kern w:val="2"/>
                <w:sz w:val="21"/>
                <w:szCs w:val="21"/>
                <w:lang w:eastAsia="zh-CN"/>
              </w:rPr>
            </w:pPr>
            <w:r>
              <w:rPr>
                <w:rFonts w:ascii="宋体" w:eastAsia="宋体" w:hAnsi="宋体" w:cs="宋体" w:hint="eastAsia"/>
                <w:kern w:val="2"/>
                <w:sz w:val="21"/>
                <w:szCs w:val="21"/>
                <w:lang w:eastAsia="zh-CN"/>
              </w:rPr>
              <w:t>15</w:t>
            </w:r>
          </w:p>
        </w:tc>
        <w:tc>
          <w:tcPr>
            <w:tcW w:w="4054" w:type="dxa"/>
          </w:tcPr>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lang w:eastAsia="zh-CN"/>
              </w:rPr>
            </w:pPr>
            <w:r>
              <w:rPr>
                <w:rFonts w:eastAsia="宋体" w:hint="eastAsia"/>
                <w:kern w:val="2"/>
                <w:sz w:val="21"/>
                <w:lang w:eastAsia="zh-CN"/>
              </w:rPr>
              <w:t>（一）评分内容：</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投标人（2022年1月至本项目投标截止日，以合同签订日期为准）承担过国家机关、行政事业单位食堂管理服务项目（食材配送和配送餐项目业绩除外），每提供一个合同业绩得20分，最高得100分。</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lang w:eastAsia="zh-CN"/>
              </w:rPr>
            </w:pPr>
            <w:r>
              <w:rPr>
                <w:rFonts w:eastAsia="宋体" w:hint="eastAsia"/>
                <w:kern w:val="2"/>
                <w:sz w:val="21"/>
                <w:lang w:eastAsia="zh-CN"/>
              </w:rPr>
              <w:t>（二）评分依据：</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ascii="宋体" w:eastAsia="宋体" w:hAnsi="宋体" w:hint="eastAsia"/>
                <w:kern w:val="2"/>
                <w:sz w:val="21"/>
                <w:szCs w:val="21"/>
                <w:lang w:eastAsia="zh-CN"/>
              </w:rPr>
            </w:pPr>
            <w:r>
              <w:rPr>
                <w:rFonts w:ascii="宋体" w:eastAsia="宋体" w:hAnsi="宋体" w:hint="eastAsia"/>
                <w:kern w:val="2"/>
                <w:sz w:val="21"/>
                <w:szCs w:val="21"/>
                <w:lang w:eastAsia="zh-CN"/>
              </w:rPr>
              <w:t>1.要求同时提供合同关键信息</w:t>
            </w:r>
            <w:r>
              <w:rPr>
                <w:rFonts w:ascii="宋体" w:eastAsia="宋体" w:hAnsi="宋体" w:cs="宋体" w:hint="eastAsia"/>
                <w:kern w:val="2"/>
                <w:sz w:val="21"/>
                <w:szCs w:val="21"/>
                <w:lang w:eastAsia="zh-CN"/>
              </w:rPr>
              <w:t>（包括但不限于：甲乙双方名称、项目内容、合同签订日期、落款盖章页等）</w:t>
            </w:r>
            <w:r>
              <w:rPr>
                <w:rFonts w:ascii="宋体" w:eastAsia="宋体" w:hAnsi="宋体" w:hint="eastAsia"/>
                <w:kern w:val="2"/>
                <w:sz w:val="21"/>
                <w:szCs w:val="21"/>
                <w:lang w:eastAsia="zh-CN"/>
              </w:rPr>
              <w:t>作为得分依据。</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szCs w:val="21"/>
                <w:lang w:eastAsia="zh-CN"/>
              </w:rPr>
            </w:pPr>
            <w:r>
              <w:rPr>
                <w:rFonts w:ascii="宋体" w:eastAsia="宋体" w:hAnsi="宋体" w:hint="eastAsia"/>
                <w:kern w:val="2"/>
                <w:sz w:val="21"/>
                <w:szCs w:val="21"/>
                <w:lang w:eastAsia="zh-CN"/>
              </w:rPr>
              <w:t>2.以上资料均要求提供扫描件。</w:t>
            </w:r>
            <w:r>
              <w:rPr>
                <w:rFonts w:eastAsia="宋体"/>
                <w:kern w:val="2"/>
                <w:sz w:val="21"/>
                <w:szCs w:val="21"/>
                <w:lang w:eastAsia="zh-CN"/>
              </w:rPr>
              <w:t>评分中出现无证明资料或专家无法凭所提供资料判断是否得分的情况，一律作不得分处理。</w:t>
            </w:r>
          </w:p>
          <w:p>
            <w:pPr>
              <w:keepNext w:val="0"/>
              <w:keepLines w:val="0"/>
              <w:pageBreakBefore w:val="0"/>
              <w:widowControl w:val="0"/>
              <w:tabs>
                <w:tab w:val="left" w:pos="426"/>
              </w:tabs>
              <w:kinsoku/>
              <w:overflowPunct/>
              <w:topLinePunct w:val="0"/>
              <w:autoSpaceDE/>
              <w:autoSpaceDN/>
              <w:bidi w:val="0"/>
              <w:adjustRightInd/>
              <w:snapToGrid/>
              <w:spacing w:line="320" w:lineRule="exact"/>
              <w:jc w:val="left"/>
              <w:textAlignment w:val="auto"/>
              <w:rPr>
                <w:rFonts w:eastAsia="宋体"/>
                <w:kern w:val="2"/>
                <w:sz w:val="21"/>
                <w:lang w:eastAsia="zh-CN"/>
              </w:rPr>
            </w:pPr>
            <w:r>
              <w:rPr>
                <w:rFonts w:eastAsia="宋体" w:hint="eastAsia"/>
                <w:kern w:val="2"/>
                <w:sz w:val="21"/>
                <w:szCs w:val="21"/>
                <w:lang w:eastAsia="zh-CN"/>
              </w:rPr>
              <w:t>3.</w:t>
            </w:r>
            <w:r>
              <w:rPr>
                <w:rFonts w:ascii="宋体" w:eastAsia="宋体" w:hAnsi="宋体" w:cs="宋体" w:hint="eastAsia"/>
                <w:kern w:val="2"/>
                <w:sz w:val="21"/>
                <w:szCs w:val="21"/>
                <w:lang w:eastAsia="zh-CN"/>
              </w:rPr>
              <w:t>同一个采购方不重复计分。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2</w:t>
            </w:r>
          </w:p>
        </w:tc>
        <w:tc>
          <w:tcPr>
            <w:tcW w:w="2064"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履约评价</w:t>
            </w:r>
          </w:p>
        </w:tc>
        <w:tc>
          <w:tcPr>
            <w:tcW w:w="967"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p>
        </w:tc>
        <w:tc>
          <w:tcPr>
            <w:tcW w:w="4054" w:type="dxa"/>
          </w:tcPr>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lang w:eastAsia="zh-CN"/>
              </w:rPr>
            </w:pPr>
            <w:r>
              <w:rPr>
                <w:rFonts w:eastAsia="宋体" w:hint="eastAsia"/>
                <w:kern w:val="2"/>
                <w:sz w:val="21"/>
                <w:lang w:eastAsia="zh-CN"/>
              </w:rPr>
              <w:t>（一）评分内容：</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hint="eastAsia"/>
                <w:kern w:val="2"/>
                <w:sz w:val="21"/>
                <w:lang w:eastAsia="zh-CN"/>
              </w:rPr>
            </w:pPr>
            <w:r>
              <w:rPr>
                <w:rFonts w:eastAsia="宋体" w:hint="eastAsia"/>
                <w:kern w:val="2"/>
                <w:sz w:val="21"/>
                <w:lang w:eastAsia="zh-CN"/>
              </w:rPr>
              <w:t>以上“供应商同类项目业绩情况”经评审为有效的同类项目业绩，获得采购单位或被服务单位出具的总体（终期）履约评价为“优”或其他同级别评价的（评价体系最高一档评价）（如提交的证明文件其评价结果没有结论而仅是打分的，得分需在95%或以上视为满足要求），每提供一项得20分，最多得100分。同一项目按一份评价计算，不重复计算分数。</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lang w:eastAsia="zh-CN"/>
              </w:rPr>
            </w:pPr>
            <w:r>
              <w:rPr>
                <w:rFonts w:eastAsia="宋体" w:hint="eastAsia"/>
                <w:kern w:val="2"/>
                <w:sz w:val="21"/>
                <w:lang w:eastAsia="zh-CN"/>
              </w:rPr>
              <w:t>（二）评分依据：</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lang w:eastAsia="zh-CN"/>
              </w:rPr>
            </w:pPr>
            <w:r>
              <w:rPr>
                <w:rFonts w:ascii="宋体" w:eastAsia="宋体" w:hAnsi="宋体" w:cs="宋体" w:hint="eastAsia"/>
                <w:sz w:val="21"/>
                <w:szCs w:val="21"/>
                <w:lang w:eastAsia="zh-CN"/>
              </w:rPr>
              <w:t>需提供甲方（或实际被服务单位）出具的履约评价证明文件加盖合同相对方（或实际被服务单位）公章或业务章。</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3</w:t>
            </w:r>
          </w:p>
        </w:tc>
        <w:tc>
          <w:tcPr>
            <w:tcW w:w="2064"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bookmarkStart w:id="10" w:name="OLE_LINK13"/>
            <w:r>
              <w:rPr>
                <w:rFonts w:ascii="宋体" w:eastAsia="宋体" w:hAnsi="宋体" w:cs="宋体" w:hint="eastAsia"/>
                <w:kern w:val="2"/>
                <w:sz w:val="21"/>
                <w:szCs w:val="21"/>
                <w:lang w:eastAsia="zh-CN"/>
              </w:rPr>
              <w:t>体系认证情况</w:t>
            </w:r>
            <w:bookmarkEnd w:id="10"/>
          </w:p>
        </w:tc>
        <w:tc>
          <w:tcPr>
            <w:tcW w:w="967"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5</w:t>
            </w:r>
          </w:p>
        </w:tc>
        <w:tc>
          <w:tcPr>
            <w:tcW w:w="4054" w:type="dxa"/>
          </w:tcPr>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ascii="宋体" w:eastAsia="宋体" w:hAnsi="宋体" w:hint="eastAsia"/>
                <w:kern w:val="2"/>
                <w:sz w:val="21"/>
                <w:szCs w:val="21"/>
                <w:lang w:eastAsia="zh-CN"/>
              </w:rPr>
            </w:pPr>
            <w:r>
              <w:rPr>
                <w:rFonts w:ascii="宋体" w:eastAsia="宋体" w:hAnsi="宋体" w:hint="eastAsia"/>
                <w:kern w:val="2"/>
                <w:sz w:val="21"/>
                <w:szCs w:val="21"/>
                <w:lang w:eastAsia="zh-CN"/>
              </w:rPr>
              <w:t>（一）评分内容：</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1.具有食品安全管理体系认证，得25分；</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eastAsia="宋体"/>
                <w:kern w:val="2"/>
                <w:sz w:val="21"/>
                <w:lang w:eastAsia="zh-CN"/>
              </w:rPr>
            </w:pPr>
            <w:r>
              <w:rPr>
                <w:rFonts w:ascii="宋体" w:eastAsia="宋体" w:hAnsi="宋体" w:cs="宋体" w:hint="eastAsia"/>
                <w:kern w:val="2"/>
                <w:sz w:val="21"/>
                <w:szCs w:val="21"/>
                <w:lang w:eastAsia="zh-CN"/>
              </w:rPr>
              <w:t>2.具有质量管理体系认证，得25分；</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ascii="宋体" w:eastAsia="宋体" w:hint="eastAsia"/>
                <w:sz w:val="21"/>
                <w:szCs w:val="21"/>
                <w:lang w:eastAsia="zh-CN"/>
              </w:rPr>
            </w:pPr>
            <w:r>
              <w:rPr>
                <w:rFonts w:ascii="宋体" w:eastAsia="宋体" w:hAnsi="宋体" w:cs="宋体" w:hint="eastAsia"/>
                <w:kern w:val="2"/>
                <w:sz w:val="21"/>
                <w:szCs w:val="21"/>
                <w:lang w:eastAsia="zh-CN"/>
              </w:rPr>
              <w:t>3.具有企业社会责任管理体系认证证书，得25分；</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4.具有</w:t>
            </w:r>
            <w:r>
              <w:rPr>
                <w:rFonts w:ascii="宋体" w:eastAsia="宋体" w:hAnsi="宋体" w:cs="宋体" w:hint="eastAsia"/>
                <w:sz w:val="21"/>
                <w:szCs w:val="21"/>
                <w:lang w:eastAsia="zh-CN"/>
              </w:rPr>
              <w:t>餐饮企业现场管理评价认证证书</w:t>
            </w:r>
            <w:r>
              <w:rPr>
                <w:rFonts w:ascii="宋体" w:eastAsia="宋体" w:hAnsi="宋体" w:cs="宋体" w:hint="eastAsia"/>
                <w:kern w:val="2"/>
                <w:sz w:val="21"/>
                <w:szCs w:val="21"/>
                <w:lang w:eastAsia="zh-CN"/>
              </w:rPr>
              <w:t>，得25分；</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ascii="宋体" w:eastAsia="宋体" w:hAnsi="宋体" w:hint="eastAsia"/>
                <w:kern w:val="2"/>
                <w:sz w:val="21"/>
                <w:szCs w:val="21"/>
                <w:lang w:eastAsia="zh-CN"/>
              </w:rPr>
            </w:pPr>
            <w:r>
              <w:rPr>
                <w:rFonts w:ascii="宋体" w:eastAsia="宋体" w:hAnsi="宋体" w:hint="eastAsia"/>
                <w:kern w:val="2"/>
                <w:sz w:val="21"/>
                <w:szCs w:val="21"/>
                <w:lang w:eastAsia="zh-CN"/>
              </w:rPr>
              <w:t>（二）评分依据:</w:t>
            </w:r>
          </w:p>
          <w:p>
            <w:pPr>
              <w:keepNext w:val="0"/>
              <w:keepLines w:val="0"/>
              <w:pageBreakBefore w:val="0"/>
              <w:widowControl w:val="0"/>
              <w:kinsoku/>
              <w:overflowPunct/>
              <w:topLinePunct w:val="0"/>
              <w:autoSpaceDE/>
              <w:autoSpaceDN/>
              <w:bidi w:val="0"/>
              <w:adjustRightInd/>
              <w:snapToGrid/>
              <w:spacing w:after="160" w:line="320" w:lineRule="exact"/>
              <w:jc w:val="left"/>
              <w:textAlignment w:val="auto"/>
              <w:rPr>
                <w:rFonts w:eastAsia="宋体"/>
                <w:kern w:val="2"/>
                <w:sz w:val="21"/>
                <w:szCs w:val="21"/>
                <w:lang w:eastAsia="zh-CN"/>
              </w:rPr>
            </w:pPr>
            <w:r>
              <w:rPr>
                <w:rFonts w:ascii="宋体" w:eastAsia="宋体" w:hAnsi="宋体" w:hint="eastAsia"/>
                <w:kern w:val="2"/>
                <w:sz w:val="21"/>
                <w:szCs w:val="21"/>
                <w:lang w:eastAsia="zh-CN"/>
              </w:rPr>
              <w:t>1.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color w:val="0000FF"/>
                <w:kern w:val="2"/>
                <w:lang w:eastAsia="zh-CN"/>
              </w:rPr>
            </w:pPr>
            <w:bookmarkStart w:id="11" w:name="_GoBack"/>
            <w:bookmarkEnd w:id="11"/>
            <w:r>
              <w:rPr>
                <w:rFonts w:eastAsia="宋体"/>
                <w:b/>
                <w:bCs/>
                <w:color w:val="0000FF"/>
                <w:kern w:val="2"/>
                <w:sz w:val="21"/>
                <w:lang w:eastAsia="zh-CN"/>
              </w:rPr>
              <w:t>4</w:t>
            </w:r>
          </w:p>
        </w:tc>
        <w:tc>
          <w:tcPr>
            <w:tcW w:w="3702" w:type="dxa"/>
            <w:gridSpan w:val="3"/>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color w:val="0000FF"/>
                <w:kern w:val="2"/>
                <w:lang w:eastAsia="zh-CN"/>
              </w:rPr>
            </w:pPr>
            <w:r>
              <w:rPr>
                <w:rFonts w:eastAsia="宋体"/>
                <w:b/>
                <w:bCs/>
                <w:color w:val="0000FF"/>
                <w:kern w:val="2"/>
                <w:sz w:val="21"/>
                <w:lang w:eastAsia="zh-CN"/>
              </w:rPr>
              <w:t>诚信情况</w:t>
            </w:r>
          </w:p>
        </w:tc>
        <w:tc>
          <w:tcPr>
            <w:tcW w:w="4054" w:type="dxa"/>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color w:val="0000FF"/>
                <w:kern w:val="2"/>
                <w:lang w:eastAsia="zh-CN"/>
              </w:rPr>
            </w:pPr>
            <w:r>
              <w:rPr>
                <w:rFonts w:eastAsia="宋体"/>
                <w:b/>
                <w:bCs/>
                <w:color w:val="0000FF"/>
                <w:kern w:val="2"/>
                <w:sz w:val="21"/>
                <w:lang w:eastAsia="zh-CN"/>
              </w:rPr>
              <w:t>5</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val="restart"/>
            <w:shd w:val="clear" w:color="auto" w:fill="auto"/>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206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967"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054" w:type="dxa"/>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67" w:type="dxa"/>
            <w:vMerge/>
            <w:shd w:val="clear" w:color="auto" w:fill="auto"/>
            <w:vAlign w:val="center"/>
          </w:tcPr>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b/>
                <w:bCs/>
                <w:color w:val="0000FF"/>
                <w:kern w:val="2"/>
                <w:lang w:eastAsia="zh-CN"/>
              </w:rPr>
            </w:pPr>
          </w:p>
        </w:tc>
        <w:tc>
          <w:tcPr>
            <w:tcW w:w="671"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hint="eastAsia"/>
                <w:kern w:val="2"/>
                <w:sz w:val="21"/>
                <w:szCs w:val="21"/>
                <w:lang w:eastAsia="zh-CN"/>
              </w:rPr>
            </w:pPr>
            <w:r>
              <w:rPr>
                <w:rFonts w:ascii="宋体" w:eastAsia="宋体" w:hAnsi="宋体"/>
                <w:kern w:val="2"/>
                <w:sz w:val="21"/>
                <w:szCs w:val="21"/>
                <w:lang w:eastAsia="zh-CN"/>
              </w:rPr>
              <w:t>1</w:t>
            </w:r>
          </w:p>
        </w:tc>
        <w:tc>
          <w:tcPr>
            <w:tcW w:w="2064"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hint="eastAsia"/>
                <w:kern w:val="2"/>
                <w:sz w:val="21"/>
                <w:szCs w:val="21"/>
                <w:lang w:eastAsia="zh-CN"/>
              </w:rPr>
            </w:pPr>
            <w:bookmarkStart w:id="12" w:name="OLE_LINK15"/>
            <w:r>
              <w:rPr>
                <w:rFonts w:ascii="宋体" w:eastAsia="宋体" w:hAnsi="宋体"/>
                <w:kern w:val="2"/>
                <w:sz w:val="21"/>
                <w:szCs w:val="21"/>
                <w:lang w:eastAsia="zh-CN"/>
              </w:rPr>
              <w:t>诚信情况</w:t>
            </w:r>
            <w:bookmarkEnd w:id="12"/>
          </w:p>
        </w:tc>
        <w:tc>
          <w:tcPr>
            <w:tcW w:w="967" w:type="dxa"/>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054" w:type="dxa"/>
          </w:tcPr>
          <w:p>
            <w:pPr>
              <w:keepNext w:val="0"/>
              <w:keepLines w:val="0"/>
              <w:pageBreakBefore w:val="0"/>
              <w:widowControl w:val="0"/>
              <w:kinsoku/>
              <w:overflowPunct/>
              <w:topLinePunct w:val="0"/>
              <w:autoSpaceDE/>
              <w:autoSpaceDN/>
              <w:bidi w:val="0"/>
              <w:adjustRightInd/>
              <w:snapToGrid/>
              <w:spacing w:after="120" w:line="320" w:lineRule="exact"/>
              <w:jc w:val="both"/>
              <w:textAlignment w:val="auto"/>
              <w:rPr>
                <w:rFonts w:eastAsia="宋体"/>
                <w:kern w:val="2"/>
                <w:sz w:val="21"/>
                <w:szCs w:val="21"/>
                <w:lang w:eastAsia="zh-CN"/>
              </w:rPr>
            </w:pPr>
            <w:r>
              <w:rPr>
                <w:rFonts w:eastAsia="宋体" w:hint="eastAsia"/>
                <w:kern w:val="2"/>
                <w:sz w:val="21"/>
                <w:szCs w:val="21"/>
                <w:lang w:eastAsia="zh-CN"/>
              </w:rPr>
              <w:t>（一）评分内容：</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eastAsia="宋体"/>
                <w:kern w:val="2"/>
                <w:sz w:val="21"/>
                <w:lang w:eastAsia="zh-CN"/>
              </w:rPr>
            </w:pPr>
            <w:r>
              <w:rPr>
                <w:rFonts w:eastAsia="宋体" w:hint="eastAsia"/>
                <w:kern w:val="2"/>
                <w:sz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keepNext w:val="0"/>
              <w:keepLines w:val="0"/>
              <w:pageBreakBefore w:val="0"/>
              <w:widowControl w:val="0"/>
              <w:kinsoku/>
              <w:overflowPunct/>
              <w:topLinePunct w:val="0"/>
              <w:autoSpaceDE/>
              <w:autoSpaceDN/>
              <w:bidi w:val="0"/>
              <w:adjustRightInd/>
              <w:snapToGrid/>
              <w:spacing w:after="120" w:line="320" w:lineRule="exact"/>
              <w:jc w:val="both"/>
              <w:textAlignment w:val="auto"/>
              <w:rPr>
                <w:rFonts w:eastAsia="宋体"/>
                <w:kern w:val="2"/>
                <w:sz w:val="21"/>
                <w:szCs w:val="21"/>
                <w:lang w:eastAsia="zh-CN"/>
              </w:rPr>
            </w:pPr>
            <w:r>
              <w:rPr>
                <w:rFonts w:eastAsia="宋体" w:hint="eastAsia"/>
                <w:kern w:val="2"/>
                <w:sz w:val="21"/>
                <w:szCs w:val="21"/>
                <w:lang w:eastAsia="zh-CN"/>
              </w:rPr>
              <w:t>（二）评分依据：</w:t>
            </w:r>
          </w:p>
          <w:p>
            <w:pPr>
              <w:keepNext w:val="0"/>
              <w:keepLines w:val="0"/>
              <w:pageBreakBefore w:val="0"/>
              <w:widowControl w:val="0"/>
              <w:kinsoku/>
              <w:overflowPunct/>
              <w:topLinePunct w:val="0"/>
              <w:autoSpaceDE/>
              <w:autoSpaceDN/>
              <w:bidi w:val="0"/>
              <w:adjustRightInd/>
              <w:snapToGrid/>
              <w:spacing w:line="320" w:lineRule="exact"/>
              <w:jc w:val="both"/>
              <w:textAlignment w:val="auto"/>
              <w:rPr>
                <w:rFonts w:ascii="宋体" w:eastAsia="宋体" w:hAnsi="宋体" w:cs="宋体" w:hint="eastAsia"/>
                <w:kern w:val="2"/>
                <w:sz w:val="21"/>
                <w:szCs w:val="21"/>
                <w:lang w:eastAsia="zh-CN"/>
              </w:rPr>
            </w:pPr>
            <w:r>
              <w:rPr>
                <w:rFonts w:eastAsia="宋体" w:hint="eastAsia"/>
                <w:kern w:val="2"/>
                <w:sz w:val="21"/>
                <w:lang w:eastAsia="zh-CN"/>
              </w:rPr>
              <w:t>查询渠道：通过“信用中国”（www.creditchina.gov.cn，</w:t>
            </w:r>
            <w:r>
              <w:rPr>
                <w:rFonts w:eastAsia="宋体" w:hint="eastAsia"/>
                <w:b/>
                <w:bCs/>
                <w:kern w:val="2"/>
                <w:sz w:val="21"/>
                <w:lang w:eastAsia="zh-CN"/>
              </w:rPr>
              <w:t>下载信用信息报告</w:t>
            </w:r>
            <w:r>
              <w:rPr>
                <w:rFonts w:eastAsia="宋体" w:hint="eastAsia"/>
                <w:kern w:val="2"/>
                <w:sz w:val="21"/>
                <w:lang w:eastAsia="zh-CN"/>
              </w:rPr>
              <w:t>）、“中国政府采购网”（www.ccgp.gov.cn）以及“深圳市政府采购监管网”（http://zfcg.sz.gov.cn）查询供应商信用信息，信用信息以开标当日的查询结果为准。</w:t>
            </w:r>
          </w:p>
        </w:tc>
      </w:tr>
    </w:tbl>
    <w:p>
      <w:pPr>
        <w:widowControl w:val="0"/>
        <w:jc w:val="both"/>
        <w:rPr>
          <w:rFonts w:eastAsia="宋体"/>
          <w:kern w:val="2"/>
          <w:sz w:val="21"/>
          <w:lang w:eastAsia="zh-CN"/>
        </w:rPr>
      </w:pPr>
      <w:r>
        <w:rPr>
          <w:rFonts w:eastAsia="宋体" w:hint="eastAsia"/>
          <w:kern w:val="2"/>
          <w:sz w:val="21"/>
          <w:lang w:eastAsia="zh-CN"/>
        </w:rPr>
        <w:br w:type="page"/>
      </w: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r>
        <w:rPr>
          <w:rFonts w:eastAsia="宋体" w:hint="eastAsia"/>
          <w:b/>
          <w:kern w:val="2"/>
          <w:sz w:val="120"/>
          <w:szCs w:val="120"/>
          <w:lang w:eastAsia="zh-CN"/>
        </w:rPr>
        <w:t>自行采购</w:t>
      </w:r>
    </w:p>
    <w:p>
      <w:pPr>
        <w:widowControl w:val="0"/>
        <w:jc w:val="center"/>
        <w:rPr>
          <w:rFonts w:eastAsia="宋体"/>
          <w:b/>
          <w:kern w:val="2"/>
          <w:sz w:val="120"/>
          <w:szCs w:val="120"/>
          <w:lang w:eastAsia="zh-CN"/>
        </w:rPr>
      </w:pPr>
      <w:r>
        <w:rPr>
          <w:rFonts w:eastAsia="宋体" w:hint="eastAsia"/>
          <w:b/>
          <w:kern w:val="2"/>
          <w:sz w:val="120"/>
          <w:szCs w:val="120"/>
          <w:lang w:eastAsia="zh-CN"/>
        </w:rPr>
        <w:t>招标文件</w:t>
      </w:r>
    </w:p>
    <w:p>
      <w:pPr>
        <w:widowControl w:val="0"/>
        <w:jc w:val="center"/>
        <w:rPr>
          <w:rFonts w:eastAsia="宋体"/>
          <w:b/>
          <w:kern w:val="2"/>
          <w:sz w:val="52"/>
          <w:szCs w:val="52"/>
          <w:lang w:eastAsia="zh-CN"/>
        </w:rPr>
      </w:pPr>
      <w:r>
        <w:rPr>
          <w:rFonts w:eastAsia="宋体" w:hint="eastAsia"/>
          <w:b/>
          <w:kern w:val="2"/>
          <w:sz w:val="52"/>
          <w:szCs w:val="52"/>
          <w:lang w:eastAsia="zh-CN"/>
        </w:rPr>
        <w:t>（服务类）</w:t>
      </w: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bookmarkStart w:id="13" w:name="_Hlk71465316"/>
      <w:r>
        <w:rPr>
          <w:rFonts w:eastAsia="宋体" w:hint="eastAsia"/>
          <w:b/>
          <w:kern w:val="2"/>
          <w:sz w:val="44"/>
          <w:szCs w:val="44"/>
          <w:lang w:eastAsia="zh-CN"/>
        </w:rPr>
        <w:t>深圳公共资源交易中心</w:t>
      </w:r>
    </w:p>
    <w:p>
      <w:pPr>
        <w:widowControl w:val="0"/>
        <w:jc w:val="center"/>
        <w:rPr>
          <w:rFonts w:eastAsia="宋体"/>
          <w:kern w:val="2"/>
          <w:sz w:val="28"/>
          <w:szCs w:val="28"/>
          <w:lang w:eastAsia="zh-CN"/>
        </w:rPr>
      </w:pPr>
      <w:r>
        <w:rPr>
          <w:rFonts w:eastAsia="宋体" w:hint="eastAsia"/>
          <w:b/>
          <w:kern w:val="2"/>
          <w:sz w:val="28"/>
          <w:szCs w:val="28"/>
          <w:lang w:eastAsia="zh-CN"/>
        </w:rPr>
        <w:t>（</w:t>
      </w:r>
      <w:r>
        <w:rPr>
          <w:rFonts w:eastAsia="宋体"/>
          <w:b/>
          <w:kern w:val="2"/>
          <w:sz w:val="28"/>
          <w:szCs w:val="28"/>
          <w:lang w:eastAsia="zh-CN"/>
        </w:rPr>
        <w:t>20</w:t>
      </w:r>
      <w:r>
        <w:rPr>
          <w:rFonts w:eastAsia="宋体" w:hint="eastAsia"/>
          <w:b/>
          <w:kern w:val="2"/>
          <w:sz w:val="28"/>
          <w:szCs w:val="28"/>
          <w:lang w:eastAsia="zh-CN"/>
        </w:rPr>
        <w:t>25年）</w:t>
      </w:r>
      <w:bookmarkEnd w:id="13"/>
    </w:p>
    <w:p>
      <w:pPr>
        <w:widowControl w:val="0"/>
        <w:jc w:val="center"/>
        <w:rPr>
          <w:rFonts w:ascii="宋体" w:eastAsia="宋体" w:hAnsi="宋体" w:hint="eastAsia"/>
          <w:color w:val="FF0000"/>
          <w:kern w:val="2"/>
          <w:sz w:val="21"/>
          <w:szCs w:val="21"/>
          <w:lang w:eastAsia="zh-CN"/>
        </w:rPr>
      </w:pPr>
      <w:r>
        <w:rPr>
          <w:rFonts w:eastAsia="宋体" w:hint="eastAsia"/>
          <w:kern w:val="2"/>
          <w:sz w:val="21"/>
          <w:lang w:eastAsia="zh-CN"/>
        </w:rPr>
        <w:br w:type="page"/>
      </w:r>
      <w:bookmarkStart w:id="14" w:name="_Hlk137453387"/>
      <w:r>
        <w:rPr>
          <w:rFonts w:ascii="宋体" w:eastAsia="黑体" w:hAnsi="宋体" w:hint="eastAsia"/>
          <w:b/>
          <w:bCs/>
          <w:color w:val="FF0000"/>
          <w:kern w:val="44"/>
          <w:sz w:val="28"/>
          <w:szCs w:val="44"/>
          <w:lang w:eastAsia="zh-CN"/>
        </w:rPr>
        <w:t>警示条款</w:t>
      </w:r>
    </w:p>
    <w:p>
      <w:pPr>
        <w:widowControl w:val="0"/>
        <w:ind w:firstLine="400" w:firstLineChars="200"/>
        <w:jc w:val="both"/>
        <w:rPr>
          <w:rFonts w:ascii="宋体" w:eastAsia="宋体" w:hAnsi="宋体" w:hint="eastAsia"/>
          <w:color w:val="FF0000"/>
          <w:kern w:val="2"/>
          <w:sz w:val="20"/>
          <w:szCs w:val="20"/>
          <w:lang w:eastAsia="zh-CN"/>
        </w:rPr>
      </w:pP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本项目为自行采购项目，参照《深圳经济特区政府采购条例》、《深圳经济特区政府采购条例实施细则》及政府采购其他法律法规，按照采购人内控制度，通过公开招标方式确定中标供应商。</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 </w:t>
      </w:r>
      <w:r>
        <w:rPr>
          <w:rFonts w:ascii="宋体" w:eastAsia="宋体" w:hAnsi="宋体" w:hint="eastAsia"/>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20" w:firstLineChars="200"/>
        <w:jc w:val="both"/>
        <w:rPr>
          <w:rFonts w:eastAsia="宋体"/>
          <w:b/>
          <w:color w:val="FF0000"/>
          <w:kern w:val="2"/>
          <w:sz w:val="21"/>
          <w:lang w:eastAsia="zh-CN"/>
        </w:rPr>
      </w:pPr>
      <w:r>
        <w:rPr>
          <w:rFonts w:eastAsia="宋体" w:hint="eastAsia"/>
          <w:b/>
          <w:color w:val="FF0000"/>
          <w:kern w:val="2"/>
          <w:sz w:val="21"/>
          <w:lang w:eastAsia="zh-CN"/>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五、</w:t>
      </w:r>
      <w:r>
        <w:rPr>
          <w:rFonts w:ascii="宋体" w:eastAsia="宋体" w:hAnsi="宋体"/>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widowControl w:val="0"/>
        <w:spacing w:line="360" w:lineRule="auto"/>
        <w:jc w:val="both"/>
        <w:rPr>
          <w:rFonts w:eastAsia="宋体" w:hint="eastAsia"/>
          <w:b/>
          <w:bCs/>
          <w:kern w:val="2"/>
          <w:lang w:eastAsia="zh-CN"/>
        </w:rPr>
      </w:pPr>
    </w:p>
    <w:bookmarkEnd w:id="14"/>
    <w:p>
      <w:pPr>
        <w:widowControl/>
        <w:jc w:val="left"/>
        <w:rPr>
          <w:rFonts w:ascii="宋体" w:eastAsia="黑体" w:hAnsi="宋体" w:hint="eastAsia"/>
          <w:b/>
          <w:bCs/>
          <w:kern w:val="44"/>
          <w:sz w:val="28"/>
          <w:szCs w:val="44"/>
          <w:lang w:eastAsia="zh-CN"/>
        </w:rPr>
      </w:pPr>
      <w:r>
        <w:rPr>
          <w:rFonts w:eastAsia="宋体"/>
          <w:kern w:val="2"/>
          <w:sz w:val="21"/>
          <w:lang w:eastAsia="zh-CN"/>
        </w:rPr>
        <w:br w:type="page"/>
      </w:r>
    </w:p>
    <w:p>
      <w:pPr>
        <w:keepNext/>
        <w:keepLines/>
        <w:widowControl w:val="0"/>
        <w:spacing w:before="340" w:after="330" w:line="360" w:lineRule="auto"/>
        <w:jc w:val="center"/>
        <w:outlineLvl w:val="0"/>
        <w:rPr>
          <w:rFonts w:ascii="宋体" w:eastAsia="黑体" w:hAnsi="宋体" w:hint="eastAsia"/>
          <w:b/>
          <w:bCs/>
          <w:kern w:val="44"/>
          <w:sz w:val="28"/>
          <w:szCs w:val="44"/>
          <w:lang w:eastAsia="zh-CN"/>
        </w:rPr>
      </w:pPr>
      <w:r>
        <w:rPr>
          <w:rFonts w:ascii="宋体" w:eastAsia="黑体" w:hAnsi="宋体" w:hint="eastAsia"/>
          <w:b/>
          <w:bCs/>
          <w:kern w:val="44"/>
          <w:sz w:val="28"/>
          <w:szCs w:val="44"/>
          <w:lang w:eastAsia="zh-CN"/>
        </w:rPr>
        <w:t>目   录</w:t>
      </w:r>
    </w:p>
    <w:p>
      <w:pPr>
        <w:widowControl w:val="0"/>
        <w:jc w:val="both"/>
        <w:outlineLvl w:val="0"/>
        <w:rPr>
          <w:rFonts w:eastAsia="宋体"/>
          <w:b/>
          <w:kern w:val="2"/>
          <w:lang w:eastAsia="zh-CN"/>
        </w:rPr>
      </w:pPr>
      <w:r>
        <w:rPr>
          <w:rFonts w:eastAsia="宋体" w:hint="eastAsia"/>
          <w:b/>
          <w:kern w:val="2"/>
          <w:lang w:eastAsia="zh-CN"/>
        </w:rPr>
        <w:t>第一册  专用条款</w:t>
      </w:r>
    </w:p>
    <w:p>
      <w:pPr>
        <w:widowControl w:val="0"/>
        <w:jc w:val="both"/>
        <w:rPr>
          <w:rFonts w:eastAsia="宋体"/>
          <w:kern w:val="2"/>
          <w:lang w:eastAsia="zh-CN"/>
        </w:rPr>
      </w:pPr>
      <w:r>
        <w:rPr>
          <w:rFonts w:eastAsia="宋体" w:hint="eastAsia"/>
          <w:kern w:val="2"/>
          <w:lang w:eastAsia="zh-CN"/>
        </w:rPr>
        <w:t xml:space="preserve">          关键信息</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招标公告</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第二章  </w:t>
      </w:r>
      <w:bookmarkStart w:id="15" w:name="_Hlk71994379"/>
      <w:r>
        <w:rPr>
          <w:rFonts w:ascii="宋体" w:eastAsia="宋体" w:hAnsi="宋体" w:hint="eastAsia"/>
          <w:kern w:val="2"/>
          <w:sz w:val="21"/>
          <w:szCs w:val="21"/>
          <w:lang w:eastAsia="zh-CN"/>
        </w:rPr>
        <w:t>对通用条款的补充内容及其他关键信息</w:t>
      </w:r>
      <w:bookmarkEnd w:id="15"/>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第三章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用户需求书</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第四章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投标文件组成要求及格式</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合同条款及格式</w:t>
      </w:r>
    </w:p>
    <w:p>
      <w:pPr>
        <w:widowControl w:val="0"/>
        <w:jc w:val="both"/>
        <w:rPr>
          <w:rFonts w:eastAsia="宋体"/>
          <w:b/>
          <w:kern w:val="2"/>
          <w:lang w:eastAsia="zh-CN"/>
        </w:rPr>
      </w:pPr>
    </w:p>
    <w:p>
      <w:pPr>
        <w:widowControl w:val="0"/>
        <w:jc w:val="both"/>
        <w:outlineLvl w:val="0"/>
        <w:rPr>
          <w:rFonts w:eastAsia="宋体"/>
          <w:b/>
          <w:kern w:val="2"/>
          <w:lang w:eastAsia="zh-CN"/>
        </w:rPr>
      </w:pPr>
      <w:r>
        <w:rPr>
          <w:rFonts w:eastAsia="宋体" w:hint="eastAsia"/>
          <w:b/>
          <w:kern w:val="2"/>
          <w:lang w:eastAsia="zh-CN"/>
        </w:rPr>
        <w:t>第二册  通用条款</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总则</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招标文件</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投标文件的编制</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第四章  投标文件的递交</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开标</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第六章  评审要求</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第八章  定标及公示</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第十章  合同的授予与备案</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第十一章  质疑处理</w:t>
      </w:r>
    </w:p>
    <w:p>
      <w:pPr>
        <w:widowControl w:val="0"/>
        <w:spacing w:line="360" w:lineRule="auto"/>
        <w:ind w:firstLine="420" w:firstLineChars="200"/>
        <w:jc w:val="left"/>
        <w:rPr>
          <w:rFonts w:ascii="宋体" w:eastAsia="宋体" w:hAnsi="宋体" w:hint="eastAsia"/>
          <w:kern w:val="2"/>
          <w:sz w:val="21"/>
          <w:szCs w:val="21"/>
          <w:lang w:eastAsia="zh-CN"/>
        </w:rPr>
      </w:pPr>
    </w:p>
    <w:p>
      <w:pPr>
        <w:keepNext/>
        <w:keepLines/>
        <w:widowControl w:val="0"/>
        <w:spacing w:before="340" w:after="330" w:line="360" w:lineRule="auto"/>
        <w:jc w:val="center"/>
        <w:outlineLvl w:val="0"/>
        <w:rPr>
          <w:rFonts w:ascii="宋体" w:eastAsia="黑体" w:hAnsi="宋体" w:hint="eastAsia"/>
          <w:b/>
          <w:bCs/>
          <w:kern w:val="44"/>
          <w:szCs w:val="44"/>
          <w:lang w:eastAsia="zh-CN"/>
        </w:rPr>
      </w:pPr>
      <w:r>
        <w:rPr>
          <w:rFonts w:ascii="宋体" w:eastAsia="黑体" w:hAnsi="宋体"/>
          <w:b/>
          <w:bCs/>
          <w:kern w:val="44"/>
          <w:sz w:val="28"/>
          <w:szCs w:val="44"/>
          <w:lang w:eastAsia="zh-CN"/>
        </w:rPr>
        <w:br w:type="page"/>
      </w:r>
      <w:bookmarkStart w:id="16" w:name="bt投标文件签署授权委托书"/>
      <w:bookmarkEnd w:id="16"/>
      <w:bookmarkStart w:id="17" w:name="合同格式"/>
      <w:bookmarkEnd w:id="17"/>
      <w:bookmarkStart w:id="18" w:name="bt合同格式"/>
      <w:bookmarkEnd w:id="18"/>
      <w:bookmarkStart w:id="19" w:name="bt其他资料由投标人自定"/>
      <w:bookmarkEnd w:id="19"/>
      <w:bookmarkStart w:id="20" w:name="bt技术标投标文件格式"/>
      <w:bookmarkEnd w:id="20"/>
      <w:bookmarkStart w:id="21" w:name="bt开标一览表"/>
      <w:bookmarkEnd w:id="21"/>
      <w:bookmarkStart w:id="22" w:name="bt投标人情况介绍"/>
      <w:bookmarkEnd w:id="22"/>
      <w:bookmarkStart w:id="23" w:name="bt投标人须知"/>
      <w:bookmarkEnd w:id="23"/>
      <w:bookmarkStart w:id="24" w:name="bt合同条款"/>
      <w:bookmarkEnd w:id="24"/>
      <w:bookmarkStart w:id="25" w:name="bt其他资料2"/>
      <w:bookmarkEnd w:id="25"/>
      <w:bookmarkStart w:id="26" w:name="bt说明"/>
      <w:bookmarkEnd w:id="26"/>
      <w:bookmarkStart w:id="27" w:name="bt商务标投标文件格式"/>
      <w:bookmarkEnd w:id="27"/>
      <w:bookmarkStart w:id="28" w:name="bt投标函"/>
      <w:bookmarkEnd w:id="28"/>
      <w:bookmarkStart w:id="29" w:name="bt项目管理班子配备情况"/>
      <w:bookmarkEnd w:id="29"/>
      <w:bookmarkStart w:id="30" w:name="bt投标报价汇总表"/>
      <w:bookmarkEnd w:id="30"/>
      <w:bookmarkStart w:id="31" w:name="bt合同条款及格式"/>
      <w:bookmarkEnd w:id="31"/>
      <w:bookmarkStart w:id="32" w:name="bt本工程承诺书"/>
      <w:bookmarkEnd w:id="32"/>
      <w:r>
        <w:rPr>
          <w:rFonts w:ascii="宋体" w:eastAsia="黑体" w:hAnsi="宋体" w:hint="eastAsia"/>
          <w:b/>
          <w:bCs/>
          <w:kern w:val="44"/>
          <w:sz w:val="28"/>
          <w:szCs w:val="44"/>
          <w:lang w:eastAsia="zh-CN"/>
        </w:rPr>
        <w:t>第一册专用条款</w:t>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第一章  招标公告</w:t>
      </w:r>
    </w:p>
    <w:p>
      <w:pPr>
        <w:widowControl w:val="0"/>
        <w:jc w:val="both"/>
        <w:rPr>
          <w:rFonts w:eastAsia="宋体"/>
          <w:kern w:val="2"/>
          <w:sz w:val="21"/>
          <w:lang w:eastAsia="zh-CN"/>
        </w:rPr>
      </w:pPr>
    </w:p>
    <w:p>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投标人的资格要求：</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bookmarkStart w:id="33" w:name="_Hlk72162904"/>
      <w:r>
        <w:rPr>
          <w:rFonts w:ascii="宋体" w:eastAsia="宋体" w:hAnsi="宋体" w:cs="宋体" w:hint="eastAsia"/>
          <w:sz w:val="21"/>
          <w:szCs w:val="21"/>
          <w:lang w:eastAsia="zh-C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33"/>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参与本项目采购活动时不存在被有关部门禁止参与政府采购活动且在有效期内的情况（由供应商在《采购投标及履约承诺函》中作出声明）；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未被列入失信被执行人、重大税收违法案件当事人名单、政府采购严重违法失信行为记录名单（由供应商在《采购投标及履约承诺函》中作出声明）；</w:t>
      </w:r>
    </w:p>
    <w:p>
      <w:pPr>
        <w:widowControl w:val="0"/>
        <w:ind w:firstLine="630" w:firstLineChars="300"/>
        <w:jc w:val="both"/>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8.本项目是（否）专门面向中小企业采购：否；</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b/>
          <w:bCs/>
          <w:kern w:val="2"/>
          <w:sz w:val="21"/>
          <w:szCs w:val="21"/>
          <w:lang w:eastAsia="zh-CN"/>
        </w:rPr>
        <w:t>9.</w:t>
      </w:r>
      <w:r>
        <w:rPr>
          <w:rFonts w:ascii="宋体" w:eastAsia="宋体" w:hAnsi="宋体" w:cs="宋体" w:hint="eastAsia"/>
          <w:b/>
          <w:bCs/>
          <w:color w:val="FF0000"/>
          <w:sz w:val="21"/>
          <w:szCs w:val="21"/>
          <w:lang w:eastAsia="zh-CN"/>
        </w:rPr>
        <w:t>投标人必须具有食品药品监督管理部门或市场监督管理部门颁发有效期内的《食品经营许可证》（提供证书扫描件）</w:t>
      </w:r>
      <w:r>
        <w:rPr>
          <w:rFonts w:ascii="宋体" w:eastAsia="宋体" w:hAnsi="宋体" w:cs="宋体" w:hint="eastAsia"/>
          <w:kern w:val="2"/>
          <w:sz w:val="21"/>
          <w:szCs w:val="21"/>
          <w:lang w:eastAsia="zh-CN"/>
        </w:rPr>
        <w:t>；</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10.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pPr>
        <w:widowControl w:val="0"/>
        <w:wordWrap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cs="宋体" w:hint="eastAsia"/>
          <w:color w:val="FF0000"/>
          <w:sz w:val="21"/>
          <w:szCs w:val="21"/>
          <w:lang w:eastAsia="zh-CN"/>
        </w:rPr>
      </w:pPr>
      <w:r>
        <w:rPr>
          <w:rFonts w:ascii="宋体" w:eastAsia="宋体" w:hAnsi="宋体" w:hint="eastAsia"/>
          <w:kern w:val="2"/>
          <w:sz w:val="21"/>
          <w:lang w:eastAsia="zh-CN"/>
        </w:rPr>
        <w:t>（2）供应商投标（上传投标文件）必须先行办理注册手续，具体操作指引请按照深圳公共资源交易网/交易服务指南/资料下载/深圳政府采购自行采购系统用户操作指引（供应商）相关内容指引办理。</w:t>
      </w:r>
    </w:p>
    <w:p>
      <w:pPr>
        <w:widowControl w:val="0"/>
        <w:jc w:val="left"/>
        <w:rPr>
          <w:rFonts w:eastAsia="宋体"/>
          <w:kern w:val="2"/>
          <w:sz w:val="22"/>
          <w:szCs w:val="18"/>
          <w:lang w:eastAsia="zh-CN"/>
        </w:rPr>
      </w:pPr>
      <w:r>
        <w:rPr>
          <w:rFonts w:eastAsia="宋体" w:hint="eastAsia"/>
          <w:kern w:val="2"/>
          <w:sz w:val="22"/>
          <w:szCs w:val="18"/>
          <w:lang w:eastAsia="zh-CN"/>
        </w:rPr>
        <w:t>完整公告内容详见：深圳交易集团（深圳公共资源交易中心）官网https://www.szexgrp.com/jyfw/zfcg-view.html?id=zfcg</w:t>
      </w:r>
    </w:p>
    <w:p>
      <w:pPr>
        <w:widowControl w:val="0"/>
        <w:jc w:val="both"/>
        <w:rPr>
          <w:rFonts w:eastAsia="宋体"/>
          <w:kern w:val="2"/>
          <w:sz w:val="21"/>
          <w:lang w:eastAsia="zh-CN"/>
        </w:rPr>
      </w:pPr>
      <w:r>
        <w:rPr>
          <w:rFonts w:eastAsia="宋体" w:hint="eastAsia"/>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第二章 对通用条款的补充内容及其他关键信息</w:t>
      </w: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sz w:val="28"/>
          <w:szCs w:val="28"/>
          <w:lang w:eastAsia="zh-CN"/>
        </w:rPr>
      </w:pPr>
      <w:bookmarkStart w:id="34" w:name="_Toc100052364"/>
      <w:bookmarkStart w:id="35" w:name="_Toc73521547"/>
      <w:bookmarkStart w:id="36" w:name="_Toc73518117"/>
      <w:bookmarkStart w:id="37" w:name="_Toc73521635"/>
      <w:bookmarkStart w:id="38" w:name="_Toc73517639"/>
      <w:bookmarkStart w:id="39" w:name="_Toc60560625"/>
      <w:bookmarkStart w:id="40" w:name="_Toc60631620"/>
      <w:bookmarkStart w:id="41" w:name="_Toc101074876"/>
      <w:r>
        <w:rPr>
          <w:rFonts w:ascii="宋体" w:eastAsia="宋体" w:hAnsi="宋体" w:hint="eastAsia"/>
          <w:b/>
          <w:bCs/>
          <w:lang w:eastAsia="zh-CN"/>
        </w:rPr>
        <w:t>一、对通用条款的补充内容</w:t>
      </w:r>
    </w:p>
    <w:bookmarkEnd w:id="34"/>
    <w:bookmarkEnd w:id="35"/>
    <w:bookmarkEnd w:id="36"/>
    <w:bookmarkEnd w:id="37"/>
    <w:bookmarkEnd w:id="38"/>
    <w:bookmarkEnd w:id="39"/>
    <w:bookmarkEnd w:id="40"/>
    <w:bookmarkEnd w:id="41"/>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89"/>
        <w:gridCol w:w="2575"/>
        <w:gridCol w:w="496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通用条款序号</w:t>
            </w:r>
          </w:p>
        </w:tc>
        <w:tc>
          <w:tcPr>
            <w:tcW w:w="2526"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涉及事项</w:t>
            </w:r>
          </w:p>
        </w:tc>
        <w:tc>
          <w:tcPr>
            <w:tcW w:w="4871"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8367" w:type="dxa"/>
            <w:gridSpan w:val="3"/>
            <w:vAlign w:val="center"/>
          </w:tcPr>
          <w:p>
            <w:pPr>
              <w:widowControl w:val="0"/>
              <w:jc w:val="center"/>
              <w:rPr>
                <w:rFonts w:ascii="宋体" w:eastAsia="宋体" w:hAnsi="宋体" w:hint="eastAsia"/>
                <w:b/>
                <w:bCs/>
                <w:kern w:val="2"/>
                <w:sz w:val="21"/>
                <w:lang w:eastAsia="zh-CN"/>
              </w:rPr>
            </w:pPr>
            <w:r>
              <w:rPr>
                <w:rFonts w:eastAsia="宋体" w:hint="eastAsia"/>
                <w:kern w:val="2"/>
                <w:sz w:val="21"/>
                <w:lang w:eastAsia="zh-CN"/>
              </w:rPr>
              <w:t>本项目为自行采购项目，相关事宜按照招标文件要求及采购单位内控制度执行。</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526" w:type="dxa"/>
            <w:vAlign w:val="center"/>
          </w:tcPr>
          <w:p>
            <w:pPr>
              <w:widowControl w:val="0"/>
              <w:jc w:val="center"/>
              <w:rPr>
                <w:rFonts w:eastAsia="宋体"/>
                <w:kern w:val="2"/>
                <w:sz w:val="21"/>
                <w:lang w:eastAsia="zh-CN"/>
              </w:rPr>
            </w:pPr>
            <w:r>
              <w:rPr>
                <w:rFonts w:eastAsia="宋体" w:hint="eastAsia"/>
                <w:kern w:val="2"/>
                <w:sz w:val="21"/>
                <w:lang w:eastAsia="zh-CN"/>
              </w:rPr>
              <w:t>采购人</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深圳市殡葬服务中心</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政府集中采购机构</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深圳公共资源交易中心</w:t>
            </w:r>
          </w:p>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（深圳交易集团有限公司政府采购业务分公司）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9</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踏勘现场</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标前会议</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/1</w:t>
            </w:r>
            <w:r>
              <w:rPr>
                <w:rFonts w:ascii="宋体" w:eastAsia="宋体" w:hAnsi="宋体"/>
                <w:kern w:val="2"/>
                <w:sz w:val="21"/>
                <w:lang w:eastAsia="zh-CN"/>
              </w:rPr>
              <w:t>3</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招标文件的澄清和修改</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投标有效期</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投标人的替代方案</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投标文件的大小</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投标文件大小不得超过</w:t>
            </w:r>
            <w:r>
              <w:rPr>
                <w:rFonts w:ascii="宋体" w:eastAsia="宋体" w:hAnsi="宋体"/>
                <w:kern w:val="2"/>
                <w:sz w:val="21"/>
                <w:lang w:eastAsia="zh-CN"/>
              </w:rPr>
              <w:t>1</w:t>
            </w:r>
            <w:r>
              <w:rPr>
                <w:rFonts w:ascii="宋体" w:eastAsia="宋体" w:hAnsi="宋体" w:hint="eastAsia"/>
                <w:kern w:val="2"/>
                <w:sz w:val="21"/>
                <w:lang w:eastAsia="zh-CN"/>
              </w:rPr>
              <w:t>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hint="eastAsia"/>
                <w:kern w:val="2"/>
                <w:sz w:val="21"/>
                <w:lang w:eastAsia="zh-CN"/>
              </w:rPr>
            </w:pPr>
            <w:bookmarkStart w:id="42" w:name="_Hlk71664860"/>
            <w:r>
              <w:rPr>
                <w:rFonts w:ascii="宋体" w:eastAsia="宋体" w:hAnsi="宋体" w:hint="eastAsia"/>
                <w:kern w:val="2"/>
                <w:sz w:val="21"/>
                <w:lang w:eastAsia="zh-CN"/>
              </w:rPr>
              <w:t>样品、演示、方案讲解</w:t>
            </w:r>
            <w:bookmarkEnd w:id="42"/>
          </w:p>
        </w:tc>
        <w:tc>
          <w:tcPr>
            <w:tcW w:w="4871" w:type="dxa"/>
            <w:vAlign w:val="center"/>
          </w:tcPr>
          <w:p>
            <w:pPr>
              <w:widowControl w:val="0"/>
              <w:jc w:val="both"/>
              <w:rPr>
                <w:rFonts w:ascii="宋体" w:eastAsia="宋体" w:hAnsi="宋体" w:hint="eastAsia"/>
                <w:kern w:val="2"/>
                <w:sz w:val="21"/>
                <w:lang w:eastAsia="zh-CN"/>
              </w:rPr>
            </w:pPr>
            <w:r>
              <w:rPr>
                <w:rFonts w:ascii="宋体" w:eastAsia="宋体" w:hAnsi="宋体" w:hint="eastAsia"/>
                <w:kern w:val="2"/>
                <w:sz w:val="21"/>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7</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评审方法</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b/>
                <w:kern w:val="2"/>
                <w:sz w:val="21"/>
                <w:lang w:eastAsia="zh-CN"/>
              </w:rPr>
              <w:t xml:space="preserve">☑ </w:t>
            </w:r>
            <w:r>
              <w:rPr>
                <w:rFonts w:ascii="宋体" w:eastAsia="宋体" w:hAnsi="宋体" w:hint="eastAsia"/>
                <w:kern w:val="2"/>
                <w:sz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59"/>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定标方法</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b/>
                <w:kern w:val="2"/>
                <w:sz w:val="21"/>
                <w:lang w:eastAsia="zh-CN"/>
              </w:rPr>
              <w:t xml:space="preserve">☑ </w:t>
            </w:r>
            <w:r>
              <w:rPr>
                <w:rFonts w:ascii="宋体" w:eastAsia="宋体" w:hAnsi="宋体" w:hint="eastAsia"/>
                <w:kern w:val="2"/>
                <w:sz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履约担保</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b/>
                <w:kern w:val="2"/>
                <w:sz w:val="21"/>
                <w:lang w:eastAsia="zh-CN"/>
              </w:rPr>
              <w:t>☑</w:t>
            </w:r>
            <w:r>
              <w:rPr>
                <w:rFonts w:ascii="宋体" w:eastAsia="宋体" w:hAnsi="宋体" w:hint="eastAsia"/>
                <w:kern w:val="2"/>
                <w:sz w:val="21"/>
                <w:lang w:eastAsia="zh-CN"/>
              </w:rPr>
              <w:t xml:space="preserve"> 需要，</w:t>
            </w:r>
            <w:r>
              <w:rPr>
                <w:rFonts w:eastAsia="宋体" w:hint="eastAsia"/>
                <w:kern w:val="2"/>
                <w:sz w:val="21"/>
                <w:lang w:eastAsia="zh-CN"/>
              </w:rPr>
              <w:t>合同金额的  10  %，投标供应商自主选择以支票、汇票、本票、保函等非现金形式缴纳或提交。履约保证金在中标人履行完成合同约定权利义务事项在合同期满之日起10 日内按原方式退还，不计利息。采购人逾期退还履约保证金的，向中标人每日偿付履约保证金的0.1%的利息。因中标人原因而未能达到本项目验收标准或验收不通过的，履约保证金不予退还。</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52.8</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争议（投诉）</w:t>
            </w:r>
          </w:p>
        </w:tc>
        <w:tc>
          <w:tcPr>
            <w:tcW w:w="4871" w:type="dxa"/>
            <w:vAlign w:val="center"/>
          </w:tcPr>
          <w:p>
            <w:pPr>
              <w:widowControl w:val="0"/>
              <w:jc w:val="left"/>
              <w:rPr>
                <w:rFonts w:ascii="宋体" w:eastAsia="宋体" w:hAnsi="宋体" w:hint="eastAsia"/>
                <w:b/>
                <w:kern w:val="2"/>
                <w:sz w:val="21"/>
                <w:lang w:eastAsia="zh-CN"/>
              </w:rPr>
            </w:pPr>
            <w:r>
              <w:rPr>
                <w:rFonts w:ascii="宋体" w:eastAsia="宋体" w:hAnsi="宋体" w:hint="eastAsia"/>
                <w:kern w:val="2"/>
                <w:sz w:val="21"/>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eastAsia="宋体"/>
          <w:b/>
          <w:kern w:val="2"/>
          <w:sz w:val="21"/>
          <w:lang w:eastAsia="zh-CN"/>
        </w:rPr>
      </w:pPr>
      <w:r>
        <w:rPr>
          <w:rFonts w:eastAsia="宋体" w:hint="eastAsia"/>
          <w:kern w:val="2"/>
          <w:sz w:val="21"/>
          <w:szCs w:val="21"/>
          <w:lang w:eastAsia="zh-CN"/>
        </w:rPr>
        <w:t>备注：本表是通用条款相关条款的补充和明确，如与通用条款内容相冲突的，以本表为准。</w:t>
      </w:r>
    </w:p>
    <w:p>
      <w:pPr>
        <w:widowControl w:val="0"/>
        <w:jc w:val="both"/>
        <w:rPr>
          <w:rFonts w:eastAsia="宋体"/>
          <w:b/>
          <w:kern w:val="2"/>
          <w:sz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二、其他关键信息</w:t>
      </w:r>
    </w:p>
    <w:p>
      <w:pPr>
        <w:widowControl w:val="0"/>
        <w:ind w:firstLine="420" w:firstLineChars="200"/>
        <w:jc w:val="both"/>
        <w:rPr>
          <w:rFonts w:eastAsia="宋体"/>
          <w:b/>
          <w:bCs/>
          <w:kern w:val="2"/>
          <w:sz w:val="21"/>
          <w:lang w:eastAsia="zh-CN"/>
        </w:rPr>
      </w:pPr>
      <w:r>
        <w:rPr>
          <w:rFonts w:eastAsia="宋体" w:hint="eastAsia"/>
          <w:b/>
          <w:bCs/>
          <w:kern w:val="2"/>
          <w:sz w:val="21"/>
          <w:lang w:eastAsia="zh-CN"/>
        </w:rPr>
        <w:t>（一）与“对通用条款的补充内容”章节相关的事项</w:t>
      </w:r>
    </w:p>
    <w:p>
      <w:pPr>
        <w:widowControl w:val="0"/>
        <w:spacing w:line="276" w:lineRule="auto"/>
        <w:ind w:firstLine="420" w:firstLineChars="200"/>
        <w:jc w:val="left"/>
        <w:rPr>
          <w:rFonts w:ascii="宋体" w:eastAsia="宋体" w:hAnsi="宋体" w:hint="eastAsia"/>
          <w:b/>
          <w:sz w:val="21"/>
          <w:szCs w:val="20"/>
          <w:lang w:eastAsia="zh-CN"/>
        </w:rPr>
      </w:pPr>
      <w:bookmarkStart w:id="43" w:name="_Hlk72579465"/>
      <w:r>
        <w:rPr>
          <w:rFonts w:ascii="宋体" w:eastAsia="宋体" w:hAnsi="宋体" w:hint="eastAsia"/>
          <w:b/>
          <w:sz w:val="21"/>
          <w:szCs w:val="20"/>
          <w:lang w:eastAsia="zh-CN"/>
        </w:rPr>
        <w:t>1、评标定标信息</w:t>
      </w:r>
    </w:p>
    <w:p>
      <w:pPr>
        <w:widowControl w:val="0"/>
        <w:jc w:val="center"/>
        <w:rPr>
          <w:rFonts w:eastAsia="宋体"/>
          <w:kern w:val="2"/>
          <w:sz w:val="21"/>
          <w:lang w:eastAsia="zh-CN"/>
        </w:rPr>
      </w:pPr>
      <w:r>
        <w:rPr>
          <w:rFonts w:eastAsia="宋体" w:hint="eastAsia"/>
          <w:b/>
          <w:kern w:val="2"/>
          <w:sz w:val="21"/>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72"/>
        <w:gridCol w:w="505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442" w:type="dxa"/>
          </w:tcPr>
          <w:p>
            <w:pPr>
              <w:jc w:val="center"/>
              <w:rPr>
                <w:kern w:val="2"/>
                <w:sz w:val="21"/>
                <w:lang w:eastAsia="zh-CN"/>
              </w:rPr>
            </w:pPr>
            <w:r>
              <w:rPr>
                <w:rFonts w:hint="eastAsia"/>
                <w:kern w:val="2"/>
                <w:sz w:val="21"/>
                <w:lang w:eastAsia="zh-CN"/>
              </w:rPr>
              <w:t>评标方法</w:t>
            </w:r>
          </w:p>
        </w:tc>
        <w:tc>
          <w:tcPr>
            <w:tcW w:w="5014" w:type="dxa"/>
          </w:tcPr>
          <w:p>
            <w:pPr>
              <w:jc w:val="center"/>
              <w:rPr>
                <w:kern w:val="2"/>
                <w:sz w:val="21"/>
                <w:lang w:eastAsia="zh-CN"/>
              </w:rPr>
            </w:pPr>
            <w:r>
              <w:rPr>
                <w:rFonts w:ascii="Wingdings" w:hAnsi="Wingdings"/>
                <w:kern w:val="2"/>
                <w:sz w:val="21"/>
                <w:lang w:eastAsia="zh-CN"/>
              </w:rPr>
              <w:sym w:font="Wingdings" w:char="F0FE"/>
            </w:r>
            <w:r>
              <w:rPr>
                <w:rFonts w:hint="eastAsia"/>
                <w:kern w:val="2"/>
                <w:sz w:val="21"/>
                <w:lang w:eastAsia="zh-CN"/>
              </w:rPr>
              <w:t>综合评分法</w:t>
            </w:r>
          </w:p>
        </w:tc>
      </w:tr>
      <w:tr>
        <w:tblPrEx>
          <w:tblW w:w="5000" w:type="pct"/>
          <w:tblInd w:w="0" w:type="dxa"/>
          <w:tblLayout w:type="fixed"/>
          <w:tblCellMar>
            <w:top w:w="0" w:type="dxa"/>
            <w:left w:w="108" w:type="dxa"/>
            <w:bottom w:w="0" w:type="dxa"/>
            <w:right w:w="108" w:type="dxa"/>
          </w:tblCellMar>
        </w:tblPrEx>
        <w:tc>
          <w:tcPr>
            <w:tcW w:w="3442" w:type="dxa"/>
          </w:tcPr>
          <w:p>
            <w:pPr>
              <w:jc w:val="center"/>
              <w:rPr>
                <w:kern w:val="2"/>
                <w:sz w:val="21"/>
                <w:lang w:eastAsia="zh-CN"/>
              </w:rPr>
            </w:pPr>
            <w:r>
              <w:rPr>
                <w:rFonts w:hint="eastAsia"/>
                <w:kern w:val="2"/>
                <w:sz w:val="21"/>
                <w:lang w:eastAsia="zh-CN"/>
              </w:rPr>
              <w:t>候选中标供应商家数</w:t>
            </w:r>
          </w:p>
        </w:tc>
        <w:tc>
          <w:tcPr>
            <w:tcW w:w="5014" w:type="dxa"/>
          </w:tcPr>
          <w:p>
            <w:pPr>
              <w:jc w:val="center"/>
              <w:rPr>
                <w:kern w:val="2"/>
                <w:sz w:val="21"/>
                <w:lang w:eastAsia="zh-CN"/>
              </w:rPr>
            </w:pPr>
            <w:r>
              <w:rPr>
                <w:rFonts w:hint="eastAsia"/>
                <w:kern w:val="2"/>
                <w:sz w:val="21"/>
                <w:lang w:eastAsia="zh-CN"/>
              </w:rPr>
              <w:t>3</w:t>
            </w:r>
          </w:p>
        </w:tc>
      </w:tr>
      <w:tr>
        <w:tblPrEx>
          <w:tblW w:w="5000" w:type="pct"/>
          <w:tblInd w:w="0" w:type="dxa"/>
          <w:tblLayout w:type="fixed"/>
          <w:tblCellMar>
            <w:top w:w="0" w:type="dxa"/>
            <w:left w:w="108" w:type="dxa"/>
            <w:bottom w:w="0" w:type="dxa"/>
            <w:right w:w="108" w:type="dxa"/>
          </w:tblCellMar>
        </w:tblPrEx>
        <w:tc>
          <w:tcPr>
            <w:tcW w:w="3442" w:type="dxa"/>
          </w:tcPr>
          <w:p>
            <w:pPr>
              <w:jc w:val="center"/>
              <w:rPr>
                <w:kern w:val="2"/>
                <w:sz w:val="21"/>
                <w:lang w:eastAsia="zh-CN"/>
              </w:rPr>
            </w:pPr>
            <w:r>
              <w:rPr>
                <w:rFonts w:hint="eastAsia"/>
                <w:kern w:val="2"/>
                <w:sz w:val="21"/>
                <w:lang w:eastAsia="zh-CN"/>
              </w:rPr>
              <w:t>中标供应商家数</w:t>
            </w:r>
          </w:p>
        </w:tc>
        <w:tc>
          <w:tcPr>
            <w:tcW w:w="5014" w:type="dxa"/>
          </w:tcPr>
          <w:p>
            <w:pPr>
              <w:jc w:val="center"/>
              <w:rPr>
                <w:kern w:val="2"/>
                <w:sz w:val="21"/>
                <w:lang w:eastAsia="zh-CN"/>
              </w:rPr>
            </w:pPr>
            <w:r>
              <w:rPr>
                <w:rFonts w:hint="eastAsia"/>
                <w:kern w:val="2"/>
                <w:sz w:val="21"/>
                <w:lang w:eastAsia="zh-CN"/>
              </w:rPr>
              <w:t>1</w:t>
            </w:r>
          </w:p>
        </w:tc>
      </w:tr>
    </w:tbl>
    <w:p>
      <w:pPr>
        <w:widowControl w:val="0"/>
        <w:ind w:firstLine="420" w:firstLineChars="200"/>
        <w:jc w:val="both"/>
        <w:rPr>
          <w:rFonts w:ascii="宋体" w:eastAsia="宋体" w:hAnsi="宋体" w:hint="eastAsia"/>
          <w:b/>
          <w:kern w:val="2"/>
          <w:sz w:val="21"/>
          <w:lang w:eastAsia="zh-CN"/>
        </w:rPr>
      </w:pPr>
    </w:p>
    <w:bookmarkEnd w:id="43"/>
    <w:p>
      <w:pPr>
        <w:widowControl w:val="0"/>
        <w:ind w:firstLine="420" w:firstLineChars="200"/>
        <w:jc w:val="both"/>
        <w:rPr>
          <w:rFonts w:eastAsia="宋体"/>
          <w:b/>
          <w:kern w:val="2"/>
          <w:sz w:val="21"/>
          <w:lang w:eastAsia="zh-CN"/>
        </w:rPr>
      </w:pPr>
      <w:r>
        <w:rPr>
          <w:rFonts w:eastAsia="宋体" w:hint="eastAsia"/>
          <w:b/>
          <w:kern w:val="2"/>
          <w:sz w:val="21"/>
          <w:lang w:eastAsia="zh-CN"/>
        </w:rPr>
        <w:t>（二）其他事项</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、关于享受优惠政策的主体及价格扣除比例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（1）专门面向中小企业采购的项目，不再执行价格扣除比例。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（2）非专门面向中小企业采购的项目，应执行价格扣除比例：供应商提供的服务全部由优惠主体承接，则对其投标总价给予</w:t>
      </w:r>
      <w:r>
        <w:rPr>
          <w:rFonts w:eastAsia="宋体"/>
          <w:color w:val="FF0000"/>
          <w:kern w:val="2"/>
          <w:sz w:val="21"/>
          <w:u w:val="single"/>
          <w:lang w:eastAsia="zh-CN"/>
        </w:rPr>
        <w:t xml:space="preserve">  </w:t>
      </w:r>
      <w:r>
        <w:rPr>
          <w:rFonts w:eastAsia="宋体" w:hint="eastAsia"/>
          <w:color w:val="FF0000"/>
          <w:kern w:val="2"/>
          <w:sz w:val="21"/>
          <w:u w:val="single"/>
          <w:lang w:eastAsia="zh-CN"/>
        </w:rPr>
        <w:t>/</w:t>
      </w:r>
      <w:r>
        <w:rPr>
          <w:rFonts w:eastAsia="宋体"/>
          <w:color w:val="FF0000"/>
          <w:kern w:val="2"/>
          <w:sz w:val="21"/>
          <w:u w:val="single"/>
          <w:lang w:eastAsia="zh-CN"/>
        </w:rPr>
        <w:t xml:space="preserve">  %</w:t>
      </w:r>
      <w:r>
        <w:rPr>
          <w:rFonts w:eastAsia="宋体" w:hint="eastAsia"/>
          <w:color w:val="000000"/>
          <w:kern w:val="2"/>
          <w:sz w:val="21"/>
          <w:lang w:eastAsia="zh-CN"/>
        </w:rPr>
        <w:t>（10%~20%）</w:t>
      </w:r>
      <w:r>
        <w:rPr>
          <w:rFonts w:eastAsia="宋体" w:hint="eastAsia"/>
          <w:kern w:val="2"/>
          <w:sz w:val="21"/>
          <w:lang w:eastAsia="zh-CN"/>
        </w:rPr>
        <w:t>的扣除，用扣除后的价格参与评审。满足多项优惠政策的企业，不重复享受多项价格扣除政策。</w:t>
      </w:r>
    </w:p>
    <w:p>
      <w:pPr>
        <w:widowControl w:val="0"/>
        <w:ind w:firstLine="420" w:firstLineChars="200"/>
        <w:jc w:val="both"/>
        <w:rPr>
          <w:rFonts w:eastAsia="宋体"/>
          <w:kern w:val="2"/>
          <w:sz w:val="21"/>
          <w:lang w:eastAsia="zh-CN"/>
        </w:rPr>
      </w:pPr>
      <w:r>
        <w:rPr>
          <w:rFonts w:eastAsia="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eastAsia="宋体"/>
          <w:kern w:val="2"/>
          <w:sz w:val="21"/>
          <w:lang w:eastAsia="zh-CN"/>
        </w:rPr>
        <w:t>b)</w:t>
      </w:r>
      <w:r>
        <w:rPr>
          <w:rFonts w:eastAsia="宋体" w:hint="eastAsia"/>
          <w:kern w:val="2"/>
          <w:sz w:val="21"/>
          <w:lang w:eastAsia="zh-CN"/>
        </w:rPr>
        <w:t>优惠主体承接是指提供服务的人员为中小企业依照《中华人民共和国劳动合同法》订立劳动合同的从业人员。</w:t>
      </w:r>
    </w:p>
    <w:p>
      <w:pPr>
        <w:widowControl w:val="0"/>
        <w:numPr>
          <w:ilvl w:val="0"/>
          <w:numId w:val="5"/>
        </w:numPr>
        <w:ind w:firstLine="420" w:firstLineChars="200"/>
        <w:jc w:val="both"/>
        <w:rPr>
          <w:rFonts w:eastAsia="宋体"/>
          <w:kern w:val="2"/>
          <w:sz w:val="21"/>
          <w:szCs w:val="21"/>
          <w:lang w:eastAsia="zh-CN"/>
        </w:rPr>
      </w:pPr>
      <w:r>
        <w:rPr>
          <w:rFonts w:ascii="宋体" w:eastAsia="宋体" w:hAnsi="宋体" w:cs="宋体"/>
          <w:kern w:val="2"/>
          <w:sz w:val="21"/>
          <w:szCs w:val="21"/>
          <w:lang w:eastAsia="zh-CN"/>
        </w:rPr>
        <w:t>中小企业参加</w:t>
      </w:r>
      <w:r>
        <w:rPr>
          <w:rFonts w:ascii="宋体" w:eastAsia="宋体" w:hAnsi="宋体" w:cs="宋体" w:hint="eastAsia"/>
          <w:kern w:val="2"/>
          <w:sz w:val="21"/>
          <w:szCs w:val="21"/>
          <w:lang w:eastAsia="zh-CN"/>
        </w:rPr>
        <w:t>政府采购、自行采购</w:t>
      </w:r>
      <w:r>
        <w:rPr>
          <w:rFonts w:ascii="宋体" w:eastAsia="宋体" w:hAnsi="宋体" w:cs="宋体"/>
          <w:kern w:val="2"/>
          <w:sz w:val="21"/>
          <w:szCs w:val="21"/>
          <w:lang w:eastAsia="zh-CN"/>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《中小企业声明函》中相关企业所属行业应当与采购标的所属行业相一致。</w:t>
      </w:r>
      <w:r>
        <w:rPr>
          <w:rFonts w:eastAsia="宋体" w:hint="eastAsia"/>
          <w:kern w:val="2"/>
          <w:sz w:val="21"/>
          <w:szCs w:val="21"/>
          <w:lang w:eastAsia="zh-CN"/>
        </w:rPr>
        <w:t>本项目采购标的（服务需求）对应的中小企业划分标准所属行业为</w:t>
      </w:r>
      <w:r>
        <w:rPr>
          <w:rFonts w:eastAsia="宋体"/>
          <w:color w:val="FF0000"/>
          <w:kern w:val="2"/>
          <w:sz w:val="21"/>
          <w:szCs w:val="21"/>
          <w:u w:val="single"/>
          <w:lang w:eastAsia="zh-CN"/>
        </w:rPr>
        <w:t xml:space="preserve">   </w:t>
      </w:r>
      <w:r>
        <w:rPr>
          <w:rFonts w:eastAsia="宋体" w:hint="eastAsia"/>
          <w:color w:val="FF0000"/>
          <w:kern w:val="2"/>
          <w:sz w:val="21"/>
          <w:szCs w:val="21"/>
          <w:u w:val="single"/>
          <w:lang w:eastAsia="zh-CN"/>
        </w:rPr>
        <w:t xml:space="preserve"> </w:t>
      </w:r>
      <w:r>
        <w:rPr>
          <w:rFonts w:eastAsia="宋体" w:hint="eastAsia"/>
          <w:b/>
          <w:bCs/>
          <w:color w:val="FF0000"/>
          <w:kern w:val="2"/>
          <w:sz w:val="21"/>
          <w:szCs w:val="21"/>
          <w:u w:val="single"/>
          <w:lang w:eastAsia="zh-CN"/>
        </w:rPr>
        <w:t xml:space="preserve">餐饮 </w:t>
      </w:r>
      <w:r>
        <w:rPr>
          <w:rFonts w:eastAsia="宋体"/>
          <w:b/>
          <w:bCs/>
          <w:color w:val="FF0000"/>
          <w:kern w:val="2"/>
          <w:sz w:val="21"/>
          <w:szCs w:val="21"/>
          <w:u w:val="single"/>
          <w:lang w:eastAsia="zh-CN"/>
        </w:rPr>
        <w:t xml:space="preserve"> </w:t>
      </w:r>
      <w:r>
        <w:rPr>
          <w:rFonts w:eastAsia="宋体" w:hint="eastAsia"/>
          <w:b/>
          <w:bCs/>
          <w:kern w:val="2"/>
          <w:sz w:val="21"/>
          <w:szCs w:val="21"/>
          <w:lang w:eastAsia="zh-CN"/>
        </w:rPr>
        <w:t>业</w:t>
      </w:r>
      <w:r>
        <w:rPr>
          <w:rFonts w:eastAsia="宋体" w:hint="eastAsia"/>
          <w:kern w:val="2"/>
          <w:sz w:val="21"/>
          <w:szCs w:val="21"/>
          <w:lang w:eastAsia="zh-CN"/>
        </w:rPr>
        <w:t>。</w:t>
      </w:r>
    </w:p>
    <w:p>
      <w:pPr>
        <w:widowControl w:val="0"/>
        <w:numPr>
          <w:ilvl w:val="0"/>
          <w:numId w:val="5"/>
        </w:numPr>
        <w:ind w:firstLine="420" w:firstLineChars="200"/>
        <w:jc w:val="both"/>
        <w:rPr>
          <w:rFonts w:eastAsia="宋体"/>
          <w:kern w:val="2"/>
          <w:sz w:val="21"/>
          <w:lang w:eastAsia="zh-CN"/>
        </w:rPr>
      </w:pPr>
      <w:r>
        <w:rPr>
          <w:rFonts w:eastAsia="宋体" w:hint="eastAsia"/>
          <w:kern w:val="2"/>
          <w:sz w:val="21"/>
          <w:szCs w:val="21"/>
          <w:lang w:eastAsia="zh-CN"/>
        </w:rPr>
        <w:t>小型企业、微</w:t>
      </w:r>
      <w:r>
        <w:rPr>
          <w:rFonts w:eastAsia="宋体" w:hint="eastAsia"/>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pPr>
        <w:widowControl w:val="0"/>
        <w:ind w:firstLine="420" w:firstLineChars="200"/>
        <w:jc w:val="both"/>
        <w:rPr>
          <w:rFonts w:eastAsia="宋体"/>
          <w:kern w:val="2"/>
          <w:sz w:val="21"/>
          <w:lang w:eastAsia="zh-CN"/>
        </w:rPr>
      </w:pPr>
      <w:r>
        <w:rPr>
          <w:rFonts w:eastAsia="宋体" w:hint="eastAsia"/>
          <w:kern w:val="2"/>
          <w:sz w:val="21"/>
          <w:lang w:eastAsia="zh-CN"/>
        </w:rPr>
        <w:t>（5）享受价格扣除获得采购合同的，小微企业不得将合同分包给大中型企业。</w:t>
      </w:r>
    </w:p>
    <w:p>
      <w:pPr>
        <w:widowControl w:val="0"/>
        <w:spacing w:line="360" w:lineRule="auto"/>
        <w:ind w:firstLine="420" w:firstLineChars="200"/>
        <w:jc w:val="both"/>
        <w:rPr>
          <w:rFonts w:ascii="宋体" w:eastAsia="宋体" w:hAnsi="宋体" w:cs="宋体" w:hint="eastAsia"/>
          <w:b/>
          <w:bCs/>
          <w:kern w:val="2"/>
          <w:sz w:val="21"/>
          <w:lang w:eastAsia="zh-CN"/>
        </w:rPr>
      </w:pPr>
    </w:p>
    <w:p>
      <w:pPr>
        <w:widowControl w:val="0"/>
        <w:ind w:firstLine="420" w:firstLineChars="200"/>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2、关于采购订单融资政策</w:t>
      </w:r>
    </w:p>
    <w:p>
      <w:pPr>
        <w:widowControl w:val="0"/>
        <w:wordWrap w:val="0"/>
        <w:ind w:firstLine="420" w:firstLineChars="200"/>
        <w:jc w:val="both"/>
        <w:rPr>
          <w:rFonts w:ascii="宋体" w:eastAsia="宋体" w:hAnsi="宋体" w:hint="eastAsia"/>
          <w:b/>
          <w:kern w:val="2"/>
          <w:sz w:val="21"/>
          <w:lang w:eastAsia="zh-CN"/>
        </w:rPr>
      </w:pPr>
      <w:r>
        <w:rPr>
          <w:rFonts w:eastAsia="宋体" w:hint="eastAsia"/>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640" w:firstLineChars="200"/>
        <w:jc w:val="both"/>
        <w:rPr>
          <w:rFonts w:eastAsia="宋体"/>
          <w:kern w:val="2"/>
          <w:sz w:val="32"/>
          <w:szCs w:val="40"/>
          <w:lang w:eastAsia="zh-CN"/>
        </w:rPr>
      </w:pPr>
    </w:p>
    <w:p>
      <w:pPr>
        <w:widowControl w:val="0"/>
        <w:ind w:firstLine="420" w:firstLineChars="200"/>
        <w:jc w:val="both"/>
        <w:rPr>
          <w:rFonts w:eastAsia="宋体"/>
          <w:b/>
          <w:kern w:val="2"/>
          <w:sz w:val="21"/>
          <w:lang w:eastAsia="zh-CN"/>
        </w:rPr>
      </w:pPr>
      <w:r>
        <w:rPr>
          <w:rFonts w:eastAsia="宋体" w:hint="eastAsia"/>
          <w:b/>
          <w:kern w:val="2"/>
          <w:sz w:val="21"/>
          <w:lang w:eastAsia="zh-CN"/>
        </w:rPr>
        <w:t>3、</w:t>
      </w:r>
      <w:bookmarkStart w:id="44" w:name="_Hlk76855768"/>
      <w:bookmarkStart w:id="45" w:name="_Hlk72594729"/>
      <w:r>
        <w:rPr>
          <w:rFonts w:eastAsia="宋体" w:hint="eastAsia"/>
          <w:b/>
          <w:kern w:val="2"/>
          <w:sz w:val="21"/>
          <w:lang w:eastAsia="zh-CN"/>
        </w:rPr>
        <w:t>本项目为代理服务项目，将向中标（成交）供应商收取代理服务费。</w:t>
      </w:r>
    </w:p>
    <w:bookmarkEnd w:id="44"/>
    <w:bookmarkEnd w:id="45"/>
    <w:p>
      <w:pPr>
        <w:widowControl w:val="0"/>
        <w:ind w:firstLine="420" w:firstLineChars="20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eastAsia="宋体" w:hint="eastAsia"/>
          <w:b/>
          <w:color w:val="FF0000"/>
          <w:kern w:val="2"/>
          <w:sz w:val="21"/>
          <w:lang w:eastAsia="zh-CN"/>
        </w:rPr>
        <w:t>本项目类型为服务采购：</w:t>
      </w:r>
    </w:p>
    <w:p>
      <w:pPr>
        <w:widowControl w:val="0"/>
        <w:ind w:firstLine="420" w:firstLineChars="200"/>
        <w:jc w:val="both"/>
        <w:rPr>
          <w:rFonts w:eastAsia="宋体"/>
          <w:kern w:val="2"/>
          <w:sz w:val="21"/>
          <w:lang w:eastAsia="zh-CN"/>
        </w:rPr>
      </w:pPr>
      <w:r>
        <w:rPr>
          <w:rFonts w:eastAsia="宋体" w:hint="eastAsia"/>
          <w:kern w:val="2"/>
          <w:sz w:val="21"/>
          <w:lang w:eastAsia="zh-CN"/>
        </w:rPr>
        <w:t>（1）代理服务费以《中标（成交）通知书》确定的中标（成交）金额作为计算基数，按差额定率累进法计算。</w:t>
      </w:r>
    </w:p>
    <w:p>
      <w:pPr>
        <w:widowControl w:val="0"/>
        <w:ind w:firstLine="420" w:firstLineChars="200"/>
        <w:jc w:val="both"/>
        <w:rPr>
          <w:rFonts w:eastAsia="宋体"/>
          <w:kern w:val="2"/>
          <w:sz w:val="21"/>
          <w:lang w:eastAsia="zh-CN"/>
        </w:rPr>
      </w:pPr>
      <w:r>
        <w:rPr>
          <w:rFonts w:eastAsia="宋体" w:hint="eastAsia"/>
          <w:kern w:val="2"/>
          <w:sz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货物采购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服务采购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100万元以下</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100万元（含）-500万元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500万元（含）-1000万元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0.45%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1000万元（含）-5000万元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5000万元（含）-1亿元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1亿元（含）-5亿元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5亿元（含）-10亿元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10亿元（含）-50亿元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50亿元（含）-100亿元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100亿元（含）以上</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r>
    </w:tbl>
    <w:p>
      <w:pPr>
        <w:widowControl w:val="0"/>
        <w:ind w:firstLine="420" w:firstLineChars="200"/>
        <w:jc w:val="both"/>
        <w:rPr>
          <w:rFonts w:eastAsia="宋体"/>
          <w:kern w:val="2"/>
          <w:sz w:val="21"/>
          <w:lang w:eastAsia="zh-CN"/>
        </w:rPr>
      </w:pPr>
      <w:r>
        <w:rPr>
          <w:rFonts w:eastAsia="宋体" w:hint="eastAsia"/>
          <w:kern w:val="2"/>
          <w:sz w:val="21"/>
          <w:lang w:eastAsia="zh-CN"/>
        </w:rPr>
        <w:t>备注：1.每宗交易代理服务费不低于 5000 元；</w:t>
      </w:r>
    </w:p>
    <w:p>
      <w:pPr>
        <w:widowControl w:val="0"/>
        <w:ind w:firstLine="420" w:firstLineChars="200"/>
        <w:jc w:val="both"/>
        <w:rPr>
          <w:rFonts w:eastAsia="宋体"/>
          <w:kern w:val="2"/>
          <w:sz w:val="21"/>
          <w:lang w:eastAsia="zh-CN"/>
        </w:rPr>
      </w:pPr>
      <w:r>
        <w:rPr>
          <w:rFonts w:eastAsia="宋体" w:hint="eastAsia"/>
          <w:kern w:val="2"/>
          <w:sz w:val="21"/>
          <w:lang w:eastAsia="zh-CN"/>
        </w:rPr>
        <w:t>2.对于报总价的采购类项目，中标（成交）价为中标（成交）金额；对于报单价、折扣或费率的采购类项目，中标（成交）价为预算上限金额或经委托方与代理方确定的支付上限金额；</w:t>
      </w:r>
    </w:p>
    <w:p>
      <w:pPr>
        <w:widowControl w:val="0"/>
        <w:ind w:firstLine="420" w:firstLineChars="200"/>
        <w:jc w:val="both"/>
        <w:rPr>
          <w:rFonts w:eastAsia="宋体"/>
          <w:kern w:val="2"/>
          <w:sz w:val="21"/>
          <w:lang w:eastAsia="zh-CN"/>
        </w:rPr>
      </w:pPr>
      <w:r>
        <w:rPr>
          <w:rFonts w:eastAsia="宋体" w:hint="eastAsia"/>
          <w:kern w:val="2"/>
          <w:sz w:val="21"/>
          <w:lang w:eastAsia="zh-CN"/>
        </w:rPr>
        <w:t>如某货物采购项目，中标（成交）金额为600万元，总共交纳的代理服务费的具体计算过程如下：</w:t>
      </w:r>
    </w:p>
    <w:p>
      <w:pPr>
        <w:widowControl w:val="0"/>
        <w:ind w:firstLine="420" w:firstLineChars="200"/>
        <w:jc w:val="both"/>
        <w:rPr>
          <w:rFonts w:eastAsia="宋体"/>
          <w:kern w:val="2"/>
          <w:sz w:val="21"/>
          <w:lang w:eastAsia="zh-CN"/>
        </w:rPr>
      </w:pPr>
      <w:r>
        <w:rPr>
          <w:rFonts w:eastAsia="宋体" w:hint="eastAsia"/>
          <w:kern w:val="2"/>
          <w:sz w:val="21"/>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宋体" w:eastAsia="宋体" w:hAnsi="宋体" w:cs="宋体" w:hint="eastAsia"/>
          <w:bCs/>
          <w:color w:val="FF0000"/>
          <w:kern w:val="2"/>
          <w:sz w:val="21"/>
          <w:szCs w:val="21"/>
          <w:lang w:eastAsia="zh-CN"/>
        </w:rPr>
      </w:pPr>
      <w:r>
        <w:rPr>
          <w:rFonts w:eastAsia="宋体" w:hint="eastAsia"/>
          <w:kern w:val="2"/>
          <w:sz w:val="21"/>
          <w:lang w:eastAsia="zh-CN"/>
        </w:rPr>
        <w:t>（3）中标（成交）供应商中标（成交）后，必须按规定采用银行对公转账方式向深圳交易集团有限公司直接交纳代理服务费，具体交纳信息以</w:t>
      </w:r>
      <w:bookmarkStart w:id="46" w:name="OLE_LINK1"/>
      <w:r>
        <w:rPr>
          <w:rFonts w:eastAsia="宋体" w:hint="eastAsia"/>
          <w:kern w:val="2"/>
          <w:sz w:val="21"/>
          <w:lang w:eastAsia="zh-CN"/>
        </w:rPr>
        <w:t>《付款（缴款）通知书》</w:t>
      </w:r>
      <w:bookmarkEnd w:id="46"/>
      <w:r>
        <w:rPr>
          <w:rFonts w:eastAsia="宋体" w:hint="eastAsia"/>
          <w:kern w:val="2"/>
          <w:sz w:val="21"/>
          <w:lang w:eastAsia="zh-CN"/>
        </w:rPr>
        <w:t>内容为准。</w:t>
      </w:r>
    </w:p>
    <w:p>
      <w:pPr>
        <w:widowControl w:val="0"/>
        <w:spacing w:line="360" w:lineRule="auto"/>
        <w:jc w:val="both"/>
        <w:rPr>
          <w:rFonts w:eastAsia="宋体"/>
          <w:b/>
          <w:bCs/>
          <w:kern w:val="2"/>
          <w:lang w:eastAsia="zh-CN"/>
        </w:rPr>
      </w:pPr>
      <w:r>
        <w:rPr>
          <w:rFonts w:eastAsia="宋体" w:hint="eastAsia"/>
          <w:b/>
          <w:bCs/>
          <w:kern w:val="2"/>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bookmarkStart w:id="47" w:name="_Toc128884461"/>
      <w:r>
        <w:rPr>
          <w:rFonts w:ascii="宋体" w:eastAsia="宋体" w:hAnsi="宋体" w:hint="eastAsia"/>
          <w:b/>
          <w:bCs/>
          <w:sz w:val="28"/>
          <w:szCs w:val="28"/>
          <w:lang w:eastAsia="zh-CN"/>
        </w:rPr>
        <w:t>第三章 用户需求书</w:t>
      </w: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一、项目基本信息</w:t>
      </w:r>
    </w:p>
    <w:tbl>
      <w:tblPr>
        <w:tblStyle w:val="TableNormal"/>
        <w:tblpPr w:leftFromText="180" w:rightFromText="180" w:vertAnchor="text" w:horzAnchor="margin" w:tblpXSpec="center" w:tblpY="17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7"/>
        <w:gridCol w:w="3005"/>
        <w:gridCol w:w="394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jc w:val="center"/>
        </w:trPr>
        <w:tc>
          <w:tcPr>
            <w:tcW w:w="924" w:type="pct"/>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1761" w:type="pct"/>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采购项目名称</w:t>
            </w:r>
          </w:p>
        </w:tc>
        <w:tc>
          <w:tcPr>
            <w:tcW w:w="2314" w:type="pct"/>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预算金额（元）</w:t>
            </w:r>
          </w:p>
        </w:tc>
      </w:tr>
      <w:tr>
        <w:tblPrEx>
          <w:tblW w:w="5000" w:type="pct"/>
          <w:jc w:val="center"/>
          <w:tblLayout w:type="fixed"/>
          <w:tblCellMar>
            <w:top w:w="0" w:type="dxa"/>
            <w:left w:w="108" w:type="dxa"/>
            <w:bottom w:w="0" w:type="dxa"/>
            <w:right w:w="108" w:type="dxa"/>
          </w:tblCellMar>
        </w:tblPrEx>
        <w:trPr>
          <w:trHeight w:val="290"/>
          <w:jc w:val="center"/>
        </w:trPr>
        <w:tc>
          <w:tcPr>
            <w:tcW w:w="924" w:type="pct"/>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1</w:t>
            </w:r>
          </w:p>
        </w:tc>
        <w:tc>
          <w:tcPr>
            <w:tcW w:w="1761" w:type="pct"/>
            <w:vAlign w:val="center"/>
          </w:tcPr>
          <w:p>
            <w:pPr>
              <w:widowControl w:val="0"/>
              <w:jc w:val="center"/>
              <w:rPr>
                <w:rFonts w:eastAsia="宋体" w:hint="eastAsia"/>
                <w:kern w:val="2"/>
                <w:sz w:val="21"/>
                <w:szCs w:val="21"/>
                <w:lang w:eastAsia="zh-CN"/>
              </w:rPr>
            </w:pPr>
            <w:r>
              <w:rPr>
                <w:rFonts w:eastAsia="宋体" w:hint="eastAsia"/>
                <w:kern w:val="2"/>
                <w:sz w:val="21"/>
                <w:szCs w:val="21"/>
                <w:lang w:eastAsia="zh-CN"/>
              </w:rPr>
              <w:t>深圳市殡葬服务中心食堂</w:t>
            </w:r>
          </w:p>
          <w:p>
            <w:pPr>
              <w:widowControl w:val="0"/>
              <w:jc w:val="center"/>
              <w:rPr>
                <w:rFonts w:eastAsia="宋体"/>
                <w:b/>
                <w:bCs/>
                <w:color w:val="FF0000"/>
                <w:kern w:val="2"/>
                <w:sz w:val="21"/>
                <w:szCs w:val="21"/>
                <w:lang w:eastAsia="zh-CN"/>
              </w:rPr>
            </w:pPr>
            <w:r>
              <w:rPr>
                <w:rFonts w:eastAsia="宋体" w:hint="eastAsia"/>
                <w:kern w:val="2"/>
                <w:sz w:val="21"/>
                <w:szCs w:val="21"/>
                <w:lang w:eastAsia="zh-CN"/>
              </w:rPr>
              <w:t>食材配送项目</w:t>
            </w:r>
          </w:p>
        </w:tc>
        <w:tc>
          <w:tcPr>
            <w:tcW w:w="2314" w:type="pct"/>
            <w:vAlign w:val="center"/>
          </w:tcPr>
          <w:p>
            <w:pPr>
              <w:widowControl w:val="0"/>
              <w:jc w:val="center"/>
              <w:rPr>
                <w:rFonts w:eastAsia="宋体"/>
                <w:bCs/>
                <w:color w:val="FF0000"/>
                <w:kern w:val="2"/>
                <w:sz w:val="21"/>
                <w:szCs w:val="21"/>
                <w:lang w:eastAsia="zh-CN"/>
              </w:rPr>
            </w:pPr>
            <w:r>
              <w:rPr>
                <w:rFonts w:eastAsia="宋体" w:hint="eastAsia"/>
                <w:kern w:val="2"/>
                <w:sz w:val="21"/>
                <w:szCs w:val="21"/>
                <w:lang w:eastAsia="zh-CN"/>
              </w:rPr>
              <w:t>980000</w:t>
            </w:r>
          </w:p>
        </w:tc>
      </w:tr>
    </w:tbl>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二、项目概况</w:t>
      </w:r>
    </w:p>
    <w:p>
      <w:pPr>
        <w:widowControl/>
        <w:snapToGrid w:val="0"/>
        <w:spacing w:line="560" w:lineRule="exact"/>
        <w:ind w:firstLine="412" w:firstLineChars="196"/>
        <w:jc w:val="left"/>
        <w:rPr>
          <w:rFonts w:ascii="宋体" w:eastAsia="宋体" w:hAnsi="宋体" w:cs="宋体" w:hint="eastAsia"/>
          <w:b/>
          <w:sz w:val="21"/>
          <w:szCs w:val="21"/>
          <w:lang w:eastAsia="zh-CN"/>
        </w:rPr>
      </w:pPr>
      <w:r>
        <w:rPr>
          <w:rFonts w:ascii="宋体" w:eastAsia="宋体" w:hAnsi="宋体" w:cs="宋体" w:hint="eastAsia"/>
          <w:b/>
          <w:sz w:val="21"/>
          <w:szCs w:val="21"/>
          <w:lang w:eastAsia="zh-CN"/>
        </w:rPr>
        <w:t>（一）项目的背景及项目整体情况</w:t>
      </w:r>
    </w:p>
    <w:p>
      <w:pPr>
        <w:widowControl w:val="0"/>
        <w:spacing w:line="360" w:lineRule="auto"/>
        <w:ind w:firstLine="420" w:firstLineChars="200"/>
        <w:jc w:val="both"/>
        <w:rPr>
          <w:rFonts w:ascii="宋体" w:eastAsia="宋体" w:hAnsi="宋体" w:hint="eastAsia"/>
          <w:kern w:val="2"/>
          <w:sz w:val="21"/>
          <w:szCs w:val="21"/>
          <w:lang w:eastAsia="zh-CN"/>
        </w:rPr>
      </w:pPr>
      <w:bookmarkStart w:id="48" w:name="OLE_LINK6"/>
      <w:r>
        <w:rPr>
          <w:rFonts w:ascii="宋体" w:eastAsia="宋体" w:hAnsi="宋体" w:hint="eastAsia"/>
          <w:kern w:val="2"/>
          <w:sz w:val="21"/>
          <w:szCs w:val="21"/>
          <w:lang w:eastAsia="zh-CN"/>
        </w:rPr>
        <w:t>深圳市殡葬服务中心食堂位于深圳市龙岗区龙岗大道路3031号殡葬中心综合楼一楼。食堂节假日不休，提供每日早、中、晚三餐日常服务，每日就餐总人数约550人次，特殊状况下需提供应急供餐保障服务。食堂厨具、餐具、洗消设备、食堂桌椅等设备齐全。</w:t>
      </w:r>
    </w:p>
    <w:bookmarkEnd w:id="48"/>
    <w:p>
      <w:pPr>
        <w:widowControl/>
        <w:snapToGrid w:val="0"/>
        <w:ind w:firstLine="412" w:firstLineChars="196"/>
        <w:jc w:val="left"/>
        <w:rPr>
          <w:rFonts w:ascii="宋体" w:eastAsia="宋体" w:hAnsi="宋体" w:cs="宋体" w:hint="eastAsia"/>
          <w:b/>
          <w:sz w:val="21"/>
          <w:szCs w:val="21"/>
          <w:lang w:eastAsia="zh-CN"/>
        </w:rPr>
      </w:pPr>
    </w:p>
    <w:p>
      <w:pPr>
        <w:widowControl/>
        <w:snapToGrid w:val="0"/>
        <w:ind w:firstLine="412" w:firstLineChars="196"/>
        <w:jc w:val="left"/>
        <w:rPr>
          <w:rFonts w:ascii="宋体" w:eastAsia="宋体" w:hAnsi="宋体" w:cs="宋体" w:hint="eastAsia"/>
          <w:b/>
          <w:sz w:val="21"/>
          <w:szCs w:val="21"/>
          <w:lang w:eastAsia="zh-CN"/>
        </w:rPr>
      </w:pPr>
      <w:r>
        <w:rPr>
          <w:rFonts w:ascii="宋体" w:eastAsia="宋体" w:hAnsi="宋体" w:cs="宋体" w:hint="eastAsia"/>
          <w:b/>
          <w:sz w:val="21"/>
          <w:szCs w:val="21"/>
          <w:lang w:eastAsia="zh-CN"/>
        </w:rPr>
        <w:t>（二）项目所依据及参考的标准</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1.餐饮服务概括</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26"/>
        <w:gridCol w:w="2509"/>
        <w:gridCol w:w="309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3"/>
          <w:jc w:val="center"/>
        </w:trPr>
        <w:tc>
          <w:tcPr>
            <w:tcW w:w="3025" w:type="dxa"/>
            <w:vAlign w:val="center"/>
          </w:tcPr>
          <w:p>
            <w:pPr>
              <w:widowControl/>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类别</w:t>
            </w:r>
          </w:p>
        </w:tc>
        <w:tc>
          <w:tcPr>
            <w:tcW w:w="2592" w:type="dxa"/>
            <w:vAlign w:val="center"/>
          </w:tcPr>
          <w:p>
            <w:pPr>
              <w:widowControl/>
              <w:ind w:firstLine="105" w:firstLineChars="50"/>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食堂数量</w:t>
            </w:r>
          </w:p>
        </w:tc>
        <w:tc>
          <w:tcPr>
            <w:tcW w:w="3198" w:type="dxa"/>
            <w:vAlign w:val="center"/>
          </w:tcPr>
          <w:p>
            <w:pPr>
              <w:widowControl/>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用餐人数</w:t>
            </w:r>
          </w:p>
        </w:tc>
      </w:tr>
      <w:tr>
        <w:tblPrEx>
          <w:tblW w:w="5000" w:type="pct"/>
          <w:jc w:val="center"/>
          <w:tblLayout w:type="fixed"/>
          <w:tblCellMar>
            <w:top w:w="0" w:type="dxa"/>
            <w:left w:w="108" w:type="dxa"/>
            <w:bottom w:w="0" w:type="dxa"/>
            <w:right w:w="108" w:type="dxa"/>
          </w:tblCellMar>
        </w:tblPrEx>
        <w:trPr>
          <w:trHeight w:val="546"/>
          <w:jc w:val="center"/>
        </w:trPr>
        <w:tc>
          <w:tcPr>
            <w:tcW w:w="3025" w:type="dxa"/>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餐饮服务</w:t>
            </w:r>
          </w:p>
        </w:tc>
        <w:tc>
          <w:tcPr>
            <w:tcW w:w="2592" w:type="dxa"/>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3198" w:type="dxa"/>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约550人次</w:t>
            </w:r>
          </w:p>
        </w:tc>
      </w:tr>
    </w:tbl>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2.餐饮服务内容及标准</w:t>
      </w:r>
    </w:p>
    <w:tbl>
      <w:tblPr>
        <w:tblStyle w:val="TableNormal"/>
        <w:tblW w:w="5000" w:type="pct"/>
        <w:jc w:val="center"/>
        <w:tblLayout w:type="fixed"/>
        <w:tblCellMar>
          <w:top w:w="0" w:type="dxa"/>
          <w:left w:w="108" w:type="dxa"/>
          <w:bottom w:w="0" w:type="dxa"/>
          <w:right w:w="108" w:type="dxa"/>
        </w:tblCellMar>
      </w:tblPr>
      <w:tblGrid>
        <w:gridCol w:w="1673"/>
        <w:gridCol w:w="1259"/>
        <w:gridCol w:w="721"/>
        <w:gridCol w:w="2588"/>
        <w:gridCol w:w="2288"/>
      </w:tblGrid>
      <w:tr>
        <w:tblPrEx>
          <w:tblW w:w="5000" w:type="pct"/>
          <w:jc w:val="center"/>
          <w:tblLayout w:type="fixed"/>
          <w:tblCellMar>
            <w:top w:w="0" w:type="dxa"/>
            <w:left w:w="108" w:type="dxa"/>
            <w:bottom w:w="0" w:type="dxa"/>
            <w:right w:w="108" w:type="dxa"/>
          </w:tblCellMar>
        </w:tblPrEx>
        <w:trPr>
          <w:trHeight w:val="76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服务项目</w:t>
            </w:r>
          </w:p>
        </w:tc>
        <w:tc>
          <w:tcPr>
            <w:tcW w:w="1299"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服务</w:t>
            </w:r>
          </w:p>
          <w:p>
            <w:pPr>
              <w:widowControl/>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内容</w:t>
            </w:r>
          </w:p>
        </w:tc>
        <w:tc>
          <w:tcPr>
            <w:tcW w:w="74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作业周期</w:t>
            </w:r>
          </w:p>
        </w:tc>
        <w:tc>
          <w:tcPr>
            <w:tcW w:w="268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作业标准</w:t>
            </w:r>
          </w:p>
        </w:tc>
        <w:tc>
          <w:tcPr>
            <w:tcW w:w="236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b/>
                <w:sz w:val="21"/>
                <w:szCs w:val="21"/>
                <w:lang w:eastAsia="zh-CN"/>
              </w:rPr>
            </w:pPr>
            <w:r>
              <w:rPr>
                <w:rFonts w:ascii="宋体" w:eastAsia="宋体" w:hAnsi="宋体" w:cs="宋体" w:hint="eastAsia"/>
                <w:b/>
                <w:sz w:val="21"/>
                <w:szCs w:val="21"/>
                <w:lang w:eastAsia="zh-CN"/>
              </w:rPr>
              <w:t>备注</w:t>
            </w:r>
          </w:p>
        </w:tc>
      </w:tr>
      <w:tr>
        <w:tblPrEx>
          <w:tblW w:w="5000" w:type="pct"/>
          <w:jc w:val="center"/>
          <w:tblLayout w:type="fixed"/>
          <w:tblCellMar>
            <w:top w:w="0" w:type="dxa"/>
            <w:left w:w="108" w:type="dxa"/>
            <w:bottom w:w="0" w:type="dxa"/>
            <w:right w:w="108" w:type="dxa"/>
          </w:tblCellMar>
        </w:tblPrEx>
        <w:trPr>
          <w:trHeight w:val="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p>
            <w:pPr>
              <w:widowControl/>
              <w:jc w:val="center"/>
              <w:rPr>
                <w:rFonts w:ascii="宋体" w:eastAsia="宋体" w:hAnsi="宋体" w:cs="宋体" w:hint="eastAsia"/>
                <w:sz w:val="21"/>
                <w:szCs w:val="21"/>
                <w:lang w:eastAsia="zh-CN"/>
              </w:rPr>
            </w:pPr>
          </w:p>
          <w:p>
            <w:pPr>
              <w:widowControl w:val="0"/>
              <w:spacing w:line="240" w:lineRule="auto"/>
              <w:jc w:val="center"/>
              <w:rPr>
                <w:rFonts w:ascii="宋体" w:eastAsia="宋体" w:hAnsi="宋体" w:cs="宋体" w:hint="eastAsia"/>
                <w:b/>
                <w:bCs/>
                <w:kern w:val="2"/>
                <w:sz w:val="21"/>
                <w:szCs w:val="21"/>
                <w:lang w:eastAsia="zh-CN"/>
              </w:rPr>
            </w:pPr>
          </w:p>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餐前</w:t>
            </w:r>
          </w:p>
          <w:p>
            <w:pPr>
              <w:widowControl/>
              <w:jc w:val="center"/>
              <w:rPr>
                <w:rFonts w:ascii="宋体" w:eastAsia="宋体" w:hAnsi="宋体" w:cs="宋体" w:hint="eastAsia"/>
                <w:sz w:val="21"/>
                <w:szCs w:val="21"/>
                <w:lang w:eastAsia="zh-CN"/>
              </w:rPr>
            </w:pPr>
          </w:p>
          <w:p>
            <w:pPr>
              <w:widowControl/>
              <w:jc w:val="center"/>
              <w:rPr>
                <w:rFonts w:ascii="宋体" w:eastAsia="宋体" w:hAnsi="宋体" w:cs="宋体" w:hint="eastAsia"/>
                <w:sz w:val="21"/>
                <w:szCs w:val="21"/>
                <w:lang w:eastAsia="zh-CN"/>
              </w:rPr>
            </w:pPr>
          </w:p>
          <w:p>
            <w:pPr>
              <w:widowControl/>
              <w:jc w:val="center"/>
              <w:rPr>
                <w:rFonts w:ascii="宋体" w:eastAsia="宋体" w:hAnsi="宋体" w:cs="宋体" w:hint="eastAsia"/>
                <w:sz w:val="21"/>
                <w:szCs w:val="21"/>
                <w:lang w:eastAsia="zh-CN"/>
              </w:rPr>
            </w:pPr>
          </w:p>
          <w:p>
            <w:pPr>
              <w:widowControl/>
              <w:jc w:val="center"/>
              <w:rPr>
                <w:rFonts w:ascii="宋体" w:eastAsia="宋体" w:hAnsi="宋体" w:cs="宋体" w:hint="eastAsia"/>
                <w:sz w:val="21"/>
                <w:szCs w:val="21"/>
                <w:lang w:eastAsia="zh-CN"/>
              </w:rPr>
            </w:pPr>
          </w:p>
          <w:p>
            <w:pPr>
              <w:widowControl/>
              <w:jc w:val="center"/>
              <w:rPr>
                <w:rFonts w:ascii="宋体" w:eastAsia="宋体" w:hAnsi="宋体" w:cs="宋体" w:hint="eastAsia"/>
                <w:sz w:val="21"/>
                <w:szCs w:val="21"/>
                <w:lang w:eastAsia="zh-CN"/>
              </w:rPr>
            </w:pPr>
          </w:p>
          <w:p>
            <w:pPr>
              <w:widowControl/>
              <w:jc w:val="center"/>
              <w:rPr>
                <w:rFonts w:ascii="宋体" w:eastAsia="宋体" w:hAnsi="宋体" w:cs="宋体" w:hint="eastAsia"/>
                <w:sz w:val="21"/>
                <w:szCs w:val="21"/>
                <w:lang w:eastAsia="zh-CN"/>
              </w:rPr>
            </w:pPr>
          </w:p>
          <w:p>
            <w:pPr>
              <w:widowControl/>
              <w:jc w:val="center"/>
              <w:rPr>
                <w:rFonts w:ascii="宋体" w:eastAsia="宋体" w:hAnsi="宋体" w:cs="宋体" w:hint="eastAsia"/>
                <w:sz w:val="21"/>
                <w:szCs w:val="21"/>
                <w:lang w:eastAsia="zh-CN"/>
              </w:rPr>
            </w:pPr>
          </w:p>
          <w:p>
            <w:pPr>
              <w:widowControl/>
              <w:jc w:val="center"/>
              <w:rPr>
                <w:rFonts w:ascii="宋体" w:eastAsia="宋体" w:hAnsi="宋体" w:cs="宋体" w:hint="eastAsia"/>
                <w:sz w:val="21"/>
                <w:szCs w:val="21"/>
                <w:lang w:eastAsia="zh-CN"/>
              </w:rPr>
            </w:pPr>
          </w:p>
          <w:p>
            <w:pPr>
              <w:widowControl/>
              <w:jc w:val="center"/>
              <w:rPr>
                <w:rFonts w:ascii="宋体" w:eastAsia="宋体" w:hAnsi="宋体" w:cs="宋体" w:hint="eastAsia"/>
                <w:sz w:val="21"/>
                <w:szCs w:val="21"/>
                <w:lang w:eastAsia="zh-CN"/>
              </w:rPr>
            </w:pPr>
          </w:p>
          <w:p>
            <w:pPr>
              <w:widowControl/>
              <w:jc w:val="center"/>
              <w:rPr>
                <w:rFonts w:ascii="宋体" w:eastAsia="宋体" w:hAnsi="宋体" w:cs="宋体" w:hint="eastAsia"/>
                <w:sz w:val="21"/>
                <w:szCs w:val="21"/>
                <w:lang w:eastAsia="zh-CN"/>
              </w:rPr>
            </w:pPr>
          </w:p>
        </w:tc>
        <w:tc>
          <w:tcPr>
            <w:tcW w:w="1299"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菜谱拟定</w:t>
            </w:r>
          </w:p>
        </w:tc>
        <w:tc>
          <w:tcPr>
            <w:tcW w:w="74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每周</w:t>
            </w:r>
          </w:p>
        </w:tc>
        <w:tc>
          <w:tcPr>
            <w:tcW w:w="268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按采购人规定的品种、数量，结合营养配餐、口味搭配、成本控制等标准制定菜谱，供采购人审核。</w:t>
            </w:r>
          </w:p>
        </w:tc>
        <w:tc>
          <w:tcPr>
            <w:tcW w:w="2368"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90"/>
          <w:jc w:val="center"/>
        </w:trPr>
        <w:tc>
          <w:tcPr>
            <w:tcW w:w="1728" w:type="dxa"/>
            <w:vMerge/>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c>
          <w:tcPr>
            <w:tcW w:w="1299"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原料的验收</w:t>
            </w:r>
          </w:p>
        </w:tc>
        <w:tc>
          <w:tcPr>
            <w:tcW w:w="74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每天</w:t>
            </w:r>
          </w:p>
        </w:tc>
        <w:tc>
          <w:tcPr>
            <w:tcW w:w="268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按原料验收标准执行，重点检查原料的安全卫生。</w:t>
            </w:r>
          </w:p>
        </w:tc>
        <w:tc>
          <w:tcPr>
            <w:tcW w:w="2368"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1814"/>
          <w:jc w:val="center"/>
        </w:trPr>
        <w:tc>
          <w:tcPr>
            <w:tcW w:w="1728" w:type="dxa"/>
            <w:vMerge/>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c>
          <w:tcPr>
            <w:tcW w:w="1299"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原料的清洗、粗加工及切配</w:t>
            </w:r>
          </w:p>
        </w:tc>
        <w:tc>
          <w:tcPr>
            <w:tcW w:w="74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餐前三小时</w:t>
            </w:r>
          </w:p>
        </w:tc>
        <w:tc>
          <w:tcPr>
            <w:tcW w:w="268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按菜谱要求及粗加工、切配规范执行，保证原料形状均匀、干净卫生、符合烹制要求。</w:t>
            </w:r>
          </w:p>
        </w:tc>
        <w:tc>
          <w:tcPr>
            <w:tcW w:w="2368"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1153"/>
          <w:jc w:val="center"/>
        </w:trPr>
        <w:tc>
          <w:tcPr>
            <w:tcW w:w="1728" w:type="dxa"/>
            <w:vMerge/>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c>
          <w:tcPr>
            <w:tcW w:w="1299"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菜品烹制</w:t>
            </w:r>
          </w:p>
        </w:tc>
        <w:tc>
          <w:tcPr>
            <w:tcW w:w="74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餐前二小时</w:t>
            </w:r>
          </w:p>
        </w:tc>
        <w:tc>
          <w:tcPr>
            <w:tcW w:w="268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按菜谱要求和烹饪规范，结合行政总厨要求和采购人口味特点烹制。</w:t>
            </w:r>
          </w:p>
        </w:tc>
        <w:tc>
          <w:tcPr>
            <w:tcW w:w="2368"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1640"/>
          <w:jc w:val="center"/>
        </w:trPr>
        <w:tc>
          <w:tcPr>
            <w:tcW w:w="1728" w:type="dxa"/>
            <w:vMerge/>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c>
          <w:tcPr>
            <w:tcW w:w="1299"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菜品传送</w:t>
            </w:r>
          </w:p>
        </w:tc>
        <w:tc>
          <w:tcPr>
            <w:tcW w:w="74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餐前20分钟</w:t>
            </w:r>
          </w:p>
        </w:tc>
        <w:tc>
          <w:tcPr>
            <w:tcW w:w="268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将烹制完成的菜品、汤饭、点心等准时传送至规定地点，充分保证菜品的色香味。</w:t>
            </w:r>
          </w:p>
        </w:tc>
        <w:tc>
          <w:tcPr>
            <w:tcW w:w="2368"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2054"/>
          <w:jc w:val="center"/>
        </w:trPr>
        <w:tc>
          <w:tcPr>
            <w:tcW w:w="172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用餐中</w:t>
            </w:r>
          </w:p>
        </w:tc>
        <w:tc>
          <w:tcPr>
            <w:tcW w:w="1299"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菜品烹制、配餐服务</w:t>
            </w:r>
          </w:p>
        </w:tc>
        <w:tc>
          <w:tcPr>
            <w:tcW w:w="74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餐中</w:t>
            </w:r>
          </w:p>
        </w:tc>
        <w:tc>
          <w:tcPr>
            <w:tcW w:w="268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根据就餐进度及采购人要求及时按菜谱、烹饪规范及要求烹制菜品、按配餐规范安全、高效、高标准提供配餐服务。</w:t>
            </w:r>
          </w:p>
        </w:tc>
        <w:tc>
          <w:tcPr>
            <w:tcW w:w="2368"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1371"/>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餐后</w:t>
            </w:r>
          </w:p>
        </w:tc>
        <w:tc>
          <w:tcPr>
            <w:tcW w:w="1299"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餐具用具清洁</w:t>
            </w:r>
          </w:p>
        </w:tc>
        <w:tc>
          <w:tcPr>
            <w:tcW w:w="74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餐后</w:t>
            </w:r>
          </w:p>
        </w:tc>
        <w:tc>
          <w:tcPr>
            <w:tcW w:w="268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按餐具用具清洗规范做好餐具、用具的清洗、消毒、保洁 。</w:t>
            </w:r>
          </w:p>
        </w:tc>
        <w:tc>
          <w:tcPr>
            <w:tcW w:w="2368"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1231"/>
          <w:jc w:val="center"/>
        </w:trPr>
        <w:tc>
          <w:tcPr>
            <w:tcW w:w="1728" w:type="dxa"/>
            <w:vMerge/>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c>
          <w:tcPr>
            <w:tcW w:w="1299"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餐厅、厨房的清洁</w:t>
            </w:r>
          </w:p>
        </w:tc>
        <w:tc>
          <w:tcPr>
            <w:tcW w:w="74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餐后</w:t>
            </w:r>
          </w:p>
        </w:tc>
        <w:tc>
          <w:tcPr>
            <w:tcW w:w="268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按餐厅、厨房的清洁规范做好食堂各区域地面、墙面、烟罩、设备的卫生清洁。</w:t>
            </w:r>
          </w:p>
        </w:tc>
        <w:tc>
          <w:tcPr>
            <w:tcW w:w="2368"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r>
      <w:tr>
        <w:tblPrEx>
          <w:tblW w:w="5000" w:type="pct"/>
          <w:jc w:val="center"/>
          <w:tblLayout w:type="fixed"/>
          <w:tblCellMar>
            <w:top w:w="0" w:type="dxa"/>
            <w:left w:w="108" w:type="dxa"/>
            <w:bottom w:w="0" w:type="dxa"/>
            <w:right w:w="108" w:type="dxa"/>
          </w:tblCellMar>
        </w:tblPrEx>
        <w:trPr>
          <w:trHeight w:val="1986"/>
          <w:jc w:val="center"/>
        </w:trPr>
        <w:tc>
          <w:tcPr>
            <w:tcW w:w="1728" w:type="dxa"/>
            <w:vMerge/>
            <w:tcBorders>
              <w:top w:val="single" w:sz="4" w:space="0" w:color="auto"/>
              <w:left w:val="single" w:sz="4" w:space="0" w:color="auto"/>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c>
          <w:tcPr>
            <w:tcW w:w="1299"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食堂安全卫生检查</w:t>
            </w:r>
          </w:p>
        </w:tc>
        <w:tc>
          <w:tcPr>
            <w:tcW w:w="74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每天</w:t>
            </w:r>
          </w:p>
        </w:tc>
        <w:tc>
          <w:tcPr>
            <w:tcW w:w="2680"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食堂安全卫生管理；每天三次对食堂水、电、燃气、设备进行安全巡检；食品留样；每天三次日常卫生检查。</w:t>
            </w:r>
          </w:p>
        </w:tc>
        <w:tc>
          <w:tcPr>
            <w:tcW w:w="2368" w:type="dxa"/>
            <w:tcBorders>
              <w:top w:val="single" w:sz="4" w:space="0" w:color="auto"/>
              <w:left w:val="nil"/>
              <w:bottom w:val="single" w:sz="4" w:space="0" w:color="auto"/>
              <w:right w:val="single" w:sz="4" w:space="0" w:color="auto"/>
            </w:tcBorders>
            <w:vAlign w:val="center"/>
          </w:tcPr>
          <w:p>
            <w:pPr>
              <w:widowControl/>
              <w:jc w:val="center"/>
              <w:rPr>
                <w:rFonts w:ascii="宋体" w:eastAsia="宋体" w:hAnsi="宋体" w:cs="宋体" w:hint="eastAsia"/>
                <w:sz w:val="21"/>
                <w:szCs w:val="21"/>
                <w:lang w:eastAsia="zh-CN"/>
              </w:rPr>
            </w:pPr>
          </w:p>
        </w:tc>
      </w:tr>
    </w:tbl>
    <w:p>
      <w:pPr>
        <w:widowControl w:val="0"/>
        <w:tabs>
          <w:tab w:val="left" w:pos="1440"/>
        </w:tabs>
        <w:ind w:firstLine="420" w:firstLineChars="200"/>
        <w:jc w:val="both"/>
        <w:rPr>
          <w:rFonts w:ascii="宋体" w:eastAsia="宋体" w:hAnsi="宋体" w:cs="宋体" w:hint="eastAsia"/>
          <w:sz w:val="21"/>
          <w:szCs w:val="21"/>
          <w:lang w:eastAsia="zh-CN"/>
        </w:rPr>
      </w:pPr>
    </w:p>
    <w:p>
      <w:pPr>
        <w:widowControl/>
        <w:snapToGrid w:val="0"/>
        <w:ind w:firstLine="412" w:firstLineChars="196"/>
        <w:jc w:val="left"/>
        <w:rPr>
          <w:rFonts w:ascii="宋体" w:eastAsia="宋体" w:hAnsi="宋体" w:cs="宋体" w:hint="eastAsia"/>
          <w:b/>
          <w:sz w:val="21"/>
          <w:szCs w:val="21"/>
          <w:lang w:eastAsia="zh-CN"/>
        </w:rPr>
      </w:pPr>
      <w:r>
        <w:rPr>
          <w:rFonts w:ascii="宋体" w:eastAsia="宋体" w:hAnsi="宋体" w:cs="宋体" w:hint="eastAsia"/>
          <w:b/>
          <w:sz w:val="21"/>
          <w:szCs w:val="21"/>
          <w:lang w:eastAsia="zh-CN"/>
        </w:rPr>
        <w:t>（三）项目采购范围</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本项目的采购内容为深圳市殡葬服务中心食堂劳务外包服务项目，主要包括食堂的运营管理（含操作、管理、安全和卫生），不涉及食品原材料采购。</w:t>
      </w:r>
    </w:p>
    <w:p>
      <w:pPr>
        <w:widowControl w:val="0"/>
        <w:jc w:val="both"/>
        <w:rPr>
          <w:rFonts w:eastAsia="宋体"/>
          <w:kern w:val="2"/>
          <w:lang w:eastAsia="zh-CN"/>
        </w:rPr>
      </w:pPr>
    </w:p>
    <w:p>
      <w:pPr>
        <w:widowControl w:val="0"/>
        <w:jc w:val="both"/>
        <w:rPr>
          <w:rFonts w:ascii="宋体" w:eastAsia="宋体" w:hAnsi="宋体" w:hint="eastAsia"/>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三、</w:t>
      </w:r>
      <w:bookmarkStart w:id="49" w:name="_Hlk72073432"/>
      <w:r>
        <w:rPr>
          <w:rFonts w:ascii="宋体" w:eastAsia="宋体" w:hAnsi="宋体" w:hint="eastAsia"/>
          <w:b/>
          <w:bCs/>
          <w:lang w:eastAsia="zh-CN"/>
        </w:rPr>
        <w:t>服务需求明细</w:t>
      </w:r>
      <w:bookmarkEnd w:id="49"/>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3"/>
        <w:gridCol w:w="6083"/>
        <w:gridCol w:w="842"/>
        <w:gridCol w:w="84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6"/>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617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服务需求名称（标的名称）</w:t>
            </w:r>
          </w:p>
        </w:tc>
        <w:tc>
          <w:tcPr>
            <w:tcW w:w="85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85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单位</w:t>
            </w:r>
          </w:p>
        </w:tc>
      </w:tr>
      <w:tr>
        <w:tblPrEx>
          <w:tblW w:w="5000" w:type="pct"/>
          <w:tblInd w:w="0" w:type="dxa"/>
          <w:tblLayout w:type="fixed"/>
          <w:tblCellMar>
            <w:top w:w="0" w:type="dxa"/>
            <w:left w:w="108" w:type="dxa"/>
            <w:bottom w:w="0" w:type="dxa"/>
            <w:right w:w="108" w:type="dxa"/>
          </w:tblCellMar>
        </w:tblPrEx>
        <w:trPr>
          <w:trHeight w:val="170"/>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6170" w:type="dxa"/>
            <w:vAlign w:val="center"/>
          </w:tcPr>
          <w:p>
            <w:pPr>
              <w:widowControl w:val="0"/>
              <w:jc w:val="center"/>
              <w:rPr>
                <w:rFonts w:eastAsia="宋体"/>
                <w:bCs/>
                <w:kern w:val="2"/>
                <w:sz w:val="21"/>
                <w:szCs w:val="21"/>
                <w:lang w:eastAsia="zh-CN"/>
              </w:rPr>
            </w:pPr>
            <w:r>
              <w:rPr>
                <w:rFonts w:eastAsia="宋体" w:hint="eastAsia"/>
                <w:kern w:val="2"/>
                <w:sz w:val="21"/>
                <w:lang w:eastAsia="zh-CN"/>
              </w:rPr>
              <w:t>深圳市殡葬服务中心中心食堂劳务外包服务项目</w:t>
            </w:r>
          </w:p>
        </w:tc>
        <w:tc>
          <w:tcPr>
            <w:tcW w:w="85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85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项</w:t>
            </w:r>
          </w:p>
        </w:tc>
      </w:tr>
    </w:tbl>
    <w:p>
      <w:pPr>
        <w:widowControl w:val="0"/>
        <w:jc w:val="both"/>
        <w:rPr>
          <w:rFonts w:ascii="宋体" w:eastAsia="宋体" w:hAnsi="宋体" w:hint="eastAsia"/>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四、实质性条款</w:t>
      </w:r>
    </w:p>
    <w:bookmarkEnd w:id="47"/>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8"/>
        <w:gridCol w:w="783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7951"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7951" w:type="dxa"/>
          </w:tcPr>
          <w:p>
            <w:pPr>
              <w:widowControl w:val="0"/>
              <w:jc w:val="both"/>
              <w:rPr>
                <w:rFonts w:eastAsia="宋体" w:hAnsi="宋体" w:hint="eastAsia"/>
                <w:sz w:val="21"/>
                <w:szCs w:val="21"/>
                <w:lang w:eastAsia="zh-CN"/>
              </w:rPr>
            </w:pPr>
            <w:r>
              <w:rPr>
                <w:rFonts w:eastAsia="宋体" w:hint="eastAsia"/>
                <w:kern w:val="2"/>
                <w:sz w:val="21"/>
                <w:lang w:eastAsia="zh-CN"/>
              </w:rPr>
              <w:t>满足本项目标★的条款要求</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2</w:t>
            </w:r>
          </w:p>
        </w:tc>
        <w:tc>
          <w:tcPr>
            <w:tcW w:w="7951" w:type="dxa"/>
          </w:tcPr>
          <w:p>
            <w:pPr>
              <w:widowControl w:val="0"/>
              <w:jc w:val="both"/>
              <w:rPr>
                <w:rFonts w:eastAsia="宋体"/>
                <w:kern w:val="2"/>
                <w:sz w:val="21"/>
                <w:lang w:eastAsia="zh-CN"/>
              </w:rPr>
            </w:pPr>
            <w:r>
              <w:rPr>
                <w:rFonts w:eastAsia="宋体" w:hAnsi="宋体" w:hint="eastAsia"/>
                <w:sz w:val="21"/>
                <w:szCs w:val="21"/>
                <w:lang w:eastAsia="zh-CN"/>
              </w:rPr>
              <w:t>★本项目食堂需配备工作人员合计不少于10人，若从事该项目相关岗位的工作人员不符合采购人要求，则新的合格的工作人员需在24小时内到岗替换从事该岗位的原工作人员。</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3</w:t>
            </w:r>
          </w:p>
        </w:tc>
        <w:tc>
          <w:tcPr>
            <w:tcW w:w="7951" w:type="dxa"/>
          </w:tcPr>
          <w:p>
            <w:pPr>
              <w:widowControl w:val="0"/>
              <w:jc w:val="both"/>
              <w:rPr>
                <w:rFonts w:ascii="宋体" w:eastAsia="宋体" w:hAnsi="宋体" w:hint="eastAsia"/>
                <w:kern w:val="2"/>
                <w:sz w:val="21"/>
                <w:lang w:eastAsia="zh-CN"/>
              </w:rPr>
            </w:pPr>
            <w:r>
              <w:rPr>
                <w:rFonts w:ascii="宋体" w:eastAsia="宋体" w:hAnsi="宋体" w:hint="eastAsia"/>
                <w:kern w:val="2"/>
                <w:sz w:val="21"/>
                <w:lang w:eastAsia="zh-CN"/>
              </w:rPr>
              <w:t>★合同服务期</w:t>
            </w:r>
          </w:p>
          <w:p>
            <w:pPr>
              <w:widowControl w:val="0"/>
              <w:jc w:val="both"/>
              <w:rPr>
                <w:rFonts w:eastAsia="宋体"/>
                <w:kern w:val="2"/>
                <w:sz w:val="21"/>
                <w:lang w:eastAsia="zh-CN"/>
              </w:rPr>
            </w:pPr>
            <w:r>
              <w:rPr>
                <w:rFonts w:eastAsia="宋体" w:hint="eastAsia"/>
                <w:kern w:val="2"/>
                <w:sz w:val="21"/>
                <w:lang w:eastAsia="zh-CN"/>
              </w:rPr>
              <w:t>本项目服务期限为自合同签订之日起一年。因本项目为长期服务类项目，采购单位可根据项目需要和中标供应商的履约评估情况确定合同期限是否延长，但累计服务期限不超过36个月，合同延期每年服务费用按本次招标中标价执行。</w:t>
            </w:r>
          </w:p>
        </w:tc>
      </w:tr>
    </w:tbl>
    <w:p>
      <w:pPr>
        <w:widowControl w:val="0"/>
        <w:jc w:val="both"/>
        <w:rPr>
          <w:rFonts w:ascii="宋体" w:eastAsia="宋体"/>
          <w:b/>
          <w:szCs w:val="20"/>
          <w:lang w:eastAsia="zh-CN"/>
        </w:rPr>
      </w:pPr>
    </w:p>
    <w:p>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ascii="宋体" w:eastAsia="宋体" w:hint="eastAsia"/>
          <w:b/>
          <w:szCs w:val="20"/>
          <w:lang w:eastAsia="zh-CN"/>
        </w:rPr>
        <w:t>招标</w:t>
      </w:r>
      <w:r>
        <w:rPr>
          <w:rFonts w:ascii="宋体" w:eastAsia="宋体"/>
          <w:b/>
          <w:szCs w:val="20"/>
          <w:lang w:eastAsia="zh-CN"/>
        </w:rPr>
        <w:t>文件要求和条件作投标无效处理。</w:t>
      </w:r>
    </w:p>
    <w:p>
      <w:pPr>
        <w:widowControl w:val="0"/>
        <w:spacing w:line="360" w:lineRule="auto"/>
        <w:jc w:val="both"/>
        <w:rPr>
          <w:rFonts w:eastAsia="宋体"/>
          <w:b/>
          <w:bCs/>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五、技术要求</w:t>
      </w:r>
    </w:p>
    <w:p>
      <w:pPr>
        <w:widowControl w:val="0"/>
        <w:spacing w:line="360" w:lineRule="auto"/>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kern w:val="2"/>
          <w:sz w:val="21"/>
          <w:szCs w:val="21"/>
          <w:lang w:eastAsia="zh-CN"/>
        </w:rPr>
        <w:t>（一）</w:t>
      </w:r>
      <w:r>
        <w:rPr>
          <w:rFonts w:ascii="宋体" w:eastAsia="宋体" w:hAnsi="宋体" w:cs="宋体" w:hint="eastAsia"/>
          <w:b/>
          <w:kern w:val="2"/>
          <w:sz w:val="21"/>
          <w:szCs w:val="21"/>
          <w:lang w:eastAsia="zh-CN"/>
        </w:rPr>
        <w:t>工作内容</w:t>
      </w:r>
    </w:p>
    <w:p>
      <w:pPr>
        <w:widowControl w:val="0"/>
        <w:adjustRightInd w:val="0"/>
        <w:snapToGrid w:val="0"/>
        <w:spacing w:line="360" w:lineRule="auto"/>
        <w:ind w:left="163" w:firstLine="420" w:leftChars="68"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1.中标人负责采购人食堂的日常事务管理，以保证采购人工作人员每周七天正常就餐服务，并接受采购人监管；</w:t>
      </w:r>
    </w:p>
    <w:p>
      <w:pPr>
        <w:widowControl w:val="0"/>
        <w:adjustRightInd w:val="0"/>
        <w:snapToGrid w:val="0"/>
        <w:spacing w:line="360" w:lineRule="auto"/>
        <w:ind w:left="163" w:firstLine="380" w:leftChars="68" w:firstLineChars="181"/>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2.采购人提供食堂场地和厨房设备、餐具等硬件设施，并承担食品原材料采购、水电费用、燃料费用、消杀洗洁用品，遇厨房供餐量大勤杂工不足时，采购人协助安排人员；</w:t>
      </w:r>
    </w:p>
    <w:p>
      <w:pPr>
        <w:widowControl w:val="0"/>
        <w:adjustRightInd w:val="0"/>
        <w:snapToGrid w:val="0"/>
        <w:spacing w:line="360" w:lineRule="auto"/>
        <w:ind w:left="163" w:firstLine="380" w:leftChars="68" w:firstLineChars="181"/>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3.如采购人需要额外应急供餐，中标人负责无偿承担（每年20人工/天内）；</w:t>
      </w:r>
    </w:p>
    <w:p>
      <w:pPr>
        <w:widowControl w:val="0"/>
        <w:adjustRightInd w:val="0"/>
        <w:snapToGrid w:val="0"/>
        <w:spacing w:line="360" w:lineRule="auto"/>
        <w:ind w:left="163" w:firstLine="380" w:leftChars="68" w:firstLineChars="181"/>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4.中标人每年承担总金额在18000元以内的厨房软硬件设施设备的维修费用（由采购人审核），超出部分由采购人承担；</w:t>
      </w:r>
    </w:p>
    <w:p>
      <w:pPr>
        <w:widowControl w:val="0"/>
        <w:adjustRightInd w:val="0"/>
        <w:snapToGrid w:val="0"/>
        <w:spacing w:line="360" w:lineRule="auto"/>
        <w:ind w:left="163" w:firstLine="380" w:leftChars="68" w:firstLineChars="181"/>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中标人负责每天餐后进行全面清洁，每周进行两次清洁消杀（清洁、消杀耗材由采购人提供），每年进行三次油烟管道和净化去油系统的全面清洗（包配件更换），一年进行一次化油池清洗，负责食堂厨余垃圾处理；</w:t>
      </w:r>
    </w:p>
    <w:p>
      <w:pPr>
        <w:widowControl w:val="0"/>
        <w:adjustRightInd w:val="0"/>
        <w:snapToGrid w:val="0"/>
        <w:spacing w:line="360" w:lineRule="auto"/>
        <w:ind w:left="163" w:firstLine="380" w:leftChars="68" w:firstLineChars="181"/>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6.中标人自主聘用或调整厨房工作人员，负责技能培训提升、办公、通讯、差旅、广告策划、营销活动、运营支持、技术开发、菜式创新研讨学习等（采购人提供员工住宿，水电等相关费用由中标人承担）；</w:t>
      </w:r>
    </w:p>
    <w:p>
      <w:pPr>
        <w:widowControl w:val="0"/>
        <w:adjustRightInd w:val="0"/>
        <w:snapToGrid w:val="0"/>
        <w:spacing w:line="360" w:lineRule="auto"/>
        <w:ind w:left="163" w:firstLine="380" w:leftChars="68" w:firstLineChars="181"/>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7.中标单位职责</w:t>
      </w:r>
    </w:p>
    <w:tbl>
      <w:tblPr>
        <w:tblStyle w:val="TableNormal"/>
        <w:tblpPr w:leftFromText="180" w:rightFromText="180" w:vertAnchor="text" w:horzAnchor="page" w:tblpX="1709" w:tblpY="402"/>
        <w:tblOverlap w:val="never"/>
        <w:tblW w:w="5000" w:type="pct"/>
        <w:tblInd w:w="0" w:type="dxa"/>
        <w:tblLayout w:type="fixed"/>
        <w:tblCellMar>
          <w:top w:w="0" w:type="dxa"/>
          <w:left w:w="108" w:type="dxa"/>
          <w:bottom w:w="0" w:type="dxa"/>
          <w:right w:w="108" w:type="dxa"/>
        </w:tblCellMar>
      </w:tblPr>
      <w:tblGrid>
        <w:gridCol w:w="1048"/>
        <w:gridCol w:w="1567"/>
        <w:gridCol w:w="875"/>
        <w:gridCol w:w="3472"/>
        <w:gridCol w:w="1567"/>
      </w:tblGrid>
      <w:tr>
        <w:tblPrEx>
          <w:tblW w:w="5000" w:type="pct"/>
          <w:tblInd w:w="0" w:type="dxa"/>
          <w:tblLayout w:type="fixed"/>
          <w:tblCellMar>
            <w:top w:w="0" w:type="dxa"/>
            <w:left w:w="108" w:type="dxa"/>
            <w:bottom w:w="0" w:type="dxa"/>
            <w:right w:w="108" w:type="dxa"/>
          </w:tblCellMar>
        </w:tblPrEx>
        <w:trPr>
          <w:trHeight w:val="640"/>
        </w:trPr>
        <w:tc>
          <w:tcPr>
            <w:tcW w:w="1080"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服务项目</w:t>
            </w:r>
          </w:p>
        </w:tc>
        <w:tc>
          <w:tcPr>
            <w:tcW w:w="1620"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服务内容</w:t>
            </w:r>
          </w:p>
        </w:tc>
        <w:tc>
          <w:tcPr>
            <w:tcW w:w="900"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作业</w:t>
            </w:r>
          </w:p>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周期</w:t>
            </w:r>
          </w:p>
        </w:tc>
        <w:tc>
          <w:tcPr>
            <w:tcW w:w="3600"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作业标准</w:t>
            </w:r>
          </w:p>
        </w:tc>
        <w:tc>
          <w:tcPr>
            <w:tcW w:w="1620"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责任人</w:t>
            </w:r>
          </w:p>
        </w:tc>
      </w:tr>
      <w:tr>
        <w:tblPrEx>
          <w:tblW w:w="5000" w:type="pct"/>
          <w:tblInd w:w="0" w:type="dxa"/>
          <w:tblLayout w:type="fixed"/>
          <w:tblCellMar>
            <w:top w:w="0" w:type="dxa"/>
            <w:left w:w="108" w:type="dxa"/>
            <w:bottom w:w="0" w:type="dxa"/>
            <w:right w:w="108" w:type="dxa"/>
          </w:tblCellMar>
        </w:tblPrEx>
        <w:trPr>
          <w:trHeight w:val="858"/>
        </w:trPr>
        <w:tc>
          <w:tcPr>
            <w:tcW w:w="1080" w:type="dxa"/>
            <w:vMerge w:val="restart"/>
            <w:tcBorders>
              <w:top w:val="nil"/>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餐前</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菜谱拟定</w:t>
            </w:r>
          </w:p>
        </w:tc>
        <w:tc>
          <w:tcPr>
            <w:tcW w:w="90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每周</w:t>
            </w:r>
          </w:p>
        </w:tc>
        <w:tc>
          <w:tcPr>
            <w:tcW w:w="3600" w:type="dxa"/>
            <w:tcBorders>
              <w:top w:val="nil"/>
              <w:left w:val="nil"/>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按客户规定的品种、数量，结合营养配餐、口味搭配、成本控制等标准制定菜谱，供客户审核</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项目经理/厨师/面点师</w:t>
            </w:r>
          </w:p>
        </w:tc>
      </w:tr>
      <w:tr>
        <w:tblPrEx>
          <w:tblW w:w="5000" w:type="pct"/>
          <w:tblInd w:w="0" w:type="dxa"/>
          <w:tblLayout w:type="fixed"/>
          <w:tblCellMar>
            <w:top w:w="0" w:type="dxa"/>
            <w:left w:w="108" w:type="dxa"/>
            <w:bottom w:w="0" w:type="dxa"/>
            <w:right w:w="108" w:type="dxa"/>
          </w:tblCellMar>
        </w:tblPrEx>
        <w:trPr>
          <w:trHeight w:val="701"/>
        </w:trPr>
        <w:tc>
          <w:tcPr>
            <w:tcW w:w="1080" w:type="dxa"/>
            <w:vMerge/>
            <w:tcBorders>
              <w:top w:val="nil"/>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原料的验收</w:t>
            </w:r>
          </w:p>
        </w:tc>
        <w:tc>
          <w:tcPr>
            <w:tcW w:w="90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每天</w:t>
            </w:r>
          </w:p>
        </w:tc>
        <w:tc>
          <w:tcPr>
            <w:tcW w:w="3600" w:type="dxa"/>
            <w:tcBorders>
              <w:top w:val="nil"/>
              <w:left w:val="nil"/>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按原料验收标准执行，重点检查原料的安全卫生</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项目经理</w:t>
            </w:r>
          </w:p>
        </w:tc>
      </w:tr>
      <w:tr>
        <w:tblPrEx>
          <w:tblW w:w="5000" w:type="pct"/>
          <w:tblInd w:w="0" w:type="dxa"/>
          <w:tblLayout w:type="fixed"/>
          <w:tblCellMar>
            <w:top w:w="0" w:type="dxa"/>
            <w:left w:w="108" w:type="dxa"/>
            <w:bottom w:w="0" w:type="dxa"/>
            <w:right w:w="108" w:type="dxa"/>
          </w:tblCellMar>
        </w:tblPrEx>
        <w:trPr>
          <w:trHeight w:val="908"/>
        </w:trPr>
        <w:tc>
          <w:tcPr>
            <w:tcW w:w="1080" w:type="dxa"/>
            <w:vMerge/>
            <w:tcBorders>
              <w:top w:val="nil"/>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原料清洗、粗加工及切配</w:t>
            </w:r>
          </w:p>
        </w:tc>
        <w:tc>
          <w:tcPr>
            <w:tcW w:w="90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餐前三小时</w:t>
            </w:r>
          </w:p>
        </w:tc>
        <w:tc>
          <w:tcPr>
            <w:tcW w:w="3600" w:type="dxa"/>
            <w:tcBorders>
              <w:top w:val="nil"/>
              <w:left w:val="nil"/>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按菜谱要求及粗加工、切配规范执行，保证原料形状均匀、干净卫生、符合烹制要求</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厨师/面点师</w:t>
            </w:r>
          </w:p>
        </w:tc>
      </w:tr>
      <w:tr>
        <w:tblPrEx>
          <w:tblW w:w="5000" w:type="pct"/>
          <w:tblInd w:w="0" w:type="dxa"/>
          <w:tblLayout w:type="fixed"/>
          <w:tblCellMar>
            <w:top w:w="0" w:type="dxa"/>
            <w:left w:w="108" w:type="dxa"/>
            <w:bottom w:w="0" w:type="dxa"/>
            <w:right w:w="108" w:type="dxa"/>
          </w:tblCellMar>
        </w:tblPrEx>
        <w:trPr>
          <w:trHeight w:val="752"/>
        </w:trPr>
        <w:tc>
          <w:tcPr>
            <w:tcW w:w="1080" w:type="dxa"/>
            <w:vMerge/>
            <w:tcBorders>
              <w:top w:val="nil"/>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菜品烹制</w:t>
            </w:r>
          </w:p>
        </w:tc>
        <w:tc>
          <w:tcPr>
            <w:tcW w:w="90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餐前二小时</w:t>
            </w:r>
          </w:p>
        </w:tc>
        <w:tc>
          <w:tcPr>
            <w:tcW w:w="3600" w:type="dxa"/>
            <w:tcBorders>
              <w:top w:val="nil"/>
              <w:left w:val="nil"/>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按菜谱要求和烹饪规范，结合总厨要求和客户口味特点烹制，</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项目经理/厨师/面点师</w:t>
            </w:r>
          </w:p>
        </w:tc>
      </w:tr>
      <w:tr>
        <w:tblPrEx>
          <w:tblW w:w="5000" w:type="pct"/>
          <w:tblInd w:w="0" w:type="dxa"/>
          <w:tblLayout w:type="fixed"/>
          <w:tblCellMar>
            <w:top w:w="0" w:type="dxa"/>
            <w:left w:w="108" w:type="dxa"/>
            <w:bottom w:w="0" w:type="dxa"/>
            <w:right w:w="108" w:type="dxa"/>
          </w:tblCellMar>
        </w:tblPrEx>
        <w:trPr>
          <w:trHeight w:val="932"/>
        </w:trPr>
        <w:tc>
          <w:tcPr>
            <w:tcW w:w="1080" w:type="dxa"/>
            <w:vMerge/>
            <w:tcBorders>
              <w:top w:val="nil"/>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菜品传送</w:t>
            </w:r>
          </w:p>
        </w:tc>
        <w:tc>
          <w:tcPr>
            <w:tcW w:w="90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餐前20分钟</w:t>
            </w:r>
          </w:p>
        </w:tc>
        <w:tc>
          <w:tcPr>
            <w:tcW w:w="3600" w:type="dxa"/>
            <w:tcBorders>
              <w:top w:val="nil"/>
              <w:left w:val="nil"/>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将烹制完成的菜品、汤饭、点心等准时传送至规定地点，充分保证菜品的色香味。</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厨师/面点师</w:t>
            </w:r>
          </w:p>
        </w:tc>
      </w:tr>
      <w:tr>
        <w:tblPrEx>
          <w:tblW w:w="5000" w:type="pct"/>
          <w:tblInd w:w="0" w:type="dxa"/>
          <w:tblLayout w:type="fixed"/>
          <w:tblCellMar>
            <w:top w:w="0" w:type="dxa"/>
            <w:left w:w="108" w:type="dxa"/>
            <w:bottom w:w="0" w:type="dxa"/>
            <w:right w:w="108" w:type="dxa"/>
          </w:tblCellMar>
        </w:tblPrEx>
        <w:trPr>
          <w:trHeight w:val="1229"/>
        </w:trPr>
        <w:tc>
          <w:tcPr>
            <w:tcW w:w="1080" w:type="dxa"/>
            <w:tcBorders>
              <w:top w:val="nil"/>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用餐中</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菜品烹制、配餐服务</w:t>
            </w:r>
          </w:p>
        </w:tc>
        <w:tc>
          <w:tcPr>
            <w:tcW w:w="90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餐中</w:t>
            </w:r>
          </w:p>
        </w:tc>
        <w:tc>
          <w:tcPr>
            <w:tcW w:w="3600" w:type="dxa"/>
            <w:tcBorders>
              <w:top w:val="nil"/>
              <w:left w:val="nil"/>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根据就餐进度及楼面信息及时按菜谱、烹饪规范及要求烹制菜品、按配餐规范安全、高效、高标准提供配餐服务。</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厨师/面点师/服务员</w:t>
            </w:r>
          </w:p>
        </w:tc>
      </w:tr>
      <w:tr>
        <w:tblPrEx>
          <w:tblW w:w="5000" w:type="pct"/>
          <w:tblInd w:w="0" w:type="dxa"/>
          <w:tblLayout w:type="fixed"/>
          <w:tblCellMar>
            <w:top w:w="0" w:type="dxa"/>
            <w:left w:w="108" w:type="dxa"/>
            <w:bottom w:w="0" w:type="dxa"/>
            <w:right w:w="108" w:type="dxa"/>
          </w:tblCellMar>
        </w:tblPrEx>
        <w:trPr>
          <w:trHeight w:val="1028"/>
        </w:trPr>
        <w:tc>
          <w:tcPr>
            <w:tcW w:w="1080" w:type="dxa"/>
            <w:vMerge w:val="restart"/>
            <w:tcBorders>
              <w:top w:val="nil"/>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餐后</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餐具用具清洁</w:t>
            </w:r>
          </w:p>
        </w:tc>
        <w:tc>
          <w:tcPr>
            <w:tcW w:w="90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餐后</w:t>
            </w:r>
          </w:p>
        </w:tc>
        <w:tc>
          <w:tcPr>
            <w:tcW w:w="3600" w:type="dxa"/>
            <w:tcBorders>
              <w:top w:val="nil"/>
              <w:left w:val="nil"/>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按餐具用具清洗规范做好餐具、用具的清洗、消毒、保洁 。</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勤杂工/服务员</w:t>
            </w:r>
          </w:p>
        </w:tc>
      </w:tr>
      <w:tr>
        <w:tblPrEx>
          <w:tblW w:w="5000" w:type="pct"/>
          <w:tblInd w:w="0" w:type="dxa"/>
          <w:tblLayout w:type="fixed"/>
          <w:tblCellMar>
            <w:top w:w="0" w:type="dxa"/>
            <w:left w:w="108" w:type="dxa"/>
            <w:bottom w:w="0" w:type="dxa"/>
            <w:right w:w="108" w:type="dxa"/>
          </w:tblCellMar>
        </w:tblPrEx>
        <w:trPr>
          <w:trHeight w:val="1084"/>
        </w:trPr>
        <w:tc>
          <w:tcPr>
            <w:tcW w:w="1080" w:type="dxa"/>
            <w:vMerge/>
            <w:tcBorders>
              <w:top w:val="nil"/>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餐厅、厨房的清洁</w:t>
            </w:r>
          </w:p>
        </w:tc>
        <w:tc>
          <w:tcPr>
            <w:tcW w:w="90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餐后</w:t>
            </w:r>
          </w:p>
        </w:tc>
        <w:tc>
          <w:tcPr>
            <w:tcW w:w="3600" w:type="dxa"/>
            <w:tcBorders>
              <w:top w:val="nil"/>
              <w:left w:val="nil"/>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按厨房的清洁规范做好食堂各区域地面、墙面、烟罩、设备的卫生清洁。</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厨师/面点师/服务员</w:t>
            </w:r>
          </w:p>
        </w:tc>
      </w:tr>
      <w:tr>
        <w:tblPrEx>
          <w:tblW w:w="5000" w:type="pct"/>
          <w:tblInd w:w="0" w:type="dxa"/>
          <w:tblLayout w:type="fixed"/>
          <w:tblCellMar>
            <w:top w:w="0" w:type="dxa"/>
            <w:left w:w="108" w:type="dxa"/>
            <w:bottom w:w="0" w:type="dxa"/>
            <w:right w:w="108" w:type="dxa"/>
          </w:tblCellMar>
        </w:tblPrEx>
        <w:trPr>
          <w:trHeight w:val="1140"/>
        </w:trPr>
        <w:tc>
          <w:tcPr>
            <w:tcW w:w="1080" w:type="dxa"/>
            <w:vMerge/>
            <w:tcBorders>
              <w:top w:val="nil"/>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厨房安全卫生检查</w:t>
            </w:r>
          </w:p>
        </w:tc>
        <w:tc>
          <w:tcPr>
            <w:tcW w:w="90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每天</w:t>
            </w:r>
          </w:p>
        </w:tc>
        <w:tc>
          <w:tcPr>
            <w:tcW w:w="3600" w:type="dxa"/>
            <w:tcBorders>
              <w:top w:val="nil"/>
              <w:left w:val="nil"/>
              <w:bottom w:val="single" w:sz="4" w:space="0" w:color="auto"/>
              <w:right w:val="single" w:sz="4" w:space="0" w:color="auto"/>
            </w:tcBorders>
            <w:vAlign w:val="center"/>
          </w:tcPr>
          <w:p>
            <w:pPr>
              <w:widowControl/>
              <w:spacing w:line="36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食堂安全卫生管理；每天三次对食堂水、电、燃气、设备进行安全巡检；食品留样；每天三次日常卫生检查。</w:t>
            </w:r>
          </w:p>
        </w:tc>
        <w:tc>
          <w:tcPr>
            <w:tcW w:w="162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 项目经理/经理助理/厨师/面点师</w:t>
            </w:r>
          </w:p>
        </w:tc>
      </w:tr>
    </w:tbl>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8.服务内容及标准</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服务时间：周一至周日，节假日正常供餐。</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早餐7：00-8:30；中餐11:30-13:00；晚餐17:00-19:00。</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如遇特殊情况需进行特别保障的（如清明节、重阳节大幅增加供餐数量、提前或延后开饭等有关情形），中标人需无条件执行保障任务。讲究营养、卫生和健康饮食，合理安排食谱，按季节变化调换菜式品种。</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9.供应品种要求</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食堂采用分菜自选形式供应，中标人按采购人要求的品种和质量提供相应服务，供应品种种类按以下标准（含本数）执行。</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早餐应提供7种以上食品，中西点心2种、小菜2种、粥品1种、汤粉面1种、牛奶或豆浆、杂粮小食若干；</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午餐应提供6种菜品（2荤菜3素菜1小菜）、汤品、各式炒粉面饭、汤粉面、米饭、粗粮；</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晚餐应提供5种菜品（2荤菜2素菜1小菜）、汤品、米饭。</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10.管理要求</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（1）食品卫生安全</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对采购人的食堂日常事务管理，中标人应严格执行国家、广东省、深圳市的食品卫生安全法规的规范要求；食堂工作人员必须持有效健康证上岗；做好个人卫生、环境卫生和餐厨用具用品的消毒工作，保障食堂出品的食品卫生安全；严防食物中毒和食源性疾病；严格执行安全生产制度，做好防火防盗的预防工作，杜绝重大事故的发生。</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（2）管理考核测评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食堂日常事务管理考核测评由采购人组织，每半年一次，干部职工满意率应达到70%以上（含本数），连续两次满意率低于65%以下，采购人有权解除合作合同。</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（3）饭菜质量</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食堂供应的食品，必须符合食品卫生安全规范的质量要求，注重食品营养结构和风味搭配，确保热饭热菜供应服务，努力提高烹调服务水平。</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（4）环境卫生</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食堂环境卫生清洁要达到国家有关规定及行业规范的标准。食堂工作场所及周边中标人应做到每天及时清洁消毒，每周彻底打扫一次。</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（5）服务考核</w:t>
      </w:r>
    </w:p>
    <w:p>
      <w:pPr>
        <w:widowControl w:val="0"/>
        <w:numPr>
          <w:ilvl w:val="0"/>
          <w:numId w:val="6"/>
        </w:numPr>
        <w:spacing w:line="360" w:lineRule="auto"/>
        <w:ind w:left="0" w:firstLine="40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项目内容及作业标准</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2"/>
        <w:gridCol w:w="1862"/>
        <w:gridCol w:w="1102"/>
        <w:gridCol w:w="2863"/>
        <w:gridCol w:w="191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2"/>
          <w:jc w:val="center"/>
        </w:trPr>
        <w:tc>
          <w:tcPr>
            <w:tcW w:w="2745"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项目</w:t>
            </w:r>
          </w:p>
        </w:tc>
        <w:tc>
          <w:tcPr>
            <w:tcW w:w="4110"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日常维修周期及内容</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标准</w:t>
            </w:r>
          </w:p>
        </w:tc>
      </w:tr>
      <w:tr>
        <w:tblPrEx>
          <w:tblW w:w="5000" w:type="pct"/>
          <w:jc w:val="center"/>
          <w:tblLayout w:type="fixed"/>
          <w:tblCellMar>
            <w:top w:w="0" w:type="dxa"/>
            <w:left w:w="108" w:type="dxa"/>
            <w:bottom w:w="0" w:type="dxa"/>
            <w:right w:w="108" w:type="dxa"/>
          </w:tblCellMar>
        </w:tblPrEx>
        <w:trPr>
          <w:trHeight w:val="142"/>
          <w:jc w:val="center"/>
        </w:trPr>
        <w:tc>
          <w:tcPr>
            <w:tcW w:w="2745" w:type="dxa"/>
            <w:gridSpan w:val="2"/>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检查周期</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内容</w:t>
            </w:r>
          </w:p>
        </w:tc>
        <w:tc>
          <w:tcPr>
            <w:tcW w:w="1980"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r>
      <w:tr>
        <w:tblPrEx>
          <w:tblW w:w="5000" w:type="pct"/>
          <w:jc w:val="center"/>
          <w:tblLayout w:type="fixed"/>
          <w:tblCellMar>
            <w:top w:w="0" w:type="dxa"/>
            <w:left w:w="108" w:type="dxa"/>
            <w:bottom w:w="0" w:type="dxa"/>
            <w:right w:w="108" w:type="dxa"/>
          </w:tblCellMar>
        </w:tblPrEx>
        <w:trPr>
          <w:trHeight w:val="142"/>
          <w:jc w:val="center"/>
        </w:trPr>
        <w:tc>
          <w:tcPr>
            <w:tcW w:w="815" w:type="dxa"/>
            <w:vMerge w:val="restart"/>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设</w:t>
            </w:r>
          </w:p>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施</w:t>
            </w:r>
          </w:p>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及</w:t>
            </w:r>
          </w:p>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日</w:t>
            </w:r>
          </w:p>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常</w:t>
            </w:r>
          </w:p>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操</w:t>
            </w:r>
          </w:p>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作</w:t>
            </w: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厨具、饮具、餐具</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3次/日</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清洗消毒</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清洁、无油腻、无水渍</w:t>
            </w:r>
          </w:p>
        </w:tc>
      </w:tr>
      <w:tr>
        <w:tblPrEx>
          <w:tblW w:w="5000" w:type="pct"/>
          <w:jc w:val="center"/>
          <w:tblLayout w:type="fixed"/>
          <w:tblCellMar>
            <w:top w:w="0" w:type="dxa"/>
            <w:left w:w="108" w:type="dxa"/>
            <w:bottom w:w="0" w:type="dxa"/>
            <w:right w:w="108" w:type="dxa"/>
          </w:tblCellMar>
        </w:tblPrEx>
        <w:trPr>
          <w:trHeight w:val="469"/>
          <w:jc w:val="center"/>
        </w:trPr>
        <w:tc>
          <w:tcPr>
            <w:tcW w:w="815"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餐台</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3次/日</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清洗消毒</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整洁美观、无锈迹</w:t>
            </w:r>
          </w:p>
        </w:tc>
      </w:tr>
      <w:tr>
        <w:tblPrEx>
          <w:tblW w:w="5000" w:type="pct"/>
          <w:jc w:val="center"/>
          <w:tblLayout w:type="fixed"/>
          <w:tblCellMar>
            <w:top w:w="0" w:type="dxa"/>
            <w:left w:w="108" w:type="dxa"/>
            <w:bottom w:w="0" w:type="dxa"/>
            <w:right w:w="108" w:type="dxa"/>
          </w:tblCellMar>
        </w:tblPrEx>
        <w:trPr>
          <w:trHeight w:val="406"/>
          <w:jc w:val="center"/>
        </w:trPr>
        <w:tc>
          <w:tcPr>
            <w:tcW w:w="815"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厨房沟渠、水池</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3次/日</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检查、维修、疏通</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畅通、无损坏</w:t>
            </w:r>
          </w:p>
        </w:tc>
      </w:tr>
      <w:tr>
        <w:tblPrEx>
          <w:tblW w:w="5000" w:type="pct"/>
          <w:jc w:val="center"/>
          <w:tblLayout w:type="fixed"/>
          <w:tblCellMar>
            <w:top w:w="0" w:type="dxa"/>
            <w:left w:w="108" w:type="dxa"/>
            <w:bottom w:w="0" w:type="dxa"/>
            <w:right w:w="108" w:type="dxa"/>
          </w:tblCellMar>
        </w:tblPrEx>
        <w:trPr>
          <w:trHeight w:val="142"/>
          <w:jc w:val="center"/>
        </w:trPr>
        <w:tc>
          <w:tcPr>
            <w:tcW w:w="815"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厨房消杀</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1次/周</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消杀蚊虫鼠蚁</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保障环境和食品安全</w:t>
            </w:r>
          </w:p>
        </w:tc>
      </w:tr>
      <w:tr>
        <w:tblPrEx>
          <w:tblW w:w="5000" w:type="pct"/>
          <w:jc w:val="center"/>
          <w:tblLayout w:type="fixed"/>
          <w:tblCellMar>
            <w:top w:w="0" w:type="dxa"/>
            <w:left w:w="108" w:type="dxa"/>
            <w:bottom w:w="0" w:type="dxa"/>
            <w:right w:w="108" w:type="dxa"/>
          </w:tblCellMar>
        </w:tblPrEx>
        <w:trPr>
          <w:trHeight w:val="435"/>
          <w:jc w:val="center"/>
        </w:trPr>
        <w:tc>
          <w:tcPr>
            <w:tcW w:w="815"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油烟管道清洗</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3次/年</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管道内全面清洗除油去污</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无油污等安全隐患</w:t>
            </w:r>
          </w:p>
        </w:tc>
      </w:tr>
      <w:tr>
        <w:tblPrEx>
          <w:tblW w:w="5000" w:type="pct"/>
          <w:jc w:val="center"/>
          <w:tblLayout w:type="fixed"/>
          <w:tblCellMar>
            <w:top w:w="0" w:type="dxa"/>
            <w:left w:w="108" w:type="dxa"/>
            <w:bottom w:w="0" w:type="dxa"/>
            <w:right w:w="108" w:type="dxa"/>
          </w:tblCellMar>
        </w:tblPrEx>
        <w:trPr>
          <w:trHeight w:val="413"/>
          <w:jc w:val="center"/>
        </w:trPr>
        <w:tc>
          <w:tcPr>
            <w:tcW w:w="815"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化油池清理</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1次/年</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化油池全面清洗除油去污</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畅通、无油污堵塞</w:t>
            </w:r>
          </w:p>
        </w:tc>
      </w:tr>
      <w:tr>
        <w:tblPrEx>
          <w:tblW w:w="5000" w:type="pct"/>
          <w:jc w:val="center"/>
          <w:tblLayout w:type="fixed"/>
          <w:tblCellMar>
            <w:top w:w="0" w:type="dxa"/>
            <w:left w:w="108" w:type="dxa"/>
            <w:bottom w:w="0" w:type="dxa"/>
            <w:right w:w="108" w:type="dxa"/>
          </w:tblCellMar>
        </w:tblPrEx>
        <w:trPr>
          <w:trHeight w:val="418"/>
          <w:jc w:val="center"/>
        </w:trPr>
        <w:tc>
          <w:tcPr>
            <w:tcW w:w="815"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肉类、蔬菜</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3次/日</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清洗</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无沙砾等杂物</w:t>
            </w:r>
          </w:p>
        </w:tc>
      </w:tr>
      <w:tr>
        <w:tblPrEx>
          <w:tblW w:w="5000" w:type="pct"/>
          <w:jc w:val="center"/>
          <w:tblLayout w:type="fixed"/>
          <w:tblCellMar>
            <w:top w:w="0" w:type="dxa"/>
            <w:left w:w="108" w:type="dxa"/>
            <w:bottom w:w="0" w:type="dxa"/>
            <w:right w:w="108" w:type="dxa"/>
          </w:tblCellMar>
        </w:tblPrEx>
        <w:trPr>
          <w:trHeight w:val="424"/>
          <w:jc w:val="center"/>
        </w:trPr>
        <w:tc>
          <w:tcPr>
            <w:tcW w:w="815"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洗手间</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每日</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检查、清洁、疏通</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整洁、畅通</w:t>
            </w:r>
          </w:p>
        </w:tc>
      </w:tr>
      <w:tr>
        <w:tblPrEx>
          <w:tblW w:w="5000" w:type="pct"/>
          <w:jc w:val="center"/>
          <w:tblLayout w:type="fixed"/>
          <w:tblCellMar>
            <w:top w:w="0" w:type="dxa"/>
            <w:left w:w="108" w:type="dxa"/>
            <w:bottom w:w="0" w:type="dxa"/>
            <w:right w:w="108" w:type="dxa"/>
          </w:tblCellMar>
        </w:tblPrEx>
        <w:trPr>
          <w:trHeight w:val="142"/>
          <w:jc w:val="center"/>
        </w:trPr>
        <w:tc>
          <w:tcPr>
            <w:tcW w:w="815"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水电设备</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随时</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每日巡视检查、记录、发现问题及时报告跟踪处理结果</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使用正常、安全无故障</w:t>
            </w:r>
          </w:p>
        </w:tc>
      </w:tr>
      <w:tr>
        <w:tblPrEx>
          <w:tblW w:w="5000" w:type="pct"/>
          <w:jc w:val="center"/>
          <w:tblLayout w:type="fixed"/>
          <w:tblCellMar>
            <w:top w:w="0" w:type="dxa"/>
            <w:left w:w="108" w:type="dxa"/>
            <w:bottom w:w="0" w:type="dxa"/>
            <w:right w:w="108" w:type="dxa"/>
          </w:tblCellMar>
        </w:tblPrEx>
        <w:trPr>
          <w:trHeight w:val="836"/>
          <w:jc w:val="center"/>
        </w:trPr>
        <w:tc>
          <w:tcPr>
            <w:tcW w:w="815"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消防设施</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随时</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检查，参加检查发现问题及时报告跟踪处理结果</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完备、使用正常</w:t>
            </w:r>
          </w:p>
        </w:tc>
      </w:tr>
      <w:tr>
        <w:tblPrEx>
          <w:tblW w:w="5000" w:type="pct"/>
          <w:jc w:val="center"/>
          <w:tblLayout w:type="fixed"/>
          <w:tblCellMar>
            <w:top w:w="0" w:type="dxa"/>
            <w:left w:w="108" w:type="dxa"/>
            <w:bottom w:w="0" w:type="dxa"/>
            <w:right w:w="108" w:type="dxa"/>
          </w:tblCellMar>
        </w:tblPrEx>
        <w:trPr>
          <w:trHeight w:val="142"/>
          <w:jc w:val="center"/>
        </w:trPr>
        <w:tc>
          <w:tcPr>
            <w:tcW w:w="815"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室内外灯光照明、消毒灯管和室内电路</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随时</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检查，参加检查发现问题及时报告跟踪处理结果</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符合安全标准，正常使用</w:t>
            </w:r>
          </w:p>
        </w:tc>
      </w:tr>
      <w:tr>
        <w:tblPrEx>
          <w:tblW w:w="5000" w:type="pct"/>
          <w:jc w:val="center"/>
          <w:tblLayout w:type="fixed"/>
          <w:tblCellMar>
            <w:top w:w="0" w:type="dxa"/>
            <w:left w:w="108" w:type="dxa"/>
            <w:bottom w:w="0" w:type="dxa"/>
            <w:right w:w="108" w:type="dxa"/>
          </w:tblCellMar>
        </w:tblPrEx>
        <w:trPr>
          <w:trHeight w:val="802"/>
          <w:jc w:val="center"/>
        </w:trPr>
        <w:tc>
          <w:tcPr>
            <w:tcW w:w="815" w:type="dxa"/>
            <w:vMerge/>
            <w:tcBorders>
              <w:top w:val="single" w:sz="4" w:space="0" w:color="auto"/>
              <w:left w:val="single" w:sz="4" w:space="0" w:color="auto"/>
              <w:bottom w:val="single" w:sz="4" w:space="0" w:color="auto"/>
              <w:right w:val="single" w:sz="4" w:space="0" w:color="auto"/>
            </w:tcBorders>
            <w:vAlign w:val="center"/>
          </w:tcPr>
          <w:p>
            <w:pPr>
              <w:widowControl/>
              <w:spacing w:line="360" w:lineRule="auto"/>
              <w:jc w:val="left"/>
              <w:rPr>
                <w:rFonts w:ascii="宋体" w:eastAsia="宋体" w:hAnsi="宋体" w:cs="宋体" w:hint="eastAsia"/>
                <w:color w:val="000000"/>
                <w:sz w:val="21"/>
                <w:szCs w:val="21"/>
                <w:lang w:eastAsia="zh-CN"/>
              </w:rPr>
            </w:pPr>
          </w:p>
        </w:tc>
        <w:tc>
          <w:tcPr>
            <w:tcW w:w="193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空调系统</w:t>
            </w:r>
          </w:p>
        </w:tc>
        <w:tc>
          <w:tcPr>
            <w:tcW w:w="1138"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每周</w:t>
            </w:r>
          </w:p>
        </w:tc>
        <w:tc>
          <w:tcPr>
            <w:tcW w:w="2972"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检查，参加检查发现问题及时报告跟踪处理结果</w:t>
            </w:r>
          </w:p>
        </w:tc>
        <w:tc>
          <w:tcPr>
            <w:tcW w:w="198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符合标准，正常使用</w:t>
            </w:r>
          </w:p>
        </w:tc>
      </w:tr>
    </w:tbl>
    <w:p>
      <w:pPr>
        <w:widowControl w:val="0"/>
        <w:numPr>
          <w:ilvl w:val="0"/>
          <w:numId w:val="6"/>
        </w:numPr>
        <w:spacing w:line="360" w:lineRule="auto"/>
        <w:ind w:left="0" w:firstLine="40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项目服务考核标准</w:t>
      </w:r>
    </w:p>
    <w:tbl>
      <w:tblPr>
        <w:tblStyle w:val="TableNormal"/>
        <w:tblW w:w="5000" w:type="pct"/>
        <w:jc w:val="center"/>
        <w:tblLayout w:type="fixed"/>
        <w:tblCellMar>
          <w:top w:w="0" w:type="dxa"/>
          <w:left w:w="108" w:type="dxa"/>
          <w:bottom w:w="0" w:type="dxa"/>
          <w:right w:w="108" w:type="dxa"/>
        </w:tblCellMar>
      </w:tblPr>
      <w:tblGrid>
        <w:gridCol w:w="712"/>
        <w:gridCol w:w="1369"/>
        <w:gridCol w:w="1040"/>
        <w:gridCol w:w="2770"/>
        <w:gridCol w:w="697"/>
        <w:gridCol w:w="1941"/>
      </w:tblGrid>
      <w:tr>
        <w:tblPrEx>
          <w:tblW w:w="5000" w:type="pct"/>
          <w:jc w:val="center"/>
          <w:tblLayout w:type="fixed"/>
          <w:tblCellMar>
            <w:top w:w="0" w:type="dxa"/>
            <w:left w:w="108" w:type="dxa"/>
            <w:bottom w:w="0" w:type="dxa"/>
            <w:right w:w="108" w:type="dxa"/>
          </w:tblCellMar>
        </w:tblPrEx>
        <w:trPr>
          <w:trHeight w:val="285"/>
          <w:jc w:val="center"/>
        </w:trPr>
        <w:tc>
          <w:tcPr>
            <w:tcW w:w="735"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序号</w:t>
            </w:r>
          </w:p>
        </w:tc>
        <w:tc>
          <w:tcPr>
            <w:tcW w:w="14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项  目</w:t>
            </w:r>
          </w:p>
        </w:tc>
        <w:tc>
          <w:tcPr>
            <w:tcW w:w="1080"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标准</w:t>
            </w:r>
          </w:p>
        </w:tc>
        <w:tc>
          <w:tcPr>
            <w:tcW w:w="289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内容及考核细则</w:t>
            </w:r>
          </w:p>
        </w:tc>
        <w:tc>
          <w:tcPr>
            <w:tcW w:w="720"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频率</w:t>
            </w:r>
          </w:p>
        </w:tc>
        <w:tc>
          <w:tcPr>
            <w:tcW w:w="20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未达标处罚标准</w:t>
            </w:r>
          </w:p>
        </w:tc>
      </w:tr>
      <w:tr>
        <w:tblPrEx>
          <w:tblW w:w="5000" w:type="pct"/>
          <w:jc w:val="center"/>
          <w:tblLayout w:type="fixed"/>
          <w:tblCellMar>
            <w:top w:w="0" w:type="dxa"/>
            <w:left w:w="108" w:type="dxa"/>
            <w:bottom w:w="0" w:type="dxa"/>
            <w:right w:w="108" w:type="dxa"/>
          </w:tblCellMar>
        </w:tblPrEx>
        <w:trPr>
          <w:trHeight w:val="945"/>
          <w:jc w:val="center"/>
        </w:trPr>
        <w:tc>
          <w:tcPr>
            <w:tcW w:w="735" w:type="dxa"/>
            <w:tcBorders>
              <w:top w:val="nil"/>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w:t>
            </w:r>
          </w:p>
        </w:tc>
        <w:tc>
          <w:tcPr>
            <w:tcW w:w="1425"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管理规章</w:t>
            </w:r>
          </w:p>
        </w:tc>
        <w:tc>
          <w:tcPr>
            <w:tcW w:w="108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100%</w:t>
            </w:r>
          </w:p>
        </w:tc>
        <w:tc>
          <w:tcPr>
            <w:tcW w:w="2895" w:type="dxa"/>
            <w:tcBorders>
              <w:top w:val="nil"/>
              <w:left w:val="nil"/>
              <w:bottom w:val="single" w:sz="4" w:space="0" w:color="auto"/>
              <w:right w:val="single" w:sz="4"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有无卫生、安全管理规章制度，确保坚守工作岗位，保持良好工作秩序，做好防火、防盗、防破坏等工作。</w:t>
            </w:r>
          </w:p>
        </w:tc>
        <w:tc>
          <w:tcPr>
            <w:tcW w:w="720" w:type="dxa"/>
            <w:tcBorders>
              <w:top w:val="nil"/>
              <w:left w:val="nil"/>
              <w:bottom w:val="single" w:sz="4" w:space="0" w:color="auto"/>
              <w:right w:val="single" w:sz="4" w:space="0" w:color="auto"/>
            </w:tcBorders>
            <w:noWrap/>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1次/年</w:t>
            </w:r>
          </w:p>
        </w:tc>
        <w:tc>
          <w:tcPr>
            <w:tcW w:w="2025"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罚款500-1000元/次</w:t>
            </w:r>
          </w:p>
        </w:tc>
      </w:tr>
      <w:tr>
        <w:tblPrEx>
          <w:tblW w:w="5000" w:type="pct"/>
          <w:jc w:val="center"/>
          <w:tblLayout w:type="fixed"/>
          <w:tblCellMar>
            <w:top w:w="0" w:type="dxa"/>
            <w:left w:w="108" w:type="dxa"/>
            <w:bottom w:w="0" w:type="dxa"/>
            <w:right w:w="108" w:type="dxa"/>
          </w:tblCellMar>
        </w:tblPrEx>
        <w:trPr>
          <w:trHeight w:val="675"/>
          <w:jc w:val="center"/>
        </w:trPr>
        <w:tc>
          <w:tcPr>
            <w:tcW w:w="735"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2</w:t>
            </w:r>
          </w:p>
        </w:tc>
        <w:tc>
          <w:tcPr>
            <w:tcW w:w="1425"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厨具、餐具、饮具保洁率</w:t>
            </w:r>
          </w:p>
        </w:tc>
        <w:tc>
          <w:tcPr>
            <w:tcW w:w="1080"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98%</w:t>
            </w:r>
          </w:p>
        </w:tc>
        <w:tc>
          <w:tcPr>
            <w:tcW w:w="2895"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有无实行责任包干，指定服务员进行餐具洗消工作，实行巡查制度，以确保餐具无污染。</w:t>
            </w:r>
          </w:p>
        </w:tc>
        <w:tc>
          <w:tcPr>
            <w:tcW w:w="720" w:type="dxa"/>
            <w:tcBorders>
              <w:top w:val="single" w:sz="4" w:space="0" w:color="auto"/>
              <w:left w:val="single" w:sz="4" w:space="0" w:color="auto"/>
              <w:bottom w:val="single" w:sz="4" w:space="0" w:color="auto"/>
              <w:right w:val="single" w:sz="4" w:space="0" w:color="auto"/>
            </w:tcBorders>
            <w:noWrap/>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1次/月</w:t>
            </w:r>
          </w:p>
        </w:tc>
        <w:tc>
          <w:tcPr>
            <w:tcW w:w="2025"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罚款100-2</w:t>
            </w:r>
            <w:r>
              <w:rPr>
                <w:rFonts w:ascii="宋体" w:eastAsia="宋体" w:hAnsi="宋体" w:cs="宋体" w:hint="eastAsia"/>
                <w:sz w:val="21"/>
                <w:szCs w:val="21"/>
                <w:lang w:eastAsia="zh-CN"/>
              </w:rPr>
              <w:t>00元/次</w:t>
            </w:r>
          </w:p>
        </w:tc>
      </w:tr>
      <w:tr>
        <w:tblPrEx>
          <w:tblW w:w="5000" w:type="pct"/>
          <w:jc w:val="center"/>
          <w:tblLayout w:type="fixed"/>
          <w:tblCellMar>
            <w:top w:w="0" w:type="dxa"/>
            <w:left w:w="108" w:type="dxa"/>
            <w:bottom w:w="0" w:type="dxa"/>
            <w:right w:w="108" w:type="dxa"/>
          </w:tblCellMar>
        </w:tblPrEx>
        <w:trPr>
          <w:trHeight w:val="675"/>
          <w:jc w:val="center"/>
        </w:trPr>
        <w:tc>
          <w:tcPr>
            <w:tcW w:w="735"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w:t>
            </w:r>
          </w:p>
        </w:tc>
        <w:tc>
          <w:tcPr>
            <w:tcW w:w="14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厨房排水、明暗沟完好率</w:t>
            </w:r>
          </w:p>
        </w:tc>
        <w:tc>
          <w:tcPr>
            <w:tcW w:w="1080"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100%</w:t>
            </w:r>
          </w:p>
        </w:tc>
        <w:tc>
          <w:tcPr>
            <w:tcW w:w="2895" w:type="dxa"/>
            <w:tcBorders>
              <w:top w:val="single" w:sz="4" w:space="0" w:color="auto"/>
              <w:left w:val="nil"/>
              <w:bottom w:val="single" w:sz="4" w:space="0" w:color="auto"/>
              <w:right w:val="single" w:sz="4"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有无指定人员负责维护，确保厨房排水畅通无阻、无积水。</w:t>
            </w:r>
          </w:p>
        </w:tc>
        <w:tc>
          <w:tcPr>
            <w:tcW w:w="720"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1次/月</w:t>
            </w:r>
          </w:p>
        </w:tc>
        <w:tc>
          <w:tcPr>
            <w:tcW w:w="20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罚款100-200元/次</w:t>
            </w:r>
          </w:p>
        </w:tc>
      </w:tr>
      <w:tr>
        <w:tblPrEx>
          <w:tblW w:w="5000" w:type="pct"/>
          <w:jc w:val="center"/>
          <w:tblLayout w:type="fixed"/>
          <w:tblCellMar>
            <w:top w:w="0" w:type="dxa"/>
            <w:left w:w="108" w:type="dxa"/>
            <w:bottom w:w="0" w:type="dxa"/>
            <w:right w:w="108" w:type="dxa"/>
          </w:tblCellMar>
        </w:tblPrEx>
        <w:trPr>
          <w:trHeight w:val="699"/>
          <w:jc w:val="center"/>
        </w:trPr>
        <w:tc>
          <w:tcPr>
            <w:tcW w:w="735" w:type="dxa"/>
            <w:tcBorders>
              <w:top w:val="nil"/>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4</w:t>
            </w:r>
          </w:p>
        </w:tc>
        <w:tc>
          <w:tcPr>
            <w:tcW w:w="1425"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有效投诉率、处理率及处理时限</w:t>
            </w:r>
          </w:p>
        </w:tc>
        <w:tc>
          <w:tcPr>
            <w:tcW w:w="1080"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有效投诉率≤1％/月；</w:t>
            </w:r>
          </w:p>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及时处理率＞98%</w:t>
            </w:r>
          </w:p>
        </w:tc>
        <w:tc>
          <w:tcPr>
            <w:tcW w:w="2895" w:type="dxa"/>
            <w:tcBorders>
              <w:top w:val="nil"/>
              <w:left w:val="nil"/>
              <w:bottom w:val="single" w:sz="4" w:space="0" w:color="auto"/>
              <w:right w:val="single" w:sz="4"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有无按照标准规定做好各项工作，提高员工素质，加强与职工之间的沟通，定期征求职工意见，主动改进工作；定期举行座谈会，了解职工的愿望及要求，满足职工的合理要求，将投诉及时处理及记录并建立回访制度(处理时限：立即处理，分类考虑可能处理的时间，一般不超过半天)，强化服务意识，提高员工素质。</w:t>
            </w:r>
          </w:p>
        </w:tc>
        <w:tc>
          <w:tcPr>
            <w:tcW w:w="720" w:type="dxa"/>
            <w:tcBorders>
              <w:top w:val="nil"/>
              <w:left w:val="nil"/>
              <w:bottom w:val="single" w:sz="4" w:space="0" w:color="auto"/>
              <w:right w:val="single" w:sz="4" w:space="0" w:color="auto"/>
            </w:tcBorders>
            <w:noWrap/>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1次/季度</w:t>
            </w:r>
          </w:p>
        </w:tc>
        <w:tc>
          <w:tcPr>
            <w:tcW w:w="2025" w:type="dxa"/>
            <w:tcBorders>
              <w:top w:val="nil"/>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罚款200-500元/次</w:t>
            </w:r>
          </w:p>
        </w:tc>
      </w:tr>
      <w:tr>
        <w:tblPrEx>
          <w:tblW w:w="5000" w:type="pct"/>
          <w:jc w:val="center"/>
          <w:tblLayout w:type="fixed"/>
          <w:tblCellMar>
            <w:top w:w="0" w:type="dxa"/>
            <w:left w:w="108" w:type="dxa"/>
            <w:bottom w:w="0" w:type="dxa"/>
            <w:right w:w="108" w:type="dxa"/>
          </w:tblCellMar>
        </w:tblPrEx>
        <w:trPr>
          <w:trHeight w:val="1230"/>
          <w:jc w:val="center"/>
        </w:trPr>
        <w:tc>
          <w:tcPr>
            <w:tcW w:w="735"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5</w:t>
            </w:r>
          </w:p>
        </w:tc>
        <w:tc>
          <w:tcPr>
            <w:tcW w:w="14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员工专业培训合格率</w:t>
            </w:r>
          </w:p>
        </w:tc>
        <w:tc>
          <w:tcPr>
            <w:tcW w:w="1080"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100%</w:t>
            </w:r>
          </w:p>
        </w:tc>
        <w:tc>
          <w:tcPr>
            <w:tcW w:w="2895" w:type="dxa"/>
            <w:tcBorders>
              <w:top w:val="single" w:sz="4" w:space="0" w:color="auto"/>
              <w:left w:val="nil"/>
              <w:bottom w:val="single" w:sz="4" w:space="0" w:color="auto"/>
              <w:right w:val="single" w:sz="4"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有无建立培训考核制度，对员工分别进行入职、在职及升职的培训，并予以考核，不合格者淘汰，确保培训合格率达标，以此确保员工的高素质。</w:t>
            </w:r>
          </w:p>
        </w:tc>
        <w:tc>
          <w:tcPr>
            <w:tcW w:w="720"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1次/季度</w:t>
            </w:r>
          </w:p>
        </w:tc>
        <w:tc>
          <w:tcPr>
            <w:tcW w:w="20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罚款200-300元/次</w:t>
            </w:r>
          </w:p>
        </w:tc>
      </w:tr>
      <w:tr>
        <w:tblPrEx>
          <w:tblW w:w="5000" w:type="pct"/>
          <w:jc w:val="center"/>
          <w:tblLayout w:type="fixed"/>
          <w:tblCellMar>
            <w:top w:w="0" w:type="dxa"/>
            <w:left w:w="108" w:type="dxa"/>
            <w:bottom w:w="0" w:type="dxa"/>
            <w:right w:w="108" w:type="dxa"/>
          </w:tblCellMar>
        </w:tblPrEx>
        <w:trPr>
          <w:trHeight w:val="1230"/>
          <w:jc w:val="center"/>
        </w:trPr>
        <w:tc>
          <w:tcPr>
            <w:tcW w:w="735"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6</w:t>
            </w:r>
          </w:p>
        </w:tc>
        <w:tc>
          <w:tcPr>
            <w:tcW w:w="14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消杀、油烟管道清洗</w:t>
            </w:r>
          </w:p>
        </w:tc>
        <w:tc>
          <w:tcPr>
            <w:tcW w:w="1080"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100%</w:t>
            </w:r>
          </w:p>
        </w:tc>
        <w:tc>
          <w:tcPr>
            <w:tcW w:w="2895" w:type="dxa"/>
            <w:tcBorders>
              <w:top w:val="single" w:sz="4" w:space="0" w:color="auto"/>
              <w:left w:val="nil"/>
              <w:bottom w:val="single" w:sz="4" w:space="0" w:color="auto"/>
              <w:right w:val="single" w:sz="4"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有无消杀及油烟管道除油污计划及执行情况。</w:t>
            </w:r>
          </w:p>
        </w:tc>
        <w:tc>
          <w:tcPr>
            <w:tcW w:w="720"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3次/年</w:t>
            </w:r>
          </w:p>
        </w:tc>
        <w:tc>
          <w:tcPr>
            <w:tcW w:w="20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罚款200-300元/次</w:t>
            </w:r>
          </w:p>
        </w:tc>
      </w:tr>
      <w:tr>
        <w:tblPrEx>
          <w:tblW w:w="5000" w:type="pct"/>
          <w:jc w:val="center"/>
          <w:tblLayout w:type="fixed"/>
          <w:tblCellMar>
            <w:top w:w="0" w:type="dxa"/>
            <w:left w:w="108" w:type="dxa"/>
            <w:bottom w:w="0" w:type="dxa"/>
            <w:right w:w="108" w:type="dxa"/>
          </w:tblCellMar>
        </w:tblPrEx>
        <w:trPr>
          <w:trHeight w:val="1230"/>
          <w:jc w:val="center"/>
        </w:trPr>
        <w:tc>
          <w:tcPr>
            <w:tcW w:w="735"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7</w:t>
            </w:r>
          </w:p>
        </w:tc>
        <w:tc>
          <w:tcPr>
            <w:tcW w:w="14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化油池清理</w:t>
            </w:r>
          </w:p>
        </w:tc>
        <w:tc>
          <w:tcPr>
            <w:tcW w:w="1080"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100%</w:t>
            </w:r>
          </w:p>
        </w:tc>
        <w:tc>
          <w:tcPr>
            <w:tcW w:w="2895" w:type="dxa"/>
            <w:tcBorders>
              <w:top w:val="single" w:sz="4" w:space="0" w:color="auto"/>
              <w:left w:val="nil"/>
              <w:bottom w:val="single" w:sz="4" w:space="0" w:color="auto"/>
              <w:right w:val="single" w:sz="4"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有无进行化油池除油清淤处理、是否畅通无堵塞。</w:t>
            </w:r>
          </w:p>
        </w:tc>
        <w:tc>
          <w:tcPr>
            <w:tcW w:w="720"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1次/年</w:t>
            </w:r>
          </w:p>
        </w:tc>
        <w:tc>
          <w:tcPr>
            <w:tcW w:w="20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罚款200-500元/次</w:t>
            </w:r>
          </w:p>
        </w:tc>
      </w:tr>
      <w:tr>
        <w:tblPrEx>
          <w:tblW w:w="5000" w:type="pct"/>
          <w:jc w:val="center"/>
          <w:tblLayout w:type="fixed"/>
          <w:tblCellMar>
            <w:top w:w="0" w:type="dxa"/>
            <w:left w:w="108" w:type="dxa"/>
            <w:bottom w:w="0" w:type="dxa"/>
            <w:right w:w="108" w:type="dxa"/>
          </w:tblCellMar>
        </w:tblPrEx>
        <w:trPr>
          <w:trHeight w:val="1125"/>
          <w:jc w:val="center"/>
        </w:trPr>
        <w:tc>
          <w:tcPr>
            <w:tcW w:w="735"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8</w:t>
            </w:r>
          </w:p>
        </w:tc>
        <w:tc>
          <w:tcPr>
            <w:tcW w:w="14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食堂满意率</w:t>
            </w:r>
          </w:p>
        </w:tc>
        <w:tc>
          <w:tcPr>
            <w:tcW w:w="1080"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70%</w:t>
            </w:r>
          </w:p>
        </w:tc>
        <w:tc>
          <w:tcPr>
            <w:tcW w:w="2895" w:type="dxa"/>
            <w:tcBorders>
              <w:top w:val="single" w:sz="4" w:space="0" w:color="auto"/>
              <w:left w:val="nil"/>
              <w:bottom w:val="single" w:sz="4" w:space="0" w:color="auto"/>
              <w:right w:val="single" w:sz="4"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是否采用科学管理手段，强化服务意识，及时收集客户的需求信息，尽可能满足职工的需求，加强双方的沟通，以确保职工对食堂管理工作的满意程度。</w:t>
            </w:r>
          </w:p>
        </w:tc>
        <w:tc>
          <w:tcPr>
            <w:tcW w:w="720"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2次/年</w:t>
            </w:r>
          </w:p>
        </w:tc>
        <w:tc>
          <w:tcPr>
            <w:tcW w:w="20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罚款200-500元/次</w:t>
            </w:r>
          </w:p>
        </w:tc>
      </w:tr>
      <w:tr>
        <w:tblPrEx>
          <w:tblW w:w="5000" w:type="pct"/>
          <w:jc w:val="center"/>
          <w:tblLayout w:type="fixed"/>
          <w:tblCellMar>
            <w:top w:w="0" w:type="dxa"/>
            <w:left w:w="108" w:type="dxa"/>
            <w:bottom w:w="0" w:type="dxa"/>
            <w:right w:w="108" w:type="dxa"/>
          </w:tblCellMar>
        </w:tblPrEx>
        <w:trPr>
          <w:trHeight w:val="1050"/>
          <w:jc w:val="center"/>
        </w:trPr>
        <w:tc>
          <w:tcPr>
            <w:tcW w:w="735" w:type="dxa"/>
            <w:tcBorders>
              <w:top w:val="single" w:sz="4" w:space="0" w:color="auto"/>
              <w:left w:val="single" w:sz="4" w:space="0" w:color="auto"/>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9</w:t>
            </w:r>
          </w:p>
        </w:tc>
        <w:tc>
          <w:tcPr>
            <w:tcW w:w="14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食堂垃圾收集运送满意率</w:t>
            </w:r>
          </w:p>
        </w:tc>
        <w:tc>
          <w:tcPr>
            <w:tcW w:w="1080"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100%</w:t>
            </w:r>
          </w:p>
        </w:tc>
        <w:tc>
          <w:tcPr>
            <w:tcW w:w="2895" w:type="dxa"/>
            <w:tcBorders>
              <w:top w:val="single" w:sz="4" w:space="0" w:color="auto"/>
              <w:left w:val="nil"/>
              <w:bottom w:val="single" w:sz="4" w:space="0" w:color="auto"/>
              <w:right w:val="single" w:sz="4"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食堂垃圾收集运送是否及时、准确，无渗漏，无损坏。</w:t>
            </w:r>
          </w:p>
        </w:tc>
        <w:tc>
          <w:tcPr>
            <w:tcW w:w="720" w:type="dxa"/>
            <w:tcBorders>
              <w:top w:val="single" w:sz="4" w:space="0" w:color="auto"/>
              <w:left w:val="nil"/>
              <w:bottom w:val="single" w:sz="4" w:space="0" w:color="auto"/>
              <w:right w:val="single" w:sz="4" w:space="0" w:color="auto"/>
            </w:tcBorders>
            <w:noWrap/>
            <w:vAlign w:val="center"/>
          </w:tcPr>
          <w:p>
            <w:pPr>
              <w:widowControl/>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1次/月</w:t>
            </w:r>
          </w:p>
        </w:tc>
        <w:tc>
          <w:tcPr>
            <w:tcW w:w="202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罚款100-300元/次</w:t>
            </w:r>
          </w:p>
        </w:tc>
      </w:tr>
    </w:tbl>
    <w:p>
      <w:pPr>
        <w:widowControl w:val="0"/>
        <w:tabs>
          <w:tab w:val="left" w:pos="420"/>
          <w:tab w:val="left" w:pos="540"/>
        </w:tabs>
        <w:adjustRightInd w:val="0"/>
        <w:snapToGrid w:val="0"/>
        <w:spacing w:line="360" w:lineRule="auto"/>
        <w:ind w:left="420"/>
        <w:jc w:val="both"/>
        <w:rPr>
          <w:rFonts w:ascii="宋体" w:eastAsia="宋体" w:hAnsi="宋体" w:cs="宋体" w:hint="eastAsia"/>
          <w:b/>
          <w:kern w:val="2"/>
          <w:sz w:val="21"/>
          <w:szCs w:val="21"/>
          <w:lang w:eastAsia="zh-CN"/>
        </w:rPr>
      </w:pPr>
    </w:p>
    <w:p>
      <w:pPr>
        <w:widowControl w:val="0"/>
        <w:numPr>
          <w:ilvl w:val="0"/>
          <w:numId w:val="7"/>
        </w:numPr>
        <w:tabs>
          <w:tab w:val="left" w:pos="1440"/>
        </w:tabs>
        <w:spacing w:line="360" w:lineRule="auto"/>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人员配备、岗位职责及资质要求</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本项目食堂需配备工作人员合计不少于10人，若从事该项目相关岗位的工作人员不符合采购人要求，则新的合格的工作人员需在24小时内到岗替换从事该岗位的原工作人员。</w:t>
      </w:r>
    </w:p>
    <w:tbl>
      <w:tblPr>
        <w:tblStyle w:val="TableNormal"/>
        <w:tblW w:w="5000" w:type="pct"/>
        <w:jc w:val="center"/>
        <w:tblLayout w:type="fixed"/>
        <w:tblCellMar>
          <w:top w:w="0" w:type="dxa"/>
          <w:left w:w="108" w:type="dxa"/>
          <w:bottom w:w="0" w:type="dxa"/>
          <w:right w:w="108" w:type="dxa"/>
        </w:tblCellMar>
      </w:tblPr>
      <w:tblGrid>
        <w:gridCol w:w="1050"/>
        <w:gridCol w:w="800"/>
        <w:gridCol w:w="3272"/>
        <w:gridCol w:w="3407"/>
      </w:tblGrid>
      <w:tr>
        <w:tblPrEx>
          <w:tblW w:w="5000" w:type="pct"/>
          <w:jc w:val="center"/>
          <w:tblLayout w:type="fixed"/>
          <w:tblCellMar>
            <w:top w:w="0" w:type="dxa"/>
            <w:left w:w="108" w:type="dxa"/>
            <w:bottom w:w="0" w:type="dxa"/>
            <w:right w:w="108" w:type="dxa"/>
          </w:tblCellMar>
        </w:tblPrEx>
        <w:trPr>
          <w:trHeight w:val="383"/>
          <w:jc w:val="center"/>
        </w:trPr>
        <w:tc>
          <w:tcPr>
            <w:tcW w:w="1080" w:type="dxa"/>
            <w:tcBorders>
              <w:top w:val="single" w:sz="8" w:space="0" w:color="auto"/>
              <w:left w:val="single" w:sz="8" w:space="0" w:color="auto"/>
              <w:bottom w:val="nil"/>
              <w:right w:val="single" w:sz="8" w:space="0" w:color="auto"/>
            </w:tcBorders>
            <w:vAlign w:val="center"/>
          </w:tcPr>
          <w:p>
            <w:pPr>
              <w:widowControl/>
              <w:spacing w:line="360" w:lineRule="auto"/>
              <w:jc w:val="center"/>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岗 位</w:t>
            </w:r>
          </w:p>
        </w:tc>
        <w:tc>
          <w:tcPr>
            <w:tcW w:w="820" w:type="dxa"/>
            <w:tcBorders>
              <w:top w:val="single" w:sz="8" w:space="0" w:color="auto"/>
              <w:left w:val="nil"/>
              <w:bottom w:val="nil"/>
              <w:right w:val="single" w:sz="8" w:space="0" w:color="auto"/>
            </w:tcBorders>
            <w:noWrap/>
            <w:vAlign w:val="center"/>
          </w:tcPr>
          <w:p>
            <w:pPr>
              <w:widowControl/>
              <w:spacing w:line="360" w:lineRule="auto"/>
              <w:jc w:val="center"/>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人数</w:t>
            </w:r>
          </w:p>
        </w:tc>
        <w:tc>
          <w:tcPr>
            <w:tcW w:w="3380" w:type="dxa"/>
            <w:tcBorders>
              <w:top w:val="single" w:sz="8" w:space="0" w:color="auto"/>
              <w:left w:val="nil"/>
              <w:bottom w:val="nil"/>
              <w:right w:val="single" w:sz="8" w:space="0" w:color="auto"/>
            </w:tcBorders>
            <w:noWrap/>
            <w:vAlign w:val="center"/>
          </w:tcPr>
          <w:p>
            <w:pPr>
              <w:widowControl/>
              <w:spacing w:line="360" w:lineRule="auto"/>
              <w:jc w:val="center"/>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岗位职责</w:t>
            </w:r>
          </w:p>
        </w:tc>
        <w:tc>
          <w:tcPr>
            <w:tcW w:w="3520" w:type="dxa"/>
            <w:tcBorders>
              <w:top w:val="single" w:sz="8" w:space="0" w:color="auto"/>
              <w:left w:val="nil"/>
              <w:bottom w:val="nil"/>
              <w:right w:val="single" w:sz="8" w:space="0" w:color="auto"/>
            </w:tcBorders>
            <w:vAlign w:val="center"/>
          </w:tcPr>
          <w:p>
            <w:pPr>
              <w:widowControl/>
              <w:spacing w:line="360" w:lineRule="auto"/>
              <w:jc w:val="center"/>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eastAsia="zh-CN"/>
              </w:rPr>
              <w:t>工作经验及资质</w:t>
            </w:r>
          </w:p>
        </w:tc>
      </w:tr>
      <w:tr>
        <w:tblPrEx>
          <w:tblW w:w="5000" w:type="pct"/>
          <w:jc w:val="center"/>
          <w:tblLayout w:type="fixed"/>
          <w:tblCellMar>
            <w:top w:w="0" w:type="dxa"/>
            <w:left w:w="108" w:type="dxa"/>
            <w:bottom w:w="0" w:type="dxa"/>
            <w:right w:w="108" w:type="dxa"/>
          </w:tblCellMar>
        </w:tblPrEx>
        <w:trPr>
          <w:trHeight w:val="1035"/>
          <w:jc w:val="center"/>
        </w:trPr>
        <w:tc>
          <w:tcPr>
            <w:tcW w:w="1080" w:type="dxa"/>
            <w:tcBorders>
              <w:top w:val="single" w:sz="8" w:space="0" w:color="auto"/>
              <w:left w:val="single" w:sz="8" w:space="0" w:color="auto"/>
              <w:bottom w:val="single" w:sz="8" w:space="0" w:color="auto"/>
              <w:right w:val="single" w:sz="8"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项目经理</w:t>
            </w:r>
          </w:p>
        </w:tc>
        <w:tc>
          <w:tcPr>
            <w:tcW w:w="820" w:type="dxa"/>
            <w:tcBorders>
              <w:top w:val="single" w:sz="8" w:space="0" w:color="auto"/>
              <w:left w:val="nil"/>
              <w:bottom w:val="single" w:sz="8" w:space="0" w:color="auto"/>
              <w:right w:val="single" w:sz="8" w:space="0" w:color="auto"/>
            </w:tcBorders>
            <w:noWrap/>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w:t>
            </w:r>
          </w:p>
        </w:tc>
        <w:tc>
          <w:tcPr>
            <w:tcW w:w="3380" w:type="dxa"/>
            <w:tcBorders>
              <w:top w:val="single" w:sz="8" w:space="0" w:color="auto"/>
              <w:left w:val="nil"/>
              <w:bottom w:val="single" w:sz="8" w:space="0" w:color="auto"/>
              <w:right w:val="single" w:sz="8"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全面负责对本项目日常管理、客户沟通、内外事务处理、员工的考核培训等</w:t>
            </w:r>
          </w:p>
        </w:tc>
        <w:tc>
          <w:tcPr>
            <w:tcW w:w="3520" w:type="dxa"/>
            <w:tcBorders>
              <w:top w:val="single" w:sz="8" w:space="0" w:color="auto"/>
              <w:left w:val="nil"/>
              <w:bottom w:val="single" w:sz="8" w:space="0" w:color="auto"/>
              <w:right w:val="single" w:sz="8"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具有餐饮行业5年以上类似项目管理经验。</w:t>
            </w:r>
          </w:p>
        </w:tc>
      </w:tr>
      <w:tr>
        <w:tblPrEx>
          <w:tblW w:w="5000" w:type="pct"/>
          <w:jc w:val="center"/>
          <w:tblLayout w:type="fixed"/>
          <w:tblCellMar>
            <w:top w:w="0" w:type="dxa"/>
            <w:left w:w="108" w:type="dxa"/>
            <w:bottom w:w="0" w:type="dxa"/>
            <w:right w:w="108" w:type="dxa"/>
          </w:tblCellMar>
        </w:tblPrEx>
        <w:trPr>
          <w:trHeight w:val="1035"/>
          <w:jc w:val="center"/>
        </w:trPr>
        <w:tc>
          <w:tcPr>
            <w:tcW w:w="1080" w:type="dxa"/>
            <w:tcBorders>
              <w:top w:val="single" w:sz="8" w:space="0" w:color="auto"/>
              <w:left w:val="single" w:sz="8" w:space="0" w:color="auto"/>
              <w:bottom w:val="single" w:sz="8" w:space="0" w:color="auto"/>
              <w:right w:val="single" w:sz="8" w:space="0" w:color="auto"/>
            </w:tcBorders>
            <w:vAlign w:val="center"/>
          </w:tcPr>
          <w:p>
            <w:pPr>
              <w:widowControl/>
              <w:adjustRightInd w:val="0"/>
              <w:snapToGrid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sz w:val="20"/>
                <w:szCs w:val="20"/>
                <w:lang w:eastAsia="zh-CN"/>
              </w:rPr>
              <w:t>总厨/厨师长</w:t>
            </w:r>
          </w:p>
        </w:tc>
        <w:tc>
          <w:tcPr>
            <w:tcW w:w="820" w:type="dxa"/>
            <w:tcBorders>
              <w:top w:val="single" w:sz="8" w:space="0" w:color="auto"/>
              <w:left w:val="nil"/>
              <w:bottom w:val="single" w:sz="8" w:space="0" w:color="auto"/>
              <w:right w:val="single" w:sz="8" w:space="0" w:color="auto"/>
            </w:tcBorders>
            <w:noWrap/>
            <w:vAlign w:val="center"/>
          </w:tcPr>
          <w:p>
            <w:pPr>
              <w:widowControl/>
              <w:adjustRightInd w:val="0"/>
              <w:snapToGrid w:val="0"/>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sz w:val="21"/>
                <w:szCs w:val="21"/>
                <w:lang w:eastAsia="zh-CN"/>
              </w:rPr>
              <w:t>1</w:t>
            </w:r>
          </w:p>
        </w:tc>
        <w:tc>
          <w:tcPr>
            <w:tcW w:w="3380" w:type="dxa"/>
            <w:tcBorders>
              <w:top w:val="single" w:sz="8" w:space="0" w:color="auto"/>
              <w:left w:val="nil"/>
              <w:bottom w:val="single" w:sz="8" w:space="0" w:color="auto"/>
              <w:right w:val="single" w:sz="8" w:space="0" w:color="auto"/>
            </w:tcBorders>
            <w:vAlign w:val="center"/>
          </w:tcPr>
          <w:p>
            <w:pPr>
              <w:widowControl/>
              <w:adjustRightInd w:val="0"/>
              <w:snapToGrid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sz w:val="20"/>
                <w:szCs w:val="20"/>
                <w:lang w:eastAsia="zh-CN"/>
              </w:rPr>
              <w:t>协助经理工作，主要负责菜品质量控制、卫生管理、营养配餐。</w:t>
            </w:r>
          </w:p>
        </w:tc>
        <w:tc>
          <w:tcPr>
            <w:tcW w:w="3520" w:type="dxa"/>
            <w:tcBorders>
              <w:top w:val="single" w:sz="8" w:space="0" w:color="auto"/>
              <w:left w:val="nil"/>
              <w:bottom w:val="single" w:sz="8" w:space="0" w:color="auto"/>
              <w:right w:val="single" w:sz="8" w:space="0" w:color="auto"/>
            </w:tcBorders>
            <w:vAlign w:val="center"/>
          </w:tcPr>
          <w:p>
            <w:pPr>
              <w:widowControl/>
              <w:adjustRightInd w:val="0"/>
              <w:snapToGrid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sz w:val="20"/>
                <w:szCs w:val="20"/>
                <w:lang w:eastAsia="zh-CN"/>
              </w:rPr>
              <w:t>有5年以上类似项目经验，熟悉食堂各岗位的工作。</w:t>
            </w:r>
          </w:p>
        </w:tc>
      </w:tr>
      <w:tr>
        <w:tblPrEx>
          <w:tblW w:w="5000" w:type="pct"/>
          <w:jc w:val="center"/>
          <w:tblLayout w:type="fixed"/>
          <w:tblCellMar>
            <w:top w:w="0" w:type="dxa"/>
            <w:left w:w="108" w:type="dxa"/>
            <w:bottom w:w="0" w:type="dxa"/>
            <w:right w:w="108" w:type="dxa"/>
          </w:tblCellMar>
        </w:tblPrEx>
        <w:trPr>
          <w:trHeight w:val="855"/>
          <w:jc w:val="center"/>
        </w:trPr>
        <w:tc>
          <w:tcPr>
            <w:tcW w:w="1080" w:type="dxa"/>
            <w:tcBorders>
              <w:top w:val="single" w:sz="8" w:space="0" w:color="auto"/>
              <w:left w:val="single" w:sz="8" w:space="0" w:color="auto"/>
              <w:bottom w:val="single" w:sz="8" w:space="0" w:color="auto"/>
              <w:right w:val="single" w:sz="8"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厨师</w:t>
            </w:r>
          </w:p>
        </w:tc>
        <w:tc>
          <w:tcPr>
            <w:tcW w:w="820" w:type="dxa"/>
            <w:tcBorders>
              <w:top w:val="single" w:sz="8" w:space="0" w:color="auto"/>
              <w:left w:val="single" w:sz="8" w:space="0" w:color="auto"/>
              <w:bottom w:val="single" w:sz="8" w:space="0" w:color="auto"/>
              <w:right w:val="single" w:sz="8" w:space="0" w:color="auto"/>
            </w:tcBorders>
            <w:noWrap/>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2</w:t>
            </w:r>
          </w:p>
        </w:tc>
        <w:tc>
          <w:tcPr>
            <w:tcW w:w="3380" w:type="dxa"/>
            <w:tcBorders>
              <w:top w:val="single" w:sz="8" w:space="0" w:color="auto"/>
              <w:left w:val="single" w:sz="8" w:space="0" w:color="auto"/>
              <w:bottom w:val="single" w:sz="8" w:space="0" w:color="auto"/>
              <w:right w:val="single" w:sz="8"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日常食堂的餐饮服务，主要负责定菜谱、接待餐、菜肴制作卫生、配餐服务等工作</w:t>
            </w:r>
          </w:p>
        </w:tc>
        <w:tc>
          <w:tcPr>
            <w:tcW w:w="3520" w:type="dxa"/>
            <w:tcBorders>
              <w:top w:val="single" w:sz="8" w:space="0" w:color="auto"/>
              <w:left w:val="single" w:sz="8" w:space="0" w:color="auto"/>
              <w:bottom w:val="single" w:sz="8" w:space="0" w:color="auto"/>
              <w:right w:val="single" w:sz="8"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资深厨师，3年以上相同职位的工作经验，工作责任心强、熟悉粤菜和川湘菜风味、大锅菜和小锅菜制作。</w:t>
            </w:r>
          </w:p>
        </w:tc>
      </w:tr>
      <w:tr>
        <w:tblPrEx>
          <w:tblW w:w="5000" w:type="pct"/>
          <w:jc w:val="center"/>
          <w:tblLayout w:type="fixed"/>
          <w:tblCellMar>
            <w:top w:w="0" w:type="dxa"/>
            <w:left w:w="108" w:type="dxa"/>
            <w:bottom w:w="0" w:type="dxa"/>
            <w:right w:w="108" w:type="dxa"/>
          </w:tblCellMar>
        </w:tblPrEx>
        <w:trPr>
          <w:trHeight w:val="1579"/>
          <w:jc w:val="center"/>
        </w:trPr>
        <w:tc>
          <w:tcPr>
            <w:tcW w:w="1080" w:type="dxa"/>
            <w:tcBorders>
              <w:top w:val="single" w:sz="4" w:space="0" w:color="auto"/>
              <w:left w:val="single" w:sz="4" w:space="0" w:color="auto"/>
              <w:bottom w:val="single" w:sz="4" w:space="0" w:color="auto"/>
              <w:right w:val="single" w:sz="8"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中西面点师</w:t>
            </w:r>
          </w:p>
        </w:tc>
        <w:tc>
          <w:tcPr>
            <w:tcW w:w="820" w:type="dxa"/>
            <w:tcBorders>
              <w:top w:val="single" w:sz="4" w:space="0" w:color="auto"/>
              <w:left w:val="nil"/>
              <w:bottom w:val="single" w:sz="4" w:space="0" w:color="auto"/>
              <w:right w:val="single" w:sz="8" w:space="0" w:color="auto"/>
            </w:tcBorders>
            <w:noWrap/>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2</w:t>
            </w:r>
          </w:p>
        </w:tc>
        <w:tc>
          <w:tcPr>
            <w:tcW w:w="3380" w:type="dxa"/>
            <w:tcBorders>
              <w:top w:val="single" w:sz="4" w:space="0" w:color="auto"/>
              <w:left w:val="nil"/>
              <w:bottom w:val="single" w:sz="4" w:space="0" w:color="auto"/>
              <w:right w:val="single" w:sz="8"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负责本部食堂早、中、晚餐中西点心的制作、粉面档各式粉面及酱料制作、配餐、卫生</w:t>
            </w:r>
          </w:p>
        </w:tc>
        <w:tc>
          <w:tcPr>
            <w:tcW w:w="3520" w:type="dxa"/>
            <w:tcBorders>
              <w:top w:val="single" w:sz="4" w:space="0" w:color="auto"/>
              <w:left w:val="nil"/>
              <w:bottom w:val="single" w:sz="4" w:space="0" w:color="auto"/>
              <w:right w:val="single" w:sz="4"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3年以上本岗位工作经验，熟悉各式南北风味点心、粉面制作。</w:t>
            </w:r>
          </w:p>
        </w:tc>
      </w:tr>
      <w:tr>
        <w:tblPrEx>
          <w:tblW w:w="5000" w:type="pct"/>
          <w:jc w:val="center"/>
          <w:tblLayout w:type="fixed"/>
          <w:tblCellMar>
            <w:top w:w="0" w:type="dxa"/>
            <w:left w:w="108" w:type="dxa"/>
            <w:bottom w:w="0" w:type="dxa"/>
            <w:right w:w="108" w:type="dxa"/>
          </w:tblCellMar>
        </w:tblPrEx>
        <w:trPr>
          <w:trHeight w:val="525"/>
          <w:jc w:val="center"/>
        </w:trPr>
        <w:tc>
          <w:tcPr>
            <w:tcW w:w="1080" w:type="dxa"/>
            <w:tcBorders>
              <w:top w:val="single" w:sz="4" w:space="0" w:color="auto"/>
              <w:left w:val="single" w:sz="8" w:space="0" w:color="auto"/>
              <w:bottom w:val="single" w:sz="8" w:space="0" w:color="auto"/>
              <w:right w:val="single" w:sz="8"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汤饭厨师</w:t>
            </w:r>
          </w:p>
        </w:tc>
        <w:tc>
          <w:tcPr>
            <w:tcW w:w="820" w:type="dxa"/>
            <w:tcBorders>
              <w:top w:val="single" w:sz="4" w:space="0" w:color="auto"/>
              <w:left w:val="nil"/>
              <w:bottom w:val="single" w:sz="8" w:space="0" w:color="auto"/>
              <w:right w:val="single" w:sz="8" w:space="0" w:color="auto"/>
            </w:tcBorders>
            <w:noWrap/>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1</w:t>
            </w:r>
          </w:p>
        </w:tc>
        <w:tc>
          <w:tcPr>
            <w:tcW w:w="3380" w:type="dxa"/>
            <w:tcBorders>
              <w:top w:val="single" w:sz="4" w:space="0" w:color="auto"/>
              <w:left w:val="nil"/>
              <w:bottom w:val="single" w:sz="8" w:space="0" w:color="auto"/>
              <w:right w:val="single" w:sz="8"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负责本部食堂米饭、例汤的制作</w:t>
            </w:r>
          </w:p>
        </w:tc>
        <w:tc>
          <w:tcPr>
            <w:tcW w:w="3520" w:type="dxa"/>
            <w:tcBorders>
              <w:top w:val="single" w:sz="4" w:space="0" w:color="auto"/>
              <w:left w:val="nil"/>
              <w:bottom w:val="single" w:sz="8" w:space="0" w:color="auto"/>
              <w:right w:val="single" w:sz="8"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3年以上本岗位工作经验、技术熟练、责任心强。</w:t>
            </w:r>
          </w:p>
        </w:tc>
      </w:tr>
      <w:tr>
        <w:tblPrEx>
          <w:tblW w:w="5000" w:type="pct"/>
          <w:jc w:val="center"/>
          <w:tblLayout w:type="fixed"/>
          <w:tblCellMar>
            <w:top w:w="0" w:type="dxa"/>
            <w:left w:w="108" w:type="dxa"/>
            <w:bottom w:w="0" w:type="dxa"/>
            <w:right w:w="108" w:type="dxa"/>
          </w:tblCellMar>
        </w:tblPrEx>
        <w:trPr>
          <w:trHeight w:val="1985"/>
          <w:jc w:val="center"/>
        </w:trPr>
        <w:tc>
          <w:tcPr>
            <w:tcW w:w="1080" w:type="dxa"/>
            <w:tcBorders>
              <w:top w:val="single" w:sz="4" w:space="0" w:color="auto"/>
              <w:left w:val="single" w:sz="8" w:space="0" w:color="auto"/>
              <w:bottom w:val="single" w:sz="4" w:space="0" w:color="auto"/>
              <w:right w:val="single" w:sz="8" w:space="0" w:color="auto"/>
            </w:tcBorders>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服务员、杂工</w:t>
            </w:r>
          </w:p>
        </w:tc>
        <w:tc>
          <w:tcPr>
            <w:tcW w:w="820" w:type="dxa"/>
            <w:tcBorders>
              <w:top w:val="single" w:sz="4" w:space="0" w:color="auto"/>
              <w:left w:val="nil"/>
              <w:bottom w:val="single" w:sz="4" w:space="0" w:color="auto"/>
              <w:right w:val="single" w:sz="8" w:space="0" w:color="auto"/>
            </w:tcBorders>
            <w:noWrap/>
            <w:vAlign w:val="center"/>
          </w:tcPr>
          <w:p>
            <w:pPr>
              <w:widowControl/>
              <w:spacing w:line="360" w:lineRule="auto"/>
              <w:jc w:val="center"/>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3</w:t>
            </w:r>
          </w:p>
        </w:tc>
        <w:tc>
          <w:tcPr>
            <w:tcW w:w="3380" w:type="dxa"/>
            <w:tcBorders>
              <w:top w:val="single" w:sz="4" w:space="0" w:color="auto"/>
              <w:left w:val="nil"/>
              <w:bottom w:val="single" w:sz="4" w:space="0" w:color="auto"/>
              <w:right w:val="single" w:sz="8"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负责本部食堂的原料加工切配、配餐、卫生等厨房的各种工作</w:t>
            </w:r>
          </w:p>
          <w:p>
            <w:pPr>
              <w:widowControl w:val="0"/>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负责自助餐、围餐、配餐服务及协助厨房各部门的工作</w:t>
            </w:r>
          </w:p>
        </w:tc>
        <w:tc>
          <w:tcPr>
            <w:tcW w:w="3520" w:type="dxa"/>
            <w:tcBorders>
              <w:top w:val="single" w:sz="4" w:space="0" w:color="auto"/>
              <w:left w:val="nil"/>
              <w:right w:val="single" w:sz="8" w:space="0" w:color="auto"/>
            </w:tcBorders>
            <w:vAlign w:val="center"/>
          </w:tcPr>
          <w:p>
            <w:pPr>
              <w:widowControl/>
              <w:spacing w:line="360" w:lineRule="auto"/>
              <w:jc w:val="both"/>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2年以上工作经验，具有高度的服务意识、责任心、自觉性，形象气质佳。</w:t>
            </w:r>
          </w:p>
        </w:tc>
      </w:tr>
      <w:tr>
        <w:tblPrEx>
          <w:tblW w:w="5000" w:type="pct"/>
          <w:jc w:val="center"/>
          <w:tblLayout w:type="fixed"/>
          <w:tblCellMar>
            <w:top w:w="0" w:type="dxa"/>
            <w:left w:w="108" w:type="dxa"/>
            <w:bottom w:w="0" w:type="dxa"/>
            <w:right w:w="108" w:type="dxa"/>
          </w:tblCellMar>
        </w:tblPrEx>
        <w:trPr>
          <w:trHeight w:val="548"/>
          <w:jc w:val="center"/>
        </w:trPr>
        <w:tc>
          <w:tcPr>
            <w:tcW w:w="1080" w:type="dxa"/>
            <w:tcBorders>
              <w:top w:val="nil"/>
              <w:left w:val="single" w:sz="8" w:space="0" w:color="auto"/>
              <w:bottom w:val="single" w:sz="8" w:space="0" w:color="auto"/>
              <w:right w:val="single" w:sz="8" w:space="0" w:color="auto"/>
            </w:tcBorders>
            <w:vAlign w:val="center"/>
          </w:tcPr>
          <w:p>
            <w:pPr>
              <w:widowControl/>
              <w:spacing w:line="360" w:lineRule="auto"/>
              <w:jc w:val="center"/>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合计</w:t>
            </w:r>
          </w:p>
        </w:tc>
        <w:tc>
          <w:tcPr>
            <w:tcW w:w="820" w:type="dxa"/>
            <w:tcBorders>
              <w:top w:val="single" w:sz="4" w:space="0" w:color="auto"/>
              <w:left w:val="nil"/>
              <w:bottom w:val="single" w:sz="8" w:space="0" w:color="auto"/>
              <w:right w:val="single" w:sz="8" w:space="0" w:color="auto"/>
            </w:tcBorders>
            <w:noWrap/>
            <w:vAlign w:val="center"/>
          </w:tcPr>
          <w:p>
            <w:pPr>
              <w:widowControl/>
              <w:spacing w:line="360" w:lineRule="auto"/>
              <w:jc w:val="center"/>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10人</w:t>
            </w:r>
          </w:p>
        </w:tc>
        <w:tc>
          <w:tcPr>
            <w:tcW w:w="6900" w:type="dxa"/>
            <w:gridSpan w:val="2"/>
            <w:tcBorders>
              <w:top w:val="single" w:sz="8" w:space="0" w:color="auto"/>
              <w:left w:val="nil"/>
              <w:bottom w:val="single" w:sz="8" w:space="0" w:color="auto"/>
              <w:right w:val="single" w:sz="8" w:space="0" w:color="000000"/>
            </w:tcBorders>
            <w:noWrap/>
            <w:vAlign w:val="center"/>
          </w:tcPr>
          <w:p>
            <w:pPr>
              <w:widowControl/>
              <w:spacing w:line="360" w:lineRule="auto"/>
              <w:jc w:val="center"/>
              <w:rPr>
                <w:rFonts w:ascii="宋体" w:eastAsia="宋体" w:hAnsi="宋体" w:cs="宋体" w:hint="eastAsia"/>
                <w:b/>
                <w:bCs/>
                <w:sz w:val="21"/>
                <w:szCs w:val="21"/>
                <w:lang w:eastAsia="zh-CN"/>
              </w:rPr>
            </w:pPr>
          </w:p>
        </w:tc>
      </w:tr>
    </w:tbl>
    <w:p>
      <w:pPr>
        <w:widowControl w:val="0"/>
        <w:jc w:val="both"/>
        <w:rPr>
          <w:rFonts w:ascii="宋体" w:eastAsia="宋体" w:hAnsi="宋体" w:hint="eastAsia"/>
          <w:b/>
          <w:kern w:val="2"/>
          <w:sz w:val="21"/>
          <w:szCs w:val="21"/>
          <w:lang w:eastAsia="zh-CN"/>
        </w:rPr>
      </w:pPr>
    </w:p>
    <w:p>
      <w:pPr>
        <w:widowControl w:val="0"/>
        <w:jc w:val="both"/>
        <w:rPr>
          <w:rFonts w:eastAsia="宋体"/>
          <w:b/>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六、商务要求</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
          <w:kern w:val="2"/>
          <w:sz w:val="21"/>
          <w:szCs w:val="21"/>
          <w:lang w:eastAsia="zh-CN"/>
        </w:rPr>
        <w:t>1、★服务期限：</w:t>
      </w:r>
    </w:p>
    <w:p>
      <w:pPr>
        <w:widowControl w:val="0"/>
        <w:spacing w:line="360" w:lineRule="auto"/>
        <w:ind w:firstLine="420" w:firstLineChars="200"/>
        <w:jc w:val="both"/>
        <w:rPr>
          <w:rFonts w:ascii="宋体" w:eastAsia="宋体" w:hAnsi="宋体" w:cs="宋体" w:hint="eastAsia"/>
          <w:kern w:val="2"/>
          <w:sz w:val="21"/>
          <w:szCs w:val="21"/>
          <w:lang w:eastAsia="zh-CN"/>
        </w:rPr>
      </w:pPr>
      <w:bookmarkStart w:id="50" w:name="OLE_LINK2"/>
      <w:r>
        <w:rPr>
          <w:rFonts w:ascii="宋体" w:eastAsia="宋体" w:hAnsi="宋体" w:cs="宋体" w:hint="eastAsia"/>
          <w:kern w:val="2"/>
          <w:sz w:val="21"/>
          <w:szCs w:val="21"/>
          <w:lang w:eastAsia="zh-CN"/>
        </w:rPr>
        <w:t>本项目服务期限为自合同签订之日起一年。因本项目为长期服务类项目，采购单位可根据项目需要和中标供应商的履约评估情况确定合同期限是否延长，但累计服务期限不超过36个月，合同延期每年服务费用按本次招标中标价执行。</w:t>
      </w:r>
    </w:p>
    <w:bookmarkEnd w:id="50"/>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lang w:eastAsia="zh-CN"/>
        </w:rPr>
        <w:t>服务地点：采购人指定地点</w:t>
      </w:r>
    </w:p>
    <w:p>
      <w:pPr>
        <w:widowControl w:val="0"/>
        <w:spacing w:line="360" w:lineRule="auto"/>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3、付款方式：</w:t>
      </w:r>
      <w:r>
        <w:rPr>
          <w:rFonts w:ascii="宋体" w:eastAsia="宋体" w:hAnsi="宋体" w:cs="宋体" w:hint="eastAsia"/>
          <w:kern w:val="2"/>
          <w:sz w:val="21"/>
          <w:szCs w:val="22"/>
          <w:lang w:eastAsia="zh-CN"/>
        </w:rPr>
        <w:t>按月支付</w:t>
      </w:r>
    </w:p>
    <w:p>
      <w:pPr>
        <w:widowControl w:val="0"/>
        <w:spacing w:line="360" w:lineRule="auto"/>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4、报价要求：</w:t>
      </w:r>
    </w:p>
    <w:p>
      <w:pPr>
        <w:widowControl w:val="0"/>
        <w:spacing w:line="360" w:lineRule="auto"/>
        <w:ind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4.1本项目预算金额为人民币98万元/年。</w:t>
      </w:r>
    </w:p>
    <w:p>
      <w:pPr>
        <w:widowControl w:val="0"/>
        <w:spacing w:line="360" w:lineRule="auto"/>
        <w:ind w:firstLine="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4.2投标报价需包含人工、服务费用、税费等涉及本项目所有的费用。</w:t>
      </w:r>
    </w:p>
    <w:p>
      <w:pPr>
        <w:widowControl w:val="0"/>
        <w:spacing w:line="360" w:lineRule="auto"/>
        <w:ind w:firstLine="0" w:firstLineChars="0"/>
        <w:jc w:val="both"/>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5、履约保证金</w:t>
      </w:r>
    </w:p>
    <w:p>
      <w:pPr>
        <w:widowControl w:val="0"/>
        <w:spacing w:line="360" w:lineRule="auto"/>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kern w:val="2"/>
          <w:sz w:val="21"/>
          <w:szCs w:val="22"/>
          <w:lang w:eastAsia="zh-CN"/>
        </w:rPr>
        <w:t>合同金额的10%，投标供应商自主选择以支票、汇票、本票、保函等非现金形式缴纳或提交。履约保证金在中标人履行完成合同约定权利义务事项在合同期满之日起日内按原方式退还，不计利息。采购人逾期退还履约保证金的，向中标人每日偿付履约保证金的0.5‰的利息。因中标人原因而未能达到本项目验收标准或验收不通过的，履约保证金不予退还。         6</w:t>
      </w:r>
      <w:r>
        <w:rPr>
          <w:rFonts w:ascii="宋体" w:eastAsia="宋体" w:hAnsi="宋体" w:cs="宋体" w:hint="eastAsia"/>
          <w:kern w:val="2"/>
          <w:sz w:val="21"/>
          <w:lang w:eastAsia="zh-CN"/>
        </w:rPr>
        <w:t>、其他</w:t>
      </w:r>
    </w:p>
    <w:p>
      <w:pPr>
        <w:widowControl w:val="0"/>
        <w:ind w:firstLine="420" w:firstLineChars="200"/>
        <w:jc w:val="both"/>
        <w:rPr>
          <w:rFonts w:ascii="宋体" w:eastAsia="宋体" w:hAnsi="宋体" w:hint="eastAsia"/>
          <w:b/>
          <w:bCs/>
          <w:lang w:eastAsia="zh-CN"/>
        </w:rPr>
      </w:pPr>
      <w:r>
        <w:rPr>
          <w:rFonts w:ascii="宋体" w:eastAsia="宋体" w:hAnsi="宋体" w:cs="宋体" w:hint="eastAsia"/>
          <w:kern w:val="2"/>
          <w:sz w:val="21"/>
          <w:szCs w:val="21"/>
          <w:lang w:eastAsia="zh-CN"/>
        </w:rPr>
        <w:t>如服务履行期间，工作人员连续超过7个工作日（不包含节假日）缺岗，扣除相应缺席天数的日薪。</w:t>
      </w:r>
    </w:p>
    <w:p>
      <w:pPr>
        <w:widowControl w:val="0"/>
        <w:ind w:firstLine="480" w:firstLineChars="200"/>
        <w:jc w:val="both"/>
        <w:rPr>
          <w:rFonts w:ascii="宋体" w:eastAsia="宋体" w:hAnsi="宋体" w:hint="eastAsia"/>
          <w:b/>
          <w:bCs/>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bookmarkStart w:id="51" w:name="_Hlk72167863"/>
      <w:r>
        <w:rPr>
          <w:rFonts w:ascii="宋体" w:eastAsia="宋体" w:hAnsi="宋体" w:hint="eastAsia"/>
          <w:b/>
          <w:bCs/>
          <w:lang w:eastAsia="zh-CN"/>
        </w:rPr>
        <w:t>七、</w:t>
      </w:r>
      <w:bookmarkEnd w:id="51"/>
      <w:r>
        <w:rPr>
          <w:rFonts w:ascii="宋体" w:eastAsia="宋体" w:hAnsi="宋体" w:hint="eastAsia"/>
          <w:b/>
          <w:bCs/>
          <w:lang w:eastAsia="zh-CN"/>
        </w:rPr>
        <w:t>其他重要条款</w:t>
      </w:r>
    </w:p>
    <w:p>
      <w:pPr>
        <w:widowControl w:val="0"/>
        <w:ind w:firstLine="420" w:firstLineChars="200"/>
        <w:jc w:val="both"/>
        <w:rPr>
          <w:rFonts w:eastAsia="宋体"/>
          <w:bCs/>
          <w:kern w:val="2"/>
          <w:sz w:val="21"/>
          <w:szCs w:val="21"/>
          <w:lang w:eastAsia="zh-CN"/>
        </w:rPr>
      </w:pPr>
      <w:bookmarkStart w:id="52" w:name="_Hlk72257111"/>
      <w:r>
        <w:rPr>
          <w:rFonts w:eastAsia="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hint="eastAsia"/>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、投标人应充分了解项目的位置、情况、道路及任何其他足以影响投标报价的情况，任何因忽视或误解项目情况而导致的索赔或服务期限延长申请将不获批准。</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eastAsia="宋体" w:hint="eastAsia"/>
          <w:bCs/>
          <w:kern w:val="2"/>
          <w:sz w:val="21"/>
          <w:szCs w:val="21"/>
          <w:lang w:eastAsia="zh-CN"/>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eastAsia="宋体" w:hAnsi="宋体" w:hint="eastAsia"/>
          <w:b/>
          <w:bCs/>
          <w:kern w:val="2"/>
          <w:szCs w:val="20"/>
          <w:lang w:eastAsia="zh-CN"/>
        </w:rPr>
      </w:pPr>
      <w:r>
        <w:rPr>
          <w:rFonts w:eastAsia="宋体"/>
          <w:bCs/>
          <w:kern w:val="2"/>
          <w:sz w:val="21"/>
          <w:szCs w:val="21"/>
          <w:lang w:eastAsia="zh-CN"/>
        </w:rPr>
        <w:t>5</w:t>
      </w:r>
      <w:r>
        <w:rPr>
          <w:rFonts w:eastAsia="宋体" w:hint="eastAsia"/>
          <w:bCs/>
          <w:kern w:val="2"/>
          <w:sz w:val="21"/>
          <w:szCs w:val="21"/>
          <w:lang w:eastAsia="zh-CN"/>
        </w:rPr>
        <w:t>、除采购合同继续履行将损害国家利益和社会公共利益外，双方当事人不得擅自变更、中止或者终止合同。</w:t>
      </w:r>
      <w:bookmarkEnd w:id="52"/>
      <w:r>
        <w:rPr>
          <w:rFonts w:eastAsia="宋体"/>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第四章 投标文件组成要求及格式</w:t>
      </w:r>
    </w:p>
    <w:p>
      <w:pPr>
        <w:widowControl/>
        <w:jc w:val="left"/>
        <w:rPr>
          <w:rFonts w:ascii="宋体" w:eastAsia="宋体" w:hAnsi="宋体" w:hint="eastAsia"/>
          <w:kern w:val="2"/>
          <w:lang w:eastAsia="zh-CN"/>
        </w:rPr>
      </w:pPr>
    </w:p>
    <w:p>
      <w:pPr>
        <w:widowControl w:val="0"/>
        <w:jc w:val="both"/>
        <w:rPr>
          <w:rFonts w:ascii="宋体" w:eastAsia="宋体" w:hAnsi="宋体" w:hint="eastAsia"/>
          <w:b/>
          <w:bCs/>
          <w:kern w:val="2"/>
          <w:lang w:eastAsia="zh-CN"/>
        </w:rPr>
      </w:pPr>
      <w:r>
        <w:rPr>
          <w:rFonts w:ascii="宋体" w:eastAsia="宋体" w:hAnsi="宋体" w:hint="eastAsia"/>
          <w:b/>
          <w:bCs/>
          <w:kern w:val="2"/>
          <w:lang w:eastAsia="zh-CN"/>
        </w:rPr>
        <w:t>投标文件组成主要包括以下内容：</w:t>
      </w:r>
    </w:p>
    <w:p>
      <w:pPr>
        <w:widowControl w:val="0"/>
        <w:ind w:firstLine="420" w:firstLineChars="200"/>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w:t>
      </w:r>
      <w:bookmarkStart w:id="53" w:name="_Hlk72070784"/>
      <w:r>
        <w:rPr>
          <w:rFonts w:eastAsia="宋体" w:hint="eastAsia"/>
          <w:kern w:val="2"/>
          <w:sz w:val="21"/>
          <w:szCs w:val="21"/>
          <w:lang w:eastAsia="zh-CN"/>
        </w:rPr>
        <w:t>投标函</w:t>
      </w:r>
      <w:bookmarkEnd w:id="53"/>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（2）采购投标及履约承诺函</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kern w:val="2"/>
          <w:sz w:val="21"/>
          <w:szCs w:val="21"/>
          <w:lang w:eastAsia="zh-CN"/>
        </w:rPr>
        <w:t>3</w:t>
      </w:r>
      <w:r>
        <w:rPr>
          <w:rFonts w:eastAsia="宋体" w:hint="eastAsia"/>
          <w:kern w:val="2"/>
          <w:sz w:val="21"/>
          <w:szCs w:val="21"/>
          <w:lang w:eastAsia="zh-CN"/>
        </w:rPr>
        <w:t>）投标人情况及资格证明文件</w:t>
      </w:r>
    </w:p>
    <w:p>
      <w:pPr>
        <w:widowControl w:val="0"/>
        <w:ind w:firstLine="420" w:firstLineChars="200"/>
        <w:jc w:val="both"/>
        <w:rPr>
          <w:rFonts w:eastAsia="宋体"/>
          <w:kern w:val="2"/>
          <w:sz w:val="21"/>
          <w:szCs w:val="21"/>
          <w:lang w:eastAsia="zh-CN"/>
        </w:rPr>
      </w:pPr>
      <w:bookmarkStart w:id="54" w:name="_Hlk72257201"/>
      <w:r>
        <w:rPr>
          <w:rFonts w:eastAsia="宋体" w:hint="eastAsia"/>
          <w:kern w:val="2"/>
          <w:sz w:val="21"/>
          <w:szCs w:val="21"/>
          <w:lang w:eastAsia="zh-CN"/>
        </w:rPr>
        <w:t>（</w:t>
      </w:r>
      <w:r>
        <w:rPr>
          <w:rFonts w:eastAsia="宋体"/>
          <w:kern w:val="2"/>
          <w:sz w:val="21"/>
          <w:szCs w:val="21"/>
          <w:lang w:eastAsia="zh-CN"/>
        </w:rPr>
        <w:t>4</w:t>
      </w:r>
      <w:r>
        <w:rPr>
          <w:rFonts w:eastAsia="宋体" w:hint="eastAsia"/>
          <w:kern w:val="2"/>
          <w:sz w:val="21"/>
          <w:szCs w:val="21"/>
          <w:lang w:eastAsia="zh-CN"/>
        </w:rPr>
        <w:t>）项目详细报价</w:t>
      </w:r>
      <w:bookmarkEnd w:id="54"/>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（5）法定代表人（负责人）证明书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（6）投标文件签署授权委托书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（7）实质性条款响应情况表</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（8）整体管理设想策划及实施方案（格式自定）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（9）服务质量管理方案（格式自定）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（10）项目重点难点分析、应对措施及相关的合理化建议（格式自定）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（11）承诺及应急响应能力（格式自定）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（12）拟安排的项目经理（仅限一人）（格式自定）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（13）拟安排的项目主要团队成员（主要技术人员）情况（项目经理除外）（格式自定）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（14）同类业绩（格式自定）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（15）履约评价（格式自定）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（16）体系认证情况（格式自定）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（17）荣誉情况（格式自定）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（18）投标人认为需要加以说明的其他内容（格式自定）</w:t>
      </w:r>
    </w:p>
    <w:p>
      <w:pPr>
        <w:widowControl w:val="0"/>
        <w:jc w:val="both"/>
        <w:rPr>
          <w:rFonts w:ascii="仿宋_GB2312" w:eastAsia="仿宋_GB2312"/>
          <w:kern w:val="2"/>
          <w:lang w:eastAsia="zh-CN"/>
        </w:rPr>
      </w:pP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备注：</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1.本项目为网上电子投标项目，投标文件不需法人或授权委托人另行签字，无需加盖单位公章，招标文件专用条款另有规定的除外。</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2.关于填写“开标一览表”的说明：“开标一览表”中除“投标报价”外，其他信息不作评审依据。</w:t>
      </w:r>
    </w:p>
    <w:p>
      <w:pPr>
        <w:widowControl w:val="0"/>
        <w:spacing w:line="360" w:lineRule="auto"/>
        <w:jc w:val="both"/>
        <w:rPr>
          <w:rFonts w:eastAsia="宋体"/>
          <w:b/>
          <w:bCs/>
          <w:kern w:val="2"/>
          <w:lang w:eastAsia="zh-CN"/>
        </w:rPr>
      </w:pPr>
      <w:r>
        <w:rPr>
          <w:rFonts w:eastAsia="宋体" w:hint="eastAsia"/>
          <w:b/>
          <w:bCs/>
          <w:kern w:val="2"/>
          <w:lang w:eastAsia="zh-CN"/>
        </w:rPr>
        <w:br w:type="page"/>
      </w: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一、投标函</w:t>
      </w:r>
    </w:p>
    <w:p>
      <w:pPr>
        <w:widowControl w:val="0"/>
        <w:spacing w:line="360" w:lineRule="auto"/>
        <w:jc w:val="both"/>
        <w:rPr>
          <w:rFonts w:ascii="宋体" w:eastAsia="宋体" w:hAnsi="宋体" w:hint="eastAsia"/>
          <w:color w:val="000000"/>
          <w:kern w:val="2"/>
          <w:sz w:val="21"/>
          <w:szCs w:val="21"/>
          <w:lang w:eastAsia="zh-CN"/>
        </w:rPr>
      </w:pPr>
      <w:r>
        <w:rPr>
          <w:rFonts w:ascii="宋体" w:eastAsia="宋体" w:hAnsi="宋体" w:hint="eastAsia"/>
          <w:kern w:val="2"/>
          <w:sz w:val="21"/>
          <w:szCs w:val="21"/>
          <w:lang w:eastAsia="zh-CN"/>
        </w:rPr>
        <w:t>致：</w:t>
      </w:r>
      <w:r>
        <w:rPr>
          <w:rFonts w:ascii="宋体" w:eastAsia="宋体" w:hAnsi="宋体" w:hint="eastAsia"/>
          <w:kern w:val="2"/>
          <w:sz w:val="21"/>
          <w:szCs w:val="21"/>
          <w:u w:val="single"/>
          <w:lang w:eastAsia="zh-CN"/>
        </w:rPr>
        <w:t xml:space="preserve"> </w:t>
      </w:r>
      <w:r>
        <w:rPr>
          <w:rFonts w:ascii="宋体" w:eastAsia="宋体" w:hAnsi="宋体" w:hint="eastAsia"/>
          <w:color w:val="000000"/>
          <w:kern w:val="2"/>
          <w:sz w:val="21"/>
          <w:szCs w:val="21"/>
          <w:u w:val="single"/>
          <w:lang w:eastAsia="zh-CN"/>
        </w:rPr>
        <w:t xml:space="preserve"> 深圳公共资源交易中心  </w:t>
      </w:r>
    </w:p>
    <w:p>
      <w:pPr>
        <w:widowControl w:val="0"/>
        <w:ind w:firstLine="420" w:firstLineChars="200"/>
        <w:jc w:val="both"/>
        <w:rPr>
          <w:rFonts w:ascii="宋体" w:eastAsia="宋体" w:hAnsi="宋体" w:hint="eastAsia"/>
          <w:kern w:val="2"/>
          <w:sz w:val="21"/>
          <w:szCs w:val="21"/>
          <w:lang w:eastAsia="zh-CN"/>
        </w:rPr>
      </w:pPr>
      <w:bookmarkStart w:id="55" w:name="_Hlk73818812"/>
      <w:r>
        <w:rPr>
          <w:rFonts w:eastAsia="宋体" w:hint="eastAsia"/>
          <w:kern w:val="2"/>
          <w:sz w:val="21"/>
          <w:szCs w:val="21"/>
          <w:lang w:eastAsia="zh-CN"/>
        </w:rPr>
        <w:t>1、根据已收到贵单位的项目编号为</w:t>
      </w:r>
      <w:r>
        <w:rPr>
          <w:rFonts w:eastAsia="宋体"/>
          <w:kern w:val="2"/>
          <w:sz w:val="21"/>
          <w:szCs w:val="21"/>
          <w:u w:val="single"/>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的</w:t>
      </w:r>
      <w:r>
        <w:rPr>
          <w:rFonts w:eastAsia="宋体" w:hint="eastAsia"/>
          <w:kern w:val="2"/>
          <w:sz w:val="21"/>
          <w:szCs w:val="21"/>
          <w:u w:val="single"/>
          <w:lang w:eastAsia="zh-CN"/>
        </w:rPr>
        <w:t xml:space="preserve">               </w:t>
      </w:r>
      <w:r>
        <w:rPr>
          <w:rFonts w:eastAsia="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56" w:name="_Hlk72263588"/>
      <w:r>
        <w:rPr>
          <w:rFonts w:eastAsia="宋体" w:hint="eastAsia"/>
          <w:kern w:val="2"/>
          <w:sz w:val="21"/>
          <w:szCs w:val="21"/>
          <w:lang w:eastAsia="zh-CN"/>
        </w:rPr>
        <w:t>愿意按照招标文件要求承包上述项目并修补其任何缺陷。</w:t>
      </w:r>
      <w:bookmarkEnd w:id="56"/>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、投标价格见</w:t>
      </w:r>
      <w:r>
        <w:rPr>
          <w:rFonts w:eastAsia="宋体" w:hint="eastAsia"/>
          <w:kern w:val="2"/>
          <w:sz w:val="21"/>
          <w:szCs w:val="21"/>
          <w:lang w:eastAsia="zh-CN"/>
        </w:rPr>
        <w:t>投标书编制软件中《开标一览表》中填写的投标报价。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3、如果我单位中标，我单位将按照招标文件的要求提交履约担保。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5、除非另外达成协议并生效，贵单位的中标通知书和本投标文件将构成合同的重要内容。</w:t>
      </w:r>
    </w:p>
    <w:p>
      <w:pPr>
        <w:widowControl w:val="0"/>
        <w:ind w:left="585" w:hanging="105" w:leftChars="200" w:hangingChars="5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6、我单位理解贵单位将不受必须接受所收到的最低报价或其他任何投标文件的约束。</w:t>
      </w:r>
      <w:bookmarkEnd w:id="55"/>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7、如我单位按项目要求提供样品，且未在规定时间内取回样品的，视同放弃取回，同意深圳公共资源交易中心对样品进行清理。</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投标人：</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单位地址：</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法定代表人（负责人）或其委托代理人：</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邮政编码：</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电话：</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邮箱：</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开户银行名称：</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开户银行账号：</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开户银行地址：</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开户银行电话：</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firstLine="540" w:firstLineChars="257"/>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r>
        <w:rPr>
          <w:rFonts w:eastAsia="宋体" w:hint="eastAsia"/>
          <w:kern w:val="2"/>
          <w:lang w:eastAsia="zh-CN"/>
        </w:rPr>
        <w:t xml:space="preserve">                                </w:t>
      </w:r>
    </w:p>
    <w:p>
      <w:pPr>
        <w:widowControl w:val="0"/>
        <w:jc w:val="both"/>
        <w:rPr>
          <w:rFonts w:ascii="黑体" w:eastAsia="黑体" w:hAnsi="宋体" w:hint="eastAsia"/>
          <w:kern w:val="2"/>
          <w:sz w:val="21"/>
          <w:lang w:eastAsia="zh-CN"/>
        </w:rPr>
      </w:pPr>
    </w:p>
    <w:p>
      <w:pPr>
        <w:widowControl w:val="0"/>
        <w:jc w:val="both"/>
        <w:rPr>
          <w:rFonts w:ascii="黑体" w:eastAsia="黑体" w:hAnsi="宋体" w:hint="eastAsia"/>
          <w:kern w:val="2"/>
          <w:sz w:val="21"/>
          <w:lang w:eastAsia="zh-CN"/>
        </w:rPr>
      </w:pP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二、采购投标及履约承诺函</w:t>
      </w:r>
    </w:p>
    <w:p>
      <w:pPr>
        <w:widowControl w:val="0"/>
        <w:jc w:val="both"/>
        <w:rPr>
          <w:rFonts w:ascii="宋体" w:eastAsia="宋体" w:hAnsi="宋体" w:hint="eastAsia"/>
          <w:kern w:val="2"/>
          <w:lang w:eastAsia="zh-CN"/>
        </w:rPr>
      </w:pPr>
    </w:p>
    <w:p>
      <w:pPr>
        <w:widowControl w:val="0"/>
        <w:jc w:val="both"/>
        <w:rPr>
          <w:rFonts w:ascii="宋体" w:eastAsia="宋体" w:hAnsi="宋体" w:hint="eastAsia"/>
          <w:color w:val="000000"/>
          <w:kern w:val="2"/>
          <w:sz w:val="21"/>
          <w:szCs w:val="21"/>
          <w:lang w:eastAsia="zh-CN"/>
        </w:rPr>
      </w:pPr>
      <w:r>
        <w:rPr>
          <w:rFonts w:ascii="宋体" w:eastAsia="宋体" w:hAnsi="宋体" w:hint="eastAsia"/>
          <w:color w:val="000000"/>
          <w:kern w:val="2"/>
          <w:sz w:val="21"/>
          <w:szCs w:val="21"/>
          <w:lang w:eastAsia="zh-CN"/>
        </w:rPr>
        <w:t>致：</w:t>
      </w:r>
      <w:r>
        <w:rPr>
          <w:rFonts w:ascii="宋体" w:eastAsia="宋体" w:hAnsi="宋体" w:hint="eastAsia"/>
          <w:color w:val="000000"/>
          <w:kern w:val="2"/>
          <w:sz w:val="21"/>
          <w:szCs w:val="21"/>
          <w:u w:val="single"/>
          <w:lang w:eastAsia="zh-CN"/>
        </w:rPr>
        <w:t>深圳公共资源交易中心</w:t>
      </w:r>
    </w:p>
    <w:p>
      <w:pPr>
        <w:widowControl w:val="0"/>
        <w:ind w:right="-815"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我单位承诺：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1.我单位参与本项目</w:t>
      </w:r>
      <w:r>
        <w:rPr>
          <w:rFonts w:ascii="宋体" w:eastAsia="宋体" w:hAnsi="宋体" w:hint="eastAsia"/>
          <w:kern w:val="2"/>
          <w:sz w:val="21"/>
          <w:lang w:eastAsia="zh-CN"/>
        </w:rPr>
        <w:t>所投标（响应）的货物、工程或服务，不存在侵犯知识产权的情况。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采购活动时不存在被有关部门禁止参与政府采购活动且在有效期内的情况。符合招标文件关于联合体及进口产品的相关资格要求。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3.我单位具备《中华人民共和国政府采购法》第二十二条第一款的条件。</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pPr>
        <w:widowControl w:val="0"/>
        <w:ind w:firstLine="420" w:firstLineChars="200"/>
        <w:jc w:val="both"/>
        <w:rPr>
          <w:rFonts w:eastAsia="宋体"/>
          <w:kern w:val="2"/>
          <w:sz w:val="21"/>
          <w:lang w:eastAsia="zh-CN"/>
        </w:rPr>
      </w:pPr>
      <w:r>
        <w:rPr>
          <w:rFonts w:eastAsia="宋体" w:hint="eastAsia"/>
          <w:color w:val="FF0000"/>
          <w:kern w:val="2"/>
          <w:sz w:val="21"/>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9.我单位承诺中标后项目不转包，未经采购人同意不进行分包。</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cs="宋体" w:hint="eastAsia"/>
          <w:b/>
          <w:sz w:val="21"/>
          <w:szCs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我单位保证，若所投货物涉及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号）列明的政府采购强制产品，则所投该产品符合节能产品的认证要求。若所投产品包括数据中心相关设备的，应满足</w:t>
      </w:r>
      <w:r>
        <w:rPr>
          <w:rFonts w:eastAsia="宋体" w:hint="eastAsia"/>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eastAsia="宋体" w:hAnsi="宋体" w:hint="eastAsia"/>
          <w:bCs/>
          <w:kern w:val="2"/>
          <w:sz w:val="21"/>
          <w:lang w:eastAsia="zh-CN"/>
        </w:rPr>
      </w:pPr>
      <w:r>
        <w:rPr>
          <w:rFonts w:ascii="宋体" w:eastAsia="宋体" w:hAnsi="宋体" w:cs="宋体" w:hint="eastAsia"/>
          <w:bCs/>
          <w:sz w:val="21"/>
          <w:szCs w:val="21"/>
          <w:lang w:eastAsia="zh-CN"/>
        </w:rPr>
        <w:t>12.</w:t>
      </w:r>
      <w:r>
        <w:rPr>
          <w:rFonts w:ascii="宋体" w:eastAsia="宋体" w:hAnsi="宋体" w:hint="eastAsia"/>
          <w:bCs/>
          <w:kern w:val="2"/>
          <w:sz w:val="21"/>
          <w:lang w:eastAsia="zh-CN"/>
        </w:rPr>
        <w:t>我单位已知悉并同意中标（成交）结果信息公示的内容。</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若存在“不同供应商的董事、股东或其他高级管理人员为同一人的”情形的，我单位保证不存在串通投标、恶意串通或者视为串通投标的情形。</w:t>
      </w:r>
    </w:p>
    <w:p>
      <w:pPr>
        <w:widowControl w:val="0"/>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14.我单位清楚，如存在违反投标承诺行为情节严重的，将根据《深圳市财政局关于印发&lt;深圳市财政局政府采购供应商信用信息管理办法&gt;的通知》，依法被列入失信信息。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pPr>
        <w:widowControl w:val="0"/>
        <w:ind w:firstLine="420" w:firstLineChars="200"/>
        <w:jc w:val="both"/>
        <w:rPr>
          <w:rFonts w:ascii="宋体" w:eastAsia="宋体" w:hAnsi="宋体" w:hint="eastAsia"/>
          <w:kern w:val="2"/>
          <w:sz w:val="21"/>
          <w:szCs w:val="21"/>
          <w:lang w:eastAsia="zh-CN"/>
        </w:rPr>
      </w:pPr>
    </w:p>
    <w:p>
      <w:pPr>
        <w:widowControl w:val="0"/>
        <w:spacing w:before="60" w:beforeLines="25" w:after="60" w:afterLines="25"/>
        <w:ind w:firstLine="5460" w:firstLineChars="26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p>
    <w:p>
      <w:pPr>
        <w:widowControl w:val="0"/>
        <w:spacing w:before="60" w:beforeLines="25" w:after="60" w:afterLines="25"/>
        <w:ind w:firstLine="5460" w:firstLineChars="2600"/>
        <w:jc w:val="both"/>
        <w:rPr>
          <w:rFonts w:eastAsia="宋体"/>
          <w:color w:val="000000"/>
          <w:kern w:val="2"/>
          <w:sz w:val="21"/>
          <w:lang w:eastAsia="zh-CN"/>
        </w:rPr>
      </w:pPr>
      <w:r>
        <w:rPr>
          <w:rFonts w:eastAsia="宋体" w:hint="eastAsia"/>
          <w:color w:val="000000"/>
          <w:kern w:val="2"/>
          <w:sz w:val="21"/>
          <w:szCs w:val="21"/>
          <w:lang w:eastAsia="zh-CN"/>
        </w:rPr>
        <w:t>投标人：</w:t>
      </w:r>
      <w:r>
        <w:rPr>
          <w:rFonts w:eastAsia="宋体" w:hint="eastAsia"/>
          <w:color w:val="000000"/>
          <w:kern w:val="2"/>
          <w:sz w:val="21"/>
          <w:szCs w:val="21"/>
          <w:u w:val="single"/>
          <w:lang w:eastAsia="zh-CN"/>
        </w:rPr>
        <w:t xml:space="preserve">              </w:t>
      </w:r>
    </w:p>
    <w:p>
      <w:pPr>
        <w:widowControl w:val="0"/>
        <w:ind w:firstLine="645"/>
        <w:jc w:val="both"/>
        <w:rPr>
          <w:rFonts w:ascii="宋体" w:eastAsia="宋体" w:hAnsi="宋体" w:hint="eastAsia"/>
          <w:color w:val="000000"/>
          <w:kern w:val="2"/>
          <w:sz w:val="21"/>
          <w:szCs w:val="21"/>
          <w:lang w:eastAsia="zh-CN"/>
        </w:rPr>
      </w:pPr>
      <w:r>
        <w:rPr>
          <w:rFonts w:ascii="宋体" w:eastAsia="宋体" w:hAnsi="宋体" w:hint="eastAsia"/>
          <w:color w:val="000000"/>
          <w:kern w:val="2"/>
          <w:sz w:val="21"/>
          <w:szCs w:val="21"/>
          <w:lang w:eastAsia="zh-CN"/>
        </w:rPr>
        <w:t xml:space="preserve">                                              日期：</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年</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月</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日</w:t>
      </w:r>
    </w:p>
    <w:p>
      <w:pPr>
        <w:widowControl w:val="0"/>
        <w:jc w:val="both"/>
        <w:rPr>
          <w:rFonts w:eastAsia="宋体"/>
          <w:kern w:val="2"/>
          <w:sz w:val="21"/>
          <w:lang w:eastAsia="zh-CN"/>
        </w:rPr>
      </w:pPr>
    </w:p>
    <w:p>
      <w:pPr>
        <w:widowControl w:val="0"/>
        <w:jc w:val="both"/>
        <w:rPr>
          <w:rFonts w:eastAsia="宋体"/>
          <w:kern w:val="2"/>
          <w:sz w:val="21"/>
          <w:lang w:eastAsia="zh-CN"/>
        </w:rPr>
      </w:pPr>
    </w:p>
    <w:p>
      <w:pPr>
        <w:keepNext/>
        <w:keepLines/>
        <w:widowControl w:val="0"/>
        <w:spacing w:before="120" w:after="12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三、投标人情况及资格证明文件</w:t>
      </w: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（一）投标人资格证明文件</w:t>
      </w:r>
    </w:p>
    <w:p>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Pr>
        <w:widowControl w:val="0"/>
        <w:jc w:val="both"/>
        <w:rPr>
          <w:rFonts w:eastAsia="宋体"/>
          <w:kern w:val="2"/>
          <w:sz w:val="21"/>
          <w:lang w:eastAsia="zh-CN"/>
        </w:rPr>
      </w:pP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（二）中小企业声明函、残疾人福利性单位声明函及监狱企业声明函</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填写指引：</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宋体" w:hint="eastAsia"/>
          <w:bCs/>
          <w:color w:val="FF0000"/>
          <w:sz w:val="21"/>
          <w:szCs w:val="21"/>
          <w:lang w:eastAsia="zh-CN"/>
        </w:rPr>
        <w:t>1、该部分内容由供应商根据自身实际情况填写，</w:t>
      </w:r>
      <w:r>
        <w:rPr>
          <w:rFonts w:ascii="黑体" w:eastAsia="黑体" w:hAnsi="黑体" w:hint="eastAsia"/>
          <w:color w:val="FF0000"/>
          <w:kern w:val="2"/>
          <w:sz w:val="21"/>
          <w:szCs w:val="21"/>
          <w:lang w:eastAsia="zh-CN"/>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2、该部分内容填写需要参考的相关文件：</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1</w:t>
      </w:r>
      <w:r>
        <w:rPr>
          <w:rFonts w:ascii="黑体" w:eastAsia="黑体" w:hAnsi="黑体" w:hint="eastAsia"/>
          <w:color w:val="FF0000"/>
          <w:kern w:val="2"/>
          <w:sz w:val="21"/>
          <w:szCs w:val="21"/>
          <w:lang w:eastAsia="zh-CN"/>
        </w:rPr>
        <w:t>)财政部《政府采购促进中小企业发展管理办法》（财库〔2020〕46号）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w:t>
      </w:r>
      <w:r>
        <w:rPr>
          <w:rFonts w:ascii="黑体" w:eastAsia="黑体" w:hAnsi="黑体"/>
          <w:color w:val="FF0000"/>
          <w:kern w:val="2"/>
          <w:sz w:val="21"/>
          <w:szCs w:val="21"/>
          <w:lang w:eastAsia="zh-CN"/>
        </w:rPr>
        <w:t>2</w:t>
      </w:r>
      <w:r>
        <w:rPr>
          <w:rFonts w:ascii="黑体" w:eastAsia="黑体" w:hAnsi="黑体" w:hint="eastAsia"/>
          <w:color w:val="FF0000"/>
          <w:kern w:val="2"/>
          <w:sz w:val="21"/>
          <w:szCs w:val="21"/>
          <w:lang w:eastAsia="zh-CN"/>
        </w:rPr>
        <w:t>)</w:t>
      </w:r>
      <w:bookmarkStart w:id="57" w:name="_Hlk71925120"/>
      <w:r>
        <w:rPr>
          <w:rFonts w:ascii="黑体" w:eastAsia="黑体" w:hAnsi="黑体" w:hint="eastAsia"/>
          <w:color w:val="FF0000"/>
          <w:kern w:val="2"/>
          <w:sz w:val="21"/>
          <w:szCs w:val="21"/>
          <w:lang w:eastAsia="zh-CN"/>
        </w:rPr>
        <w:t>《工业和信息化部、国家统计局、国家发展和改革委员会、财政部关于印发中小企业划型标准规定的通知》（工信部联企业〔2011〕300 号</w:t>
      </w:r>
      <w:bookmarkEnd w:id="57"/>
      <w:r>
        <w:rPr>
          <w:rFonts w:ascii="黑体" w:eastAsia="黑体" w:hAnsi="黑体" w:hint="eastAsia"/>
          <w:color w:val="FF0000"/>
          <w:kern w:val="2"/>
          <w:sz w:val="21"/>
          <w:szCs w:val="21"/>
          <w:lang w:eastAsia="zh-CN"/>
        </w:rPr>
        <w:t>，以下简称3</w:t>
      </w:r>
      <w:r>
        <w:rPr>
          <w:rFonts w:ascii="黑体" w:eastAsia="黑体" w:hAnsi="黑体"/>
          <w:color w:val="FF0000"/>
          <w:kern w:val="2"/>
          <w:sz w:val="21"/>
          <w:szCs w:val="21"/>
          <w:lang w:eastAsia="zh-CN"/>
        </w:rPr>
        <w:t>00</w:t>
      </w:r>
      <w:r>
        <w:rPr>
          <w:rFonts w:ascii="黑体" w:eastAsia="黑体" w:hAnsi="黑体" w:hint="eastAsia"/>
          <w:color w:val="FF0000"/>
          <w:kern w:val="2"/>
          <w:sz w:val="21"/>
          <w:szCs w:val="21"/>
          <w:lang w:eastAsia="zh-CN"/>
        </w:rPr>
        <w:t>号文）</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(3)《统计上大中小微型企业划分办法(2017)》（国统字〔2017〕213 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(4)《关于促进残疾人就业政府采购政策的通知》（财库〔2017〕141号）</w:t>
      </w:r>
    </w:p>
    <w:p>
      <w:pPr>
        <w:widowControl w:val="0"/>
        <w:ind w:firstLine="420" w:firstLineChars="200"/>
        <w:jc w:val="both"/>
        <w:outlineLvl w:val="3"/>
        <w:rPr>
          <w:rFonts w:ascii="黑体" w:eastAsia="黑体" w:hAnsi="黑体" w:hint="eastAsia"/>
          <w:color w:val="FF0000"/>
          <w:kern w:val="2"/>
          <w:sz w:val="21"/>
          <w:szCs w:val="21"/>
          <w:lang w:eastAsia="zh-CN"/>
        </w:rPr>
      </w:pPr>
      <w:r>
        <w:rPr>
          <w:rFonts w:ascii="黑体" w:eastAsia="黑体" w:hAnsi="黑体" w:hint="eastAsia"/>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3、请依照提供的格式和内容填写声明函，不要随意变更格式；声明函不需要盖章或签字；</w:t>
      </w:r>
      <w:r>
        <w:rPr>
          <w:rFonts w:ascii="黑体" w:eastAsia="黑体" w:hAnsi="黑体" w:hint="eastAsia"/>
          <w:color w:val="FF0000"/>
          <w:kern w:val="2"/>
          <w:sz w:val="21"/>
          <w:szCs w:val="21"/>
          <w:lang w:eastAsia="zh-CN"/>
        </w:rPr>
        <w:t>满足多项优惠政策的投标人，不重复享受多项价格扣除政策。</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4、声明函具体填写要求：</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（1）声明是中小企业须填写《中小企业声明函》的以下内容：</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第一处，在“单位名称”下划线处应填写采购人名称（深圳公共资源交易中心不是本项目的采购人，而是组织实施机构）；</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 xml:space="preserve">（2）从业人员、资产总额指标以上年度末数据为依据，营业收入指标以上年度累计数据为依据。无上年度数据的新成立企业可不填报。 </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（5）声明是残疾人福利性单位须填写《残疾人福利性单位声明函》的相关内容，具体参照以上《中小企业声明函》填写要求执行。</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（6）声明是监狱企业须填写《监狱企业声明函》的三项内容（填写位置的字体已加粗），具体参照以上《中小企业声明函》填写要求执行。</w:t>
      </w:r>
    </w:p>
    <w:p>
      <w:pPr>
        <w:widowControl w:val="0"/>
        <w:ind w:firstLine="420" w:firstLineChars="200"/>
        <w:jc w:val="both"/>
        <w:rPr>
          <w:rFonts w:eastAsia="宋体"/>
          <w:kern w:val="2"/>
          <w:sz w:val="21"/>
          <w:lang w:eastAsia="zh-CN"/>
        </w:rPr>
      </w:pPr>
      <w:r>
        <w:rPr>
          <w:rFonts w:ascii="黑体" w:eastAsia="黑体" w:hAnsi="宋体" w:hint="eastAsia"/>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黑体" w:eastAsia="黑体" w:hAnsi="黑体" w:cs="黑体" w:hint="eastAsia"/>
          <w:color w:val="FF0000"/>
          <w:kern w:val="2"/>
          <w:sz w:val="21"/>
          <w:lang w:eastAsia="zh-CN"/>
        </w:rPr>
      </w:pPr>
    </w:p>
    <w:p>
      <w:pPr>
        <w:widowControl w:val="0"/>
        <w:ind w:firstLine="420" w:firstLineChars="200"/>
        <w:jc w:val="both"/>
        <w:rPr>
          <w:rFonts w:ascii="黑体" w:eastAsia="黑体" w:hAnsi="黑体" w:cs="黑体" w:hint="eastAsia"/>
          <w:color w:val="FF0000"/>
          <w:kern w:val="2"/>
          <w:sz w:val="21"/>
          <w:lang w:eastAsia="zh-CN"/>
        </w:rPr>
      </w:pPr>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1、</w:t>
      </w:r>
      <w:r>
        <w:rPr>
          <w:rFonts w:eastAsia="宋体"/>
          <w:b/>
          <w:kern w:val="2"/>
          <w:lang w:eastAsia="zh-CN"/>
        </w:rPr>
        <w:t>中小企业声明函（</w:t>
      </w:r>
      <w:r>
        <w:rPr>
          <w:rFonts w:eastAsia="宋体" w:hint="eastAsia"/>
          <w:b/>
          <w:kern w:val="2"/>
          <w:lang w:eastAsia="zh-CN"/>
        </w:rPr>
        <w:t>服务</w:t>
      </w:r>
      <w:r>
        <w:rPr>
          <w:rFonts w:eastAsia="宋体"/>
          <w:b/>
          <w:kern w:val="2"/>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widowControl w:val="0"/>
        <w:ind w:firstLine="420" w:firstLineChars="200"/>
        <w:jc w:val="both"/>
        <w:rPr>
          <w:rFonts w:ascii="宋体" w:eastAsia="宋体" w:hAnsi="宋体" w:cs="宋体" w:hint="eastAsia"/>
          <w:kern w:val="2"/>
          <w:sz w:val="21"/>
          <w:szCs w:val="21"/>
          <w:lang w:eastAsia="zh-CN"/>
        </w:rPr>
      </w:pPr>
      <w:bookmarkStart w:id="58"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8"/>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2、残疾人福利性单位声明函（服务类）</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jc w:val="center"/>
        <w:outlineLvl w:val="3"/>
        <w:rPr>
          <w:rFonts w:eastAsia="宋体"/>
          <w:b/>
          <w:kern w:val="2"/>
          <w:lang w:eastAsia="zh-CN"/>
        </w:rPr>
      </w:pPr>
      <w:r>
        <w:rPr>
          <w:rFonts w:eastAsia="宋体" w:hint="eastAsia"/>
          <w:b/>
          <w:kern w:val="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本投标人郑重声明，根据《财政部司法部关于政府采购支持监狱企业发展有关问题的通知》（财库〔</w:t>
      </w:r>
      <w:r>
        <w:rPr>
          <w:rFonts w:ascii="宋体" w:eastAsia="宋体" w:hAnsi="宋体"/>
          <w:kern w:val="2"/>
          <w:sz w:val="21"/>
          <w:szCs w:val="21"/>
          <w:lang w:eastAsia="zh-CN"/>
        </w:rPr>
        <w:t>2014</w:t>
      </w:r>
      <w:r>
        <w:rPr>
          <w:rFonts w:ascii="宋体" w:eastAsia="宋体" w:hAnsi="宋体" w:hint="eastAsia"/>
          <w:kern w:val="2"/>
          <w:sz w:val="21"/>
          <w:szCs w:val="21"/>
          <w:lang w:eastAsia="zh-CN"/>
        </w:rPr>
        <w:t>〕</w:t>
      </w:r>
      <w:r>
        <w:rPr>
          <w:rFonts w:ascii="宋体" w:eastAsia="宋体" w:hAnsi="宋体"/>
          <w:kern w:val="2"/>
          <w:sz w:val="21"/>
          <w:szCs w:val="21"/>
          <w:lang w:eastAsia="zh-CN"/>
        </w:rPr>
        <w:t>68</w:t>
      </w:r>
      <w:r>
        <w:rPr>
          <w:rFonts w:ascii="宋体" w:eastAsia="宋体" w:hAnsi="宋体"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b/>
          <w:bCs/>
          <w:kern w:val="2"/>
          <w:sz w:val="21"/>
          <w:szCs w:val="21"/>
          <w:u w:val="single"/>
          <w:lang w:eastAsia="zh-CN"/>
        </w:rPr>
        <w:t>（</w:t>
      </w:r>
      <w:r>
        <w:rPr>
          <w:rFonts w:ascii="宋体" w:eastAsia="宋体" w:hAnsi="宋体" w:hint="eastAsia"/>
          <w:b/>
          <w:bCs/>
          <w:kern w:val="2"/>
          <w:sz w:val="21"/>
          <w:szCs w:val="21"/>
          <w:u w:val="single"/>
          <w:lang w:eastAsia="zh-CN"/>
        </w:rPr>
        <w:t>采购人</w:t>
      </w:r>
      <w:r>
        <w:rPr>
          <w:rFonts w:ascii="宋体" w:eastAsia="宋体" w:hAnsi="宋体"/>
          <w:b/>
          <w:b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b/>
          <w:bCs/>
          <w:kern w:val="2"/>
          <w:sz w:val="21"/>
          <w:szCs w:val="21"/>
          <w:u w:val="single"/>
          <w:lang w:eastAsia="zh-CN"/>
        </w:rPr>
        <w:t>（项目名称）</w:t>
      </w:r>
      <w:r>
        <w:rPr>
          <w:rFonts w:ascii="宋体" w:eastAsia="宋体" w:hAnsi="宋体"/>
          <w:kern w:val="2"/>
          <w:sz w:val="21"/>
          <w:szCs w:val="21"/>
          <w:lang w:eastAsia="zh-CN"/>
        </w:rPr>
        <w:t>采购活动，</w:t>
      </w:r>
      <w:r>
        <w:rPr>
          <w:rFonts w:ascii="宋体" w:eastAsia="宋体" w:hAnsi="宋体" w:hint="eastAsia"/>
          <w:kern w:val="2"/>
          <w:sz w:val="21"/>
          <w:szCs w:val="21"/>
          <w:lang w:eastAsia="zh-CN"/>
        </w:rPr>
        <w:t>服务</w:t>
      </w:r>
      <w:r>
        <w:rPr>
          <w:rFonts w:ascii="宋体" w:eastAsia="宋体" w:hAnsi="宋体"/>
          <w:kern w:val="2"/>
          <w:sz w:val="21"/>
          <w:szCs w:val="21"/>
          <w:lang w:eastAsia="zh-CN"/>
        </w:rPr>
        <w:t>全部由符合政策要求的</w:t>
      </w:r>
      <w:r>
        <w:rPr>
          <w:rFonts w:ascii="宋体" w:eastAsia="宋体" w:hAnsi="宋体" w:hint="eastAsia"/>
          <w:kern w:val="2"/>
          <w:sz w:val="21"/>
          <w:szCs w:val="21"/>
          <w:lang w:eastAsia="zh-CN"/>
        </w:rPr>
        <w:t>监狱企业承接</w:t>
      </w:r>
      <w:r>
        <w:rPr>
          <w:rFonts w:ascii="宋体" w:eastAsia="宋体" w:hAnsi="宋体"/>
          <w:kern w:val="2"/>
          <w:sz w:val="21"/>
          <w:szCs w:val="21"/>
          <w:lang w:eastAsia="zh-CN"/>
        </w:rPr>
        <w:t>。相关</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的具体情况如下：</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b/>
          <w:bCs/>
          <w:kern w:val="2"/>
          <w:sz w:val="21"/>
          <w:szCs w:val="21"/>
          <w:u w:val="single"/>
          <w:lang w:eastAsia="zh-CN"/>
        </w:rPr>
        <w:t>）</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i/>
          <w:iCs/>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附：省级以上监狱管理局、戒毒管理局（含新疆生产建设兵团）出具的监狱企业证明文件。</w:t>
      </w: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（三）《供应商基本情况表》</w:t>
      </w:r>
    </w:p>
    <w:p>
      <w:pPr>
        <w:widowControl w:val="0"/>
        <w:jc w:val="left"/>
        <w:rPr>
          <w:rFonts w:eastAsia="宋体"/>
          <w:kern w:val="2"/>
          <w:sz w:val="21"/>
          <w:szCs w:val="21"/>
          <w:lang w:eastAsia="zh-CN"/>
        </w:rPr>
      </w:pPr>
    </w:p>
    <w:p>
      <w:pPr>
        <w:widowControl w:val="0"/>
        <w:jc w:val="left"/>
        <w:rPr>
          <w:rFonts w:eastAsia="宋体"/>
          <w:kern w:val="2"/>
          <w:sz w:val="21"/>
          <w:szCs w:val="21"/>
          <w:lang w:eastAsia="zh-CN"/>
        </w:rPr>
      </w:pPr>
      <w:r>
        <w:rPr>
          <w:rFonts w:eastAsia="宋体" w:hint="eastAsia"/>
          <w:kern w:val="2"/>
          <w:sz w:val="21"/>
          <w:szCs w:val="21"/>
          <w:lang w:eastAsia="zh-CN"/>
        </w:rPr>
        <w:t>填表单位（</w:t>
      </w:r>
      <w:r>
        <w:rPr>
          <w:rFonts w:eastAsia="宋体" w:hint="eastAsia"/>
          <w:b/>
          <w:bCs/>
          <w:color w:val="FF0000"/>
          <w:kern w:val="2"/>
          <w:sz w:val="21"/>
          <w:szCs w:val="21"/>
          <w:lang w:eastAsia="zh-CN"/>
        </w:rPr>
        <w:t>加盖单位公章，必填项</w:t>
      </w:r>
      <w:r>
        <w:rPr>
          <w:rFonts w:eastAsia="宋体" w:hint="eastAsia"/>
          <w:kern w:val="2"/>
          <w:sz w:val="21"/>
          <w:szCs w:val="21"/>
          <w:lang w:eastAsia="zh-CN"/>
        </w:rPr>
        <w:t>）：</w:t>
      </w:r>
    </w:p>
    <w:p>
      <w:pPr>
        <w:widowControl w:val="0"/>
        <w:jc w:val="left"/>
        <w:rPr>
          <w:rFonts w:eastAsia="宋体"/>
          <w:kern w:val="2"/>
          <w:sz w:val="21"/>
          <w:szCs w:val="21"/>
          <w:lang w:eastAsia="zh-CN"/>
        </w:rPr>
      </w:pPr>
      <w:r>
        <w:rPr>
          <w:rFonts w:eastAsia="宋体" w:hint="eastAsia"/>
          <w:kern w:val="2"/>
          <w:sz w:val="21"/>
          <w:szCs w:val="21"/>
          <w:lang w:eastAsia="zh-CN"/>
        </w:rPr>
        <w:t>填表日期（</w:t>
      </w:r>
      <w:r>
        <w:rPr>
          <w:rFonts w:eastAsia="宋体" w:hint="eastAsia"/>
          <w:b/>
          <w:bCs/>
          <w:color w:val="FF0000"/>
          <w:kern w:val="2"/>
          <w:sz w:val="21"/>
          <w:szCs w:val="21"/>
          <w:lang w:eastAsia="zh-CN"/>
        </w:rPr>
        <w:t>必填项</w:t>
      </w:r>
      <w:r>
        <w:rPr>
          <w:rFonts w:eastAsia="宋体" w:hint="eastAsia"/>
          <w:kern w:val="2"/>
          <w:sz w:val="21"/>
          <w:szCs w:val="21"/>
          <w:lang w:eastAsia="zh-CN"/>
        </w:rPr>
        <w:t>）：        年     月      日</w:t>
      </w:r>
    </w:p>
    <w:p>
      <w:pPr>
        <w:widowControl w:val="0"/>
        <w:spacing w:line="75" w:lineRule="exact"/>
        <w:jc w:val="both"/>
        <w:rPr>
          <w:rFonts w:ascii="宋体" w:eastAsia="宋体" w:hAnsi="宋体" w:cs="宋体" w:hint="eastAsia"/>
          <w:kern w:val="2"/>
          <w:sz w:val="21"/>
          <w:szCs w:val="21"/>
          <w:lang w:eastAsia="zh-CN"/>
        </w:rPr>
      </w:pPr>
    </w:p>
    <w:tbl>
      <w:tblPr>
        <w:tblStyle w:val="TableNormal0"/>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684"/>
        <w:gridCol w:w="629"/>
        <w:gridCol w:w="1487"/>
        <w:gridCol w:w="878"/>
        <w:gridCol w:w="735"/>
        <w:gridCol w:w="1110"/>
        <w:gridCol w:w="1393"/>
        <w:gridCol w:w="1403"/>
      </w:tblGrid>
      <w:tr>
        <w:tblPrEx>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Ex>
        <w:trPr>
          <w:trHeight w:val="633"/>
        </w:trPr>
        <w:tc>
          <w:tcPr>
            <w:tcW w:w="789" w:type="pct"/>
            <w:gridSpan w:val="2"/>
            <w:vAlign w:val="center"/>
          </w:tcPr>
          <w:p>
            <w:pPr>
              <w:widowControl w:val="0"/>
              <w:spacing w:line="203" w:lineRule="auto"/>
              <w:jc w:val="center"/>
              <w:rPr>
                <w:rFonts w:ascii="宋体" w:hAnsi="宋体" w:cs="宋体" w:hint="eastAsia"/>
                <w:b/>
                <w:bCs/>
                <w:color w:val="FF0000"/>
                <w:spacing w:val="-4"/>
                <w:kern w:val="2"/>
                <w:sz w:val="21"/>
                <w:szCs w:val="21"/>
              </w:rPr>
            </w:pPr>
            <w:r>
              <w:rPr>
                <w:rFonts w:ascii="宋体" w:hAnsi="宋体" w:cs="宋体" w:hint="eastAsia"/>
                <w:b/>
                <w:bCs/>
                <w:color w:val="FF0000"/>
                <w:spacing w:val="-4"/>
                <w:kern w:val="2"/>
                <w:sz w:val="21"/>
                <w:szCs w:val="21"/>
              </w:rPr>
              <w:t>采购人</w:t>
            </w:r>
          </w:p>
          <w:p>
            <w:pPr>
              <w:widowControl w:val="0"/>
              <w:spacing w:line="203" w:lineRule="auto"/>
              <w:jc w:val="center"/>
              <w:rPr>
                <w:rFonts w:ascii="宋体" w:hAnsi="宋体" w:cs="宋体" w:hint="eastAsia"/>
                <w:kern w:val="2"/>
                <w:sz w:val="21"/>
                <w:szCs w:val="21"/>
              </w:rPr>
            </w:pPr>
            <w:r>
              <w:rPr>
                <w:rFonts w:ascii="宋体" w:hAnsi="宋体" w:cs="宋体" w:hint="eastAsia"/>
                <w:b/>
                <w:bCs/>
                <w:color w:val="FF0000"/>
                <w:spacing w:val="-4"/>
                <w:kern w:val="2"/>
                <w:sz w:val="21"/>
                <w:szCs w:val="21"/>
              </w:rPr>
              <w:t>（必填项）</w:t>
            </w:r>
          </w:p>
        </w:tc>
        <w:tc>
          <w:tcPr>
            <w:tcW w:w="1422" w:type="pct"/>
            <w:gridSpan w:val="2"/>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spacing w:line="203" w:lineRule="auto"/>
              <w:jc w:val="center"/>
              <w:rPr>
                <w:rFonts w:ascii="宋体" w:hAnsi="宋体" w:cs="宋体" w:hint="eastAsia"/>
                <w:b/>
                <w:bCs/>
                <w:color w:val="FF0000"/>
                <w:spacing w:val="-4"/>
                <w:kern w:val="2"/>
                <w:sz w:val="21"/>
                <w:szCs w:val="21"/>
              </w:rPr>
            </w:pPr>
            <w:r>
              <w:rPr>
                <w:rFonts w:ascii="宋体" w:hAnsi="宋体" w:cs="宋体" w:hint="eastAsia"/>
                <w:b/>
                <w:bCs/>
                <w:color w:val="FF0000"/>
                <w:spacing w:val="-4"/>
                <w:kern w:val="2"/>
                <w:sz w:val="21"/>
                <w:szCs w:val="21"/>
              </w:rPr>
              <w:t>项目名称</w:t>
            </w:r>
          </w:p>
          <w:p>
            <w:pPr>
              <w:widowControl w:val="0"/>
              <w:spacing w:line="203" w:lineRule="auto"/>
              <w:jc w:val="center"/>
              <w:rPr>
                <w:rFonts w:ascii="宋体" w:hAnsi="宋体" w:cs="宋体" w:hint="eastAsia"/>
                <w:spacing w:val="-3"/>
                <w:kern w:val="2"/>
                <w:sz w:val="21"/>
                <w:szCs w:val="21"/>
                <w:lang w:eastAsia="zh-CN"/>
              </w:rPr>
            </w:pPr>
            <w:r>
              <w:rPr>
                <w:rFonts w:ascii="宋体" w:hAnsi="宋体" w:cs="宋体" w:hint="eastAsia"/>
                <w:b/>
                <w:bCs/>
                <w:color w:val="FF0000"/>
                <w:spacing w:val="-4"/>
                <w:kern w:val="2"/>
                <w:sz w:val="21"/>
                <w:szCs w:val="21"/>
              </w:rPr>
              <w:t>（必填项）</w:t>
            </w:r>
          </w:p>
        </w:tc>
        <w:tc>
          <w:tcPr>
            <w:tcW w:w="1678" w:type="pct"/>
            <w:gridSpan w:val="2"/>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35"/>
        </w:trPr>
        <w:tc>
          <w:tcPr>
            <w:tcW w:w="789" w:type="pct"/>
            <w:gridSpan w:val="2"/>
            <w:vAlign w:val="center"/>
          </w:tcPr>
          <w:p>
            <w:pPr>
              <w:widowControl w:val="0"/>
              <w:spacing w:line="203" w:lineRule="auto"/>
              <w:jc w:val="center"/>
              <w:rPr>
                <w:rFonts w:ascii="宋体" w:hAnsi="宋体" w:cs="宋体" w:hint="eastAsia"/>
                <w:b/>
                <w:bCs/>
                <w:color w:val="FF0000"/>
                <w:spacing w:val="-4"/>
                <w:kern w:val="2"/>
                <w:sz w:val="21"/>
                <w:szCs w:val="21"/>
                <w:lang w:eastAsia="zh-CN"/>
              </w:rPr>
            </w:pPr>
            <w:r>
              <w:rPr>
                <w:rFonts w:ascii="宋体" w:hAnsi="宋体" w:cs="宋体" w:hint="eastAsia"/>
                <w:b/>
                <w:bCs/>
                <w:color w:val="FF0000"/>
                <w:spacing w:val="-4"/>
                <w:kern w:val="2"/>
                <w:sz w:val="21"/>
                <w:szCs w:val="21"/>
                <w:lang w:eastAsia="zh-CN"/>
              </w:rPr>
              <w:t>投标（响应）供应商</w:t>
            </w:r>
          </w:p>
          <w:p>
            <w:pPr>
              <w:widowControl w:val="0"/>
              <w:spacing w:line="203" w:lineRule="auto"/>
              <w:jc w:val="center"/>
              <w:rPr>
                <w:rFonts w:ascii="宋体" w:hAnsi="宋体" w:cs="宋体" w:hint="eastAsia"/>
                <w:spacing w:val="-5"/>
                <w:kern w:val="2"/>
                <w:sz w:val="21"/>
                <w:szCs w:val="21"/>
                <w:lang w:eastAsia="zh-CN"/>
              </w:rPr>
            </w:pPr>
            <w:r>
              <w:rPr>
                <w:rFonts w:ascii="宋体" w:hAnsi="宋体" w:cs="宋体" w:hint="eastAsia"/>
                <w:b/>
                <w:bCs/>
                <w:color w:val="FF0000"/>
                <w:spacing w:val="-4"/>
                <w:kern w:val="2"/>
                <w:sz w:val="21"/>
                <w:szCs w:val="21"/>
                <w:lang w:eastAsia="zh-CN"/>
              </w:rPr>
              <w:t>（必填项）</w:t>
            </w:r>
          </w:p>
        </w:tc>
        <w:tc>
          <w:tcPr>
            <w:tcW w:w="1422" w:type="pct"/>
            <w:gridSpan w:val="2"/>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spacing w:line="203" w:lineRule="auto"/>
              <w:jc w:val="center"/>
              <w:rPr>
                <w:rFonts w:ascii="宋体" w:hAnsi="宋体" w:cs="宋体" w:hint="eastAsia"/>
                <w:b/>
                <w:bCs/>
                <w:color w:val="FF0000"/>
                <w:spacing w:val="-4"/>
                <w:kern w:val="2"/>
                <w:sz w:val="21"/>
                <w:szCs w:val="21"/>
                <w:lang w:eastAsia="zh-CN"/>
              </w:rPr>
            </w:pPr>
            <w:r>
              <w:rPr>
                <w:rFonts w:ascii="宋体" w:hAnsi="宋体" w:cs="宋体" w:hint="eastAsia"/>
                <w:b/>
                <w:bCs/>
                <w:color w:val="FF0000"/>
                <w:spacing w:val="-4"/>
                <w:kern w:val="2"/>
                <w:sz w:val="21"/>
                <w:szCs w:val="21"/>
                <w:lang w:eastAsia="zh-CN"/>
              </w:rPr>
              <w:t>供应商统一社会信用代码</w:t>
            </w:r>
          </w:p>
          <w:p>
            <w:pPr>
              <w:widowControl w:val="0"/>
              <w:spacing w:line="203" w:lineRule="auto"/>
              <w:jc w:val="center"/>
              <w:rPr>
                <w:rFonts w:ascii="宋体" w:hAnsi="宋体" w:cs="宋体" w:hint="eastAsia"/>
                <w:spacing w:val="-3"/>
                <w:kern w:val="2"/>
                <w:sz w:val="21"/>
                <w:szCs w:val="21"/>
                <w:lang w:eastAsia="zh-CN"/>
              </w:rPr>
            </w:pPr>
            <w:r>
              <w:rPr>
                <w:rFonts w:ascii="宋体" w:hAnsi="宋体" w:cs="宋体"/>
                <w:b/>
                <w:bCs/>
                <w:color w:val="FF0000"/>
                <w:spacing w:val="-4"/>
                <w:kern w:val="2"/>
                <w:sz w:val="21"/>
                <w:szCs w:val="21"/>
              </w:rPr>
              <w:t>（必填项）</w:t>
            </w:r>
          </w:p>
        </w:tc>
        <w:tc>
          <w:tcPr>
            <w:tcW w:w="1678" w:type="pct"/>
            <w:gridSpan w:val="2"/>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2683"/>
              <w:jc w:val="both"/>
              <w:rPr>
                <w:rFonts w:ascii="宋体" w:hAnsi="宋体" w:cs="宋体" w:hint="eastAsia"/>
                <w:kern w:val="2"/>
                <w:sz w:val="21"/>
                <w:szCs w:val="21"/>
                <w:lang w:eastAsia="zh-CN"/>
              </w:rPr>
            </w:pPr>
            <w:r>
              <w:rPr>
                <w:rFonts w:ascii="宋体" w:hAnsi="宋体" w:cs="宋体" w:hint="eastAsia"/>
                <w:b/>
                <w:bCs/>
                <w:kern w:val="2"/>
                <w:sz w:val="21"/>
                <w:szCs w:val="21"/>
                <w:lang w:eastAsia="zh-CN"/>
              </w:rPr>
              <w:t>投标（响应）供应商相关人员情况</w:t>
            </w:r>
          </w:p>
        </w:tc>
      </w:tr>
      <w:tr>
        <w:tblPrEx>
          <w:tblW w:w="5000" w:type="pct"/>
          <w:tblInd w:w="0" w:type="dxa"/>
          <w:tblLayout w:type="fixed"/>
          <w:tblCellMar>
            <w:top w:w="0" w:type="dxa"/>
            <w:left w:w="0" w:type="dxa"/>
            <w:bottom w:w="0" w:type="dxa"/>
            <w:right w:w="0" w:type="dxa"/>
          </w:tblCellMar>
        </w:tblPrEx>
        <w:trPr>
          <w:trHeight w:val="703"/>
        </w:trPr>
        <w:tc>
          <w:tcPr>
            <w:tcW w:w="411" w:type="pct"/>
            <w:vAlign w:val="center"/>
          </w:tcPr>
          <w:p>
            <w:pPr>
              <w:widowControl w:val="0"/>
              <w:spacing w:line="202" w:lineRule="auto"/>
              <w:ind w:left="145"/>
              <w:jc w:val="both"/>
              <w:rPr>
                <w:rFonts w:ascii="宋体" w:hAnsi="宋体" w:cs="宋体" w:hint="eastAsia"/>
                <w:spacing w:val="-5"/>
                <w:kern w:val="2"/>
                <w:sz w:val="21"/>
                <w:szCs w:val="21"/>
                <w:lang w:eastAsia="zh-CN"/>
              </w:rPr>
            </w:pPr>
            <w:r>
              <w:rPr>
                <w:rFonts w:ascii="宋体" w:hAnsi="宋体" w:cs="宋体" w:hint="eastAsia"/>
                <w:spacing w:val="-5"/>
                <w:kern w:val="2"/>
                <w:sz w:val="21"/>
                <w:szCs w:val="21"/>
                <w:lang w:eastAsia="zh-CN"/>
              </w:rPr>
              <w:t>序号</w:t>
            </w:r>
          </w:p>
        </w:tc>
        <w:tc>
          <w:tcPr>
            <w:tcW w:w="1272" w:type="pct"/>
            <w:gridSpan w:val="2"/>
            <w:vAlign w:val="center"/>
          </w:tcPr>
          <w:p>
            <w:pPr>
              <w:widowControl w:val="0"/>
              <w:spacing w:line="202" w:lineRule="auto"/>
              <w:ind w:left="916"/>
              <w:jc w:val="both"/>
              <w:rPr>
                <w:rFonts w:ascii="宋体" w:hAnsi="宋体" w:cs="宋体" w:hint="eastAsia"/>
                <w:spacing w:val="-6"/>
                <w:kern w:val="2"/>
                <w:sz w:val="21"/>
                <w:szCs w:val="21"/>
                <w:lang w:eastAsia="zh-CN"/>
              </w:rPr>
            </w:pPr>
            <w:r>
              <w:rPr>
                <w:rFonts w:ascii="宋体" w:hAnsi="宋体" w:cs="宋体" w:hint="eastAsia"/>
                <w:spacing w:val="-6"/>
                <w:kern w:val="2"/>
                <w:sz w:val="21"/>
                <w:szCs w:val="21"/>
                <w:lang w:eastAsia="zh-CN"/>
              </w:rPr>
              <w:t>职务</w:t>
            </w:r>
          </w:p>
        </w:tc>
        <w:tc>
          <w:tcPr>
            <w:tcW w:w="528" w:type="pct"/>
            <w:vAlign w:val="center"/>
          </w:tcPr>
          <w:p>
            <w:pPr>
              <w:widowControl w:val="0"/>
              <w:spacing w:line="203" w:lineRule="auto"/>
              <w:ind w:left="245"/>
              <w:jc w:val="both"/>
              <w:rPr>
                <w:rFonts w:ascii="宋体" w:hAnsi="宋体" w:cs="宋体" w:hint="eastAsia"/>
                <w:spacing w:val="-4"/>
                <w:kern w:val="2"/>
                <w:sz w:val="21"/>
                <w:szCs w:val="21"/>
                <w:lang w:eastAsia="zh-CN"/>
              </w:rPr>
            </w:pPr>
            <w:r>
              <w:rPr>
                <w:rFonts w:ascii="宋体" w:hAnsi="宋体" w:cs="宋体" w:hint="eastAsia"/>
                <w:spacing w:val="-4"/>
                <w:kern w:val="2"/>
                <w:sz w:val="21"/>
                <w:szCs w:val="21"/>
                <w:lang w:eastAsia="zh-CN"/>
              </w:rPr>
              <w:t>姓名</w:t>
            </w:r>
          </w:p>
        </w:tc>
        <w:tc>
          <w:tcPr>
            <w:tcW w:w="1109" w:type="pct"/>
            <w:gridSpan w:val="2"/>
            <w:vAlign w:val="center"/>
          </w:tcPr>
          <w:p>
            <w:pPr>
              <w:widowControl w:val="0"/>
              <w:spacing w:line="203" w:lineRule="auto"/>
              <w:ind w:left="410"/>
              <w:jc w:val="both"/>
              <w:rPr>
                <w:rFonts w:ascii="宋体" w:hAnsi="宋体" w:cs="宋体" w:hint="eastAsia"/>
                <w:spacing w:val="-3"/>
                <w:kern w:val="2"/>
                <w:sz w:val="21"/>
                <w:szCs w:val="21"/>
                <w:lang w:eastAsia="zh-CN"/>
              </w:rPr>
            </w:pPr>
            <w:r>
              <w:rPr>
                <w:rFonts w:ascii="宋体" w:hAnsi="宋体" w:cs="宋体" w:hint="eastAsia"/>
                <w:spacing w:val="-3"/>
                <w:kern w:val="2"/>
                <w:sz w:val="21"/>
                <w:szCs w:val="21"/>
                <w:lang w:eastAsia="zh-CN"/>
              </w:rPr>
              <w:t>身份证号码</w:t>
            </w:r>
          </w:p>
        </w:tc>
        <w:tc>
          <w:tcPr>
            <w:tcW w:w="837" w:type="pct"/>
            <w:vAlign w:val="center"/>
          </w:tcPr>
          <w:p>
            <w:pPr>
              <w:widowControl w:val="0"/>
              <w:spacing w:line="191" w:lineRule="auto"/>
              <w:ind w:left="288" w:right="266" w:firstLine="5"/>
              <w:jc w:val="both"/>
              <w:rPr>
                <w:rFonts w:ascii="宋体" w:hAnsi="宋体" w:cs="宋体" w:hint="eastAsia"/>
                <w:spacing w:val="-7"/>
                <w:kern w:val="2"/>
                <w:sz w:val="21"/>
                <w:szCs w:val="21"/>
                <w:lang w:eastAsia="zh-CN"/>
              </w:rPr>
            </w:pPr>
            <w:r>
              <w:rPr>
                <w:rFonts w:ascii="宋体" w:hAnsi="宋体" w:cs="宋体" w:hint="eastAsia"/>
                <w:spacing w:val="-7"/>
                <w:kern w:val="2"/>
                <w:sz w:val="21"/>
                <w:szCs w:val="21"/>
                <w:lang w:eastAsia="zh-CN"/>
              </w:rPr>
              <w:t>劳动合同</w:t>
            </w:r>
          </w:p>
          <w:p>
            <w:pPr>
              <w:widowControl w:val="0"/>
              <w:spacing w:line="191" w:lineRule="auto"/>
              <w:ind w:left="288" w:right="266" w:firstLine="5"/>
              <w:jc w:val="both"/>
              <w:rPr>
                <w:rFonts w:ascii="宋体" w:hAnsi="宋体" w:cs="宋体" w:hint="eastAsia"/>
                <w:spacing w:val="-7"/>
                <w:kern w:val="2"/>
                <w:sz w:val="21"/>
                <w:szCs w:val="21"/>
                <w:lang w:eastAsia="zh-CN"/>
              </w:rPr>
            </w:pPr>
            <w:r>
              <w:rPr>
                <w:rFonts w:ascii="宋体" w:hAnsi="宋体" w:cs="宋体" w:hint="eastAsia"/>
                <w:spacing w:val="-7"/>
                <w:kern w:val="2"/>
                <w:sz w:val="21"/>
                <w:szCs w:val="21"/>
                <w:lang w:eastAsia="zh-CN"/>
              </w:rPr>
              <w:t>关系单位</w:t>
            </w:r>
          </w:p>
        </w:tc>
        <w:tc>
          <w:tcPr>
            <w:tcW w:w="840" w:type="pct"/>
            <w:vAlign w:val="center"/>
          </w:tcPr>
          <w:p>
            <w:pPr>
              <w:widowControl w:val="0"/>
              <w:spacing w:line="191" w:lineRule="auto"/>
              <w:ind w:left="271" w:right="262" w:firstLine="8"/>
              <w:jc w:val="both"/>
              <w:rPr>
                <w:rFonts w:ascii="宋体" w:hAnsi="宋体" w:cs="宋体" w:hint="eastAsia"/>
                <w:spacing w:val="-5"/>
                <w:kern w:val="2"/>
                <w:sz w:val="21"/>
                <w:szCs w:val="21"/>
                <w:lang w:eastAsia="zh-CN"/>
              </w:rPr>
            </w:pPr>
            <w:r>
              <w:rPr>
                <w:rFonts w:ascii="宋体" w:hAnsi="宋体" w:cs="宋体" w:hint="eastAsia"/>
                <w:spacing w:val="-7"/>
                <w:kern w:val="2"/>
                <w:sz w:val="21"/>
                <w:szCs w:val="21"/>
                <w:lang w:eastAsia="zh-CN"/>
              </w:rPr>
              <w:t>缴纳社会保险单位</w:t>
            </w:r>
          </w:p>
        </w:tc>
      </w:tr>
      <w:tr>
        <w:tblPrEx>
          <w:tblW w:w="5000" w:type="pct"/>
          <w:tblInd w:w="0" w:type="dxa"/>
          <w:tblLayout w:type="fixed"/>
          <w:tblCellMar>
            <w:top w:w="0" w:type="dxa"/>
            <w:left w:w="0" w:type="dxa"/>
            <w:bottom w:w="0" w:type="dxa"/>
            <w:right w:w="0" w:type="dxa"/>
          </w:tblCellMar>
        </w:tblPrEx>
        <w:trPr>
          <w:trHeight w:val="924"/>
        </w:trPr>
        <w:tc>
          <w:tcPr>
            <w:tcW w:w="411" w:type="pct"/>
            <w:vAlign w:val="center"/>
          </w:tcPr>
          <w:p>
            <w:pPr>
              <w:widowControl w:val="0"/>
              <w:spacing w:line="169" w:lineRule="auto"/>
              <w:ind w:left="321"/>
              <w:jc w:val="both"/>
              <w:rPr>
                <w:rFonts w:ascii="宋体" w:hAnsi="宋体" w:cs="宋体" w:hint="eastAsia"/>
                <w:kern w:val="2"/>
                <w:sz w:val="21"/>
                <w:szCs w:val="21"/>
              </w:rPr>
            </w:pPr>
            <w:r>
              <w:rPr>
                <w:rFonts w:ascii="宋体" w:hAnsi="宋体" w:cs="宋体" w:hint="eastAsia"/>
                <w:kern w:val="2"/>
                <w:sz w:val="21"/>
                <w:szCs w:val="21"/>
              </w:rPr>
              <w:t>1</w:t>
            </w:r>
          </w:p>
        </w:tc>
        <w:tc>
          <w:tcPr>
            <w:tcW w:w="1272" w:type="pct"/>
            <w:gridSpan w:val="2"/>
            <w:vAlign w:val="center"/>
          </w:tcPr>
          <w:p>
            <w:pPr>
              <w:widowControl w:val="0"/>
              <w:spacing w:line="203" w:lineRule="auto"/>
              <w:jc w:val="center"/>
              <w:rPr>
                <w:rFonts w:ascii="宋体" w:hAnsi="宋体" w:cs="宋体" w:hint="eastAsia"/>
                <w:b/>
                <w:bCs/>
                <w:color w:val="FF0000"/>
                <w:spacing w:val="-4"/>
                <w:kern w:val="2"/>
                <w:sz w:val="21"/>
                <w:szCs w:val="21"/>
                <w:lang w:eastAsia="zh-CN"/>
              </w:rPr>
            </w:pPr>
            <w:r>
              <w:rPr>
                <w:rFonts w:ascii="宋体" w:hAnsi="宋体" w:cs="宋体" w:hint="eastAsia"/>
                <w:b/>
                <w:bCs/>
                <w:color w:val="FF0000"/>
                <w:spacing w:val="-4"/>
                <w:kern w:val="2"/>
                <w:sz w:val="21"/>
                <w:szCs w:val="21"/>
                <w:lang w:eastAsia="zh-CN"/>
              </w:rPr>
              <w:t>法定代表人/单位负责人/主要经营负责人（必填项）</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8" w:lineRule="auto"/>
              <w:ind w:left="322"/>
              <w:jc w:val="both"/>
              <w:rPr>
                <w:rFonts w:ascii="宋体" w:hAnsi="宋体" w:cs="宋体" w:hint="eastAsia"/>
                <w:kern w:val="2"/>
                <w:sz w:val="21"/>
                <w:szCs w:val="21"/>
              </w:rPr>
            </w:pPr>
            <w:r>
              <w:rPr>
                <w:rFonts w:ascii="宋体" w:hAnsi="宋体" w:cs="宋体" w:hint="eastAsia"/>
                <w:kern w:val="2"/>
                <w:sz w:val="21"/>
                <w:szCs w:val="21"/>
              </w:rPr>
              <w:t>2</w:t>
            </w:r>
          </w:p>
        </w:tc>
        <w:tc>
          <w:tcPr>
            <w:tcW w:w="1272" w:type="pct"/>
            <w:gridSpan w:val="2"/>
            <w:vAlign w:val="center"/>
          </w:tcPr>
          <w:p>
            <w:pPr>
              <w:widowControl w:val="0"/>
              <w:spacing w:line="203" w:lineRule="auto"/>
              <w:jc w:val="center"/>
              <w:rPr>
                <w:rFonts w:ascii="宋体" w:hAnsi="宋体" w:cs="宋体" w:hint="eastAsia"/>
                <w:b/>
                <w:bCs/>
                <w:color w:val="FF0000"/>
                <w:spacing w:val="-4"/>
                <w:kern w:val="2"/>
                <w:sz w:val="21"/>
                <w:szCs w:val="21"/>
                <w:lang w:eastAsia="zh-CN"/>
              </w:rPr>
            </w:pPr>
            <w:r>
              <w:rPr>
                <w:rFonts w:ascii="宋体" w:hAnsi="宋体" w:cs="宋体" w:hint="eastAsia"/>
                <w:b/>
                <w:bCs/>
                <w:color w:val="FF0000"/>
                <w:spacing w:val="-4"/>
                <w:kern w:val="2"/>
                <w:sz w:val="21"/>
                <w:szCs w:val="21"/>
                <w:lang w:eastAsia="zh-CN"/>
              </w:rPr>
              <w:t>项目投标授权代表人（必填项）</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7" w:lineRule="auto"/>
              <w:ind w:left="321"/>
              <w:jc w:val="both"/>
              <w:rPr>
                <w:rFonts w:ascii="宋体" w:hAnsi="宋体" w:cs="宋体" w:hint="eastAsia"/>
                <w:kern w:val="2"/>
                <w:sz w:val="21"/>
                <w:szCs w:val="21"/>
              </w:rPr>
            </w:pPr>
            <w:r>
              <w:rPr>
                <w:rFonts w:ascii="宋体" w:hAnsi="宋体" w:cs="宋体" w:hint="eastAsia"/>
                <w:kern w:val="2"/>
                <w:sz w:val="21"/>
                <w:szCs w:val="21"/>
              </w:rPr>
              <w:t>3</w:t>
            </w:r>
          </w:p>
        </w:tc>
        <w:tc>
          <w:tcPr>
            <w:tcW w:w="1272" w:type="pct"/>
            <w:gridSpan w:val="2"/>
            <w:vAlign w:val="center"/>
          </w:tcPr>
          <w:p>
            <w:pPr>
              <w:widowControl w:val="0"/>
              <w:spacing w:line="201" w:lineRule="auto"/>
              <w:jc w:val="center"/>
              <w:rPr>
                <w:rFonts w:ascii="宋体" w:hAnsi="宋体" w:cs="宋体" w:hint="eastAsia"/>
                <w:kern w:val="2"/>
                <w:sz w:val="21"/>
                <w:szCs w:val="21"/>
                <w:lang w:eastAsia="zh-CN"/>
              </w:rPr>
            </w:pPr>
            <w:r>
              <w:rPr>
                <w:rFonts w:ascii="宋体" w:hAnsi="宋体" w:cs="宋体" w:hint="eastAsia"/>
                <w:spacing w:val="-3"/>
                <w:kern w:val="2"/>
                <w:sz w:val="21"/>
                <w:szCs w:val="21"/>
                <w:lang w:eastAsia="zh-CN"/>
              </w:rPr>
              <w:t>项目负责人（如本项目未安排，可不填写）</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8" w:lineRule="auto"/>
              <w:ind w:left="314"/>
              <w:jc w:val="both"/>
              <w:rPr>
                <w:rFonts w:ascii="宋体" w:hAnsi="宋体" w:cs="宋体" w:hint="eastAsia"/>
                <w:kern w:val="2"/>
                <w:sz w:val="21"/>
                <w:szCs w:val="21"/>
              </w:rPr>
            </w:pPr>
            <w:r>
              <w:rPr>
                <w:rFonts w:ascii="宋体" w:hAnsi="宋体" w:cs="宋体" w:hint="eastAsia"/>
                <w:kern w:val="2"/>
                <w:sz w:val="21"/>
                <w:szCs w:val="21"/>
              </w:rPr>
              <w:t>4</w:t>
            </w:r>
          </w:p>
        </w:tc>
        <w:tc>
          <w:tcPr>
            <w:tcW w:w="1272" w:type="pct"/>
            <w:gridSpan w:val="2"/>
            <w:vAlign w:val="center"/>
          </w:tcPr>
          <w:p>
            <w:pPr>
              <w:widowControl w:val="0"/>
              <w:spacing w:line="202" w:lineRule="auto"/>
              <w:jc w:val="both"/>
              <w:rPr>
                <w:rFonts w:ascii="宋体" w:hAnsi="宋体" w:cs="宋体" w:hint="eastAsia"/>
                <w:kern w:val="2"/>
                <w:sz w:val="21"/>
                <w:szCs w:val="21"/>
                <w:lang w:eastAsia="zh-CN"/>
              </w:rPr>
            </w:pPr>
            <w:r>
              <w:rPr>
                <w:rFonts w:ascii="宋体" w:hAnsi="宋体" w:cs="宋体" w:hint="eastAsia"/>
                <w:spacing w:val="-4"/>
                <w:kern w:val="2"/>
                <w:sz w:val="21"/>
                <w:szCs w:val="21"/>
                <w:lang w:eastAsia="zh-CN"/>
              </w:rPr>
              <w:t>主要技术人员（如本项目未安排，可不填写）</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5" w:lineRule="auto"/>
              <w:ind w:left="325"/>
              <w:jc w:val="both"/>
              <w:rPr>
                <w:rFonts w:ascii="宋体" w:hAnsi="宋体" w:cs="宋体" w:hint="eastAsia"/>
                <w:kern w:val="2"/>
                <w:sz w:val="21"/>
                <w:szCs w:val="21"/>
              </w:rPr>
            </w:pPr>
            <w:r>
              <w:rPr>
                <w:rFonts w:ascii="宋体" w:hAnsi="宋体" w:cs="宋体" w:hint="eastAsia"/>
                <w:kern w:val="2"/>
                <w:sz w:val="21"/>
                <w:szCs w:val="21"/>
              </w:rPr>
              <w:t>5</w:t>
            </w:r>
          </w:p>
        </w:tc>
        <w:tc>
          <w:tcPr>
            <w:tcW w:w="1272" w:type="pct"/>
            <w:gridSpan w:val="2"/>
            <w:vAlign w:val="center"/>
          </w:tcPr>
          <w:p>
            <w:pPr>
              <w:widowControl w:val="0"/>
              <w:spacing w:line="202" w:lineRule="auto"/>
              <w:jc w:val="center"/>
              <w:rPr>
                <w:rFonts w:ascii="宋体" w:hAnsi="宋体" w:cs="宋体" w:hint="eastAsia"/>
                <w:kern w:val="2"/>
                <w:sz w:val="21"/>
                <w:szCs w:val="21"/>
                <w:lang w:eastAsia="zh-CN"/>
              </w:rPr>
            </w:pPr>
            <w:r>
              <w:rPr>
                <w:rFonts w:ascii="宋体" w:hAnsi="宋体" w:cs="宋体" w:hint="eastAsia"/>
                <w:b/>
                <w:bCs/>
                <w:color w:val="FF0000"/>
                <w:spacing w:val="-4"/>
                <w:kern w:val="2"/>
                <w:sz w:val="21"/>
                <w:szCs w:val="21"/>
                <w:lang w:eastAsia="zh-CN"/>
              </w:rPr>
              <w:t>投标文件编制人员（必填项）</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120"/>
              <w:jc w:val="both"/>
              <w:rPr>
                <w:rFonts w:ascii="宋体" w:hAnsi="宋体" w:cs="宋体" w:hint="eastAsia"/>
                <w:b/>
                <w:bCs/>
                <w:spacing w:val="-1"/>
                <w:kern w:val="2"/>
                <w:sz w:val="21"/>
                <w:szCs w:val="21"/>
                <w:lang w:eastAsia="zh-CN"/>
              </w:rPr>
            </w:pPr>
            <w:r>
              <w:rPr>
                <w:rFonts w:ascii="宋体" w:hAnsi="宋体" w:cs="宋体" w:hint="eastAsia"/>
                <w:b/>
                <w:bCs/>
                <w:spacing w:val="-1"/>
                <w:kern w:val="2"/>
                <w:sz w:val="21"/>
                <w:szCs w:val="21"/>
                <w:lang w:eastAsia="zh-CN"/>
              </w:rPr>
              <w:t>说明：</w:t>
            </w:r>
          </w:p>
          <w:p>
            <w:pPr>
              <w:widowControl w:val="0"/>
              <w:spacing w:line="198" w:lineRule="auto"/>
              <w:ind w:left="120"/>
              <w:jc w:val="both"/>
              <w:rPr>
                <w:rFonts w:ascii="宋体" w:hAnsi="宋体" w:cs="宋体" w:hint="eastAsia"/>
                <w:kern w:val="2"/>
                <w:sz w:val="21"/>
                <w:szCs w:val="21"/>
                <w:lang w:eastAsia="zh-CN"/>
              </w:rPr>
            </w:pPr>
            <w:r>
              <w:rPr>
                <w:rFonts w:ascii="宋体" w:hAnsi="宋体" w:cs="宋体" w:hint="eastAsia"/>
                <w:b/>
                <w:bCs/>
                <w:spacing w:val="-1"/>
                <w:kern w:val="2"/>
                <w:sz w:val="21"/>
                <w:szCs w:val="21"/>
                <w:lang w:eastAsia="zh-CN"/>
              </w:rPr>
              <w:t>1.同一职务有多人担任（如主要技术人员</w:t>
            </w:r>
            <w:r>
              <w:rPr>
                <w:rFonts w:ascii="宋体" w:hAnsi="宋体" w:cs="宋体" w:hint="eastAsia"/>
                <w:b/>
                <w:bCs/>
                <w:spacing w:val="-42"/>
                <w:w w:val="95"/>
                <w:kern w:val="2"/>
                <w:sz w:val="21"/>
                <w:szCs w:val="21"/>
                <w:lang w:eastAsia="zh-CN"/>
              </w:rPr>
              <w:t>），</w:t>
            </w:r>
            <w:r>
              <w:rPr>
                <w:rFonts w:ascii="宋体" w:hAnsi="宋体" w:cs="宋体" w:hint="eastAsia"/>
                <w:b/>
                <w:bCs/>
                <w:spacing w:val="-1"/>
                <w:kern w:val="2"/>
                <w:sz w:val="21"/>
                <w:szCs w:val="21"/>
                <w:lang w:eastAsia="zh-CN"/>
              </w:rPr>
              <w:t>应分行填写。</w:t>
            </w: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2683"/>
              <w:jc w:val="both"/>
              <w:rPr>
                <w:rFonts w:ascii="宋体" w:hAnsi="宋体" w:cs="宋体" w:hint="eastAsia"/>
                <w:kern w:val="2"/>
                <w:sz w:val="21"/>
                <w:szCs w:val="21"/>
                <w:lang w:eastAsia="zh-CN"/>
              </w:rPr>
            </w:pPr>
            <w:r>
              <w:rPr>
                <w:rFonts w:ascii="宋体" w:hAnsi="宋体" w:cs="宋体" w:hint="eastAsia"/>
                <w:b/>
                <w:bCs/>
                <w:kern w:val="2"/>
                <w:sz w:val="21"/>
                <w:szCs w:val="21"/>
                <w:lang w:eastAsia="zh-CN"/>
              </w:rPr>
              <w:t>投标（响应）供应商关联关系情况</w:t>
            </w: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202" w:lineRule="auto"/>
              <w:ind w:left="145"/>
              <w:jc w:val="both"/>
              <w:rPr>
                <w:rFonts w:ascii="宋体" w:hAnsi="宋体" w:cs="宋体" w:hint="eastAsia"/>
                <w:kern w:val="2"/>
                <w:sz w:val="21"/>
                <w:szCs w:val="21"/>
              </w:rPr>
            </w:pPr>
            <w:r>
              <w:rPr>
                <w:rFonts w:ascii="宋体" w:hAnsi="宋体" w:cs="宋体" w:hint="eastAsia"/>
                <w:spacing w:val="-5"/>
                <w:kern w:val="2"/>
                <w:sz w:val="21"/>
                <w:szCs w:val="21"/>
              </w:rPr>
              <w:t>序号</w:t>
            </w:r>
          </w:p>
        </w:tc>
        <w:tc>
          <w:tcPr>
            <w:tcW w:w="1272" w:type="pct"/>
            <w:gridSpan w:val="2"/>
            <w:vAlign w:val="center"/>
          </w:tcPr>
          <w:p>
            <w:pPr>
              <w:widowControl w:val="0"/>
              <w:spacing w:line="202" w:lineRule="auto"/>
              <w:ind w:left="436"/>
              <w:jc w:val="both"/>
              <w:rPr>
                <w:rFonts w:ascii="宋体" w:hAnsi="宋体" w:cs="宋体" w:hint="eastAsia"/>
                <w:kern w:val="2"/>
                <w:sz w:val="21"/>
                <w:szCs w:val="21"/>
              </w:rPr>
            </w:pPr>
            <w:r>
              <w:rPr>
                <w:rFonts w:ascii="宋体" w:hAnsi="宋体" w:cs="宋体" w:hint="eastAsia"/>
                <w:spacing w:val="-3"/>
                <w:kern w:val="2"/>
                <w:sz w:val="21"/>
                <w:szCs w:val="21"/>
              </w:rPr>
              <w:t>关联关系类型</w:t>
            </w:r>
          </w:p>
        </w:tc>
        <w:tc>
          <w:tcPr>
            <w:tcW w:w="970" w:type="pct"/>
            <w:gridSpan w:val="2"/>
            <w:vAlign w:val="center"/>
          </w:tcPr>
          <w:p>
            <w:pPr>
              <w:widowControl w:val="0"/>
              <w:spacing w:line="203" w:lineRule="auto"/>
              <w:ind w:left="166"/>
              <w:jc w:val="both"/>
              <w:rPr>
                <w:rFonts w:ascii="宋体" w:hAnsi="宋体" w:cs="宋体" w:hint="eastAsia"/>
                <w:kern w:val="2"/>
                <w:sz w:val="21"/>
                <w:szCs w:val="21"/>
              </w:rPr>
            </w:pPr>
            <w:r>
              <w:rPr>
                <w:rFonts w:ascii="宋体" w:hAnsi="宋体" w:cs="宋体" w:hint="eastAsia"/>
                <w:spacing w:val="-3"/>
                <w:kern w:val="2"/>
                <w:sz w:val="21"/>
                <w:szCs w:val="21"/>
              </w:rPr>
              <w:t>关联主体名称</w:t>
            </w:r>
          </w:p>
        </w:tc>
        <w:tc>
          <w:tcPr>
            <w:tcW w:w="2346" w:type="pct"/>
            <w:gridSpan w:val="3"/>
            <w:vAlign w:val="center"/>
          </w:tcPr>
          <w:p>
            <w:pPr>
              <w:widowControl w:val="0"/>
              <w:spacing w:line="204" w:lineRule="auto"/>
              <w:ind w:left="1862"/>
              <w:jc w:val="both"/>
              <w:rPr>
                <w:rFonts w:ascii="宋体" w:hAnsi="宋体" w:cs="宋体" w:hint="eastAsia"/>
                <w:kern w:val="2"/>
                <w:sz w:val="21"/>
                <w:szCs w:val="21"/>
              </w:rPr>
            </w:pPr>
            <w:r>
              <w:rPr>
                <w:rFonts w:ascii="宋体" w:hAnsi="宋体" w:cs="宋体" w:hint="eastAsia"/>
                <w:spacing w:val="-4"/>
                <w:kern w:val="2"/>
                <w:sz w:val="21"/>
                <w:szCs w:val="21"/>
              </w:rPr>
              <w:t>备注</w:t>
            </w:r>
          </w:p>
        </w:tc>
      </w:tr>
      <w:tr>
        <w:tblPrEx>
          <w:tblW w:w="5000" w:type="pct"/>
          <w:tblInd w:w="0" w:type="dxa"/>
          <w:tblLayout w:type="fixed"/>
          <w:tblCellMar>
            <w:top w:w="0" w:type="dxa"/>
            <w:left w:w="0" w:type="dxa"/>
            <w:bottom w:w="0" w:type="dxa"/>
            <w:right w:w="0" w:type="dxa"/>
          </w:tblCellMar>
        </w:tblPrEx>
        <w:trPr>
          <w:trHeight w:val="1582"/>
        </w:trPr>
        <w:tc>
          <w:tcPr>
            <w:tcW w:w="411" w:type="pct"/>
            <w:vAlign w:val="center"/>
          </w:tcPr>
          <w:p>
            <w:pPr>
              <w:widowControl w:val="0"/>
              <w:spacing w:line="169" w:lineRule="auto"/>
              <w:ind w:left="321"/>
              <w:jc w:val="both"/>
              <w:rPr>
                <w:rFonts w:ascii="宋体" w:hAnsi="宋体" w:cs="宋体" w:hint="eastAsia"/>
                <w:kern w:val="2"/>
                <w:sz w:val="21"/>
                <w:szCs w:val="21"/>
              </w:rPr>
            </w:pPr>
            <w:r>
              <w:rPr>
                <w:rFonts w:ascii="宋体" w:hAnsi="宋体" w:cs="宋体" w:hint="eastAsia"/>
                <w:kern w:val="2"/>
                <w:sz w:val="21"/>
                <w:szCs w:val="21"/>
              </w:rPr>
              <w:t>1</w:t>
            </w:r>
          </w:p>
        </w:tc>
        <w:tc>
          <w:tcPr>
            <w:tcW w:w="1272" w:type="pct"/>
            <w:gridSpan w:val="2"/>
            <w:vAlign w:val="center"/>
          </w:tcPr>
          <w:p>
            <w:pPr>
              <w:widowControl w:val="0"/>
              <w:spacing w:line="203" w:lineRule="auto"/>
              <w:jc w:val="center"/>
              <w:rPr>
                <w:rFonts w:ascii="宋体" w:hAnsi="宋体" w:cs="宋体" w:hint="eastAsia"/>
                <w:kern w:val="2"/>
                <w:sz w:val="21"/>
                <w:szCs w:val="21"/>
              </w:rPr>
            </w:pPr>
            <w:r>
              <w:rPr>
                <w:rFonts w:ascii="宋体" w:hAnsi="宋体" w:cs="宋体" w:hint="eastAsia"/>
                <w:b/>
                <w:bCs/>
                <w:color w:val="FF0000"/>
                <w:spacing w:val="-4"/>
                <w:kern w:val="2"/>
                <w:sz w:val="21"/>
                <w:szCs w:val="21"/>
              </w:rPr>
              <w:t>控股股东（必填项）</w:t>
            </w:r>
          </w:p>
        </w:tc>
        <w:tc>
          <w:tcPr>
            <w:tcW w:w="970" w:type="pct"/>
            <w:gridSpan w:val="2"/>
            <w:vAlign w:val="center"/>
          </w:tcPr>
          <w:p>
            <w:pPr>
              <w:widowControl w:val="0"/>
              <w:jc w:val="both"/>
              <w:rPr>
                <w:rFonts w:ascii="宋体" w:hAnsi="宋体" w:cs="宋体" w:hint="eastAsia"/>
                <w:kern w:val="2"/>
                <w:sz w:val="21"/>
                <w:szCs w:val="21"/>
                <w:lang w:eastAsia="zh-CN"/>
              </w:rPr>
            </w:pPr>
          </w:p>
        </w:tc>
        <w:tc>
          <w:tcPr>
            <w:tcW w:w="2346" w:type="pct"/>
            <w:gridSpan w:val="3"/>
            <w:vAlign w:val="center"/>
          </w:tcPr>
          <w:p>
            <w:pPr>
              <w:widowControl w:val="0"/>
              <w:jc w:val="both"/>
              <w:rPr>
                <w:rFonts w:ascii="宋体" w:hAnsi="宋体" w:cs="宋体" w:hint="eastAsia"/>
                <w:kern w:val="2"/>
                <w:sz w:val="21"/>
                <w:szCs w:val="21"/>
                <w:lang w:eastAsia="zh-CN"/>
              </w:rPr>
            </w:pPr>
            <w:r>
              <w:rPr>
                <w:rFonts w:ascii="宋体" w:hAnsi="宋体" w:cs="宋体" w:hint="eastAsia"/>
                <w:spacing w:val="-1"/>
                <w:kern w:val="2"/>
                <w:sz w:val="21"/>
                <w:szCs w:val="21"/>
                <w:lang w:eastAsia="zh-CN"/>
              </w:rPr>
              <w:t>指出资额（或持有股份）占投标（响应）供应商资</w:t>
            </w:r>
            <w:r>
              <w:rPr>
                <w:rFonts w:ascii="宋体" w:hAnsi="宋体" w:cs="宋体" w:hint="eastAsia"/>
                <w:spacing w:val="-8"/>
                <w:kern w:val="2"/>
                <w:sz w:val="21"/>
                <w:szCs w:val="21"/>
                <w:lang w:eastAsia="zh-CN"/>
              </w:rPr>
              <w:t>本总额（或股本总额）50%以上的股东，以及出资额</w:t>
            </w:r>
            <w:r>
              <w:rPr>
                <w:rFonts w:ascii="宋体" w:hAnsi="宋体" w:cs="宋体" w:hint="eastAsia"/>
                <w:spacing w:val="-5"/>
                <w:kern w:val="2"/>
                <w:sz w:val="21"/>
                <w:szCs w:val="21"/>
                <w:lang w:eastAsia="zh-CN"/>
              </w:rPr>
              <w:t>（或持有股份）的比例虽然不足50%，但依</w:t>
            </w:r>
            <w:r>
              <w:rPr>
                <w:rFonts w:ascii="宋体" w:hAnsi="宋体" w:cs="宋体" w:hint="eastAsia"/>
                <w:spacing w:val="-6"/>
                <w:kern w:val="2"/>
                <w:sz w:val="21"/>
                <w:szCs w:val="21"/>
                <w:lang w:eastAsia="zh-CN"/>
              </w:rPr>
              <w:t>其出资</w:t>
            </w:r>
            <w:r>
              <w:rPr>
                <w:rFonts w:ascii="宋体" w:hAnsi="宋体" w:cs="宋体" w:hint="eastAsia"/>
                <w:spacing w:val="-9"/>
                <w:kern w:val="2"/>
                <w:sz w:val="21"/>
                <w:szCs w:val="21"/>
                <w:lang w:eastAsia="zh-CN"/>
              </w:rPr>
              <w:t>额（或持有股份）所享有的表决权已足以对投标（响</w:t>
            </w:r>
            <w:r>
              <w:rPr>
                <w:rFonts w:ascii="宋体" w:hAnsi="宋体" w:cs="宋体" w:hint="eastAsia"/>
                <w:kern w:val="2"/>
                <w:sz w:val="21"/>
                <w:szCs w:val="21"/>
                <w:lang w:eastAsia="zh-CN"/>
              </w:rPr>
              <w:t>应）供应商股东会（或股东大会）的决议产生重要</w:t>
            </w:r>
            <w:r>
              <w:rPr>
                <w:rFonts w:ascii="宋体" w:hAnsi="宋体" w:cs="宋体" w:hint="eastAsia"/>
                <w:spacing w:val="6"/>
                <w:kern w:val="2"/>
                <w:sz w:val="21"/>
                <w:szCs w:val="21"/>
                <w:lang w:eastAsia="zh-CN"/>
              </w:rPr>
              <w:t xml:space="preserve"> </w:t>
            </w:r>
            <w:r>
              <w:rPr>
                <w:rFonts w:ascii="宋体" w:hAnsi="宋体" w:cs="宋体" w:hint="eastAsia"/>
                <w:spacing w:val="-2"/>
                <w:kern w:val="2"/>
                <w:sz w:val="21"/>
                <w:szCs w:val="21"/>
                <w:lang w:eastAsia="zh-CN"/>
              </w:rPr>
              <w:t>影响的股东。</w:t>
            </w:r>
          </w:p>
        </w:tc>
      </w:tr>
      <w:tr>
        <w:tblPrEx>
          <w:tblW w:w="5000" w:type="pct"/>
          <w:tblInd w:w="0" w:type="dxa"/>
          <w:tblLayout w:type="fixed"/>
          <w:tblCellMar>
            <w:top w:w="0" w:type="dxa"/>
            <w:left w:w="0" w:type="dxa"/>
            <w:bottom w:w="0" w:type="dxa"/>
            <w:right w:w="0" w:type="dxa"/>
          </w:tblCellMar>
        </w:tblPrEx>
        <w:trPr>
          <w:trHeight w:val="703"/>
        </w:trPr>
        <w:tc>
          <w:tcPr>
            <w:tcW w:w="411" w:type="pct"/>
            <w:vAlign w:val="center"/>
          </w:tcPr>
          <w:p>
            <w:pPr>
              <w:widowControl w:val="0"/>
              <w:spacing w:line="168" w:lineRule="auto"/>
              <w:ind w:left="322"/>
              <w:jc w:val="both"/>
              <w:rPr>
                <w:rFonts w:ascii="宋体" w:hAnsi="宋体" w:cs="宋体" w:hint="eastAsia"/>
                <w:kern w:val="2"/>
                <w:sz w:val="21"/>
                <w:szCs w:val="21"/>
              </w:rPr>
            </w:pPr>
            <w:r>
              <w:rPr>
                <w:rFonts w:ascii="宋体" w:hAnsi="宋体" w:cs="宋体" w:hint="eastAsia"/>
                <w:kern w:val="2"/>
                <w:sz w:val="21"/>
                <w:szCs w:val="21"/>
              </w:rPr>
              <w:t>2</w:t>
            </w:r>
          </w:p>
        </w:tc>
        <w:tc>
          <w:tcPr>
            <w:tcW w:w="1272" w:type="pct"/>
            <w:gridSpan w:val="2"/>
            <w:vAlign w:val="center"/>
          </w:tcPr>
          <w:p>
            <w:pPr>
              <w:widowControl w:val="0"/>
              <w:spacing w:line="203" w:lineRule="auto"/>
              <w:jc w:val="center"/>
              <w:rPr>
                <w:rFonts w:ascii="宋体" w:hAnsi="宋体" w:cs="宋体" w:hint="eastAsia"/>
                <w:kern w:val="2"/>
                <w:sz w:val="21"/>
                <w:szCs w:val="21"/>
                <w:lang w:eastAsia="zh-CN"/>
              </w:rPr>
            </w:pPr>
            <w:r>
              <w:rPr>
                <w:rFonts w:ascii="宋体" w:hAnsi="宋体" w:cs="宋体" w:hint="eastAsia"/>
                <w:spacing w:val="-5"/>
                <w:kern w:val="2"/>
                <w:sz w:val="21"/>
                <w:szCs w:val="21"/>
                <w:lang w:eastAsia="zh-CN"/>
              </w:rPr>
              <w:t>管理关系（如无，可不填写）</w:t>
            </w:r>
          </w:p>
        </w:tc>
        <w:tc>
          <w:tcPr>
            <w:tcW w:w="970" w:type="pct"/>
            <w:gridSpan w:val="2"/>
            <w:vAlign w:val="center"/>
          </w:tcPr>
          <w:p>
            <w:pPr>
              <w:widowControl w:val="0"/>
              <w:jc w:val="both"/>
              <w:rPr>
                <w:rFonts w:ascii="宋体" w:hAnsi="宋体" w:cs="宋体" w:hint="eastAsia"/>
                <w:kern w:val="2"/>
                <w:sz w:val="21"/>
                <w:szCs w:val="21"/>
                <w:lang w:eastAsia="zh-CN"/>
              </w:rPr>
            </w:pPr>
          </w:p>
        </w:tc>
        <w:tc>
          <w:tcPr>
            <w:tcW w:w="2346" w:type="pct"/>
            <w:gridSpan w:val="3"/>
            <w:vAlign w:val="center"/>
          </w:tcPr>
          <w:p>
            <w:pPr>
              <w:widowControl w:val="0"/>
              <w:spacing w:line="190" w:lineRule="auto"/>
              <w:ind w:left="120" w:right="24"/>
              <w:jc w:val="both"/>
              <w:rPr>
                <w:rFonts w:ascii="宋体" w:hAnsi="宋体" w:cs="宋体" w:hint="eastAsia"/>
                <w:kern w:val="2"/>
                <w:sz w:val="21"/>
                <w:szCs w:val="21"/>
                <w:lang w:eastAsia="zh-CN"/>
              </w:rPr>
            </w:pPr>
            <w:r>
              <w:rPr>
                <w:rFonts w:ascii="宋体" w:hAnsi="宋体" w:cs="宋体" w:hint="eastAsia"/>
                <w:spacing w:val="-8"/>
                <w:kern w:val="2"/>
                <w:sz w:val="21"/>
                <w:szCs w:val="21"/>
                <w:lang w:eastAsia="zh-CN"/>
              </w:rPr>
              <w:t>指对投标（响应）供应商不具有出资持</w:t>
            </w:r>
            <w:r>
              <w:rPr>
                <w:rFonts w:ascii="宋体" w:hAnsi="宋体" w:cs="宋体" w:hint="eastAsia"/>
                <w:spacing w:val="-3"/>
                <w:kern w:val="2"/>
                <w:sz w:val="21"/>
                <w:szCs w:val="21"/>
                <w:lang w:eastAsia="zh-CN"/>
              </w:rPr>
              <w:t>股关系，但对其存在管理关系的主体。</w:t>
            </w:r>
          </w:p>
        </w:tc>
      </w:tr>
      <w:tr>
        <w:tblPrEx>
          <w:tblW w:w="5000" w:type="pct"/>
          <w:tblInd w:w="0" w:type="dxa"/>
          <w:tblLayout w:type="fixed"/>
          <w:tblCellMar>
            <w:top w:w="0" w:type="dxa"/>
            <w:left w:w="0" w:type="dxa"/>
            <w:bottom w:w="0" w:type="dxa"/>
            <w:right w:w="0" w:type="dxa"/>
          </w:tblCellMar>
        </w:tblPrEx>
        <w:trPr>
          <w:trHeight w:val="361"/>
        </w:trPr>
        <w:tc>
          <w:tcPr>
            <w:tcW w:w="5000" w:type="pct"/>
            <w:gridSpan w:val="8"/>
            <w:vAlign w:val="center"/>
          </w:tcPr>
          <w:p>
            <w:pPr>
              <w:widowControl w:val="0"/>
              <w:spacing w:line="180" w:lineRule="auto"/>
              <w:ind w:left="120"/>
              <w:jc w:val="both"/>
              <w:rPr>
                <w:rFonts w:ascii="宋体" w:hAnsi="宋体" w:cs="宋体" w:hint="eastAsia"/>
                <w:kern w:val="2"/>
                <w:sz w:val="21"/>
                <w:szCs w:val="21"/>
                <w:lang w:eastAsia="zh-CN"/>
              </w:rPr>
            </w:pPr>
            <w:r>
              <w:rPr>
                <w:rFonts w:ascii="宋体" w:hAnsi="宋体" w:cs="宋体" w:hint="eastAsia"/>
                <w:b/>
                <w:bCs/>
                <w:spacing w:val="-1"/>
                <w:kern w:val="2"/>
                <w:sz w:val="21"/>
                <w:szCs w:val="21"/>
                <w:lang w:eastAsia="zh-CN"/>
              </w:rPr>
              <w:t>说明：同一关联关系类型有多个主体的，应分行填写。</w:t>
            </w:r>
          </w:p>
        </w:tc>
      </w:tr>
    </w:tbl>
    <w:p>
      <w:pPr>
        <w:widowControl w:val="0"/>
        <w:jc w:val="both"/>
        <w:rPr>
          <w:rFonts w:ascii="Calibri" w:eastAsia="宋体" w:hAnsi="Calibri"/>
          <w:b/>
          <w:bCs/>
          <w:color w:val="FF0000"/>
          <w:kern w:val="2"/>
          <w:szCs w:val="28"/>
          <w:lang w:eastAsia="zh-CN"/>
        </w:rPr>
      </w:pPr>
      <w:r>
        <w:rPr>
          <w:rFonts w:ascii="Calibri" w:eastAsia="宋体" w:hAnsi="Calibri" w:hint="eastAsia"/>
          <w:b/>
          <w:bCs/>
          <w:color w:val="FF0000"/>
          <w:kern w:val="2"/>
          <w:szCs w:val="28"/>
          <w:lang w:eastAsia="zh-CN"/>
        </w:rPr>
        <w:t>备注：注明“必填项”的必须填写；未注明“必填项”的，如供应商未填写则视为未安排（或无）。</w:t>
      </w:r>
    </w:p>
    <w:p>
      <w:pPr>
        <w:widowControl w:val="0"/>
        <w:ind w:left="720" w:hanging="720" w:hangingChars="300"/>
        <w:jc w:val="both"/>
        <w:rPr>
          <w:rFonts w:eastAsia="宋体"/>
          <w:b/>
          <w:kern w:val="2"/>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黑体" w:eastAsia="黑体" w:hAnsi="宋体" w:hint="eastAsia"/>
          <w:bCs/>
          <w:kern w:val="2"/>
          <w:lang w:eastAsia="zh-CN"/>
        </w:rPr>
        <w:t>四、项目详细报价</w:t>
      </w:r>
    </w:p>
    <w:p>
      <w:pPr>
        <w:widowControl w:val="0"/>
        <w:spacing w:line="360" w:lineRule="auto"/>
        <w:jc w:val="center"/>
        <w:rPr>
          <w:rFonts w:eastAsia="宋体"/>
          <w:kern w:val="2"/>
          <w:lang w:eastAsia="zh-CN"/>
        </w:rPr>
      </w:pPr>
      <w:r>
        <w:rPr>
          <w:rFonts w:eastAsia="宋体" w:hint="eastAsia"/>
          <w:b/>
          <w:bCs/>
          <w:kern w:val="2"/>
          <w:lang w:eastAsia="zh-CN"/>
        </w:rPr>
        <w:t>（一）</w:t>
      </w:r>
      <w:r>
        <w:rPr>
          <w:rFonts w:eastAsia="宋体" w:hint="eastAsia"/>
          <w:b/>
          <w:kern w:val="2"/>
          <w:lang w:eastAsia="zh-CN"/>
        </w:rPr>
        <w:t>分项报价表</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02"/>
        <w:gridCol w:w="2832"/>
        <w:gridCol w:w="2195"/>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720"/>
          <w:jc w:val="center"/>
        </w:trPr>
        <w:tc>
          <w:tcPr>
            <w:tcW w:w="3246"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lang w:eastAsia="zh-CN"/>
              </w:rPr>
            </w:pPr>
            <w:r>
              <w:rPr>
                <w:rFonts w:ascii="宋体" w:eastAsia="宋体" w:hAnsi="宋体" w:hint="eastAsia"/>
                <w:snapToGrid w:val="0"/>
                <w:szCs w:val="21"/>
                <w:lang w:eastAsia="zh-CN"/>
              </w:rPr>
              <w:t>项目名称</w:t>
            </w:r>
          </w:p>
        </w:tc>
        <w:tc>
          <w:tcPr>
            <w:tcW w:w="2625"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lang w:eastAsia="zh-CN"/>
              </w:rPr>
            </w:pPr>
            <w:r>
              <w:rPr>
                <w:rFonts w:ascii="宋体" w:eastAsia="宋体" w:hAnsi="宋体" w:hint="eastAsia"/>
                <w:snapToGrid w:val="0"/>
                <w:szCs w:val="21"/>
                <w:lang w:eastAsia="zh-CN"/>
              </w:rPr>
              <w:t>投标报价（元）</w:t>
            </w:r>
          </w:p>
        </w:tc>
        <w:tc>
          <w:tcPr>
            <w:tcW w:w="2034"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lang w:eastAsia="zh-CN"/>
              </w:rPr>
            </w:pPr>
            <w:r>
              <w:rPr>
                <w:rFonts w:ascii="宋体" w:eastAsia="宋体" w:hAnsi="宋体" w:hint="eastAsia"/>
                <w:snapToGrid w:val="0"/>
                <w:szCs w:val="21"/>
                <w:lang w:eastAsia="zh-CN"/>
              </w:rPr>
              <w:t>备注</w:t>
            </w:r>
          </w:p>
        </w:tc>
      </w:tr>
      <w:tr>
        <w:tblPrEx>
          <w:tblW w:w="5000" w:type="pct"/>
          <w:jc w:val="center"/>
          <w:tblLayout w:type="fixed"/>
          <w:tblCellMar>
            <w:top w:w="0" w:type="dxa"/>
            <w:left w:w="108" w:type="dxa"/>
            <w:bottom w:w="0" w:type="dxa"/>
            <w:right w:w="108" w:type="dxa"/>
          </w:tblCellMar>
        </w:tblPrEx>
        <w:trPr>
          <w:cantSplit/>
          <w:trHeight w:val="738"/>
          <w:jc w:val="center"/>
        </w:trPr>
        <w:tc>
          <w:tcPr>
            <w:tcW w:w="3246" w:type="dxa"/>
            <w:tcBorders>
              <w:top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u w:val="single"/>
                <w:lang w:eastAsia="zh-CN"/>
              </w:rPr>
            </w:pPr>
            <w:r>
              <w:rPr>
                <w:rFonts w:ascii="宋体" w:eastAsia="宋体" w:hAnsi="宋体" w:hint="eastAsia"/>
                <w:snapToGrid w:val="0"/>
                <w:szCs w:val="21"/>
                <w:u w:val="single"/>
                <w:lang w:eastAsia="zh-CN"/>
              </w:rPr>
              <w:t xml:space="preserve">                 项目</w:t>
            </w:r>
          </w:p>
        </w:tc>
        <w:tc>
          <w:tcPr>
            <w:tcW w:w="2625" w:type="dxa"/>
            <w:tcBorders>
              <w:top w:val="single" w:sz="4" w:space="0" w:color="auto"/>
            </w:tcBorders>
            <w:vAlign w:val="center"/>
          </w:tcPr>
          <w:p>
            <w:pPr>
              <w:widowControl/>
              <w:adjustRightInd w:val="0"/>
              <w:snapToGrid w:val="0"/>
              <w:spacing w:line="300" w:lineRule="auto"/>
              <w:jc w:val="left"/>
              <w:rPr>
                <w:rFonts w:ascii="宋体" w:eastAsia="宋体" w:hAnsi="宋体" w:hint="eastAsia"/>
                <w:snapToGrid w:val="0"/>
                <w:szCs w:val="21"/>
                <w:lang w:eastAsia="zh-CN"/>
              </w:rPr>
            </w:pPr>
            <w:r>
              <w:rPr>
                <w:rFonts w:ascii="宋体" w:eastAsia="宋体" w:hAnsi="宋体" w:hint="eastAsia"/>
                <w:snapToGrid w:val="0"/>
                <w:szCs w:val="21"/>
                <w:lang w:eastAsia="zh-CN"/>
              </w:rPr>
              <w:t>大写：</w:t>
            </w:r>
          </w:p>
          <w:p>
            <w:pPr>
              <w:widowControl/>
              <w:adjustRightInd w:val="0"/>
              <w:snapToGrid w:val="0"/>
              <w:spacing w:line="300" w:lineRule="auto"/>
              <w:jc w:val="left"/>
              <w:rPr>
                <w:rFonts w:eastAsia="宋体"/>
                <w:kern w:val="2"/>
                <w:sz w:val="21"/>
                <w:lang w:eastAsia="zh-CN"/>
              </w:rPr>
            </w:pPr>
            <w:r>
              <w:rPr>
                <w:rFonts w:ascii="宋体" w:eastAsia="宋体" w:hAnsi="宋体" w:hint="eastAsia"/>
                <w:snapToGrid w:val="0"/>
                <w:szCs w:val="21"/>
                <w:lang w:eastAsia="zh-CN"/>
              </w:rPr>
              <w:t>小写：</w:t>
            </w:r>
          </w:p>
        </w:tc>
        <w:tc>
          <w:tcPr>
            <w:tcW w:w="2034" w:type="dxa"/>
            <w:tcBorders>
              <w:top w:val="single" w:sz="4" w:space="0" w:color="auto"/>
            </w:tcBorders>
            <w:vAlign w:val="center"/>
          </w:tcPr>
          <w:p>
            <w:pPr>
              <w:widowControl/>
              <w:adjustRightInd w:val="0"/>
              <w:snapToGrid w:val="0"/>
              <w:spacing w:line="300" w:lineRule="auto"/>
              <w:jc w:val="center"/>
              <w:rPr>
                <w:rFonts w:ascii="宋体" w:eastAsia="宋体" w:hAnsi="宋体" w:hint="eastAsia"/>
                <w:snapToGrid w:val="0"/>
                <w:szCs w:val="21"/>
                <w:lang w:eastAsia="zh-CN"/>
              </w:rPr>
            </w:pPr>
          </w:p>
        </w:tc>
      </w:tr>
    </w:tbl>
    <w:p>
      <w:pPr>
        <w:widowControl w:val="0"/>
        <w:ind w:left="630" w:hanging="630" w:hangingChars="300"/>
        <w:jc w:val="both"/>
        <w:rPr>
          <w:rFonts w:eastAsia="宋体"/>
          <w:b/>
          <w:color w:val="0000FF"/>
          <w:kern w:val="2"/>
          <w:sz w:val="21"/>
          <w:szCs w:val="21"/>
          <w:lang w:eastAsia="zh-CN"/>
        </w:rPr>
      </w:pPr>
      <w:r>
        <w:rPr>
          <w:rFonts w:eastAsia="宋体" w:hint="eastAsia"/>
          <w:b/>
          <w:color w:val="0000FF"/>
          <w:kern w:val="2"/>
          <w:sz w:val="21"/>
          <w:szCs w:val="21"/>
          <w:lang w:eastAsia="zh-CN"/>
        </w:rPr>
        <w:t>注：</w:t>
      </w:r>
    </w:p>
    <w:p>
      <w:pPr>
        <w:widowControl/>
        <w:snapToGrid w:val="0"/>
        <w:ind w:firstLine="420" w:firstLineChars="200"/>
        <w:jc w:val="left"/>
        <w:rPr>
          <w:rFonts w:ascii="宋体" w:eastAsia="宋体" w:hAnsi="宋体" w:hint="eastAsia"/>
          <w:color w:val="0000FF"/>
          <w:sz w:val="21"/>
          <w:szCs w:val="21"/>
          <w:lang w:eastAsia="zh-CN"/>
        </w:rPr>
      </w:pPr>
      <w:r>
        <w:rPr>
          <w:rFonts w:ascii="宋体" w:eastAsia="宋体" w:hAnsi="宋体" w:hint="eastAsia"/>
          <w:color w:val="0000FF"/>
          <w:sz w:val="21"/>
          <w:szCs w:val="21"/>
          <w:lang w:eastAsia="zh-CN"/>
        </w:rPr>
        <w:t>1、投标人的投标报价不得超过预算金额，否则将导致投标无效。</w:t>
      </w:r>
    </w:p>
    <w:p>
      <w:pPr>
        <w:widowControl w:val="0"/>
        <w:tabs>
          <w:tab w:val="left" w:pos="720"/>
        </w:tabs>
        <w:jc w:val="center"/>
        <w:rPr>
          <w:rFonts w:eastAsia="宋体"/>
          <w:b/>
          <w:kern w:val="2"/>
          <w:lang w:eastAsia="zh-CN"/>
        </w:rPr>
      </w:pPr>
    </w:p>
    <w:p>
      <w:pPr>
        <w:widowControl w:val="0"/>
        <w:tabs>
          <w:tab w:val="left" w:pos="720"/>
        </w:tabs>
        <w:jc w:val="center"/>
        <w:rPr>
          <w:rFonts w:eastAsia="宋体"/>
          <w:b/>
          <w:kern w:val="2"/>
          <w:lang w:eastAsia="zh-CN"/>
        </w:rPr>
      </w:pPr>
    </w:p>
    <w:p>
      <w:pPr>
        <w:widowControl w:val="0"/>
        <w:tabs>
          <w:tab w:val="left" w:pos="720"/>
        </w:tabs>
        <w:jc w:val="center"/>
        <w:rPr>
          <w:rFonts w:eastAsia="宋体"/>
          <w:b/>
          <w:kern w:val="2"/>
          <w:lang w:eastAsia="zh-CN"/>
        </w:rPr>
      </w:pPr>
      <w:r>
        <w:rPr>
          <w:rFonts w:eastAsia="宋体" w:hint="eastAsia"/>
          <w:b/>
          <w:kern w:val="2"/>
          <w:lang w:eastAsia="zh-CN"/>
        </w:rPr>
        <w:t>（二）</w:t>
      </w:r>
      <w:bookmarkStart w:id="59" w:name="_Hlk72073235"/>
      <w:r>
        <w:rPr>
          <w:rFonts w:eastAsia="宋体" w:hint="eastAsia"/>
          <w:b/>
          <w:kern w:val="2"/>
          <w:lang w:eastAsia="zh-CN"/>
        </w:rPr>
        <w:t>投标人认为需要涉及的其他内容报价清单</w:t>
      </w:r>
      <w:bookmarkEnd w:id="59"/>
    </w:p>
    <w:p>
      <w:pPr>
        <w:widowControl w:val="0"/>
        <w:jc w:val="both"/>
        <w:rPr>
          <w:rFonts w:eastAsia="宋体"/>
          <w:b/>
          <w:bCs/>
          <w:kern w:val="2"/>
          <w:sz w:val="21"/>
          <w:lang w:eastAsia="zh-CN"/>
        </w:rPr>
      </w:pP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五、</w:t>
      </w:r>
      <w:bookmarkStart w:id="60" w:name="_Hlk72092499"/>
      <w:r>
        <w:rPr>
          <w:rFonts w:ascii="黑体" w:eastAsia="黑体" w:hAnsi="宋体" w:hint="eastAsia"/>
          <w:bCs/>
          <w:kern w:val="2"/>
          <w:szCs w:val="32"/>
          <w:lang w:eastAsia="zh-CN"/>
        </w:rPr>
        <w:t>法定代表人（负责人）证明书</w:t>
      </w:r>
      <w:bookmarkEnd w:id="60"/>
    </w:p>
    <w:p>
      <w:pPr>
        <w:widowControl w:val="0"/>
        <w:jc w:val="both"/>
        <w:rPr>
          <w:rFonts w:eastAsia="宋体"/>
          <w:kern w:val="2"/>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特此证明。</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说明：1、法定代表人为投标人（企业事业单位、国家机关、社会团体）的主要行政负责人。</w:t>
      </w:r>
    </w:p>
    <w:p>
      <w:pPr>
        <w:widowControl w:val="0"/>
        <w:numPr>
          <w:ilvl w:val="0"/>
          <w:numId w:val="8"/>
        </w:numPr>
        <w:ind w:left="420" w:firstLine="420" w:firstLineChars="20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8"/>
        </w:numPr>
        <w:ind w:left="420" w:firstLine="420" w:firstLineChars="200"/>
        <w:jc w:val="both"/>
        <w:rPr>
          <w:rFonts w:eastAsia="宋体"/>
          <w:kern w:val="2"/>
          <w:sz w:val="21"/>
          <w:szCs w:val="21"/>
          <w:lang w:eastAsia="zh-CN"/>
        </w:rPr>
      </w:pPr>
      <w:r>
        <w:rPr>
          <w:rFonts w:eastAsia="宋体" w:hint="eastAsia"/>
          <w:kern w:val="2"/>
          <w:sz w:val="21"/>
          <w:szCs w:val="21"/>
          <w:lang w:eastAsia="zh-Hans"/>
        </w:rPr>
        <w:t>本项目投标授权代表为法定代表人（负责人）的，无需提供</w:t>
      </w:r>
      <w:r>
        <w:rPr>
          <w:rFonts w:eastAsia="宋体" w:hint="eastAsia"/>
          <w:kern w:val="2"/>
          <w:sz w:val="21"/>
          <w:szCs w:val="21"/>
          <w:lang w:eastAsia="zh-CN"/>
        </w:rPr>
        <w:t>《投标文件签署授权委托书》</w:t>
      </w:r>
      <w:r>
        <w:rPr>
          <w:rFonts w:eastAsia="宋体" w:hint="eastAsia"/>
          <w:kern w:val="2"/>
          <w:sz w:val="21"/>
          <w:szCs w:val="21"/>
          <w:lang w:eastAsia="zh-Hans"/>
        </w:rPr>
        <w:t>。</w:t>
      </w:r>
    </w:p>
    <w:p>
      <w:pPr>
        <w:widowControl w:val="0"/>
        <w:numPr>
          <w:ilvl w:val="0"/>
          <w:numId w:val="8"/>
        </w:numPr>
        <w:ind w:left="420" w:firstLine="420" w:firstLineChars="20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widowControl w:val="0"/>
        <w:ind w:firstLine="480" w:firstLineChars="200"/>
        <w:jc w:val="both"/>
        <w:rPr>
          <w:rFonts w:eastAsia="宋体"/>
          <w:kern w:val="2"/>
          <w:lang w:eastAsia="zh-CN"/>
        </w:rPr>
      </w:pPr>
    </w:p>
    <w:p>
      <w:pPr>
        <w:widowControl w:val="0"/>
        <w:jc w:val="both"/>
        <w:rPr>
          <w:rFonts w:eastAsia="宋体"/>
          <w:b/>
          <w:bCs/>
          <w:kern w:val="2"/>
          <w:lang w:eastAsia="zh-CN"/>
        </w:rPr>
      </w:pP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六、投标文件签署授权委托书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代理人无转委托权，特此委托。</w:t>
      </w:r>
    </w:p>
    <w:p>
      <w:pPr>
        <w:widowControl w:val="0"/>
        <w:ind w:firstLine="420" w:firstLineChars="200"/>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 xml:space="preserve">月 </w:t>
      </w:r>
      <w:r>
        <w:rPr>
          <w:rFonts w:eastAsia="宋体" w:hint="eastAsia"/>
          <w:kern w:val="2"/>
          <w:sz w:val="21"/>
          <w:szCs w:val="21"/>
          <w:u w:val="single"/>
          <w:lang w:eastAsia="zh-CN"/>
        </w:rPr>
        <w:t xml:space="preserve">      </w:t>
      </w:r>
      <w:r>
        <w:rPr>
          <w:rFonts w:eastAsia="宋体" w:hint="eastAsia"/>
          <w:kern w:val="2"/>
          <w:sz w:val="21"/>
          <w:szCs w:val="21"/>
          <w:lang w:eastAsia="zh-CN"/>
        </w:rPr>
        <w:t>日。</w:t>
      </w:r>
    </w:p>
    <w:p>
      <w:pPr>
        <w:widowControl w:val="0"/>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七、</w:t>
      </w:r>
      <w:bookmarkStart w:id="61" w:name="_Hlk72092634"/>
      <w:r>
        <w:rPr>
          <w:rFonts w:ascii="黑体" w:eastAsia="黑体" w:hAnsi="宋体" w:hint="eastAsia"/>
          <w:bCs/>
          <w:lang w:eastAsia="zh-CN"/>
        </w:rPr>
        <w:t>实质性条款响应情况表</w:t>
      </w:r>
      <w:bookmarkEnd w:id="61"/>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3"/>
        <w:gridCol w:w="3647"/>
        <w:gridCol w:w="1618"/>
        <w:gridCol w:w="1324"/>
        <w:gridCol w:w="12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hint="eastAsia"/>
                <w:sz w:val="21"/>
                <w:szCs w:val="21"/>
                <w:lang w:eastAsia="zh-CN"/>
              </w:rPr>
            </w:pPr>
            <w:bookmarkStart w:id="62" w:name="_Hlk72092651"/>
            <w:r>
              <w:rPr>
                <w:rFonts w:ascii="宋体" w:eastAsia="宋体" w:hAnsi="宋体" w:hint="eastAsia"/>
                <w:sz w:val="21"/>
                <w:szCs w:val="21"/>
                <w:lang w:eastAsia="zh-CN"/>
              </w:rPr>
              <w:t>序号</w:t>
            </w:r>
          </w:p>
        </w:tc>
        <w:tc>
          <w:tcPr>
            <w:tcW w:w="3514"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c>
          <w:tcPr>
            <w:tcW w:w="1559"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投标响应</w:t>
            </w:r>
          </w:p>
        </w:tc>
        <w:tc>
          <w:tcPr>
            <w:tcW w:w="1276"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偏离情况</w:t>
            </w:r>
          </w:p>
        </w:tc>
        <w:tc>
          <w:tcPr>
            <w:tcW w:w="1163"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说明</w:t>
            </w:r>
          </w:p>
        </w:tc>
      </w:tr>
      <w:bookmarkEnd w:id="62"/>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3514" w:type="dxa"/>
          </w:tcPr>
          <w:p>
            <w:pPr>
              <w:widowControl w:val="0"/>
              <w:adjustRightInd w:val="0"/>
              <w:snapToGrid w:val="0"/>
              <w:spacing w:line="360" w:lineRule="auto"/>
              <w:jc w:val="left"/>
              <w:rPr>
                <w:rFonts w:eastAsia="宋体" w:hAnsi="宋体" w:hint="eastAsia"/>
                <w:sz w:val="21"/>
                <w:szCs w:val="21"/>
                <w:lang w:eastAsia="zh-CN"/>
              </w:rPr>
            </w:pPr>
            <w:r>
              <w:rPr>
                <w:rFonts w:eastAsia="宋体" w:hint="eastAsia"/>
                <w:kern w:val="2"/>
                <w:sz w:val="21"/>
                <w:lang w:eastAsia="zh-CN"/>
              </w:rPr>
              <w:t>满足本项目标★的条款要求</w:t>
            </w:r>
          </w:p>
        </w:tc>
        <w:tc>
          <w:tcPr>
            <w:tcW w:w="1559" w:type="dxa"/>
          </w:tcPr>
          <w:p>
            <w:pPr>
              <w:widowControl w:val="0"/>
              <w:adjustRightInd w:val="0"/>
              <w:snapToGrid w:val="0"/>
              <w:spacing w:line="360" w:lineRule="auto"/>
              <w:jc w:val="both"/>
              <w:rPr>
                <w:rFonts w:ascii="宋体" w:eastAsia="宋体" w:hAnsi="宋体" w:hint="eastAsia"/>
                <w:sz w:val="21"/>
                <w:szCs w:val="21"/>
                <w:lang w:eastAsia="zh-CN"/>
              </w:rPr>
            </w:pPr>
          </w:p>
        </w:tc>
        <w:tc>
          <w:tcPr>
            <w:tcW w:w="1276" w:type="dxa"/>
          </w:tcPr>
          <w:p>
            <w:pPr>
              <w:widowControl w:val="0"/>
              <w:adjustRightInd w:val="0"/>
              <w:snapToGrid w:val="0"/>
              <w:spacing w:line="360" w:lineRule="auto"/>
              <w:jc w:val="both"/>
              <w:rPr>
                <w:rFonts w:ascii="宋体" w:eastAsia="宋体" w:hAnsi="宋体" w:hint="eastAsia"/>
                <w:sz w:val="21"/>
                <w:szCs w:val="21"/>
                <w:lang w:eastAsia="zh-CN"/>
              </w:rPr>
            </w:pPr>
          </w:p>
        </w:tc>
        <w:tc>
          <w:tcPr>
            <w:tcW w:w="1163" w:type="dxa"/>
          </w:tcPr>
          <w:p>
            <w:pPr>
              <w:widowControl w:val="0"/>
              <w:adjustRightInd w:val="0"/>
              <w:snapToGrid w:val="0"/>
              <w:spacing w:line="360" w:lineRule="auto"/>
              <w:jc w:val="both"/>
              <w:rPr>
                <w:rFonts w:ascii="宋体" w:eastAsia="宋体" w:hAnsi="宋体" w:hint="eastAsia"/>
                <w:sz w:val="21"/>
                <w:szCs w:val="21"/>
                <w:lang w:eastAsia="zh-CN"/>
              </w:rPr>
            </w:pPr>
          </w:p>
        </w:tc>
      </w:tr>
    </w:tbl>
    <w:p>
      <w:pPr>
        <w:widowControl w:val="0"/>
        <w:ind w:firstLine="480" w:firstLineChars="200"/>
        <w:jc w:val="both"/>
        <w:rPr>
          <w:rFonts w:eastAsia="宋体"/>
          <w:b/>
          <w:kern w:val="2"/>
          <w:szCs w:val="22"/>
          <w:lang w:eastAsia="zh-CN"/>
        </w:rPr>
      </w:pPr>
      <w:r>
        <w:rPr>
          <w:rFonts w:eastAsia="宋体" w:hint="eastAsia"/>
          <w:b/>
          <w:kern w:val="2"/>
          <w:szCs w:val="22"/>
          <w:lang w:eastAsia="zh-CN"/>
        </w:rPr>
        <w:t>注：1.上表所列各项均为不可负偏离条款。</w:t>
      </w:r>
    </w:p>
    <w:p>
      <w:pPr>
        <w:widowControl w:val="0"/>
        <w:ind w:firstLine="480" w:firstLineChars="200"/>
        <w:jc w:val="both"/>
        <w:rPr>
          <w:rFonts w:eastAsia="宋体"/>
          <w:b/>
          <w:kern w:val="2"/>
          <w:szCs w:val="22"/>
          <w:lang w:eastAsia="zh-CN"/>
        </w:rPr>
      </w:pPr>
      <w:r>
        <w:rPr>
          <w:rFonts w:eastAsia="宋体"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eastAsia="宋体"/>
          <w:b/>
          <w:kern w:val="2"/>
          <w:szCs w:val="22"/>
          <w:lang w:eastAsia="zh-CN"/>
        </w:rPr>
      </w:pPr>
      <w:r>
        <w:rPr>
          <w:rFonts w:eastAsia="宋体" w:hint="eastAsia"/>
          <w:b/>
          <w:kern w:val="2"/>
          <w:szCs w:val="22"/>
          <w:lang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eastAsia="宋体"/>
          <w:b/>
          <w:kern w:val="2"/>
          <w:szCs w:val="22"/>
          <w:lang w:eastAsia="zh-CN"/>
        </w:rPr>
      </w:pPr>
      <w:r>
        <w:rPr>
          <w:rFonts w:eastAsia="宋体" w:hint="eastAsia"/>
          <w:b/>
          <w:kern w:val="2"/>
          <w:szCs w:val="22"/>
          <w:lang w:eastAsia="zh-CN"/>
        </w:rPr>
        <w:t>4.评审委员会有权对投标响应情况作出判断（作出评审结论）。</w:t>
      </w:r>
    </w:p>
    <w:p>
      <w:pPr>
        <w:widowControl w:val="0"/>
        <w:ind w:firstLine="480" w:firstLineChars="200"/>
        <w:jc w:val="both"/>
        <w:rPr>
          <w:rFonts w:eastAsia="宋体"/>
          <w:b/>
          <w:kern w:val="2"/>
          <w:szCs w:val="22"/>
          <w:lang w:eastAsia="zh-CN"/>
        </w:rPr>
      </w:pPr>
      <w:r>
        <w:rPr>
          <w:rFonts w:eastAsia="宋体" w:hint="eastAsia"/>
          <w:b/>
          <w:kern w:val="2"/>
          <w:szCs w:val="22"/>
          <w:lang w:eastAsia="zh-CN"/>
        </w:rPr>
        <w:t>5.实质性响应条款“投标响应情况”与投标文件其他内容冲突的，以实质性响应条款“投标响应情况”为准。</w:t>
      </w:r>
    </w:p>
    <w:p>
      <w:pPr>
        <w:widowControl w:val="0"/>
        <w:ind w:firstLine="480" w:firstLineChars="200"/>
        <w:jc w:val="both"/>
        <w:rPr>
          <w:rFonts w:eastAsia="宋体"/>
          <w:b/>
          <w:kern w:val="2"/>
          <w:lang w:eastAsia="zh-CN"/>
        </w:rPr>
      </w:pPr>
      <w:r>
        <w:rPr>
          <w:rFonts w:eastAsia="宋体" w:hint="eastAsia"/>
          <w:b/>
          <w:kern w:val="2"/>
          <w:szCs w:val="22"/>
          <w:lang w:eastAsia="zh-CN"/>
        </w:rPr>
        <w:t>6.要求提供证明资料，在“说明”一栏中列明证明资料的位置,以便评审；未要求提供证明材料的，投标人可以不提供</w:t>
      </w:r>
      <w:r>
        <w:rPr>
          <w:rFonts w:eastAsia="宋体" w:hint="eastAsia"/>
          <w:b/>
          <w:kern w:val="2"/>
          <w:lang w:eastAsia="zh-CN"/>
        </w:rPr>
        <w:t>。</w:t>
      </w:r>
    </w:p>
    <w:p>
      <w:pPr>
        <w:widowControl w:val="0"/>
        <w:jc w:val="both"/>
        <w:rPr>
          <w:rFonts w:eastAsia="宋体"/>
          <w:b/>
          <w:bCs/>
          <w:kern w:val="2"/>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八、整体管理设想策划及实施方案（格式自定）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九、服务质量管理方案（格式自定）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
          <w:bCs/>
          <w:kern w:val="2"/>
          <w:szCs w:val="32"/>
          <w:lang w:eastAsia="zh-CN"/>
        </w:rPr>
      </w:pPr>
      <w:r>
        <w:rPr>
          <w:rFonts w:ascii="黑体" w:eastAsia="黑体" w:hAnsi="宋体" w:hint="eastAsia"/>
          <w:bCs/>
          <w:lang w:eastAsia="zh-CN"/>
        </w:rPr>
        <w:t>十、项目重点难点分析、应对措施及相关的合理化建议（格式自定）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十一、承诺及应急响应能力（格式自定）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十二、拟安排的项目经理（仅限一人）（格式自定）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十三、拟安排的项目主要团队成员（主要技术人员）情况（项目经理除外）（格式自定）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十四、同类业绩（格式自定）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十五、履约评价（格式自定）</w:t>
      </w:r>
    </w:p>
    <w:p>
      <w:pPr>
        <w:widowControl w:val="0"/>
        <w:jc w:val="both"/>
        <w:rPr>
          <w:rFonts w:ascii="宋体" w:eastAsia="宋体" w:hAnsi="宋体" w:cs="宋体" w:hint="eastAsia"/>
          <w:kern w:val="2"/>
          <w:lang w:eastAsia="zh-CN"/>
        </w:rPr>
      </w:pPr>
      <w:r>
        <w:rPr>
          <w:rFonts w:ascii="宋体" w:eastAsia="宋体" w:hAnsi="宋体" w:cs="宋体" w:hint="eastAsia"/>
          <w:color w:val="FF0000"/>
          <w:kern w:val="2"/>
          <w:lang w:eastAsia="zh-CN"/>
        </w:rPr>
        <w:t>（特别提示：投标人须按本招标文件评标信息中这一评审因素要求，提供证明资料）</w:t>
      </w:r>
    </w:p>
    <w:p>
      <w:pPr>
        <w:widowControl w:val="0"/>
        <w:spacing w:line="360" w:lineRule="auto"/>
        <w:jc w:val="both"/>
        <w:rPr>
          <w:rFonts w:eastAsia="宋体"/>
          <w:b/>
          <w:bCs/>
          <w:kern w:val="2"/>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十六、体系认证情况（格式自定）</w:t>
      </w:r>
    </w:p>
    <w:p>
      <w:pPr>
        <w:widowControl w:val="0"/>
        <w:jc w:val="both"/>
        <w:rPr>
          <w:rFonts w:eastAsia="宋体"/>
          <w:kern w:val="2"/>
          <w:sz w:val="21"/>
          <w:lang w:eastAsia="zh-CN"/>
        </w:rPr>
      </w:pPr>
      <w:r>
        <w:rPr>
          <w:rFonts w:ascii="宋体" w:eastAsia="宋体" w:hAnsi="宋体" w:cs="宋体" w:hint="eastAsia"/>
          <w:color w:val="FF0000"/>
          <w:kern w:val="2"/>
          <w:lang w:eastAsia="zh-CN"/>
        </w:rPr>
        <w:t>（特别提示：投标人须按本招标文件评标信息中这一评审因素要求，提供证明资料）</w:t>
      </w:r>
    </w:p>
    <w:p>
      <w:pPr>
        <w:widowControl w:val="0"/>
        <w:spacing w:line="360" w:lineRule="auto"/>
        <w:jc w:val="both"/>
        <w:rPr>
          <w:rFonts w:eastAsia="宋体"/>
          <w:b/>
          <w:bCs/>
          <w:kern w:val="2"/>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十七、荣誉情况（格式自定）</w:t>
      </w:r>
    </w:p>
    <w:p>
      <w:pPr>
        <w:widowControl w:val="0"/>
        <w:jc w:val="both"/>
        <w:rPr>
          <w:rFonts w:ascii="宋体" w:eastAsia="宋体" w:hAnsi="宋体" w:cs="宋体" w:hint="eastAsia"/>
          <w:kern w:val="2"/>
          <w:lang w:eastAsia="zh-CN"/>
        </w:rPr>
      </w:pPr>
      <w:r>
        <w:rPr>
          <w:rFonts w:ascii="宋体" w:eastAsia="宋体" w:hAnsi="宋体" w:cs="宋体" w:hint="eastAsia"/>
          <w:color w:val="FF0000"/>
          <w:kern w:val="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十八、投标人认为需要加以说明的其他内容（格式自定）</w:t>
      </w:r>
    </w:p>
    <w:p>
      <w:pPr>
        <w:widowControl w:val="0"/>
        <w:spacing w:line="360" w:lineRule="auto"/>
        <w:jc w:val="both"/>
        <w:rPr>
          <w:rFonts w:eastAsia="宋体"/>
          <w:b/>
          <w:bCs/>
          <w:kern w:val="2"/>
          <w:lang w:eastAsia="zh-CN"/>
        </w:rPr>
      </w:pPr>
    </w:p>
    <w:p>
      <w:pPr>
        <w:widowControl/>
        <w:jc w:val="center"/>
        <w:rPr>
          <w:rFonts w:ascii="黑体" w:eastAsia="黑体" w:hAnsi="宋体" w:hint="eastAsia"/>
          <w:szCs w:val="20"/>
          <w:lang w:eastAsia="zh-CN"/>
        </w:rPr>
      </w:pPr>
      <w:r>
        <w:rPr>
          <w:rFonts w:ascii="黑体" w:eastAsia="黑体" w:hAnsi="宋体" w:hint="eastAsia"/>
          <w:szCs w:val="20"/>
          <w:lang w:eastAsia="zh-CN"/>
        </w:rPr>
        <w:t>（一）采购违法行为风险知悉确认书</w:t>
      </w:r>
    </w:p>
    <w:p>
      <w:pPr>
        <w:widowControl/>
        <w:jc w:val="center"/>
        <w:rPr>
          <w:rFonts w:ascii="黑体" w:eastAsia="黑体" w:hAnsi="宋体" w:hint="eastAsia"/>
          <w:szCs w:val="20"/>
          <w:lang w:eastAsia="zh-CN"/>
        </w:rPr>
      </w:pPr>
    </w:p>
    <w:p>
      <w:pPr>
        <w:widowControl w:val="0"/>
        <w:ind w:firstLine="420" w:firstLineChars="200"/>
        <w:jc w:val="both"/>
        <w:rPr>
          <w:rFonts w:eastAsia="宋体"/>
          <w:kern w:val="2"/>
          <w:sz w:val="21"/>
          <w:lang w:eastAsia="zh-CN"/>
        </w:rPr>
      </w:pPr>
      <w:r>
        <w:rPr>
          <w:rFonts w:eastAsia="宋体" w:hint="eastAsia"/>
          <w:kern w:val="2"/>
          <w:sz w:val="21"/>
          <w:lang w:eastAsia="zh-CN"/>
        </w:rPr>
        <w:t>本公司在投标前已充分知悉以下情形为参与自行采购活动时的重大风险事项，并承诺已对下述风险提示事项重点排查，做到严谨、诚信、依法依规参与自行采购活动。</w:t>
      </w:r>
    </w:p>
    <w:p>
      <w:pPr>
        <w:widowControl w:val="0"/>
        <w:ind w:firstLine="420" w:firstLineChars="200"/>
        <w:jc w:val="both"/>
        <w:rPr>
          <w:rFonts w:eastAsia="宋体"/>
          <w:b/>
          <w:kern w:val="2"/>
          <w:sz w:val="21"/>
          <w:lang w:eastAsia="zh-CN"/>
        </w:rPr>
      </w:pPr>
      <w:r>
        <w:rPr>
          <w:rFonts w:eastAsia="宋体" w:hint="eastAsia"/>
          <w:b/>
          <w:kern w:val="2"/>
          <w:sz w:val="21"/>
          <w:lang w:eastAsia="zh-CN"/>
        </w:rPr>
        <w:t>一、本公司已充分知悉“隐瞒真实情况，提供虚假资料”的法定情形，相关情形包括但不限于：</w:t>
      </w:r>
    </w:p>
    <w:p>
      <w:pPr>
        <w:widowControl w:val="0"/>
        <w:ind w:firstLine="420" w:firstLineChars="200"/>
        <w:jc w:val="both"/>
        <w:rPr>
          <w:rFonts w:eastAsia="宋体"/>
          <w:kern w:val="2"/>
          <w:sz w:val="21"/>
          <w:lang w:eastAsia="zh-CN"/>
        </w:rPr>
      </w:pPr>
      <w:r>
        <w:rPr>
          <w:rFonts w:eastAsia="宋体" w:hint="eastAsia"/>
          <w:kern w:val="2"/>
          <w:sz w:val="21"/>
          <w:lang w:eastAsia="zh-CN"/>
        </w:rPr>
        <w:t>（一）通过转让或者租借等方式从其他单位获取资格或者资质证书投标的。</w:t>
      </w:r>
    </w:p>
    <w:p>
      <w:pPr>
        <w:widowControl w:val="0"/>
        <w:ind w:firstLine="420" w:firstLineChars="200"/>
        <w:jc w:val="both"/>
        <w:rPr>
          <w:rFonts w:eastAsia="宋体"/>
          <w:kern w:val="2"/>
          <w:sz w:val="21"/>
          <w:lang w:eastAsia="zh-CN"/>
        </w:rPr>
      </w:pPr>
      <w:r>
        <w:rPr>
          <w:rFonts w:eastAsia="宋体" w:hint="eastAsia"/>
          <w:kern w:val="2"/>
          <w:sz w:val="21"/>
          <w:lang w:eastAsia="zh-CN"/>
        </w:rPr>
        <w:t>（二）由其他单位或者其他单位负责人在投标供应商编制的投标文件上加盖印章或者签字的。</w:t>
      </w:r>
    </w:p>
    <w:p>
      <w:pPr>
        <w:widowControl w:val="0"/>
        <w:ind w:firstLine="420" w:firstLineChars="200"/>
        <w:jc w:val="both"/>
        <w:rPr>
          <w:rFonts w:eastAsia="宋体"/>
          <w:kern w:val="2"/>
          <w:sz w:val="21"/>
          <w:lang w:eastAsia="zh-CN"/>
        </w:rPr>
      </w:pPr>
      <w:r>
        <w:rPr>
          <w:rFonts w:eastAsia="宋体" w:hint="eastAsia"/>
          <w:kern w:val="2"/>
          <w:sz w:val="21"/>
          <w:lang w:eastAsia="zh-CN"/>
        </w:rPr>
        <w:t>（三）项目负责人或者主要技术人员不是本单位人员的。</w:t>
      </w:r>
    </w:p>
    <w:p>
      <w:pPr>
        <w:widowControl w:val="0"/>
        <w:ind w:firstLine="420" w:firstLineChars="200"/>
        <w:jc w:val="both"/>
        <w:rPr>
          <w:rFonts w:eastAsia="宋体"/>
          <w:kern w:val="2"/>
          <w:sz w:val="21"/>
          <w:lang w:eastAsia="zh-CN"/>
        </w:rPr>
      </w:pPr>
      <w:r>
        <w:rPr>
          <w:rFonts w:eastAsia="宋体" w:hint="eastAsia"/>
          <w:kern w:val="2"/>
          <w:sz w:val="21"/>
          <w:lang w:eastAsia="zh-CN"/>
        </w:rPr>
        <w:t>（四）投标保证金不是从投标供应商基本账户转出的。</w:t>
      </w:r>
    </w:p>
    <w:p>
      <w:pPr>
        <w:widowControl w:val="0"/>
        <w:ind w:firstLine="420" w:firstLineChars="200"/>
        <w:jc w:val="both"/>
        <w:rPr>
          <w:rFonts w:eastAsia="宋体"/>
          <w:kern w:val="2"/>
          <w:sz w:val="21"/>
          <w:lang w:eastAsia="zh-CN"/>
        </w:rPr>
      </w:pPr>
      <w:r>
        <w:rPr>
          <w:rFonts w:eastAsia="宋体" w:hint="eastAsia"/>
          <w:kern w:val="2"/>
          <w:sz w:val="21"/>
          <w:lang w:eastAsia="zh-CN"/>
        </w:rPr>
        <w:t>（五）其他隐瞒真实情况、提供虚假资料的行为。</w:t>
      </w:r>
    </w:p>
    <w:p>
      <w:pPr>
        <w:widowControl w:val="0"/>
        <w:ind w:firstLine="420" w:firstLineChars="200"/>
        <w:jc w:val="both"/>
        <w:rPr>
          <w:rFonts w:eastAsia="宋体"/>
          <w:b/>
          <w:kern w:val="2"/>
          <w:sz w:val="21"/>
          <w:lang w:eastAsia="zh-CN"/>
        </w:rPr>
      </w:pPr>
      <w:r>
        <w:rPr>
          <w:rFonts w:eastAsia="宋体" w:hint="eastAsia"/>
          <w:b/>
          <w:kern w:val="2"/>
          <w:sz w:val="21"/>
          <w:lang w:eastAsia="zh-CN"/>
        </w:rPr>
        <w:t>二、本公司已充分知悉“与其他采购参加人串通投标”的法定情形，相关情形包括但不限于：</w:t>
      </w:r>
    </w:p>
    <w:p>
      <w:pPr>
        <w:widowControl w:val="0"/>
        <w:ind w:firstLine="420" w:firstLineChars="200"/>
        <w:jc w:val="both"/>
        <w:rPr>
          <w:rFonts w:eastAsia="宋体"/>
          <w:kern w:val="2"/>
          <w:sz w:val="21"/>
          <w:lang w:eastAsia="zh-CN"/>
        </w:rPr>
      </w:pPr>
      <w:r>
        <w:rPr>
          <w:rFonts w:eastAsia="宋体" w:hint="eastAsia"/>
          <w:kern w:val="2"/>
          <w:sz w:val="21"/>
          <w:lang w:eastAsia="zh-CN"/>
        </w:rPr>
        <w:t>（一）投标供应商之间相互约定给予未中标的供应商利益补偿。</w:t>
      </w:r>
    </w:p>
    <w:p>
      <w:pPr>
        <w:widowControl w:val="0"/>
        <w:ind w:firstLine="420" w:firstLineChars="200"/>
        <w:jc w:val="both"/>
        <w:rPr>
          <w:rFonts w:eastAsia="宋体"/>
          <w:kern w:val="2"/>
          <w:sz w:val="21"/>
          <w:lang w:eastAsia="zh-CN"/>
        </w:rPr>
      </w:pPr>
      <w:r>
        <w:rPr>
          <w:rFonts w:eastAsia="宋体" w:hint="eastAsia"/>
          <w:kern w:val="2"/>
          <w:sz w:val="21"/>
          <w:lang w:eastAsia="zh-CN"/>
        </w:rPr>
        <w:t>（二）不同投标供应商的法定代表人、主要经营负责人、项目投标授权代表人、项目负责人、主要技术人员为同一人、属同一单位或者在同一单位缴纳社会保险。</w:t>
      </w:r>
    </w:p>
    <w:p>
      <w:pPr>
        <w:widowControl w:val="0"/>
        <w:ind w:firstLine="420" w:firstLineChars="200"/>
        <w:jc w:val="both"/>
        <w:rPr>
          <w:rFonts w:eastAsia="宋体"/>
          <w:kern w:val="2"/>
          <w:sz w:val="21"/>
          <w:lang w:eastAsia="zh-CN"/>
        </w:rPr>
      </w:pPr>
      <w:r>
        <w:rPr>
          <w:rFonts w:eastAsia="宋体" w:hint="eastAsia"/>
          <w:kern w:val="2"/>
          <w:sz w:val="21"/>
          <w:lang w:eastAsia="zh-CN"/>
        </w:rPr>
        <w:t>（三）不同投标供应商的投标文件由同一单位或者同一人编制，或者由同一人分阶段参与编制的。</w:t>
      </w:r>
    </w:p>
    <w:p>
      <w:pPr>
        <w:widowControl w:val="0"/>
        <w:ind w:firstLine="420" w:firstLineChars="200"/>
        <w:jc w:val="both"/>
        <w:rPr>
          <w:rFonts w:eastAsia="宋体"/>
          <w:kern w:val="2"/>
          <w:sz w:val="21"/>
          <w:lang w:eastAsia="zh-CN"/>
        </w:rPr>
      </w:pPr>
      <w:r>
        <w:rPr>
          <w:rFonts w:eastAsia="宋体" w:hint="eastAsia"/>
          <w:kern w:val="2"/>
          <w:sz w:val="21"/>
          <w:lang w:eastAsia="zh-CN"/>
        </w:rPr>
        <w:t>（四）不同投标供应商的投标文件或部分投标文件相互混装。</w:t>
      </w:r>
    </w:p>
    <w:p>
      <w:pPr>
        <w:widowControl w:val="0"/>
        <w:ind w:firstLine="420" w:firstLineChars="200"/>
        <w:jc w:val="both"/>
        <w:rPr>
          <w:rFonts w:eastAsia="宋体"/>
          <w:kern w:val="2"/>
          <w:sz w:val="21"/>
          <w:lang w:eastAsia="zh-CN"/>
        </w:rPr>
      </w:pPr>
      <w:r>
        <w:rPr>
          <w:rFonts w:eastAsia="宋体" w:hint="eastAsia"/>
          <w:kern w:val="2"/>
          <w:sz w:val="21"/>
          <w:lang w:eastAsia="zh-CN"/>
        </w:rPr>
        <w:t>（五）不同投标供应商的投标文件内容存在非正常一致。</w:t>
      </w:r>
    </w:p>
    <w:p>
      <w:pPr>
        <w:widowControl w:val="0"/>
        <w:ind w:firstLine="420" w:firstLineChars="200"/>
        <w:jc w:val="both"/>
        <w:rPr>
          <w:rFonts w:eastAsia="宋体"/>
          <w:kern w:val="2"/>
          <w:sz w:val="21"/>
          <w:lang w:eastAsia="zh-CN"/>
        </w:rPr>
      </w:pPr>
      <w:r>
        <w:rPr>
          <w:rFonts w:eastAsia="宋体" w:hint="eastAsia"/>
          <w:kern w:val="2"/>
          <w:sz w:val="21"/>
          <w:lang w:eastAsia="zh-CN"/>
        </w:rPr>
        <w:t>（六）由同一单位工作人员为两家以上（含两家）供应商进行同一项投标活动的。</w:t>
      </w:r>
    </w:p>
    <w:p>
      <w:pPr>
        <w:widowControl w:val="0"/>
        <w:ind w:firstLine="420" w:firstLineChars="200"/>
        <w:jc w:val="both"/>
        <w:rPr>
          <w:rFonts w:eastAsia="宋体"/>
          <w:kern w:val="2"/>
          <w:sz w:val="21"/>
          <w:lang w:eastAsia="zh-CN"/>
        </w:rPr>
      </w:pPr>
      <w:r>
        <w:rPr>
          <w:rFonts w:eastAsia="宋体" w:hint="eastAsia"/>
          <w:kern w:val="2"/>
          <w:sz w:val="21"/>
          <w:lang w:eastAsia="zh-CN"/>
        </w:rPr>
        <w:t>（七）不同投标人的投标报价呈规律性差异。</w:t>
      </w:r>
    </w:p>
    <w:p>
      <w:pPr>
        <w:widowControl w:val="0"/>
        <w:ind w:firstLine="420" w:firstLineChars="200"/>
        <w:jc w:val="both"/>
        <w:rPr>
          <w:rFonts w:eastAsia="宋体"/>
          <w:kern w:val="2"/>
          <w:sz w:val="21"/>
          <w:lang w:eastAsia="zh-CN"/>
        </w:rPr>
      </w:pPr>
      <w:r>
        <w:rPr>
          <w:rFonts w:eastAsia="宋体" w:hint="eastAsia"/>
          <w:kern w:val="2"/>
          <w:sz w:val="21"/>
          <w:lang w:eastAsia="zh-CN"/>
        </w:rPr>
        <w:t>（八）不同投标人的投标保证金从同一单位或者个人的账户转出。</w:t>
      </w:r>
    </w:p>
    <w:p>
      <w:pPr>
        <w:widowControl w:val="0"/>
        <w:ind w:firstLine="420" w:firstLineChars="200"/>
        <w:jc w:val="both"/>
        <w:rPr>
          <w:rFonts w:eastAsia="宋体"/>
          <w:kern w:val="2"/>
          <w:sz w:val="21"/>
          <w:lang w:eastAsia="zh-CN"/>
        </w:rPr>
      </w:pPr>
      <w:r>
        <w:rPr>
          <w:rFonts w:eastAsia="宋体" w:hint="eastAsia"/>
          <w:kern w:val="2"/>
          <w:sz w:val="21"/>
          <w:lang w:eastAsia="zh-CN"/>
        </w:rPr>
        <w:t>（九）主管部门依照法律、法规认定的其他情形。</w:t>
      </w:r>
    </w:p>
    <w:p>
      <w:pPr>
        <w:widowControl w:val="0"/>
        <w:ind w:firstLine="420" w:firstLineChars="200"/>
        <w:jc w:val="both"/>
        <w:rPr>
          <w:rFonts w:eastAsia="宋体"/>
          <w:b/>
          <w:kern w:val="2"/>
          <w:sz w:val="21"/>
          <w:lang w:eastAsia="zh-CN"/>
        </w:rPr>
      </w:pPr>
      <w:r>
        <w:rPr>
          <w:rFonts w:eastAsia="宋体" w:hint="eastAsia"/>
          <w:b/>
          <w:kern w:val="2"/>
          <w:sz w:val="21"/>
          <w:lang w:eastAsia="zh-CN"/>
        </w:rPr>
        <w:t>三、本公司已充分知悉下列情形所对应的法律风险，并在投标前已对相关风险事项进行排查。</w:t>
      </w:r>
    </w:p>
    <w:p>
      <w:pPr>
        <w:widowControl w:val="0"/>
        <w:ind w:firstLine="420" w:firstLineChars="200"/>
        <w:jc w:val="both"/>
        <w:rPr>
          <w:rFonts w:eastAsia="宋体"/>
          <w:b/>
          <w:kern w:val="2"/>
          <w:sz w:val="21"/>
          <w:lang w:eastAsia="zh-CN"/>
        </w:rPr>
      </w:pPr>
      <w:r>
        <w:rPr>
          <w:rFonts w:eastAsia="宋体" w:hint="eastAsia"/>
          <w:kern w:val="2"/>
          <w:sz w:val="21"/>
          <w:lang w:eastAsia="zh-CN"/>
        </w:rPr>
        <w:t>（一）对于从其他主体获取的投标资料，供应商应审慎核查，确保投标资料的真实性。</w:t>
      </w:r>
      <w:r>
        <w:rPr>
          <w:rFonts w:eastAsia="宋体" w:hint="eastAsia"/>
          <w:b/>
          <w:kern w:val="2"/>
          <w:sz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ind w:firstLine="420" w:firstLineChars="200"/>
        <w:jc w:val="both"/>
        <w:rPr>
          <w:rFonts w:eastAsia="宋体"/>
          <w:kern w:val="2"/>
          <w:sz w:val="21"/>
          <w:lang w:eastAsia="zh-CN"/>
        </w:rPr>
      </w:pPr>
      <w:r>
        <w:rPr>
          <w:rFonts w:eastAsia="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ind w:firstLine="420" w:firstLineChars="200"/>
        <w:jc w:val="both"/>
        <w:rPr>
          <w:rFonts w:eastAsia="宋体"/>
          <w:kern w:val="2"/>
          <w:sz w:val="21"/>
          <w:lang w:eastAsia="zh-CN"/>
        </w:rPr>
      </w:pPr>
      <w:r>
        <w:rPr>
          <w:rFonts w:eastAsia="宋体" w:hint="eastAsia"/>
          <w:kern w:val="2"/>
          <w:sz w:val="21"/>
          <w:lang w:eastAsia="zh-CN"/>
        </w:rPr>
        <w:t>（三）对于涉及安全生产、特种作业、抢险救灾、防疫等采购项目，供应商实施提供虚假资料、串通投标等违法行为的，主管部门将依法从严处理。</w:t>
      </w:r>
    </w:p>
    <w:p>
      <w:pPr>
        <w:widowControl w:val="0"/>
        <w:ind w:firstLine="420" w:firstLineChars="200"/>
        <w:jc w:val="both"/>
        <w:rPr>
          <w:rFonts w:eastAsia="宋体"/>
          <w:kern w:val="2"/>
          <w:sz w:val="21"/>
          <w:lang w:eastAsia="zh-CN"/>
        </w:rPr>
      </w:pPr>
      <w:r>
        <w:rPr>
          <w:rFonts w:eastAsia="宋体" w:hint="eastAsia"/>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ind w:firstLine="420" w:firstLineChars="200"/>
        <w:jc w:val="both"/>
        <w:rPr>
          <w:rFonts w:eastAsia="宋体"/>
          <w:kern w:val="2"/>
          <w:sz w:val="21"/>
          <w:lang w:eastAsia="zh-CN"/>
        </w:rPr>
      </w:pPr>
      <w:r>
        <w:rPr>
          <w:rFonts w:eastAsia="宋体" w:hint="eastAsia"/>
          <w:kern w:val="2"/>
          <w:sz w:val="21"/>
          <w:lang w:eastAsia="zh-CN"/>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widowControl w:val="0"/>
        <w:ind w:firstLine="420" w:firstLineChars="200"/>
        <w:jc w:val="both"/>
        <w:rPr>
          <w:rFonts w:eastAsia="宋体"/>
          <w:kern w:val="2"/>
          <w:sz w:val="21"/>
          <w:lang w:eastAsia="zh-CN"/>
        </w:rPr>
      </w:pPr>
      <w:r>
        <w:rPr>
          <w:rFonts w:eastAsia="宋体" w:hint="eastAsia"/>
          <w:kern w:val="2"/>
          <w:sz w:val="21"/>
          <w:lang w:eastAsia="zh-CN"/>
        </w:rPr>
        <w:t>（六）单位负责人为同一人或者存在直接控股、管理关系的不同供应商，不得参加同一合同项下的采购活动。相关情形如查实，依法作投标无效处理；涉嫌串通投标等违法行为的，主管部门将依法调查处理。</w:t>
      </w:r>
    </w:p>
    <w:p>
      <w:pPr>
        <w:widowControl w:val="0"/>
        <w:ind w:firstLine="420" w:firstLineChars="200"/>
        <w:jc w:val="both"/>
        <w:rPr>
          <w:rFonts w:eastAsia="宋体"/>
          <w:b/>
          <w:kern w:val="2"/>
          <w:sz w:val="21"/>
          <w:lang w:eastAsia="zh-CN"/>
        </w:rPr>
      </w:pPr>
      <w:r>
        <w:rPr>
          <w:rFonts w:eastAsia="宋体" w:hint="eastAsia"/>
          <w:b/>
          <w:kern w:val="2"/>
          <w:sz w:val="21"/>
          <w:lang w:eastAsia="zh-CN"/>
        </w:rPr>
        <w:t>四、本公司已充分知悉政府采购违法、违规行为的法律后果。</w:t>
      </w:r>
    </w:p>
    <w:p>
      <w:pPr>
        <w:widowControl w:val="0"/>
        <w:ind w:firstLine="420" w:firstLineChars="200"/>
        <w:jc w:val="both"/>
        <w:rPr>
          <w:rFonts w:eastAsia="宋体"/>
          <w:kern w:val="2"/>
          <w:sz w:val="21"/>
          <w:lang w:eastAsia="zh-CN"/>
        </w:rPr>
      </w:pPr>
      <w:r>
        <w:rPr>
          <w:rFonts w:eastAsia="宋体" w:hint="eastAsia"/>
          <w:kern w:val="2"/>
          <w:sz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ind w:firstLine="420" w:firstLineChars="200"/>
        <w:jc w:val="both"/>
        <w:rPr>
          <w:rFonts w:eastAsia="宋体"/>
          <w:kern w:val="2"/>
          <w:sz w:val="21"/>
          <w:lang w:eastAsia="zh-CN"/>
        </w:rPr>
      </w:pPr>
      <w:r>
        <w:rPr>
          <w:rFonts w:eastAsia="宋体" w:hint="eastAsia"/>
          <w:kern w:val="2"/>
          <w:sz w:val="21"/>
          <w:lang w:eastAsia="zh-CN"/>
        </w:rPr>
        <w:t>以下文字请投标供应商抄写并确认：“本公司已仔细阅读《采购违法行为风险知悉确认书》，充分知悉违法行为的法律后果，并承诺将严谨、诚信、依法依规参与采购活动”。</w:t>
      </w:r>
    </w:p>
    <w:tbl>
      <w:tblPr>
        <w:tblStyle w:val="1"/>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bl>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负责人/投标授权代表签名：</w:t>
      </w:r>
      <w:r>
        <w:rPr>
          <w:rFonts w:ascii="宋体" w:eastAsia="宋体" w:hAnsi="宋体" w:hint="eastAsia"/>
          <w:spacing w:val="-4"/>
          <w:sz w:val="21"/>
          <w:szCs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知悉人（公章）：</w:t>
      </w:r>
      <w:r>
        <w:rPr>
          <w:rFonts w:ascii="宋体" w:eastAsia="宋体" w:hAnsi="宋体" w:hint="eastAsia"/>
          <w:spacing w:val="-4"/>
          <w:sz w:val="21"/>
          <w:szCs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 xml:space="preserve">     日期：</w:t>
      </w:r>
      <w:r>
        <w:rPr>
          <w:rFonts w:ascii="宋体" w:eastAsia="宋体" w:hAnsi="宋体" w:hint="eastAsia"/>
          <w:spacing w:val="-4"/>
          <w:sz w:val="21"/>
          <w:szCs w:val="21"/>
          <w:u w:val="single"/>
          <w:lang w:eastAsia="zh-CN"/>
        </w:rPr>
        <w:t xml:space="preserve">              </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szCs w:val="21"/>
          <w:lang w:eastAsia="zh-CN"/>
        </w:rPr>
        <w:t>注：</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szCs w:val="21"/>
          <w:lang w:eastAsia="zh-CN"/>
        </w:rPr>
        <w:t>1.</w:t>
      </w:r>
      <w:r>
        <w:rPr>
          <w:rFonts w:eastAsia="宋体" w:hint="eastAsia"/>
          <w:kern w:val="2"/>
          <w:sz w:val="21"/>
          <w:lang w:eastAsia="zh-CN"/>
        </w:rPr>
        <w:t xml:space="preserve"> </w:t>
      </w:r>
      <w:r>
        <w:rPr>
          <w:rFonts w:ascii="宋体" w:eastAsia="宋体" w:hAnsi="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20" w:firstLineChars="200"/>
        <w:jc w:val="left"/>
        <w:rPr>
          <w:rFonts w:ascii="宋体" w:eastAsia="宋体" w:hAnsi="宋体" w:hint="eastAsia"/>
          <w:color w:val="FF0000"/>
          <w:spacing w:val="-4"/>
          <w:sz w:val="21"/>
          <w:szCs w:val="21"/>
          <w:lang w:eastAsia="zh-CN"/>
        </w:rPr>
      </w:pPr>
      <w:r>
        <w:rPr>
          <w:rFonts w:ascii="宋体" w:eastAsia="宋体" w:hAnsi="宋体" w:hint="eastAsia"/>
          <w:b/>
          <w:bCs/>
          <w:color w:val="FF0000"/>
          <w:spacing w:val="-4"/>
          <w:sz w:val="21"/>
          <w:szCs w:val="21"/>
          <w:lang w:eastAsia="zh-CN"/>
        </w:rPr>
        <w:t>2.投标供应商负责人或投标授权代表签字并加盖单位公章后，扫描上传至投标文件一并提交。</w:t>
      </w:r>
    </w:p>
    <w:p>
      <w:pPr>
        <w:widowControl/>
        <w:spacing w:line="360" w:lineRule="auto"/>
        <w:jc w:val="left"/>
        <w:rPr>
          <w:rFonts w:eastAsia="宋体"/>
          <w:b/>
          <w:bCs/>
          <w:lang w:eastAsia="zh-CN"/>
        </w:rPr>
      </w:pPr>
    </w:p>
    <w:p>
      <w:pPr>
        <w:widowControl w:val="0"/>
        <w:spacing w:line="360" w:lineRule="auto"/>
        <w:jc w:val="both"/>
        <w:rPr>
          <w:rFonts w:eastAsia="宋体"/>
          <w:b/>
          <w:bCs/>
          <w:kern w:val="2"/>
          <w:lang w:eastAsia="zh-CN"/>
        </w:rPr>
      </w:pPr>
      <w:r>
        <w:rPr>
          <w:rFonts w:ascii="黑体" w:eastAsia="黑体" w:hAnsi="宋体" w:hint="eastAsia"/>
          <w:b/>
          <w:bCs/>
          <w:szCs w:val="20"/>
          <w:lang w:eastAsia="zh-CN"/>
        </w:rPr>
        <w:t>（二）投标人认为需要加以说明的其他内容（格式自定）</w:t>
      </w:r>
    </w:p>
    <w:p>
      <w:pPr>
        <w:widowControl w:val="0"/>
        <w:spacing w:line="360" w:lineRule="auto"/>
        <w:jc w:val="both"/>
        <w:rPr>
          <w:rFonts w:eastAsia="宋体"/>
          <w:kern w:val="2"/>
          <w:lang w:eastAsia="zh-CN"/>
        </w:rPr>
      </w:pPr>
    </w:p>
    <w:p>
      <w:pPr>
        <w:widowControl/>
        <w:jc w:val="left"/>
        <w:rPr>
          <w:rFonts w:ascii="宋体" w:eastAsia="宋体" w:hAnsi="宋体" w:hint="eastAsia"/>
          <w:b/>
          <w:bCs/>
          <w:szCs w:val="20"/>
          <w:lang w:eastAsia="zh-CN"/>
        </w:rPr>
      </w:pPr>
      <w:r>
        <w:rPr>
          <w:rFonts w:eastAsia="宋体"/>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第五章  合同条款及格式</w:t>
      </w:r>
    </w:p>
    <w:p>
      <w:pPr>
        <w:widowControl w:val="0"/>
        <w:jc w:val="center"/>
        <w:outlineLvl w:val="0"/>
        <w:rPr>
          <w:rFonts w:eastAsia="宋体"/>
          <w:kern w:val="2"/>
          <w:sz w:val="21"/>
          <w:lang w:eastAsia="zh-CN"/>
        </w:rPr>
      </w:pPr>
      <w:r>
        <w:rPr>
          <w:rFonts w:eastAsia="宋体" w:hint="eastAsia"/>
          <w:b/>
          <w:kern w:val="2"/>
          <w:lang w:eastAsia="zh-CN"/>
        </w:rPr>
        <w:t>（仅供参考，具体以项目需求及实际签订为准）</w:t>
      </w:r>
    </w:p>
    <w:p>
      <w:pPr>
        <w:widowControl w:val="0"/>
        <w:ind w:firstLine="412" w:firstLineChars="196"/>
        <w:jc w:val="both"/>
        <w:rPr>
          <w:rFonts w:eastAsia="宋体"/>
          <w:kern w:val="2"/>
          <w:sz w:val="21"/>
          <w:lang w:eastAsia="zh-CN"/>
        </w:rPr>
      </w:pP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甲方：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乙方：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pPr>
        <w:widowControl w:val="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根据深圳公共资源交易中心（深圳交易集团有限公司政府采购业务分公司）*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合同价款：合同总价为元，含一切税费。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3、其他合同未明示的相关工作。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1、合同签订天内完成项目实施的准备工作，包括工作大纲和细则的编制；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方的服务</w:t>
      </w:r>
      <w:r>
        <w:rPr>
          <w:rFonts w:eastAsia="宋体" w:hint="eastAsia"/>
          <w:kern w:val="2"/>
          <w:sz w:val="21"/>
          <w:lang w:eastAsia="zh-CN"/>
        </w:rPr>
        <w:t>文件</w:t>
      </w:r>
      <w:r>
        <w:rPr>
          <w:rFonts w:eastAsia="宋体"/>
          <w:kern w:val="2"/>
          <w:sz w:val="21"/>
          <w:lang w:eastAsia="zh-CN"/>
        </w:rPr>
        <w:t>及相关的资料的最后文本，包括为履行技术服务范围所编制的计划和证明资料等，都属于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1、负责与本服务项目有关的第三方的协调，提供开展服务工作的外部条件。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2、向乙方提供与本项目服务工作有关的资料。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3、负责组织有关专家对项目成果报告的评审。</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１、应按照招标文件、投标文件要求按期完成本项目服务工作。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2、负责组织项目的实施，保证进度和工作质量，并满足验收相关标准。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向甲方提交资料等各套，一套电子版文件。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、乙方在本项目服务过程中，有到现场勘察的权利。</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2.执行项目的档案整理员具备良好的沟通能力，能熟练操作计算机、办公室软件、档案管理系统软件。</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3.执行项目的档案整理员政治历史和社会关系清楚，无犯罪记录。</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4.执行项目的档案整理员应当遵守甲方相关工作纪律，接受甲方的管理。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5.如遇特殊情况需要加班或增加工作人员的，乙方需无条件进行保障。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第十三条  乙方服务工具要求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3、验收依据为招标文件、投标文件，国家和行业有关规范、规程和标准。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1.该项目以人民币结算，合同签定后，甲方收到乙方提供的等额税务发票后15日内，支付合同总价款50%的款项；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2.在合同履行满5个月后，乙方依约履行合同义务并通过甲方中期验收，甲方收到发票后15日内向乙方支付合同金额的40%；</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3.在乙方依约完成全部项目内容，乙方向甲方申请终期验收，经甲方确认验收合格，甲方收到乙方提供的等额税务发票后15日内支付剩余10%项目尾款经费。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2、乙方在实施过程中应对自身的安全生产负责，若非因甲方原因发生的各种事故甲方不承担任何责任。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spacing w:line="24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2、由于乙方原因造成成果质量低劣，不能满足要求时，应继续完善工作，其费用由乙方承担。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1、本合同与招标文件、乙方投标文件如有抵触之处，以本合同条款为准。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（1）号招标文件、答疑及补充通知；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hint="eastAsia"/>
          <w:kern w:val="2"/>
          <w:sz w:val="21"/>
          <w:szCs w:val="21"/>
          <w:lang w:eastAsia="zh-CN"/>
        </w:rPr>
      </w:pP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法定代表人：                     法定代表人： </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                     委托代理人：</w:t>
      </w:r>
    </w:p>
    <w:p>
      <w:pPr>
        <w:widowControl/>
        <w:jc w:val="left"/>
        <w:rPr>
          <w:rFonts w:ascii="宋体" w:eastAsia="宋体" w:hAnsi="宋体" w:hint="eastAsia"/>
          <w:kern w:val="2"/>
          <w:sz w:val="21"/>
          <w:szCs w:val="21"/>
          <w:lang w:eastAsia="zh-CN"/>
        </w:rPr>
      </w:pPr>
      <w:r>
        <w:rPr>
          <w:rFonts w:ascii="宋体" w:eastAsia="宋体" w:hAnsi="宋体"/>
          <w:kern w:val="2"/>
          <w:sz w:val="21"/>
          <w:szCs w:val="21"/>
          <w:lang w:eastAsia="zh-CN"/>
        </w:rPr>
        <w:br w:type="page"/>
      </w:r>
    </w:p>
    <w:p>
      <w:pPr>
        <w:keepNext/>
        <w:keepLines/>
        <w:widowControl w:val="0"/>
        <w:adjustRightInd w:val="0"/>
        <w:spacing w:before="120" w:beforeLines="50" w:after="120" w:afterLines="50" w:line="240" w:lineRule="auto"/>
        <w:ind w:left="562"/>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第二册  通用条款（公开招标）</w:t>
      </w: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63" w:name="_Hlk72399513"/>
      <w:bookmarkStart w:id="64" w:name="_Hlk72439706"/>
      <w:r>
        <w:rPr>
          <w:rFonts w:ascii="Cambria" w:eastAsia="宋体" w:hAnsi="Cambria" w:cstheme="majorBidi" w:hint="eastAsia"/>
          <w:b/>
          <w:bCs/>
          <w:kern w:val="2"/>
          <w:sz w:val="28"/>
          <w:szCs w:val="28"/>
          <w:lang w:eastAsia="zh-CN"/>
        </w:rPr>
        <w:t>总则</w:t>
      </w:r>
    </w:p>
    <w:bookmarkEnd w:id="63"/>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 通用条款说明</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1.1政府集中采购机构发出招标文件通用条款版本，列出深圳市自行采购项目进行招标采购所适用的通用条款内容。</w:t>
      </w:r>
      <w:bookmarkStart w:id="65" w:name="_Hlk72399729"/>
      <w:r>
        <w:rPr>
          <w:rFonts w:ascii="宋体" w:eastAsia="宋体" w:hAnsi="宋体" w:hint="eastAsia"/>
          <w:kern w:val="2"/>
          <w:sz w:val="21"/>
          <w:szCs w:val="21"/>
          <w:lang w:eastAsia="zh-CN"/>
        </w:rPr>
        <w:t>如有需要，政府集中采购机构可以对通用条款的内容进行补充。</w:t>
      </w:r>
      <w:bookmarkEnd w:id="65"/>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w:t>
      </w:r>
      <w:r>
        <w:rPr>
          <w:rFonts w:ascii="黑体" w:eastAsia="黑体" w:hAnsi="宋体"/>
          <w:kern w:val="2"/>
          <w:sz w:val="21"/>
          <w:szCs w:val="21"/>
          <w:lang w:eastAsia="zh-CN"/>
        </w:rPr>
        <w:t>．</w:t>
      </w:r>
      <w:r>
        <w:rPr>
          <w:rFonts w:ascii="黑体" w:eastAsia="黑体" w:hAnsi="宋体" w:hint="eastAsia"/>
          <w:kern w:val="2"/>
          <w:sz w:val="21"/>
          <w:szCs w:val="21"/>
          <w:lang w:eastAsia="zh-CN"/>
        </w:rPr>
        <w:t>招标说明</w:t>
      </w:r>
    </w:p>
    <w:p>
      <w:pPr>
        <w:widowControl w:val="0"/>
        <w:ind w:firstLine="420" w:firstLineChars="200"/>
        <w:jc w:val="both"/>
        <w:rPr>
          <w:rFonts w:ascii="宋体" w:eastAsia="宋体" w:hAnsi="宋体" w:hint="eastAsia"/>
          <w:b/>
          <w:bCs/>
          <w:color w:val="FF0000"/>
          <w:kern w:val="2"/>
          <w:sz w:val="21"/>
          <w:szCs w:val="21"/>
          <w:lang w:eastAsia="zh-CN"/>
        </w:rPr>
      </w:pPr>
      <w:r>
        <w:rPr>
          <w:rFonts w:ascii="宋体" w:eastAsia="宋体" w:hAnsi="宋体"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3．定义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招标</w:t>
      </w:r>
      <w:r>
        <w:rPr>
          <w:rFonts w:ascii="宋体" w:eastAsia="宋体" w:hAnsi="宋体"/>
          <w:kern w:val="2"/>
          <w:sz w:val="21"/>
          <w:szCs w:val="21"/>
          <w:lang w:eastAsia="zh-CN"/>
        </w:rPr>
        <w:t>文件中下列术语应解释为：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w:t>
      </w:r>
      <w:r>
        <w:rPr>
          <w:rFonts w:ascii="宋体" w:eastAsia="宋体" w:hAnsi="宋体" w:hint="eastAsia"/>
          <w:b/>
          <w:bCs/>
          <w:color w:val="FF0000"/>
          <w:kern w:val="2"/>
          <w:sz w:val="21"/>
          <w:szCs w:val="21"/>
          <w:lang w:eastAsia="zh-CN"/>
        </w:rPr>
        <w:t>自行采购</w:t>
      </w:r>
      <w:r>
        <w:rPr>
          <w:rFonts w:ascii="宋体" w:eastAsia="宋体" w:hAnsi="宋体" w:hint="eastAsia"/>
          <w:kern w:val="2"/>
          <w:sz w:val="21"/>
          <w:szCs w:val="21"/>
          <w:lang w:eastAsia="zh-CN"/>
        </w:rPr>
        <w:t>的国家机关、事业单位、团体组织；</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 “政府集中采购机构”</w:t>
      </w:r>
      <w:r>
        <w:rPr>
          <w:rFonts w:ascii="Arial" w:eastAsia="宋体" w:hAnsi="Arial" w:cs="Arial" w:hint="eastAsia"/>
          <w:kern w:val="2"/>
          <w:sz w:val="21"/>
          <w:szCs w:val="21"/>
          <w:shd w:val="clear" w:color="auto" w:fill="FFFFFF"/>
          <w:lang w:eastAsia="zh-CN"/>
        </w:rPr>
        <w:t>是指市政府设立的，组织实施采购项目，并对采购活动提供服务的专门机构；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3.5“日期”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3.7“电子投标文件”指利用</w:t>
      </w:r>
      <w:r>
        <w:rPr>
          <w:rFonts w:ascii="宋体" w:eastAsia="宋体" w:hAnsi="宋体" w:hint="eastAsia"/>
          <w:b/>
          <w:bCs/>
          <w:color w:val="FF0000"/>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3.8“网上投标”指通过</w:t>
      </w:r>
      <w:r>
        <w:rPr>
          <w:rFonts w:ascii="宋体" w:eastAsia="宋体" w:hAnsi="宋体" w:hint="eastAsia"/>
          <w:b/>
          <w:bCs/>
          <w:color w:val="FF0000"/>
          <w:kern w:val="2"/>
          <w:sz w:val="21"/>
          <w:szCs w:val="21"/>
          <w:lang w:eastAsia="zh-CN"/>
        </w:rPr>
        <w:t>深圳政府采购自行采购系统</w:t>
      </w:r>
      <w:r>
        <w:rPr>
          <w:rFonts w:ascii="宋体" w:eastAsia="宋体" w:hAnsi="宋体" w:hint="eastAsia"/>
          <w:kern w:val="2"/>
          <w:sz w:val="21"/>
          <w:szCs w:val="21"/>
          <w:lang w:eastAsia="zh-CN"/>
        </w:rPr>
        <w:t>网站上传电子投标文件；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 xml:space="preserve">4. </w:t>
      </w:r>
      <w:bookmarkStart w:id="66" w:name="_Hlk72398643"/>
      <w:r>
        <w:rPr>
          <w:rFonts w:ascii="黑体" w:eastAsia="黑体" w:hAnsi="宋体" w:hint="eastAsia"/>
          <w:kern w:val="2"/>
          <w:sz w:val="21"/>
          <w:szCs w:val="21"/>
          <w:lang w:eastAsia="zh-CN"/>
        </w:rPr>
        <w:t>自行采购供应商责任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5．投标人参加自行采购的条件</w:t>
      </w:r>
    </w:p>
    <w:p>
      <w:pPr>
        <w:widowControl w:val="0"/>
        <w:ind w:firstLine="420" w:firstLineChars="20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5.1投标人应在投标前到</w:t>
      </w:r>
      <w:r>
        <w:rPr>
          <w:rFonts w:ascii="宋体" w:eastAsia="宋体" w:hAnsi="宋体" w:hint="eastAsia"/>
          <w:b/>
          <w:bCs/>
          <w:kern w:val="2"/>
          <w:sz w:val="21"/>
          <w:szCs w:val="21"/>
          <w:lang w:eastAsia="zh-CN"/>
        </w:rPr>
        <w:t>深圳政府采购自行采购系统（具体在深圳交易集团有限公司政府采购业务分公司进行办理）</w:t>
      </w:r>
      <w:r>
        <w:rPr>
          <w:rFonts w:ascii="宋体" w:eastAsia="宋体" w:hAnsi="宋体"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5.2投标人资格要求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5.3联合体投标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（1）投标联合体各方参加采购活动应当具备下列条件：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1、具有独立承担民事责任的能力；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2、有良好的商业信誉和健全的财务会计制度；</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3、具有履行合同所必需的设备和专业技术能力；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4、有依法缴纳税收和社会保障资金的良好记录；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5、参加采购活动前三年内，在经营活动中没有重大违法记录；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6、法律、行政法规规定的其他条件。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（2）在投标截止前，投标联合体各方均应注册成</w:t>
      </w:r>
      <w:r>
        <w:rPr>
          <w:rFonts w:ascii="宋体" w:eastAsia="宋体" w:hAnsi="宋体" w:hint="eastAsia"/>
          <w:b/>
          <w:bCs/>
          <w:color w:val="FF0000"/>
          <w:kern w:val="2"/>
          <w:sz w:val="21"/>
          <w:szCs w:val="21"/>
          <w:lang w:eastAsia="zh-CN"/>
        </w:rPr>
        <w:t>深圳政府采购自行采购系统</w:t>
      </w:r>
      <w:r>
        <w:rPr>
          <w:rFonts w:ascii="宋体" w:eastAsia="宋体" w:hAnsi="宋体" w:hint="eastAsia"/>
          <w:kern w:val="2"/>
          <w:sz w:val="21"/>
          <w:szCs w:val="21"/>
          <w:lang w:eastAsia="zh-CN"/>
        </w:rPr>
        <w:t>供应商；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6．政策导向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6.1</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eastAsia="宋体"/>
          <w:kern w:val="2"/>
          <w:sz w:val="21"/>
          <w:szCs w:val="21"/>
          <w:shd w:val="clear" w:color="auto" w:fill="FFFFFF"/>
          <w:lang w:eastAsia="zh-CN"/>
        </w:rPr>
      </w:pPr>
      <w:r>
        <w:rPr>
          <w:rFonts w:ascii="宋体" w:eastAsia="宋体" w:hAnsi="宋体" w:hint="eastAsia"/>
          <w:kern w:val="2"/>
          <w:sz w:val="21"/>
          <w:szCs w:val="21"/>
          <w:lang w:eastAsia="zh-CN"/>
        </w:rPr>
        <w:t>6.2</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投标人</w:t>
      </w:r>
      <w:bookmarkStart w:id="67" w:name="_Hlk72152753"/>
      <w:r>
        <w:rPr>
          <w:rFonts w:ascii="宋体" w:eastAsia="宋体" w:hAnsi="宋体"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7"/>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8．投标费用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9．踏勘现场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w:t>
      </w:r>
      <w:r>
        <w:rPr>
          <w:rFonts w:ascii="宋体" w:eastAsia="宋体" w:hAnsi="宋体"/>
          <w:kern w:val="2"/>
          <w:sz w:val="21"/>
          <w:szCs w:val="21"/>
          <w:lang w:eastAsia="zh-CN"/>
        </w:rPr>
        <w:t>5</w:t>
      </w:r>
      <w:r>
        <w:rPr>
          <w:rFonts w:ascii="宋体" w:eastAsia="宋体" w:hAnsi="宋体"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0</w:t>
      </w:r>
      <w:r>
        <w:rPr>
          <w:rFonts w:ascii="黑体" w:eastAsia="黑体" w:hAnsi="宋体" w:hint="eastAsia"/>
          <w:kern w:val="2"/>
          <w:sz w:val="21"/>
          <w:szCs w:val="21"/>
          <w:lang w:eastAsia="zh-CN"/>
        </w:rPr>
        <w:t>．标前会议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10</w:t>
      </w:r>
      <w:r>
        <w:rPr>
          <w:rFonts w:ascii="宋体" w:eastAsia="宋体" w:hAnsi="宋体" w:hint="eastAsia"/>
          <w:kern w:val="2"/>
          <w:sz w:val="21"/>
          <w:szCs w:val="21"/>
          <w:lang w:eastAsia="zh-CN"/>
        </w:rPr>
        <w:t>.</w:t>
      </w:r>
      <w:r>
        <w:rPr>
          <w:rFonts w:ascii="宋体" w:eastAsia="宋体" w:hAnsi="宋体"/>
          <w:kern w:val="2"/>
          <w:sz w:val="21"/>
          <w:szCs w:val="21"/>
          <w:lang w:eastAsia="zh-CN"/>
        </w:rPr>
        <w:t>2</w:t>
      </w:r>
      <w:r>
        <w:rPr>
          <w:rFonts w:ascii="宋体" w:eastAsia="宋体" w:hAnsi="宋体"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3</w:t>
      </w:r>
      <w:r>
        <w:rPr>
          <w:rFonts w:ascii="宋体" w:eastAsia="宋体" w:hAnsi="宋体" w:hint="eastAsia"/>
          <w:kern w:val="2"/>
          <w:sz w:val="21"/>
          <w:szCs w:val="21"/>
          <w:lang w:eastAsia="zh-CN"/>
        </w:rPr>
        <w:t>未参与标前会议不作为否定投标人资格的理由。</w:t>
      </w:r>
    </w:p>
    <w:bookmarkEnd w:id="66"/>
    <w:p>
      <w:pPr>
        <w:widowControl w:val="0"/>
        <w:ind w:firstLine="412" w:firstLineChars="196"/>
        <w:jc w:val="both"/>
        <w:rPr>
          <w:rFonts w:ascii="宋体" w:eastAsia="宋体" w:hAnsi="宋体" w:hint="eastAsia"/>
          <w:kern w:val="2"/>
          <w:sz w:val="21"/>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1</w:t>
      </w:r>
      <w:r>
        <w:rPr>
          <w:rFonts w:ascii="黑体" w:eastAsia="黑体" w:hAnsi="宋体" w:hint="eastAsia"/>
          <w:kern w:val="2"/>
          <w:sz w:val="21"/>
          <w:szCs w:val="21"/>
          <w:lang w:eastAsia="zh-CN"/>
        </w:rPr>
        <w:t>．</w:t>
      </w:r>
      <w:bookmarkStart w:id="68" w:name="_Hlk72399819"/>
      <w:r>
        <w:rPr>
          <w:rFonts w:ascii="黑体" w:eastAsia="黑体" w:hAnsi="宋体" w:hint="eastAsia"/>
          <w:kern w:val="2"/>
          <w:sz w:val="21"/>
          <w:szCs w:val="21"/>
          <w:lang w:eastAsia="zh-CN"/>
        </w:rPr>
        <w:t>招标文件的编制与组成</w:t>
      </w:r>
    </w:p>
    <w:p>
      <w:pPr>
        <w:widowControl w:val="0"/>
        <w:snapToGrid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招标文件包括下列内容：</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第一册  专用条款</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关键信息</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招标公告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用户需求书</w:t>
      </w:r>
    </w:p>
    <w:p>
      <w:pPr>
        <w:widowControl w:val="0"/>
        <w:ind w:firstLine="420" w:firstLineChars="200"/>
        <w:jc w:val="both"/>
        <w:rPr>
          <w:rFonts w:ascii="宋体" w:eastAsia="宋体" w:hAnsi="宋体" w:hint="eastAsia"/>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投标文件格式及附件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合同条款及格式</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第二册  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总则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招标文件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投标文件的编制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第四章  投标文件的递交</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开标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第六章  评审要求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第八章  定标及公示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第十章  合同的授予与备案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第十一章  质疑处理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2</w:t>
      </w:r>
      <w:r>
        <w:rPr>
          <w:rFonts w:ascii="黑体" w:eastAsia="黑体" w:hAnsi="宋体" w:hint="eastAsia"/>
          <w:kern w:val="2"/>
          <w:sz w:val="21"/>
          <w:szCs w:val="21"/>
          <w:lang w:eastAsia="zh-CN"/>
        </w:rPr>
        <w:t>．招标文件的澄清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hint="eastAsia"/>
          <w:color w:val="FF0000"/>
          <w:kern w:val="2"/>
          <w:sz w:val="21"/>
          <w:szCs w:val="21"/>
          <w:lang w:eastAsia="zh-CN"/>
        </w:rPr>
      </w:pPr>
      <w:r>
        <w:rPr>
          <w:rFonts w:ascii="宋体" w:eastAsia="宋体" w:hAnsi="宋体" w:hint="eastAsia"/>
          <w:color w:val="FF0000"/>
          <w:kern w:val="2"/>
          <w:sz w:val="21"/>
          <w:szCs w:val="21"/>
          <w:lang w:eastAsia="zh-CN"/>
        </w:rPr>
        <w:t>1</w:t>
      </w:r>
      <w:r>
        <w:rPr>
          <w:rFonts w:ascii="宋体" w:eastAsia="宋体" w:hAnsi="宋体"/>
          <w:color w:val="FF0000"/>
          <w:kern w:val="2"/>
          <w:sz w:val="21"/>
          <w:szCs w:val="21"/>
          <w:lang w:eastAsia="zh-CN"/>
        </w:rPr>
        <w:t>2</w:t>
      </w:r>
      <w:r>
        <w:rPr>
          <w:rFonts w:ascii="宋体" w:eastAsia="宋体" w:hAnsi="宋体"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kern w:val="2"/>
          <w:sz w:val="21"/>
          <w:szCs w:val="21"/>
          <w:lang w:eastAsia="zh-CN"/>
        </w:rPr>
        <w:t>3.3</w:t>
      </w:r>
      <w:r>
        <w:rPr>
          <w:rFonts w:ascii="宋体" w:eastAsia="宋体" w:hAnsi="宋体" w:hint="eastAsia"/>
          <w:kern w:val="2"/>
          <w:sz w:val="21"/>
          <w:szCs w:val="21"/>
          <w:lang w:eastAsia="zh-CN"/>
        </w:rPr>
        <w:t>、1</w:t>
      </w:r>
      <w:r>
        <w:rPr>
          <w:rFonts w:ascii="宋体" w:eastAsia="宋体" w:hAnsi="宋体"/>
          <w:kern w:val="2"/>
          <w:sz w:val="21"/>
          <w:szCs w:val="21"/>
          <w:lang w:eastAsia="zh-CN"/>
        </w:rPr>
        <w:t>3.4</w:t>
      </w:r>
      <w:r>
        <w:rPr>
          <w:rFonts w:ascii="宋体" w:eastAsia="宋体" w:hAnsi="宋体" w:hint="eastAsia"/>
          <w:kern w:val="2"/>
          <w:sz w:val="21"/>
          <w:szCs w:val="21"/>
          <w:lang w:eastAsia="zh-CN"/>
        </w:rPr>
        <w:t>款规定执行。</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kern w:val="2"/>
          <w:sz w:val="21"/>
          <w:szCs w:val="21"/>
          <w:lang w:eastAsia="zh-CN"/>
        </w:rPr>
        <w:t>1</w:t>
      </w:r>
      <w:r>
        <w:rPr>
          <w:rFonts w:ascii="黑体" w:eastAsia="黑体" w:hAnsi="宋体" w:hint="eastAsia"/>
          <w:kern w:val="2"/>
          <w:sz w:val="21"/>
          <w:szCs w:val="21"/>
          <w:lang w:eastAsia="zh-CN"/>
        </w:rPr>
        <w:t>3．招标文件的修改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8"/>
    </w:p>
    <w:p>
      <w:pPr>
        <w:widowControl w:val="0"/>
        <w:jc w:val="both"/>
        <w:rPr>
          <w:rFonts w:ascii="宋体" w:eastAsia="宋体" w:hAnsi="宋体" w:hint="eastAsia"/>
          <w:kern w:val="2"/>
          <w:sz w:val="21"/>
          <w:szCs w:val="21"/>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14．</w:t>
      </w:r>
      <w:bookmarkStart w:id="69" w:name="_Hlk72400236"/>
      <w:r>
        <w:rPr>
          <w:rFonts w:ascii="黑体" w:eastAsia="黑体" w:hAnsi="宋体" w:hint="eastAsia"/>
          <w:kern w:val="2"/>
          <w:sz w:val="21"/>
          <w:szCs w:val="21"/>
          <w:lang w:eastAsia="zh-CN"/>
        </w:rPr>
        <w:t>投标文件的语言及度量单位</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14.2 除技术规范另有规定外，投标文件使用的度量单位，均采用中华人民共和国法定计量单位。</w:t>
      </w:r>
    </w:p>
    <w:bookmarkEnd w:id="69"/>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15．</w:t>
      </w:r>
      <w:bookmarkStart w:id="70" w:name="_Hlk72401567"/>
      <w:r>
        <w:rPr>
          <w:rFonts w:ascii="黑体" w:eastAsia="黑体" w:hAnsi="宋体" w:hint="eastAsia"/>
          <w:kern w:val="2"/>
          <w:sz w:val="21"/>
          <w:szCs w:val="21"/>
          <w:lang w:eastAsia="zh-CN"/>
        </w:rPr>
        <w:t>投标文件的组成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具体内容在招标文件专用条款中进行规定。</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kern w:val="2"/>
          <w:sz w:val="21"/>
          <w:szCs w:val="21"/>
          <w:lang w:eastAsia="zh-CN"/>
        </w:rPr>
        <w:t>16．投标文件格式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投标文件包括本通用条款第</w:t>
      </w:r>
      <w:r>
        <w:rPr>
          <w:rFonts w:ascii="宋体" w:eastAsia="宋体" w:hAnsi="宋体"/>
          <w:kern w:val="2"/>
          <w:sz w:val="21"/>
          <w:szCs w:val="21"/>
          <w:lang w:eastAsia="zh-CN"/>
        </w:rPr>
        <w:t>15条中规定的内容。如</w:t>
      </w:r>
      <w:r>
        <w:rPr>
          <w:rFonts w:ascii="宋体" w:eastAsia="宋体" w:hAnsi="宋体" w:hint="eastAsia"/>
          <w:kern w:val="2"/>
          <w:sz w:val="21"/>
          <w:szCs w:val="21"/>
          <w:lang w:eastAsia="zh-CN"/>
        </w:rPr>
        <w:t>招标</w:t>
      </w:r>
      <w:r>
        <w:rPr>
          <w:rFonts w:ascii="宋体" w:eastAsia="宋体" w:hAnsi="宋体"/>
          <w:kern w:val="2"/>
          <w:sz w:val="21"/>
          <w:szCs w:val="21"/>
          <w:lang w:eastAsia="zh-CN"/>
        </w:rPr>
        <w:t>文件提供了投标文件格式，则</w:t>
      </w:r>
      <w:r>
        <w:rPr>
          <w:rFonts w:ascii="宋体" w:eastAsia="宋体" w:hAnsi="宋体" w:hint="eastAsia"/>
          <w:b/>
          <w:bCs/>
          <w:kern w:val="2"/>
          <w:sz w:val="21"/>
          <w:szCs w:val="21"/>
          <w:lang w:eastAsia="zh-CN"/>
        </w:rPr>
        <w:t>投标人提交的投标文件应毫无例外地使用招标文件所提供的相应格式</w:t>
      </w:r>
      <w:r>
        <w:rPr>
          <w:rFonts w:ascii="宋体" w:eastAsia="宋体" w:hAnsi="宋体" w:hint="eastAsia"/>
          <w:kern w:val="2"/>
          <w:sz w:val="21"/>
          <w:szCs w:val="21"/>
          <w:lang w:eastAsia="zh-CN"/>
        </w:rPr>
        <w:t>（表格均可按同样格式扩展）。</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17．投标货币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本项目的投标报价应以人民币计。</w:t>
      </w:r>
    </w:p>
    <w:bookmarkEnd w:id="70"/>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18．</w:t>
      </w:r>
      <w:bookmarkStart w:id="71" w:name="_Hlk72401735"/>
      <w:r>
        <w:rPr>
          <w:rFonts w:ascii="黑体" w:eastAsia="黑体" w:hAnsi="宋体"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 xml:space="preserve">.2 </w:t>
      </w:r>
      <w:r>
        <w:rPr>
          <w:rFonts w:ascii="宋体" w:eastAsia="宋体" w:hAnsi="宋体"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18.2.1主要技术指标和性能的详细说明。</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2</w:t>
      </w:r>
      <w:r>
        <w:rPr>
          <w:rFonts w:ascii="宋体" w:eastAsia="宋体" w:hAnsi="宋体"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3</w:t>
      </w:r>
      <w:r>
        <w:rPr>
          <w:rFonts w:ascii="宋体" w:eastAsia="宋体" w:hAnsi="宋体"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hint="eastAsia"/>
          <w:kern w:val="2"/>
          <w:sz w:val="21"/>
          <w:szCs w:val="21"/>
          <w:lang w:eastAsia="zh-CN"/>
        </w:rPr>
        <w:t>清晰度要求能够使用电脑阅读、识别和判断</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hint="eastAsia"/>
          <w:kern w:val="2"/>
          <w:sz w:val="21"/>
          <w:szCs w:val="21"/>
          <w:lang w:eastAsia="zh-CN"/>
        </w:rPr>
        <w:t>满足要求</w:t>
      </w:r>
      <w:r>
        <w:rPr>
          <w:rFonts w:ascii="宋体" w:eastAsia="宋体" w:hAnsi="宋体" w:hint="eastAsia"/>
          <w:kern w:val="2"/>
          <w:sz w:val="21"/>
          <w:szCs w:val="21"/>
          <w:lang w:eastAsia="zh-CN"/>
        </w:rPr>
        <w:t>，由评审委员会来评判。</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18.5除非另有规定或说明，投标人对同一项目投标时，不得同时提供两套或两套以上的投标方案。</w:t>
      </w:r>
    </w:p>
    <w:bookmarkEnd w:id="71"/>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19．</w:t>
      </w:r>
      <w:bookmarkStart w:id="72" w:name="_Hlk72402034"/>
      <w:r>
        <w:rPr>
          <w:rFonts w:ascii="黑体" w:eastAsia="黑体" w:hAnsi="宋体" w:hint="eastAsia"/>
          <w:kern w:val="2"/>
          <w:sz w:val="21"/>
          <w:szCs w:val="21"/>
          <w:lang w:eastAsia="zh-CN"/>
        </w:rPr>
        <w:t>投标文件其他证明文件的要求</w:t>
      </w:r>
    </w:p>
    <w:p>
      <w:pPr>
        <w:widowControl w:val="0"/>
        <w:ind w:firstLine="420" w:firstLineChars="200"/>
        <w:jc w:val="both"/>
        <w:rPr>
          <w:rFonts w:ascii="宋体" w:eastAsia="宋体" w:hAnsi="宋体" w:hint="eastAsia"/>
          <w:color w:val="FF0000"/>
          <w:kern w:val="2"/>
          <w:sz w:val="21"/>
          <w:szCs w:val="21"/>
          <w:lang w:eastAsia="zh-CN"/>
        </w:rPr>
      </w:pPr>
      <w:r>
        <w:rPr>
          <w:rFonts w:ascii="宋体" w:eastAsia="宋体" w:hAnsi="宋体"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3" w:name="_Hlk71407299"/>
    </w:p>
    <w:bookmarkEnd w:id="73"/>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20．投标有效期</w:t>
      </w:r>
    </w:p>
    <w:bookmarkEnd w:id="72"/>
    <w:p>
      <w:pPr>
        <w:widowControl w:val="0"/>
        <w:ind w:firstLine="420" w:firstLineChars="200"/>
        <w:jc w:val="both"/>
        <w:rPr>
          <w:rFonts w:ascii="宋体" w:eastAsia="宋体" w:hAnsi="宋体" w:hint="eastAsia"/>
          <w:kern w:val="2"/>
          <w:sz w:val="21"/>
          <w:szCs w:val="21"/>
          <w:lang w:eastAsia="zh-CN"/>
        </w:rPr>
      </w:pPr>
      <w:bookmarkStart w:id="74" w:name="_Hlk72402214"/>
      <w:r>
        <w:rPr>
          <w:rFonts w:ascii="宋体" w:eastAsia="宋体" w:hAnsi="宋体"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hint="eastAsia"/>
          <w:kern w:val="2"/>
          <w:sz w:val="21"/>
          <w:szCs w:val="21"/>
          <w:lang w:eastAsia="zh-CN"/>
        </w:rPr>
        <w:t>在此期限内，所有投标文件均保持有效。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20</w:t>
      </w:r>
      <w:r>
        <w:rPr>
          <w:rFonts w:ascii="宋体" w:eastAsia="宋体" w:hAnsi="宋体"/>
          <w:kern w:val="2"/>
          <w:sz w:val="21"/>
          <w:szCs w:val="21"/>
          <w:lang w:eastAsia="zh-CN"/>
        </w:rPr>
        <w:t>.3</w:t>
      </w:r>
      <w:r>
        <w:rPr>
          <w:rFonts w:ascii="宋体" w:eastAsia="宋体" w:hAnsi="宋体" w:hint="eastAsia"/>
          <w:kern w:val="2"/>
          <w:sz w:val="21"/>
          <w:szCs w:val="21"/>
          <w:lang w:eastAsia="zh-CN"/>
        </w:rPr>
        <w:t xml:space="preserve"> 中标供应商的投标文件有效期，截止于完成本招标文件规定的全部项目内容，并通过竣工验收及保修期结束。</w:t>
      </w:r>
    </w:p>
    <w:bookmarkEnd w:id="74"/>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21．</w:t>
      </w:r>
      <w:bookmarkStart w:id="75" w:name="_Hlk72402325"/>
      <w:r>
        <w:rPr>
          <w:rFonts w:ascii="黑体" w:eastAsia="黑体" w:hAnsi="宋体" w:hint="eastAsia"/>
          <w:kern w:val="2"/>
          <w:sz w:val="21"/>
          <w:szCs w:val="21"/>
          <w:lang w:eastAsia="zh-CN"/>
        </w:rPr>
        <w:t xml:space="preserve">关于投标保证金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22．投标人的替代方案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75"/>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23．</w:t>
      </w:r>
      <w:bookmarkStart w:id="76" w:name="_Hlk72402860"/>
      <w:r>
        <w:rPr>
          <w:rFonts w:ascii="黑体" w:eastAsia="黑体" w:hAnsi="宋体"/>
          <w:kern w:val="2"/>
          <w:sz w:val="21"/>
          <w:szCs w:val="21"/>
          <w:lang w:eastAsia="zh-CN"/>
        </w:rPr>
        <w:t>投标文件的</w:t>
      </w:r>
      <w:r>
        <w:rPr>
          <w:rFonts w:ascii="黑体" w:eastAsia="黑体" w:hAnsi="宋体" w:hint="eastAsia"/>
          <w:kern w:val="2"/>
          <w:sz w:val="21"/>
          <w:szCs w:val="21"/>
          <w:lang w:eastAsia="zh-CN"/>
        </w:rPr>
        <w:t>制作</w:t>
      </w:r>
      <w:r>
        <w:rPr>
          <w:rFonts w:ascii="黑体" w:eastAsia="黑体" w:hAnsi="宋体"/>
          <w:kern w:val="2"/>
          <w:sz w:val="21"/>
          <w:szCs w:val="21"/>
          <w:lang w:eastAsia="zh-CN"/>
        </w:rPr>
        <w:t>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23.2.5投标人在编辑投标文件时，</w:t>
      </w:r>
      <w:r>
        <w:rPr>
          <w:rFonts w:ascii="宋体" w:eastAsia="宋体" w:hAnsi="宋体" w:hint="eastAsia"/>
          <w:b/>
          <w:kern w:val="2"/>
          <w:sz w:val="21"/>
          <w:szCs w:val="21"/>
          <w:lang w:eastAsia="zh-CN"/>
        </w:rPr>
        <w:t>在投标文件目录中属于本节点内容的必须在本节点中填写，填写到其他节点或附件，</w:t>
      </w:r>
      <w:r>
        <w:rPr>
          <w:rFonts w:ascii="宋体" w:eastAsia="宋体" w:hAnsi="宋体" w:hint="eastAsia"/>
          <w:kern w:val="2"/>
          <w:sz w:val="21"/>
          <w:szCs w:val="21"/>
          <w:lang w:eastAsia="zh-CN"/>
        </w:rPr>
        <w:t>一切后果由供应商自行承担。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23.3电报、电话、传真形式的投标概不接受。</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23.4全流程线上投标的投标文件无须盖章或签字，</w:t>
      </w:r>
      <w:r>
        <w:rPr>
          <w:rFonts w:ascii="宋体" w:eastAsia="宋体" w:hAnsi="宋体" w:hint="eastAsia"/>
          <w:kern w:val="2"/>
          <w:sz w:val="21"/>
          <w:szCs w:val="21"/>
          <w:lang w:eastAsia="zh-CN"/>
        </w:rPr>
        <w:t>专用条款另有要求的除外。</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b/>
          <w:kern w:val="2"/>
          <w:sz w:val="21"/>
          <w:szCs w:val="21"/>
          <w:lang w:eastAsia="zh-CN"/>
        </w:rPr>
        <w:t>23.5</w:t>
      </w:r>
      <w:r>
        <w:rPr>
          <w:rFonts w:ascii="宋体" w:eastAsia="宋体" w:hAnsi="宋体" w:hint="eastAsia"/>
          <w:kern w:val="2"/>
          <w:sz w:val="21"/>
          <w:szCs w:val="21"/>
          <w:lang w:eastAsia="zh-CN"/>
        </w:rPr>
        <w:t xml:space="preserve"> 各类资格（资质）文件提供扫描件，专用条款另有要求的除外。</w:t>
      </w:r>
      <w:bookmarkEnd w:id="76"/>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hint="eastAsia"/>
          <w:kern w:val="2"/>
          <w:sz w:val="21"/>
          <w:szCs w:val="21"/>
          <w:lang w:eastAsia="zh-CN"/>
        </w:rPr>
      </w:pPr>
      <w:bookmarkStart w:id="77" w:name="_Hlk72405459"/>
      <w:r>
        <w:rPr>
          <w:rFonts w:ascii="黑体" w:eastAsia="黑体" w:hAnsi="宋体" w:hint="eastAsia"/>
          <w:kern w:val="2"/>
          <w:sz w:val="21"/>
          <w:szCs w:val="21"/>
          <w:lang w:eastAsia="zh-CN"/>
        </w:rPr>
        <w:t>24．投标文件的保密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24.2若采购项目出现延期情况：</w:t>
      </w:r>
    </w:p>
    <w:p>
      <w:pPr>
        <w:widowControl w:val="0"/>
        <w:ind w:firstLine="420" w:firstLineChars="200"/>
        <w:jc w:val="both"/>
        <w:rPr>
          <w:rFonts w:ascii="黑体" w:eastAsia="黑体" w:hAnsi="宋体" w:hint="eastAsia"/>
          <w:b/>
          <w:kern w:val="2"/>
          <w:sz w:val="21"/>
          <w:szCs w:val="21"/>
          <w:lang w:eastAsia="zh-CN"/>
        </w:rPr>
      </w:pPr>
      <w:r>
        <w:rPr>
          <w:rFonts w:ascii="宋体" w:eastAsia="宋体" w:hAnsi="宋体"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25．上传投标文件及投标截止日期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1实行网上投标，</w:t>
      </w:r>
      <w:r>
        <w:rPr>
          <w:rFonts w:ascii="宋体" w:eastAsia="宋体" w:hAnsi="宋体"/>
          <w:kern w:val="2"/>
          <w:sz w:val="21"/>
          <w:szCs w:val="21"/>
          <w:lang w:eastAsia="zh-CN"/>
        </w:rPr>
        <w:t>投标人必须</w:t>
      </w:r>
      <w:r>
        <w:rPr>
          <w:rFonts w:ascii="宋体" w:eastAsia="宋体" w:hAnsi="宋体" w:hint="eastAsia"/>
          <w:kern w:val="2"/>
          <w:sz w:val="21"/>
          <w:szCs w:val="21"/>
          <w:lang w:eastAsia="zh-CN"/>
        </w:rPr>
        <w:t>在招标</w:t>
      </w:r>
      <w:r>
        <w:rPr>
          <w:rFonts w:ascii="宋体" w:eastAsia="宋体" w:hAnsi="宋体"/>
          <w:kern w:val="2"/>
          <w:sz w:val="21"/>
          <w:szCs w:val="21"/>
          <w:lang w:eastAsia="zh-CN"/>
        </w:rPr>
        <w:t>文件规定的投标截止时间前</w:t>
      </w:r>
      <w:r>
        <w:rPr>
          <w:rFonts w:ascii="宋体" w:eastAsia="宋体" w:hAnsi="宋体" w:hint="eastAsia"/>
          <w:kern w:val="2"/>
          <w:sz w:val="21"/>
          <w:szCs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hint="eastAsia"/>
          <w:b/>
          <w:bCs/>
          <w:kern w:val="2"/>
          <w:sz w:val="21"/>
          <w:szCs w:val="21"/>
          <w:lang w:eastAsia="zh-CN"/>
        </w:rPr>
        <w:t>深圳公共资源交易中心（深圳交易集团有限公司政府采购业务分公司）3楼服务大厅（地址：深圳市南山区沙河西路3185号南山智谷A座深圳交易集团总部大楼）</w:t>
      </w:r>
      <w:r>
        <w:rPr>
          <w:rFonts w:ascii="宋体" w:eastAsia="宋体" w:hAnsi="宋体"/>
          <w:b/>
          <w:bCs/>
          <w:kern w:val="2"/>
          <w:sz w:val="21"/>
          <w:szCs w:val="21"/>
          <w:lang w:eastAsia="zh-CN"/>
        </w:rPr>
        <w:t>协助上传</w:t>
      </w:r>
      <w:r>
        <w:rPr>
          <w:rFonts w:ascii="宋体" w:eastAsia="宋体" w:hAnsi="宋体" w:hint="eastAsia"/>
          <w:b/>
          <w:bCs/>
          <w:kern w:val="2"/>
          <w:sz w:val="21"/>
          <w:szCs w:val="21"/>
          <w:lang w:eastAsia="zh-CN"/>
        </w:rPr>
        <w:t>，</w:t>
      </w:r>
      <w:r>
        <w:rPr>
          <w:rFonts w:ascii="宋体" w:eastAsia="宋体" w:hAnsi="宋体"/>
          <w:b/>
          <w:bCs/>
          <w:kern w:val="2"/>
          <w:sz w:val="21"/>
          <w:szCs w:val="21"/>
          <w:lang w:eastAsia="zh-CN"/>
        </w:rPr>
        <w:t>但上传过程</w:t>
      </w:r>
      <w:r>
        <w:rPr>
          <w:rFonts w:ascii="宋体" w:eastAsia="宋体" w:hAnsi="宋体" w:hint="eastAsia"/>
          <w:b/>
          <w:bCs/>
          <w:kern w:val="2"/>
          <w:sz w:val="21"/>
          <w:szCs w:val="21"/>
          <w:lang w:eastAsia="zh-CN"/>
        </w:rPr>
        <w:t>中</w:t>
      </w:r>
      <w:r>
        <w:rPr>
          <w:rFonts w:ascii="宋体" w:eastAsia="宋体" w:hAnsi="宋体"/>
          <w:b/>
          <w:bCs/>
          <w:kern w:val="2"/>
          <w:sz w:val="21"/>
          <w:szCs w:val="21"/>
          <w:lang w:eastAsia="zh-CN"/>
        </w:rPr>
        <w:t>投标截止时间到达仍无法上传成功的，由投标人自行负责</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3投标截止时间以后不得上传投标文件。</w:t>
      </w:r>
    </w:p>
    <w:bookmarkEnd w:id="77"/>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26. 样品、现场演示、方案讲解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hint="eastAsia"/>
          <w:kern w:val="2"/>
          <w:sz w:val="21"/>
          <w:szCs w:val="21"/>
          <w:lang w:eastAsia="zh-CN"/>
        </w:rPr>
      </w:pPr>
      <w:bookmarkStart w:id="78" w:name="_Hlk72428346"/>
      <w:r>
        <w:rPr>
          <w:rFonts w:ascii="黑体" w:eastAsia="黑体" w:hAnsi="宋体"/>
          <w:kern w:val="2"/>
          <w:sz w:val="21"/>
          <w:szCs w:val="21"/>
          <w:lang w:eastAsia="zh-CN"/>
        </w:rPr>
        <w:t>2</w:t>
      </w:r>
      <w:r>
        <w:rPr>
          <w:rFonts w:ascii="黑体" w:eastAsia="黑体" w:hAnsi="宋体" w:hint="eastAsia"/>
          <w:kern w:val="2"/>
          <w:sz w:val="21"/>
          <w:szCs w:val="21"/>
          <w:lang w:eastAsia="zh-CN"/>
        </w:rPr>
        <w:t>7．</w:t>
      </w:r>
      <w:r>
        <w:rPr>
          <w:rFonts w:ascii="黑体" w:eastAsia="黑体" w:hAnsi="宋体"/>
          <w:kern w:val="2"/>
          <w:sz w:val="21"/>
          <w:szCs w:val="21"/>
          <w:lang w:eastAsia="zh-CN"/>
        </w:rPr>
        <w:t>投标文件的修改和撤销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1</w:t>
      </w:r>
      <w:r>
        <w:rPr>
          <w:rFonts w:ascii="宋体" w:eastAsia="宋体" w:hAnsi="宋体"/>
          <w:kern w:val="2"/>
          <w:sz w:val="21"/>
          <w:szCs w:val="21"/>
          <w:lang w:eastAsia="zh-CN"/>
        </w:rPr>
        <w:t>投标方在提交投标文件后可对其投标文件进行修改</w:t>
      </w:r>
      <w:r>
        <w:rPr>
          <w:rFonts w:ascii="宋体" w:eastAsia="宋体" w:hAnsi="宋体" w:hint="eastAsia"/>
          <w:kern w:val="2"/>
          <w:sz w:val="21"/>
          <w:szCs w:val="21"/>
          <w:lang w:eastAsia="zh-CN"/>
        </w:rPr>
        <w:t>并重新上传投标文件</w:t>
      </w:r>
      <w:r>
        <w:rPr>
          <w:rFonts w:ascii="宋体" w:eastAsia="宋体" w:hAnsi="宋体"/>
          <w:kern w:val="2"/>
          <w:sz w:val="21"/>
          <w:szCs w:val="21"/>
          <w:lang w:eastAsia="zh-CN"/>
        </w:rPr>
        <w:t>或</w:t>
      </w:r>
      <w:r>
        <w:rPr>
          <w:rFonts w:ascii="宋体" w:eastAsia="宋体" w:hAnsi="宋体" w:hint="eastAsia"/>
          <w:kern w:val="2"/>
          <w:sz w:val="21"/>
          <w:szCs w:val="21"/>
          <w:lang w:eastAsia="zh-CN"/>
        </w:rPr>
        <w:t>在网上进行</w:t>
      </w:r>
      <w:r>
        <w:rPr>
          <w:rFonts w:ascii="宋体" w:eastAsia="宋体" w:hAnsi="宋体"/>
          <w:kern w:val="2"/>
          <w:sz w:val="21"/>
          <w:szCs w:val="21"/>
          <w:lang w:eastAsia="zh-CN"/>
        </w:rPr>
        <w:t>撤销</w:t>
      </w:r>
      <w:r>
        <w:rPr>
          <w:rFonts w:ascii="宋体" w:eastAsia="宋体" w:hAnsi="宋体" w:hint="eastAsia"/>
          <w:kern w:val="2"/>
          <w:sz w:val="21"/>
          <w:szCs w:val="21"/>
          <w:lang w:eastAsia="zh-CN"/>
        </w:rPr>
        <w:t>投标的操作</w:t>
      </w:r>
      <w:r>
        <w:rPr>
          <w:rFonts w:ascii="宋体" w:eastAsia="宋体" w:hAnsi="宋体"/>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投标截止时间以后不得修改投标文件。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27.4政府集中采购机构不退还投标文件，专用条款另有规定的除外。</w:t>
      </w:r>
    </w:p>
    <w:bookmarkEnd w:id="78"/>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28．开标</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keepNext w:val="0"/>
        <w:keepLines w:val="0"/>
        <w:pageBreakBefore w:val="0"/>
        <w:widowControl w:val="0"/>
        <w:kinsoku/>
        <w:wordWrap w:val="0"/>
        <w:overflowPunct/>
        <w:topLinePunct w:val="0"/>
        <w:autoSpaceDE/>
        <w:autoSpaceDN/>
        <w:bidi w:val="0"/>
        <w:adjustRightInd/>
        <w:snapToGrid/>
        <w:ind w:firstLine="420" w:firstLineChars="200"/>
        <w:jc w:val="both"/>
        <w:textAlignment w:val="auto"/>
        <w:rPr>
          <w:rFonts w:ascii="宋体" w:eastAsia="宋体" w:hAnsi="宋体" w:hint="eastAsia"/>
          <w:kern w:val="2"/>
          <w:sz w:val="21"/>
          <w:szCs w:val="21"/>
          <w:lang w:eastAsia="zh-CN"/>
        </w:rPr>
      </w:pPr>
      <w:r>
        <w:rPr>
          <w:rFonts w:ascii="宋体" w:eastAsia="宋体" w:hAnsi="宋体"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hint="eastAsia"/>
          <w:kern w:val="2"/>
          <w:sz w:val="21"/>
          <w:szCs w:val="21"/>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29．评审委员会组成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hint="eastAsia"/>
          <w:kern w:val="2"/>
          <w:sz w:val="21"/>
          <w:szCs w:val="21"/>
          <w:lang w:eastAsia="zh-CN"/>
        </w:rPr>
      </w:pPr>
      <w:bookmarkStart w:id="79" w:name="_Hlk72436580"/>
      <w:r>
        <w:rPr>
          <w:rFonts w:ascii="宋体" w:eastAsia="宋体" w:hAnsi="宋体"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79"/>
      <w:r>
        <w:rPr>
          <w:rFonts w:ascii="宋体" w:eastAsia="宋体" w:hAnsi="宋体" w:hint="eastAsia"/>
          <w:kern w:val="2"/>
          <w:sz w:val="21"/>
          <w:szCs w:val="21"/>
          <w:lang w:eastAsia="zh-CN"/>
        </w:rPr>
        <w:t>评定</w:t>
      </w:r>
      <w:r>
        <w:rPr>
          <w:rFonts w:eastAsia="宋体" w:hint="eastAsia"/>
          <w:kern w:val="2"/>
          <w:sz w:val="21"/>
          <w:szCs w:val="21"/>
          <w:lang w:eastAsia="zh-CN"/>
        </w:rPr>
        <w:t>分离项目</w:t>
      </w:r>
      <w:r>
        <w:rPr>
          <w:rFonts w:eastAsia="宋体"/>
          <w:kern w:val="2"/>
          <w:sz w:val="21"/>
          <w:szCs w:val="21"/>
          <w:lang w:eastAsia="zh-CN"/>
        </w:rPr>
        <w:t>评审专家</w:t>
      </w:r>
      <w:r>
        <w:rPr>
          <w:rFonts w:eastAsia="宋体" w:hint="eastAsia"/>
          <w:kern w:val="2"/>
          <w:sz w:val="21"/>
          <w:szCs w:val="21"/>
          <w:lang w:eastAsia="zh-CN"/>
        </w:rPr>
        <w:t>均</w:t>
      </w:r>
      <w:r>
        <w:rPr>
          <w:rFonts w:eastAsia="宋体"/>
          <w:kern w:val="2"/>
          <w:sz w:val="21"/>
          <w:szCs w:val="21"/>
          <w:lang w:eastAsia="zh-CN"/>
        </w:rPr>
        <w:t>由</w:t>
      </w:r>
      <w:r>
        <w:rPr>
          <w:rFonts w:eastAsia="宋体" w:hint="eastAsia"/>
          <w:kern w:val="2"/>
          <w:sz w:val="21"/>
          <w:szCs w:val="21"/>
          <w:lang w:eastAsia="zh-CN"/>
        </w:rPr>
        <w:t>评审专家组成。</w:t>
      </w:r>
      <w:r>
        <w:rPr>
          <w:rFonts w:ascii="宋体" w:eastAsia="宋体" w:hAnsi="宋体"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eastAsia="宋体" w:hint="eastAsia"/>
          <w:kern w:val="2"/>
          <w:sz w:val="21"/>
          <w:szCs w:val="21"/>
          <w:lang w:eastAsia="zh-CN"/>
        </w:rPr>
        <w:t>信息公开的内容除外</w:t>
      </w:r>
      <w:r>
        <w:rPr>
          <w:rFonts w:ascii="宋体" w:eastAsia="宋体" w:hAnsi="宋体" w:hint="eastAsia"/>
          <w:bCs/>
          <w:kern w:val="2"/>
          <w:sz w:val="21"/>
          <w:szCs w:val="21"/>
          <w:lang w:eastAsia="zh-CN"/>
        </w:rPr>
        <w:t>）。</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30．向评审委员会提供的资料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30.2其他评标必须的资料。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（1）招标的目的；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（2）招标项目需求的范围和性质；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31．独立评审</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w:t>
      </w:r>
      <w:r>
        <w:rPr>
          <w:rFonts w:ascii="宋体" w:eastAsia="宋体" w:hAnsi="宋体"/>
          <w:bCs/>
          <w:kern w:val="2"/>
          <w:sz w:val="21"/>
          <w:szCs w:val="21"/>
          <w:lang w:eastAsia="zh-CN"/>
        </w:rPr>
        <w:t>1</w:t>
      </w:r>
      <w:r>
        <w:rPr>
          <w:rFonts w:ascii="宋体" w:eastAsia="宋体" w:hAnsi="宋体" w:hint="eastAsia"/>
          <w:bCs/>
          <w:kern w:val="2"/>
          <w:sz w:val="21"/>
          <w:szCs w:val="21"/>
          <w:lang w:eastAsia="zh-CN"/>
        </w:rPr>
        <w:t>.1</w:t>
      </w:r>
      <w:r>
        <w:rPr>
          <w:rFonts w:ascii="宋体" w:eastAsia="宋体" w:hAnsi="宋体" w:hint="eastAsia"/>
          <w:kern w:val="2"/>
          <w:sz w:val="21"/>
          <w:szCs w:val="21"/>
          <w:lang w:eastAsia="zh-CN"/>
        </w:rPr>
        <w:t>评审委员会</w:t>
      </w:r>
      <w:r>
        <w:rPr>
          <w:rFonts w:ascii="宋体" w:eastAsia="宋体" w:hAnsi="宋体"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hint="eastAsia"/>
          <w:bCs/>
          <w:kern w:val="2"/>
          <w:sz w:val="21"/>
          <w:szCs w:val="21"/>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32．投标文件初审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32.4投标人投标文件作无效处理的情形，具体包括但不限于以下：</w:t>
      </w:r>
    </w:p>
    <w:p>
      <w:pPr>
        <w:widowControl w:val="0"/>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32.4.1</w:t>
      </w:r>
      <w:r>
        <w:rPr>
          <w:rFonts w:eastAsia="宋体"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32.4.</w:t>
      </w:r>
      <w:r>
        <w:rPr>
          <w:rFonts w:ascii="宋体" w:eastAsia="宋体" w:hAnsi="宋体" w:hint="eastAsia"/>
          <w:kern w:val="2"/>
          <w:sz w:val="21"/>
          <w:szCs w:val="21"/>
          <w:lang w:eastAsia="zh-CN"/>
        </w:rPr>
        <w:t>2</w:t>
      </w:r>
      <w:r>
        <w:rPr>
          <w:rFonts w:eastAsia="宋体"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32.4.5</w:t>
      </w:r>
      <w:r>
        <w:rPr>
          <w:rFonts w:ascii="宋体" w:eastAsia="宋体" w:hAnsi="宋体"/>
          <w:kern w:val="2"/>
          <w:sz w:val="21"/>
          <w:szCs w:val="21"/>
          <w:lang w:eastAsia="zh-CN"/>
        </w:rPr>
        <w:t>不同投标供应商的投标文件或部分投标文件相互混装</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32.4.10主管部门依照法律、法规认定的其他情形。</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33．澄清有关问题</w:t>
      </w:r>
    </w:p>
    <w:p>
      <w:pPr>
        <w:widowControl w:val="0"/>
        <w:ind w:firstLine="420" w:firstLineChars="200"/>
        <w:jc w:val="both"/>
        <w:rPr>
          <w:rFonts w:ascii="宋体" w:eastAsia="宋体" w:hAnsi="宋体" w:hint="eastAsia"/>
          <w:kern w:val="2"/>
          <w:sz w:val="21"/>
          <w:szCs w:val="21"/>
          <w:lang w:eastAsia="zh-CN"/>
        </w:rPr>
      </w:pPr>
      <w:bookmarkStart w:id="80" w:name="_Hlk71407321"/>
      <w:r>
        <w:rPr>
          <w:rFonts w:ascii="宋体" w:eastAsia="宋体" w:hAnsi="宋体" w:hint="eastAsia"/>
          <w:kern w:val="2"/>
          <w:sz w:val="21"/>
          <w:szCs w:val="21"/>
          <w:lang w:eastAsia="zh-CN"/>
        </w:rPr>
        <w:t>3</w:t>
      </w:r>
      <w:r>
        <w:rPr>
          <w:rFonts w:ascii="宋体" w:eastAsia="宋体" w:hAnsi="宋体"/>
          <w:kern w:val="2"/>
          <w:sz w:val="21"/>
          <w:szCs w:val="21"/>
          <w:lang w:eastAsia="zh-CN"/>
        </w:rPr>
        <w:t>3.1</w:t>
      </w:r>
      <w:r>
        <w:rPr>
          <w:rFonts w:ascii="宋体" w:eastAsia="宋体" w:hAnsi="宋体" w:hint="eastAsia"/>
          <w:kern w:val="2"/>
          <w:sz w:val="21"/>
          <w:szCs w:val="21"/>
          <w:lang w:eastAsia="zh-CN"/>
        </w:rPr>
        <w:t>对招标文件中描述有歧义或前后不一致的地方（不含</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ascii="宋体" w:eastAsia="宋体" w:hAnsi="宋体" w:hint="eastAsia"/>
          <w:kern w:val="2"/>
          <w:sz w:val="21"/>
          <w:szCs w:val="21"/>
          <w:lang w:eastAsia="zh-CN"/>
        </w:rPr>
        <w:t>，评审委员会有权进行评判，但对同一条款的评判应适用于每个投标人。</w:t>
      </w:r>
      <w:bookmarkEnd w:id="80"/>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3.2</w:t>
      </w:r>
      <w:r>
        <w:rPr>
          <w:rFonts w:eastAsia="宋体"/>
          <w:kern w:val="2"/>
          <w:sz w:val="21"/>
          <w:szCs w:val="21"/>
          <w:lang w:eastAsia="zh-CN"/>
        </w:rPr>
        <w:t>评</w:t>
      </w:r>
      <w:r>
        <w:rPr>
          <w:rFonts w:eastAsia="宋体" w:hint="eastAsia"/>
          <w:kern w:val="2"/>
          <w:sz w:val="21"/>
          <w:szCs w:val="21"/>
          <w:lang w:eastAsia="zh-CN"/>
        </w:rPr>
        <w:t>审</w:t>
      </w:r>
      <w:r>
        <w:rPr>
          <w:rFonts w:eastAsia="宋体"/>
          <w:kern w:val="2"/>
          <w:sz w:val="21"/>
          <w:szCs w:val="21"/>
          <w:lang w:eastAsia="zh-CN"/>
        </w:rPr>
        <w:t>委员会发现</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工作无法进行，或者</w:t>
      </w:r>
      <w:r>
        <w:rPr>
          <w:rFonts w:eastAsia="宋体" w:hint="eastAsia"/>
          <w:kern w:val="2"/>
          <w:sz w:val="21"/>
          <w:szCs w:val="21"/>
          <w:lang w:eastAsia="zh-CN"/>
        </w:rPr>
        <w:t>招标</w:t>
      </w:r>
      <w:r>
        <w:rPr>
          <w:rFonts w:eastAsia="宋体"/>
          <w:kern w:val="2"/>
          <w:sz w:val="21"/>
          <w:szCs w:val="21"/>
          <w:lang w:eastAsia="zh-CN"/>
        </w:rPr>
        <w:t>文件内容违反国家有关强制性规定的，应当停止评</w:t>
      </w:r>
      <w:r>
        <w:rPr>
          <w:rFonts w:eastAsia="宋体" w:hint="eastAsia"/>
          <w:kern w:val="2"/>
          <w:sz w:val="21"/>
          <w:szCs w:val="21"/>
          <w:lang w:eastAsia="zh-CN"/>
        </w:rPr>
        <w:t>审</w:t>
      </w:r>
      <w:r>
        <w:rPr>
          <w:rFonts w:eastAsia="宋体"/>
          <w:kern w:val="2"/>
          <w:sz w:val="21"/>
          <w:szCs w:val="21"/>
          <w:lang w:eastAsia="zh-CN"/>
        </w:rPr>
        <w:t>工作，与</w:t>
      </w:r>
      <w:r>
        <w:rPr>
          <w:rFonts w:eastAsia="宋体" w:hint="eastAsia"/>
          <w:kern w:val="2"/>
          <w:sz w:val="21"/>
          <w:szCs w:val="21"/>
          <w:lang w:eastAsia="zh-CN"/>
        </w:rPr>
        <w:t>政府集中采购机构</w:t>
      </w:r>
      <w:r>
        <w:rPr>
          <w:rFonts w:eastAsia="宋体"/>
          <w:kern w:val="2"/>
          <w:sz w:val="21"/>
          <w:szCs w:val="21"/>
          <w:lang w:eastAsia="zh-CN"/>
        </w:rPr>
        <w:t>沟通并作书面记录。</w:t>
      </w:r>
      <w:r>
        <w:rPr>
          <w:rFonts w:eastAsia="宋体" w:hint="eastAsia"/>
          <w:kern w:val="2"/>
          <w:sz w:val="21"/>
          <w:szCs w:val="21"/>
          <w:lang w:eastAsia="zh-CN"/>
        </w:rPr>
        <w:t>经</w:t>
      </w:r>
      <w:r>
        <w:rPr>
          <w:rFonts w:eastAsia="宋体"/>
          <w:kern w:val="2"/>
          <w:sz w:val="21"/>
          <w:szCs w:val="21"/>
          <w:lang w:eastAsia="zh-CN"/>
        </w:rPr>
        <w:t>确认后，</w:t>
      </w:r>
      <w:r>
        <w:rPr>
          <w:rFonts w:eastAsia="宋体" w:hint="eastAsia"/>
          <w:kern w:val="2"/>
          <w:sz w:val="21"/>
          <w:szCs w:val="21"/>
          <w:lang w:eastAsia="zh-CN"/>
        </w:rPr>
        <w:t>项目</w:t>
      </w:r>
      <w:r>
        <w:rPr>
          <w:rFonts w:eastAsia="宋体"/>
          <w:kern w:val="2"/>
          <w:sz w:val="21"/>
          <w:szCs w:val="21"/>
          <w:lang w:eastAsia="zh-CN"/>
        </w:rPr>
        <w:t>应当修改</w:t>
      </w:r>
      <w:r>
        <w:rPr>
          <w:rFonts w:eastAsia="宋体" w:hint="eastAsia"/>
          <w:kern w:val="2"/>
          <w:sz w:val="21"/>
          <w:szCs w:val="21"/>
          <w:lang w:eastAsia="zh-CN"/>
        </w:rPr>
        <w:t>招标</w:t>
      </w:r>
      <w:r>
        <w:rPr>
          <w:rFonts w:eastAsia="宋体"/>
          <w:kern w:val="2"/>
          <w:sz w:val="21"/>
          <w:szCs w:val="21"/>
          <w:lang w:eastAsia="zh-CN"/>
        </w:rPr>
        <w:t>文件，重新组织采购活动。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33.3</w:t>
      </w:r>
      <w:r>
        <w:rPr>
          <w:rFonts w:ascii="宋体" w:eastAsia="宋体" w:hAnsi="宋体"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hint="eastAsia"/>
          <w:kern w:val="2"/>
          <w:sz w:val="21"/>
          <w:szCs w:val="21"/>
          <w:lang w:eastAsia="zh-CN"/>
        </w:rPr>
      </w:pPr>
      <w:bookmarkStart w:id="81" w:name="_Toc100052400"/>
      <w:bookmarkStart w:id="82" w:name="_Toc73521669"/>
      <w:bookmarkStart w:id="83" w:name="_Toc73518151"/>
      <w:bookmarkStart w:id="84" w:name="_Toc73517673"/>
      <w:bookmarkStart w:id="85" w:name="_Toc73521581"/>
      <w:r>
        <w:rPr>
          <w:rFonts w:ascii="黑体" w:eastAsia="黑体" w:hAnsi="宋体" w:hint="eastAsia"/>
          <w:kern w:val="2"/>
          <w:sz w:val="21"/>
          <w:szCs w:val="21"/>
          <w:lang w:eastAsia="zh-CN"/>
        </w:rPr>
        <w:t>34．错误的修正</w:t>
      </w:r>
      <w:bookmarkEnd w:id="81"/>
      <w:bookmarkEnd w:id="82"/>
      <w:bookmarkEnd w:id="83"/>
      <w:bookmarkEnd w:id="84"/>
      <w:bookmarkEnd w:id="85"/>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35．投标文件的比较与评价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36. 实地考察或资料查验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37．评审方法</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37.1.1最低价法</w:t>
      </w:r>
    </w:p>
    <w:p>
      <w:pPr>
        <w:widowControl w:val="0"/>
        <w:ind w:firstLine="420" w:firstLineChars="200"/>
        <w:jc w:val="both"/>
        <w:rPr>
          <w:rFonts w:ascii="ˎ̥" w:eastAsia="宋体" w:hAnsi="ˎ̥" w:hint="eastAsia"/>
          <w:kern w:val="2"/>
          <w:sz w:val="21"/>
          <w:szCs w:val="21"/>
          <w:lang w:eastAsia="zh-CN"/>
        </w:rPr>
      </w:pPr>
      <w:bookmarkStart w:id="86" w:name="_Hlk72438142"/>
      <w:r>
        <w:rPr>
          <w:rFonts w:ascii="ˎ̥" w:eastAsia="宋体" w:hAnsi="ˎ̥"/>
          <w:kern w:val="2"/>
          <w:sz w:val="21"/>
          <w:szCs w:val="21"/>
          <w:lang w:eastAsia="zh-CN"/>
        </w:rPr>
        <w:t>最低价法，是指</w:t>
      </w:r>
      <w:r>
        <w:rPr>
          <w:rFonts w:ascii="ˎ̥" w:eastAsia="宋体" w:hAnsi="ˎ̥" w:hint="eastAsia"/>
          <w:kern w:val="2"/>
          <w:sz w:val="21"/>
          <w:szCs w:val="21"/>
          <w:lang w:eastAsia="zh-CN"/>
        </w:rPr>
        <w:t>完全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文件实质性要求，</w:t>
      </w:r>
      <w:r>
        <w:rPr>
          <w:rFonts w:ascii="ˎ̥" w:eastAsia="宋体" w:hAnsi="ˎ̥"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37.1.2综合评分法</w:t>
      </w:r>
    </w:p>
    <w:p>
      <w:pPr>
        <w:widowControl w:val="0"/>
        <w:ind w:firstLine="420" w:firstLineChars="200"/>
        <w:jc w:val="both"/>
        <w:rPr>
          <w:rFonts w:ascii="ˎ̥" w:eastAsia="宋体" w:hAnsi="ˎ̥" w:hint="eastAsia"/>
          <w:kern w:val="2"/>
          <w:sz w:val="21"/>
          <w:szCs w:val="21"/>
          <w:lang w:eastAsia="zh-CN"/>
        </w:rPr>
      </w:pPr>
      <w:r>
        <w:rPr>
          <w:rFonts w:ascii="ˎ̥" w:eastAsia="宋体" w:hAnsi="ˎ̥"/>
          <w:kern w:val="2"/>
          <w:sz w:val="21"/>
          <w:szCs w:val="21"/>
          <w:lang w:eastAsia="zh-CN"/>
        </w:rPr>
        <w:t>综合评分法，是指</w:t>
      </w:r>
      <w:r>
        <w:rPr>
          <w:rFonts w:ascii="ˎ̥" w:eastAsia="宋体" w:hAnsi="ˎ̥" w:hint="eastAsia"/>
          <w:kern w:val="2"/>
          <w:sz w:val="21"/>
          <w:szCs w:val="21"/>
          <w:lang w:eastAsia="zh-CN"/>
        </w:rPr>
        <w:t>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w:t>
      </w:r>
      <w:r>
        <w:rPr>
          <w:rFonts w:ascii="ˎ̥" w:eastAsia="宋体" w:hAnsi="ˎ̥" w:hint="eastAsia"/>
          <w:kern w:val="2"/>
          <w:sz w:val="21"/>
          <w:szCs w:val="21"/>
          <w:lang w:eastAsia="zh-CN"/>
        </w:rPr>
        <w:t>的前提下</w:t>
      </w:r>
      <w:r>
        <w:rPr>
          <w:rFonts w:ascii="ˎ̥" w:eastAsia="宋体" w:hAnsi="ˎ̥"/>
          <w:kern w:val="2"/>
          <w:sz w:val="21"/>
          <w:szCs w:val="21"/>
          <w:lang w:eastAsia="zh-CN"/>
        </w:rPr>
        <w:t>，</w:t>
      </w:r>
      <w:r>
        <w:rPr>
          <w:rFonts w:ascii="ˎ̥" w:eastAsia="宋体" w:hAnsi="ˎ̥" w:hint="eastAsia"/>
          <w:kern w:val="2"/>
          <w:sz w:val="21"/>
          <w:szCs w:val="21"/>
          <w:lang w:eastAsia="zh-CN"/>
        </w:rPr>
        <w:t>按照招标文件中规定的各项因素进行综合评审，评审总得分排名前列的投标人，作为推荐的候选中标供应商。</w:t>
      </w:r>
      <w:bookmarkEnd w:id="86"/>
      <w:r>
        <w:rPr>
          <w:rFonts w:ascii="宋体" w:eastAsia="宋体" w:hAnsi="宋体" w:hint="eastAsia"/>
          <w:bCs/>
          <w:color w:val="FF0000"/>
          <w:kern w:val="2"/>
          <w:sz w:val="21"/>
          <w:szCs w:val="21"/>
          <w:lang w:eastAsia="zh-CN"/>
        </w:rPr>
        <w:t xml:space="preserve">  </w:t>
      </w:r>
      <w:r>
        <w:rPr>
          <w:rFonts w:ascii="宋体" w:eastAsia="宋体" w:hAnsi="宋体" w:hint="eastAsia"/>
          <w:bCs/>
          <w:kern w:val="2"/>
          <w:sz w:val="21"/>
          <w:szCs w:val="21"/>
          <w:lang w:eastAsia="zh-CN"/>
        </w:rPr>
        <w:t xml:space="preserve">                                                                                                                                                                                                                                                                                                                                                                                                                                                                                                                                                                                                                                                                                                                                                                                                                                                                                                                                                                                                                                                                                                                                                                                                                                                                                                                                                                                                                                                                                                                                                                                                                                                                                                                                                                                                                                                                                                                                                                                                                                                                                                                                                                                                                                                                                                                                                                                                                                                                                                                                                                                                                                                                                                                                                                                                                                                                                                                                                                                                                           </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37.3重新评审的情形</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38．定标方法</w:t>
      </w:r>
    </w:p>
    <w:p>
      <w:pPr>
        <w:widowControl w:val="0"/>
        <w:ind w:firstLine="420" w:firstLineChars="200"/>
        <w:jc w:val="both"/>
        <w:rPr>
          <w:rFonts w:ascii="宋体" w:eastAsia="宋体" w:hAnsi="宋体" w:hint="eastAsia"/>
          <w:kern w:val="2"/>
          <w:sz w:val="21"/>
          <w:szCs w:val="21"/>
          <w:lang w:eastAsia="zh-CN"/>
        </w:rPr>
      </w:pPr>
      <w:bookmarkStart w:id="87" w:name="_Hlk73782795"/>
      <w:r>
        <w:rPr>
          <w:rFonts w:ascii="宋体" w:eastAsia="宋体" w:hAnsi="宋体" w:hint="eastAsia"/>
          <w:kern w:val="2"/>
          <w:sz w:val="21"/>
          <w:szCs w:val="21"/>
          <w:lang w:eastAsia="zh-CN"/>
        </w:rPr>
        <w:t>38.1非评定分离项目定标方法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1.2</w:t>
      </w:r>
      <w:r>
        <w:rPr>
          <w:rFonts w:ascii="ˎ̥" w:eastAsia="宋体" w:hAnsi="ˎ̥"/>
          <w:kern w:val="2"/>
          <w:sz w:val="21"/>
          <w:szCs w:val="21"/>
          <w:lang w:eastAsia="zh-CN"/>
        </w:rPr>
        <w:t>采用最低价法的，评</w:t>
      </w:r>
      <w:r>
        <w:rPr>
          <w:rFonts w:ascii="ˎ̥" w:eastAsia="宋体" w:hAnsi="ˎ̥" w:hint="eastAsia"/>
          <w:kern w:val="2"/>
          <w:sz w:val="21"/>
          <w:szCs w:val="21"/>
          <w:lang w:eastAsia="zh-CN"/>
        </w:rPr>
        <w:t>审</w:t>
      </w:r>
      <w:r>
        <w:rPr>
          <w:rFonts w:ascii="ˎ̥" w:eastAsia="宋体" w:hAnsi="ˎ̥"/>
          <w:kern w:val="2"/>
          <w:sz w:val="21"/>
          <w:szCs w:val="21"/>
          <w:lang w:eastAsia="zh-CN"/>
        </w:rPr>
        <w:t>结果按投标报价由低到高顺序排列。投标报价相同的并列。投标文件满足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文件全部实质性要求且投标报价最低的</w:t>
      </w:r>
      <w:r>
        <w:rPr>
          <w:rFonts w:ascii="ˎ̥" w:eastAsia="宋体" w:hAnsi="ˎ̥" w:hint="eastAsia"/>
          <w:kern w:val="2"/>
          <w:sz w:val="21"/>
          <w:szCs w:val="21"/>
          <w:lang w:eastAsia="zh-CN"/>
        </w:rPr>
        <w:t>投标人为</w:t>
      </w:r>
      <w:bookmarkStart w:id="88" w:name="_Hlk73821177"/>
      <w:r>
        <w:rPr>
          <w:rFonts w:ascii="ˎ̥" w:eastAsia="宋体" w:hAnsi="ˎ̥" w:hint="eastAsia"/>
          <w:kern w:val="2"/>
          <w:sz w:val="21"/>
          <w:szCs w:val="21"/>
          <w:lang w:eastAsia="zh-CN"/>
        </w:rPr>
        <w:t>唯一候选中标供应商</w:t>
      </w:r>
      <w:bookmarkEnd w:id="88"/>
      <w:r>
        <w:rPr>
          <w:rFonts w:ascii="ˎ̥" w:eastAsia="宋体" w:hAnsi="ˎ̥"/>
          <w:kern w:val="2"/>
          <w:sz w:val="21"/>
          <w:szCs w:val="21"/>
          <w:lang w:eastAsia="zh-CN"/>
        </w:rPr>
        <w:t>。</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1.3</w:t>
      </w:r>
      <w:r>
        <w:rPr>
          <w:rFonts w:ascii="宋体" w:eastAsia="宋体" w:hAnsi="宋体"/>
          <w:kern w:val="2"/>
          <w:sz w:val="21"/>
          <w:szCs w:val="21"/>
          <w:lang w:eastAsia="zh-CN"/>
        </w:rPr>
        <w:t>采</w:t>
      </w:r>
      <w:r>
        <w:rPr>
          <w:rFonts w:ascii="ˎ̥" w:eastAsia="宋体" w:hAnsi="ˎ̥"/>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文件全部实质性要求，且按照评审因素的量化指标评审得分最高的投标人</w:t>
      </w:r>
      <w:r>
        <w:rPr>
          <w:rFonts w:ascii="ˎ̥" w:eastAsia="宋体" w:hAnsi="ˎ̥" w:hint="eastAsia"/>
          <w:kern w:val="2"/>
          <w:sz w:val="21"/>
          <w:szCs w:val="21"/>
          <w:lang w:eastAsia="zh-CN"/>
        </w:rPr>
        <w:t>为唯一候选中标供应商</w:t>
      </w:r>
      <w:r>
        <w:rPr>
          <w:rFonts w:ascii="ˎ̥" w:eastAsia="宋体" w:hAnsi="ˎ̥"/>
          <w:kern w:val="2"/>
          <w:sz w:val="21"/>
          <w:szCs w:val="21"/>
          <w:lang w:eastAsia="zh-CN"/>
        </w:rPr>
        <w:t>。</w:t>
      </w:r>
      <w:r>
        <w:rPr>
          <w:rFonts w:ascii="ˎ̥" w:eastAsia="宋体" w:hAnsi="ˎ̥" w:hint="eastAsia"/>
          <w:kern w:val="2"/>
          <w:sz w:val="21"/>
          <w:szCs w:val="21"/>
          <w:lang w:eastAsia="zh-CN"/>
        </w:rPr>
        <w:t>出现</w:t>
      </w:r>
      <w:r>
        <w:rPr>
          <w:rFonts w:ascii="ˎ̥" w:eastAsia="宋体" w:hAnsi="ˎ̥"/>
          <w:kern w:val="2"/>
          <w:sz w:val="21"/>
          <w:szCs w:val="21"/>
          <w:lang w:eastAsia="zh-CN"/>
        </w:rPr>
        <w:t>得分且投标报价相同的并列</w:t>
      </w:r>
      <w:r>
        <w:rPr>
          <w:rFonts w:ascii="ˎ̥" w:eastAsia="宋体" w:hAnsi="ˎ̥"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38.2评定分离项目定标方法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 xml:space="preserve">38.2.2 </w:t>
      </w:r>
      <w:bookmarkStart w:id="89" w:name="_Hlk71469733"/>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项目，采用综合评分法评</w:t>
      </w:r>
      <w:r>
        <w:rPr>
          <w:rFonts w:eastAsia="宋体" w:hint="eastAsia"/>
          <w:kern w:val="2"/>
          <w:sz w:val="21"/>
          <w:szCs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szCs w:val="21"/>
          <w:lang w:eastAsia="zh-CN"/>
        </w:rPr>
        <w:t>三个合格的候选中标供应商。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38.2.3</w:t>
      </w:r>
      <w:bookmarkStart w:id="90" w:name="_Hlk71469688"/>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w:t>
      </w:r>
      <w:r>
        <w:rPr>
          <w:rFonts w:ascii="宋体" w:eastAsia="宋体" w:hAnsi="宋体" w:hint="eastAsia"/>
          <w:kern w:val="2"/>
          <w:sz w:val="21"/>
          <w:szCs w:val="21"/>
          <w:lang w:eastAsia="zh-CN"/>
        </w:rPr>
        <w:t>按照自定法确定中标供应商：自定法是指采购人组织定标委员会，由定标委员会在三家候选中标供应商中确定中标供应商。</w:t>
      </w:r>
      <w:bookmarkEnd w:id="89"/>
      <w:bookmarkEnd w:id="90"/>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政府集中采购机构</w:t>
      </w:r>
      <w:r>
        <w:rPr>
          <w:rFonts w:eastAsia="宋体"/>
          <w:kern w:val="2"/>
          <w:sz w:val="21"/>
          <w:szCs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szCs w:val="21"/>
          <w:lang w:eastAsia="zh-CN"/>
        </w:rPr>
        <w:t>采购人应当安排专人对定标过程进行书面记录，形成定标报告，作为采购文件的组成部分存档，并及时将定标结果反馈</w:t>
      </w:r>
      <w:r>
        <w:rPr>
          <w:rFonts w:eastAsia="宋体" w:hint="eastAsia"/>
          <w:kern w:val="2"/>
          <w:sz w:val="21"/>
          <w:szCs w:val="21"/>
          <w:lang w:eastAsia="zh-CN"/>
        </w:rPr>
        <w:t>政府集中采购机构。具体定标程序及相关要求以参照《</w:t>
      </w:r>
      <w:r>
        <w:rPr>
          <w:rFonts w:eastAsia="宋体"/>
          <w:kern w:val="2"/>
          <w:sz w:val="21"/>
          <w:szCs w:val="21"/>
          <w:lang w:eastAsia="zh-CN"/>
        </w:rPr>
        <w:t>深圳市财政局关于印发</w:t>
      </w:r>
      <w:r>
        <w:rPr>
          <w:rFonts w:ascii="宋体" w:eastAsia="宋体" w:hAnsi="宋体" w:hint="eastAsia"/>
          <w:kern w:val="2"/>
          <w:sz w:val="21"/>
          <w:szCs w:val="21"/>
          <w:lang w:eastAsia="zh-CN"/>
        </w:rPr>
        <w:t>〈</w:t>
      </w:r>
      <w:r>
        <w:rPr>
          <w:rFonts w:eastAsia="宋体"/>
          <w:kern w:val="2"/>
          <w:sz w:val="21"/>
          <w:szCs w:val="21"/>
          <w:lang w:eastAsia="zh-CN"/>
        </w:rPr>
        <w:t>深圳市政府采购评标定标分离管理办法</w:t>
      </w:r>
      <w:r>
        <w:rPr>
          <w:rFonts w:ascii="宋体" w:eastAsia="宋体" w:hAnsi="宋体" w:hint="eastAsia"/>
          <w:kern w:val="2"/>
          <w:sz w:val="21"/>
          <w:szCs w:val="21"/>
          <w:lang w:eastAsia="zh-CN"/>
        </w:rPr>
        <w:t>〉</w:t>
      </w:r>
      <w:r>
        <w:rPr>
          <w:rFonts w:eastAsia="宋体"/>
          <w:kern w:val="2"/>
          <w:sz w:val="21"/>
          <w:szCs w:val="21"/>
          <w:lang w:eastAsia="zh-CN"/>
        </w:rPr>
        <w:t>的通知</w:t>
      </w:r>
      <w:r>
        <w:rPr>
          <w:rFonts w:eastAsia="宋体" w:hint="eastAsia"/>
          <w:kern w:val="2"/>
          <w:sz w:val="21"/>
          <w:szCs w:val="21"/>
          <w:lang w:eastAsia="zh-CN"/>
        </w:rPr>
        <w:t>》（深财规【2</w:t>
      </w:r>
      <w:r>
        <w:rPr>
          <w:rFonts w:eastAsia="宋体"/>
          <w:kern w:val="2"/>
          <w:sz w:val="21"/>
          <w:szCs w:val="21"/>
          <w:lang w:eastAsia="zh-CN"/>
        </w:rPr>
        <w:t>020</w:t>
      </w:r>
      <w:r>
        <w:rPr>
          <w:rFonts w:eastAsia="宋体" w:hint="eastAsia"/>
          <w:kern w:val="2"/>
          <w:sz w:val="21"/>
          <w:szCs w:val="21"/>
          <w:lang w:eastAsia="zh-CN"/>
        </w:rPr>
        <w:t>】1号）执行。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38.3专用条款另有规定的，按专用条款相关要求定标。</w:t>
      </w:r>
      <w:bookmarkEnd w:id="87"/>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39．编写评审报告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40．中标（成交）公告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40.1</w:t>
      </w:r>
      <w:bookmarkStart w:id="91" w:name="_Hlk72438709"/>
      <w:r>
        <w:rPr>
          <w:rFonts w:ascii="宋体" w:eastAsia="宋体" w:hAnsi="宋体"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hint="eastAsia"/>
          <w:b/>
          <w:bCs/>
          <w:kern w:val="2"/>
          <w:sz w:val="21"/>
          <w:szCs w:val="21"/>
          <w:lang w:eastAsia="zh-CN"/>
        </w:rPr>
        <w:t>https://www.szexgrp.com/jyfw/zfcg-view.html?id=zfcg</w:t>
      </w:r>
      <w:r>
        <w:rPr>
          <w:rFonts w:ascii="宋体" w:eastAsia="宋体" w:hAnsi="宋体" w:hint="eastAsia"/>
          <w:kern w:val="2"/>
          <w:sz w:val="21"/>
          <w:szCs w:val="21"/>
          <w:lang w:eastAsia="zh-CN"/>
        </w:rPr>
        <w:t>上发布中标结果公告。</w:t>
      </w:r>
      <w:bookmarkEnd w:id="91"/>
      <w:bookmarkStart w:id="92" w:name="_Hlk72438751"/>
      <w:r>
        <w:rPr>
          <w:rFonts w:ascii="宋体" w:eastAsia="宋体" w:hAnsi="宋体" w:hint="eastAsia"/>
          <w:kern w:val="2"/>
          <w:sz w:val="21"/>
          <w:szCs w:val="21"/>
          <w:lang w:eastAsia="zh-CN"/>
        </w:rPr>
        <w:t>中标(成交)公告公示内容包含:采购人名称、项目名称、预算金额、采购方式、成交供应商名称、成交金额。供应商如对评审结果有异议，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 xml:space="preserve">提出。 </w:t>
      </w:r>
      <w:r>
        <w:rPr>
          <w:rFonts w:ascii="宋体" w:eastAsia="宋体" w:hAnsi="宋体" w:hint="eastAsia"/>
          <w:kern w:val="2"/>
          <w:sz w:val="21"/>
          <w:szCs w:val="21"/>
          <w:lang w:eastAsia="zh-CN"/>
        </w:rPr>
        <w:t xml:space="preserve"> 监督电话：0755-86500050</w:t>
      </w:r>
      <w:r>
        <w:rPr>
          <w:rFonts w:ascii="宋体" w:eastAsia="宋体" w:hAnsi="宋体"/>
          <w:kern w:val="2"/>
          <w:sz w:val="21"/>
          <w:szCs w:val="21"/>
          <w:lang w:eastAsia="zh-CN"/>
        </w:rPr>
        <w:t>。</w:t>
      </w:r>
      <w:r>
        <w:rPr>
          <w:rFonts w:ascii="宋体" w:eastAsia="宋体" w:hAnsi="宋体" w:hint="eastAsia"/>
          <w:kern w:val="2"/>
          <w:sz w:val="21"/>
          <w:szCs w:val="21"/>
          <w:lang w:eastAsia="zh-CN"/>
        </w:rPr>
        <w:t>若在公示期内未提出质疑，则视为认同该评审结果。</w:t>
      </w:r>
    </w:p>
    <w:bookmarkEnd w:id="92"/>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41．中标通知书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w:t>
      </w:r>
      <w:r>
        <w:rPr>
          <w:rFonts w:ascii="宋体" w:eastAsia="宋体" w:hAnsi="宋体" w:hint="eastAsia"/>
          <w:kern w:val="2"/>
          <w:sz w:val="21"/>
          <w:szCs w:val="21"/>
          <w:lang w:eastAsia="zh-CN"/>
        </w:rPr>
        <w:t>1</w:t>
      </w:r>
      <w:bookmarkStart w:id="93" w:name="_Hlk72438863"/>
      <w:r>
        <w:rPr>
          <w:rFonts w:ascii="宋体" w:eastAsia="宋体" w:hAnsi="宋体" w:hint="eastAsia"/>
          <w:kern w:val="2"/>
          <w:sz w:val="21"/>
          <w:szCs w:val="21"/>
          <w:lang w:eastAsia="zh-CN"/>
        </w:rPr>
        <w:t>中标公告公布以后无异常的情况下,中标供应商和采购人可自行在</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深圳政府采购自行采购系统（https://trade.szggzy.com/ggzy/center/#/login）</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上打印</w:t>
      </w:r>
      <w:r>
        <w:rPr>
          <w:rFonts w:ascii="宋体" w:eastAsia="宋体" w:hAnsi="宋体" w:hint="eastAsia"/>
          <w:b/>
          <w:kern w:val="2"/>
          <w:sz w:val="21"/>
          <w:szCs w:val="21"/>
          <w:lang w:eastAsia="zh-CN"/>
        </w:rPr>
        <w:t>《数字中标通知书》</w:t>
      </w:r>
      <w:r>
        <w:rPr>
          <w:rFonts w:ascii="宋体" w:eastAsia="宋体" w:hAnsi="宋体" w:hint="eastAsia"/>
          <w:kern w:val="2"/>
          <w:sz w:val="21"/>
          <w:szCs w:val="21"/>
          <w:lang w:eastAsia="zh-CN"/>
        </w:rPr>
        <w:t>。</w:t>
      </w:r>
      <w:bookmarkEnd w:id="93"/>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.2</w:t>
      </w:r>
      <w:r>
        <w:rPr>
          <w:rFonts w:ascii="宋体" w:eastAsia="宋体" w:hAnsi="宋体" w:hint="eastAsia"/>
          <w:kern w:val="2"/>
          <w:sz w:val="21"/>
          <w:szCs w:val="21"/>
          <w:lang w:eastAsia="zh-CN"/>
        </w:rPr>
        <w:t>中标通知书是合同的重要组成部分。</w:t>
      </w:r>
    </w:p>
    <w:p>
      <w:pPr>
        <w:widowControl w:val="0"/>
        <w:ind w:firstLine="420" w:firstLineChars="200"/>
        <w:jc w:val="both"/>
        <w:rPr>
          <w:rFonts w:ascii="宋体" w:eastAsia="宋体" w:hAnsi="宋体" w:hint="eastAsia"/>
          <w:kern w:val="2"/>
          <w:sz w:val="21"/>
          <w:szCs w:val="21"/>
          <w:lang w:eastAsia="zh-CN"/>
        </w:rPr>
      </w:pPr>
      <w:bookmarkStart w:id="94" w:name="_Hlk71407340"/>
      <w:r>
        <w:rPr>
          <w:rFonts w:ascii="宋体" w:eastAsia="宋体" w:hAnsi="宋体" w:hint="eastAsia"/>
          <w:kern w:val="2"/>
          <w:sz w:val="21"/>
          <w:szCs w:val="21"/>
          <w:lang w:eastAsia="zh-CN"/>
        </w:rPr>
        <w:t>41.3因质疑投诉或其他原因导致项目结果变更或采购终止的，政府集中采购机构有权吊销中标通知书。</w:t>
      </w:r>
    </w:p>
    <w:bookmarkEnd w:id="94"/>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42．公开招标失败的处理</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szCs w:val="21"/>
          <w:lang w:eastAsia="zh-CN"/>
        </w:rPr>
        <w:t>42.1本项目公开招标过程中若由于投标截止后</w:t>
      </w:r>
      <w:r>
        <w:rPr>
          <w:rFonts w:ascii="宋体" w:eastAsia="宋体" w:hAnsi="宋体" w:hint="eastAsia"/>
          <w:kern w:val="2"/>
          <w:sz w:val="21"/>
          <w:lang w:eastAsia="zh-CN"/>
        </w:rPr>
        <w:t>实际递交</w:t>
      </w:r>
      <w:r>
        <w:rPr>
          <w:rFonts w:ascii="宋体" w:eastAsia="宋体" w:hAnsi="宋体"/>
          <w:kern w:val="2"/>
          <w:sz w:val="21"/>
          <w:lang w:eastAsia="zh-CN"/>
        </w:rPr>
        <w:t>投标</w:t>
      </w:r>
      <w:r>
        <w:rPr>
          <w:rFonts w:ascii="宋体" w:eastAsia="宋体" w:hAnsi="宋体" w:hint="eastAsia"/>
          <w:kern w:val="2"/>
          <w:sz w:val="21"/>
          <w:lang w:eastAsia="zh-CN"/>
        </w:rPr>
        <w:t>文件的供应商数量不足、经</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评审对招标文件作实质响应的供应商不足等原因造成公开招标失败，可由</w:t>
      </w:r>
      <w:r>
        <w:rPr>
          <w:rFonts w:ascii="宋体" w:eastAsia="宋体" w:hAnsi="宋体" w:cs="宋体" w:hint="eastAsia"/>
          <w:kern w:val="2"/>
          <w:sz w:val="21"/>
          <w:lang w:eastAsia="zh-CN"/>
        </w:rPr>
        <w:t>政府集中采购机构</w:t>
      </w:r>
      <w:r>
        <w:rPr>
          <w:rFonts w:ascii="宋体" w:eastAsia="宋体" w:hAnsi="宋体" w:hint="eastAsia"/>
          <w:kern w:val="2"/>
          <w:sz w:val="21"/>
          <w:lang w:eastAsia="zh-CN"/>
        </w:rPr>
        <w:t>重新组织采购。</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42.3重新组织采购有以下两种组织形式：</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（1）由政府集中采购机构重新组织公开招标；</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hint="eastAsia"/>
          <w:kern w:val="2"/>
          <w:lang w:eastAsia="zh-CN"/>
        </w:rPr>
      </w:pPr>
      <w:r>
        <w:rPr>
          <w:rFonts w:ascii="宋体" w:eastAsia="宋体" w:hAnsi="宋体" w:hint="eastAsia"/>
          <w:kern w:val="2"/>
          <w:sz w:val="21"/>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hint="eastAsia"/>
          <w:kern w:val="2"/>
          <w:sz w:val="21"/>
          <w:szCs w:val="21"/>
          <w:lang w:eastAsia="zh-CN"/>
        </w:rPr>
      </w:pPr>
    </w:p>
    <w:p>
      <w:pPr>
        <w:widowControl w:val="0"/>
        <w:jc w:val="both"/>
        <w:rPr>
          <w:rFonts w:ascii="黑体" w:eastAsia="黑体" w:hAnsi="宋体" w:hint="eastAsia"/>
          <w:kern w:val="2"/>
          <w:lang w:eastAsia="zh-CN"/>
        </w:rPr>
      </w:pPr>
    </w:p>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95" w:name="_Hlk72439043"/>
      <w:r>
        <w:rPr>
          <w:rFonts w:ascii="Cambria" w:eastAsia="宋体" w:hAnsi="Cambria" w:cstheme="majorBidi" w:hint="eastAsia"/>
          <w:b/>
          <w:bCs/>
          <w:kern w:val="2"/>
          <w:sz w:val="28"/>
          <w:szCs w:val="28"/>
          <w:lang w:eastAsia="zh-CN"/>
        </w:rPr>
        <w:t>合同的授予与备案</w:t>
      </w:r>
      <w:bookmarkEnd w:id="95"/>
    </w:p>
    <w:p>
      <w:pPr>
        <w:widowControl w:val="0"/>
        <w:ind w:firstLine="420" w:firstLineChars="200"/>
        <w:jc w:val="both"/>
        <w:rPr>
          <w:rFonts w:ascii="黑体" w:eastAsia="黑体" w:hAnsi="宋体" w:hint="eastAsia"/>
          <w:kern w:val="2"/>
          <w:sz w:val="21"/>
          <w:szCs w:val="21"/>
          <w:lang w:eastAsia="zh-CN"/>
        </w:rPr>
      </w:pPr>
      <w:bookmarkStart w:id="96" w:name="_Toc100052408"/>
      <w:bookmarkStart w:id="97" w:name="_Toc73521674"/>
      <w:bookmarkStart w:id="98" w:name="_Toc73521586"/>
      <w:bookmarkStart w:id="99" w:name="_Toc73517679"/>
      <w:bookmarkStart w:id="100" w:name="_Toc73518157"/>
      <w:bookmarkStart w:id="101" w:name="_Hlk72439088"/>
      <w:r>
        <w:rPr>
          <w:rFonts w:ascii="黑体" w:eastAsia="黑体" w:hAnsi="宋体" w:hint="eastAsia"/>
          <w:kern w:val="2"/>
          <w:sz w:val="21"/>
          <w:szCs w:val="21"/>
          <w:lang w:eastAsia="zh-CN"/>
        </w:rPr>
        <w:t>43．合同授予标准</w:t>
      </w:r>
      <w:bookmarkEnd w:id="96"/>
      <w:bookmarkEnd w:id="97"/>
      <w:bookmarkEnd w:id="98"/>
      <w:bookmarkEnd w:id="99"/>
      <w:bookmarkEnd w:id="100"/>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hint="eastAsia"/>
          <w:kern w:val="2"/>
          <w:sz w:val="21"/>
          <w:szCs w:val="21"/>
          <w:lang w:eastAsia="zh-CN"/>
        </w:rPr>
      </w:pPr>
      <w:bookmarkStart w:id="102" w:name="_Toc73517680"/>
      <w:bookmarkStart w:id="103" w:name="_Toc73521675"/>
      <w:bookmarkStart w:id="104" w:name="_Toc73518158"/>
      <w:bookmarkStart w:id="105" w:name="_Toc73521587"/>
      <w:bookmarkStart w:id="106" w:name="_Toc100052409"/>
      <w:r>
        <w:rPr>
          <w:rFonts w:ascii="黑体" w:eastAsia="黑体" w:hAnsi="宋体" w:hint="eastAsia"/>
          <w:kern w:val="2"/>
          <w:sz w:val="21"/>
          <w:szCs w:val="21"/>
          <w:lang w:eastAsia="zh-CN"/>
        </w:rPr>
        <w:t>44．</w:t>
      </w:r>
      <w:bookmarkEnd w:id="102"/>
      <w:bookmarkEnd w:id="103"/>
      <w:bookmarkEnd w:id="104"/>
      <w:bookmarkEnd w:id="105"/>
      <w:bookmarkEnd w:id="106"/>
      <w:r>
        <w:rPr>
          <w:rFonts w:ascii="黑体" w:eastAsia="黑体" w:hAnsi="宋体" w:hint="eastAsia"/>
          <w:kern w:val="2"/>
          <w:sz w:val="21"/>
          <w:szCs w:val="21"/>
          <w:lang w:eastAsia="zh-CN"/>
        </w:rPr>
        <w:t>接受和拒绝任何或所有投标的权力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hint="eastAsia"/>
          <w:kern w:val="2"/>
          <w:sz w:val="21"/>
          <w:szCs w:val="21"/>
          <w:lang w:eastAsia="zh-CN"/>
        </w:rPr>
      </w:pPr>
      <w:bookmarkStart w:id="107" w:name="_Toc73517682"/>
      <w:bookmarkStart w:id="108" w:name="_Toc73521677"/>
      <w:bookmarkStart w:id="109" w:name="_Toc73518160"/>
      <w:bookmarkStart w:id="110" w:name="_Toc100052410"/>
      <w:bookmarkStart w:id="111" w:name="_Toc73521589"/>
      <w:r>
        <w:rPr>
          <w:rFonts w:ascii="黑体" w:eastAsia="黑体" w:hAnsi="宋体" w:hint="eastAsia"/>
          <w:kern w:val="2"/>
          <w:sz w:val="21"/>
          <w:szCs w:val="21"/>
          <w:lang w:eastAsia="zh-CN"/>
        </w:rPr>
        <w:t>45．合同的签订</w:t>
      </w:r>
      <w:bookmarkEnd w:id="107"/>
      <w:bookmarkEnd w:id="108"/>
      <w:bookmarkEnd w:id="109"/>
      <w:bookmarkEnd w:id="110"/>
      <w:bookmarkEnd w:id="111"/>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eastAsia="黑体" w:hAnsi="宋体" w:hint="eastAsia"/>
          <w:kern w:val="2"/>
          <w:sz w:val="21"/>
          <w:szCs w:val="21"/>
          <w:lang w:eastAsia="zh-CN"/>
        </w:rPr>
      </w:pPr>
      <w:bookmarkStart w:id="112" w:name="_Toc73521678"/>
      <w:bookmarkStart w:id="113" w:name="_Toc73521590"/>
      <w:bookmarkStart w:id="114" w:name="_Toc100052411"/>
      <w:bookmarkStart w:id="115" w:name="_Toc73518161"/>
      <w:bookmarkStart w:id="116" w:name="_Toc73517683"/>
      <w:r>
        <w:rPr>
          <w:rFonts w:ascii="黑体" w:eastAsia="黑体" w:hAnsi="宋体" w:hint="eastAsia"/>
          <w:kern w:val="2"/>
          <w:sz w:val="21"/>
          <w:szCs w:val="21"/>
          <w:lang w:eastAsia="zh-CN"/>
        </w:rPr>
        <w:t>46．履约担保</w:t>
      </w:r>
      <w:bookmarkEnd w:id="112"/>
      <w:bookmarkEnd w:id="113"/>
      <w:bookmarkEnd w:id="114"/>
      <w:bookmarkEnd w:id="115"/>
      <w:bookmarkEnd w:id="116"/>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szCs w:val="21"/>
          <w:lang w:eastAsia="zh-CN"/>
        </w:rPr>
        <w:t>中标</w:t>
      </w:r>
      <w:r>
        <w:rPr>
          <w:rFonts w:eastAsia="宋体" w:hint="eastAsia"/>
          <w:kern w:val="2"/>
          <w:sz w:val="21"/>
          <w:szCs w:val="21"/>
          <w:lang w:eastAsia="zh-CN"/>
        </w:rPr>
        <w:t>人</w:t>
      </w:r>
      <w:r>
        <w:rPr>
          <w:rFonts w:eastAsia="宋体"/>
          <w:kern w:val="2"/>
          <w:sz w:val="21"/>
          <w:szCs w:val="21"/>
          <w:lang w:eastAsia="zh-CN"/>
        </w:rPr>
        <w:t>提交履约</w:t>
      </w:r>
      <w:r>
        <w:rPr>
          <w:rFonts w:eastAsia="宋体" w:hint="eastAsia"/>
          <w:kern w:val="2"/>
          <w:sz w:val="21"/>
          <w:szCs w:val="21"/>
          <w:lang w:eastAsia="zh-CN"/>
        </w:rPr>
        <w:t>担保不是</w:t>
      </w:r>
      <w:r>
        <w:rPr>
          <w:rFonts w:eastAsia="宋体"/>
          <w:kern w:val="2"/>
          <w:sz w:val="21"/>
          <w:szCs w:val="21"/>
          <w:lang w:eastAsia="zh-CN"/>
        </w:rPr>
        <w:t>合同签订的</w:t>
      </w:r>
      <w:r>
        <w:rPr>
          <w:rFonts w:eastAsia="宋体" w:hint="eastAsia"/>
          <w:kern w:val="2"/>
          <w:sz w:val="21"/>
          <w:szCs w:val="21"/>
          <w:lang w:eastAsia="zh-CN"/>
        </w:rPr>
        <w:t>前提</w:t>
      </w:r>
      <w:r>
        <w:rPr>
          <w:rFonts w:eastAsia="宋体"/>
          <w:kern w:val="2"/>
          <w:sz w:val="21"/>
          <w:szCs w:val="21"/>
          <w:lang w:eastAsia="zh-CN"/>
        </w:rPr>
        <w:t>条件，不要求中标</w:t>
      </w:r>
      <w:r>
        <w:rPr>
          <w:rFonts w:eastAsia="宋体" w:hint="eastAsia"/>
          <w:kern w:val="2"/>
          <w:sz w:val="21"/>
          <w:szCs w:val="21"/>
          <w:lang w:eastAsia="zh-CN"/>
        </w:rPr>
        <w:t>人</w:t>
      </w:r>
      <w:r>
        <w:rPr>
          <w:rFonts w:eastAsia="宋体"/>
          <w:kern w:val="2"/>
          <w:sz w:val="21"/>
          <w:szCs w:val="21"/>
          <w:lang w:eastAsia="zh-CN"/>
        </w:rPr>
        <w:t>提供除法律、法规明确规定外的其他担保</w:t>
      </w:r>
      <w:r>
        <w:rPr>
          <w:rFonts w:eastAsia="宋体" w:hint="eastAsia"/>
          <w:kern w:val="2"/>
          <w:sz w:val="21"/>
          <w:szCs w:val="21"/>
          <w:lang w:eastAsia="zh-CN"/>
        </w:rPr>
        <w:t>。</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47. 合同备案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Hans"/>
        </w:rPr>
        <w:t>采购人与中标供应商自中标通知书发出之日起10个工作日内签订采购合同，</w:t>
      </w:r>
      <w:r>
        <w:rPr>
          <w:rFonts w:ascii="宋体" w:eastAsia="宋体" w:hAnsi="宋体" w:hint="eastAsia"/>
          <w:kern w:val="2"/>
          <w:sz w:val="21"/>
          <w:szCs w:val="21"/>
          <w:lang w:eastAsia="zh-CN"/>
        </w:rPr>
        <w:t>并按采购人内控制度规定提交备案。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48. 合同变更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49. 项目验收</w:t>
      </w:r>
    </w:p>
    <w:p>
      <w:pPr>
        <w:widowControl/>
        <w:ind w:firstLine="420" w:firstLineChars="20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49.1采购人应当按照招标文件和合同规定的标准和方法，及时组织验收。</w:t>
      </w:r>
      <w:r>
        <w:rPr>
          <w:rFonts w:ascii="宋体" w:eastAsia="宋体" w:hAnsi="宋体"/>
          <w:kern w:val="2"/>
          <w:sz w:val="21"/>
          <w:szCs w:val="21"/>
          <w:lang w:eastAsia="zh-CN"/>
        </w:rPr>
        <w:t xml:space="preserve"> </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50. 宣传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a.名片、宣传册、广告标语等；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b.案例介绍、推广等；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c.工作人员向其他消费群体宣传。</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51. 供应商违法责任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1.1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（1）在采购活动中应当回避而未回避的；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（3）隐瞒真实情况，提供虚假资料的；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（4）以非法手段排斥其他供应商参与竞争的；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（5）与其他采购参加人串通投标的；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（6）恶意投诉的；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（8）阻碍、抗拒主管部门监督检查的；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（9）其他违反本条例规定的行为。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 xml:space="preserve">1.2 </w:t>
      </w:r>
      <w:r>
        <w:rPr>
          <w:rFonts w:ascii="宋体" w:eastAsia="宋体" w:hAnsi="宋体"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17" w:name="_Hlk72440769"/>
      <w:r>
        <w:rPr>
          <w:rFonts w:ascii="宋体" w:eastAsia="宋体" w:hAnsi="宋体" w:hint="eastAsia"/>
          <w:kern w:val="2"/>
          <w:sz w:val="21"/>
          <w:szCs w:val="21"/>
          <w:lang w:eastAsia="zh-CN"/>
        </w:rPr>
        <w:t>政府集中采购机构或采购人不予退还其交纳的谈判保证金，情节严重的，并由主管部门</w:t>
      </w:r>
      <w:bookmarkEnd w:id="117"/>
      <w:r>
        <w:rPr>
          <w:rFonts w:ascii="宋体" w:eastAsia="宋体" w:hAnsi="宋体" w:hint="eastAsia"/>
          <w:kern w:val="2"/>
          <w:sz w:val="21"/>
          <w:szCs w:val="21"/>
          <w:lang w:eastAsia="zh-CN"/>
        </w:rPr>
        <w:t>记入供应商诚信档案，予以通报：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）投标截止后，撤销投标的；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）中标后无正当理由未在规定期限内签订合同的；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）将中标项目转让给他人、或者在投标文件中未说明且未经采购人、采购</w:t>
      </w:r>
      <w:r>
        <w:rPr>
          <w:rFonts w:ascii="宋体" w:eastAsia="宋体" w:hAnsi="宋体" w:hint="eastAsia"/>
          <w:kern w:val="2"/>
          <w:sz w:val="21"/>
          <w:szCs w:val="21"/>
          <w:lang w:eastAsia="zh-CN"/>
        </w:rPr>
        <w:t>招标</w:t>
      </w:r>
      <w:r>
        <w:rPr>
          <w:rFonts w:ascii="宋体" w:eastAsia="宋体" w:hAnsi="宋体"/>
          <w:kern w:val="2"/>
          <w:sz w:val="21"/>
          <w:szCs w:val="21"/>
          <w:lang w:eastAsia="zh-CN"/>
        </w:rPr>
        <w:t>机构同意，将中标项目分包给他人的；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p>
      <w:pPr>
        <w:widowControl w:val="0"/>
        <w:spacing w:line="360" w:lineRule="auto"/>
        <w:jc w:val="both"/>
        <w:rPr>
          <w:rFonts w:eastAsia="宋体"/>
          <w:b/>
          <w:bCs/>
          <w:kern w:val="2"/>
          <w:lang w:eastAsia="zh-CN"/>
        </w:rPr>
      </w:pPr>
    </w:p>
    <w:bookmarkEnd w:id="101"/>
    <w:p>
      <w:pPr>
        <w:keepNext/>
        <w:keepLines/>
        <w:widowControl w:val="0"/>
        <w:numPr>
          <w:ilvl w:val="0"/>
          <w:numId w:val="9"/>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52.质疑提出与答复</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52.1提出质疑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52.2</w:t>
      </w:r>
      <w:r>
        <w:rPr>
          <w:rFonts w:ascii="宋体" w:eastAsia="宋体" w:hAnsi="宋体"/>
          <w:kern w:val="2"/>
          <w:sz w:val="21"/>
          <w:szCs w:val="21"/>
          <w:lang w:eastAsia="zh-CN"/>
        </w:rPr>
        <w:t>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52.3质疑条件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52.3.1提出质疑的供应商应当是参与所质疑项目采购活动的供应商；</w:t>
      </w:r>
      <w:bookmarkStart w:id="118" w:name="_Hlk75374941"/>
      <w:r>
        <w:rPr>
          <w:rFonts w:ascii="宋体" w:eastAsia="宋体" w:hAnsi="宋体" w:hint="eastAsia"/>
          <w:kern w:val="2"/>
          <w:sz w:val="21"/>
          <w:szCs w:val="21"/>
          <w:lang w:eastAsia="zh-CN"/>
        </w:rPr>
        <w:t>以联合体形式参与的，质疑应当由组成联合体的所有成员共同提出</w:t>
      </w:r>
      <w:bookmarkEnd w:id="118"/>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52.3.3应提交书面质疑函，质疑函应当包括以下内容：</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（2）质疑项目的名称、编号；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（3）具体、明确的质疑对象、质疑事项和质疑请求；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（4）因质疑事项而受损害的权益；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（5）事实依据；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（6）必要的法律依据；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（7）提出质疑的日期。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52.4提交</w:t>
      </w:r>
      <w:r>
        <w:rPr>
          <w:rFonts w:ascii="宋体" w:eastAsia="宋体" w:hAnsi="宋体"/>
          <w:kern w:val="2"/>
          <w:sz w:val="21"/>
          <w:szCs w:val="21"/>
          <w:lang w:eastAsia="zh-CN"/>
        </w:rPr>
        <w:t>材料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52.5收文地点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地址：深圳公共资源交易中心（深圳交易集团有限公司政府采购业务分公司）27楼，质疑咨询电话：0755-</w:t>
      </w:r>
      <w:r>
        <w:rPr>
          <w:rFonts w:ascii="宋体" w:eastAsia="宋体" w:hAnsi="宋体" w:hint="eastAsia"/>
          <w:b/>
          <w:kern w:val="2"/>
          <w:sz w:val="21"/>
          <w:lang w:eastAsia="zh-CN"/>
        </w:rPr>
        <w:t>86500050</w:t>
      </w:r>
      <w:r>
        <w:rPr>
          <w:rFonts w:ascii="宋体" w:eastAsia="宋体" w:hAnsi="宋体" w:hint="eastAsia"/>
          <w:b/>
          <w:bCs/>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52.6收文办理</w:t>
      </w:r>
      <w:r>
        <w:rPr>
          <w:rFonts w:ascii="宋体" w:eastAsia="宋体" w:hAnsi="宋体"/>
          <w:kern w:val="2"/>
          <w:sz w:val="21"/>
          <w:szCs w:val="21"/>
          <w:lang w:eastAsia="zh-CN"/>
        </w:rPr>
        <w:t>程序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hint="eastAsia"/>
          <w:kern w:val="2"/>
          <w:sz w:val="21"/>
          <w:szCs w:val="21"/>
          <w:lang w:eastAsia="zh-CN"/>
        </w:rPr>
      </w:pPr>
      <w:r>
        <w:rPr>
          <w:rFonts w:ascii="宋体" w:eastAsia="宋体" w:hAnsi="宋体"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（1）质疑主体不满足要求的；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（2）供应商自身权益未受到损害的；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（3）供应商未在法定质疑期限内提出质疑的；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（5）其他不符合受理条件情形的。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52.7质疑答复时限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自收文之日起七个工作日内。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52.8争议（投诉）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53. 质疑后续处理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eastAsia="宋体"/>
          <w:kern w:val="2"/>
          <w:sz w:val="21"/>
          <w:szCs w:val="21"/>
          <w:lang w:eastAsia="zh-CN"/>
        </w:rPr>
      </w:pPr>
      <w:r>
        <w:rPr>
          <w:rFonts w:ascii="宋体" w:eastAsia="宋体" w:hAnsi="宋体"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eastAsia="宋体"/>
          <w:kern w:val="2"/>
          <w:sz w:val="21"/>
          <w:lang w:eastAsia="zh-CN"/>
        </w:rPr>
      </w:pPr>
      <w:r>
        <w:rPr>
          <w:rFonts w:eastAsia="宋体"/>
          <w:kern w:val="2"/>
          <w:sz w:val="21"/>
          <w:lang w:eastAsia="zh-CN"/>
        </w:rPr>
        <w:t>---- END ----</w:t>
      </w:r>
      <w:bookmarkEnd w:id="64"/>
    </w:p>
    <w:p>
      <w:pPr>
        <w:widowControl w:val="0"/>
        <w:jc w:val="both"/>
        <w:rPr>
          <w:rFonts w:ascii="宋体" w:eastAsia="宋体" w:hAnsi="宋体" w:hint="eastAsia"/>
          <w:kern w:val="2"/>
          <w:sz w:val="21"/>
          <w:szCs w:val="21"/>
          <w:lang w:eastAsia="zh-CN"/>
        </w:rPr>
        <w:sectPr>
          <w:headerReference w:type="default" r:id="rId4"/>
          <w:footerReference w:type="even" r:id="rId5"/>
          <w:footerReference w:type="default" r:id="rId6"/>
          <w:headerReference w:type="first" r:id="rId7"/>
          <w:pgSz w:w="11907" w:h="16840"/>
          <w:pgMar w:top="1440" w:right="1797" w:bottom="1440" w:left="1797" w:header="851" w:footer="992" w:gutter="0"/>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仿宋" w:eastAsia="仿宋" w:hAnsi="仿宋" w:cs="仿宋"/>
          <w:b/>
          <w:bCs/>
          <w:color w:val="000000"/>
          <w:sz w:val="48"/>
          <w:szCs w:val="48"/>
          <w:lang w:val="en" w:eastAsia="en"/>
        </w:rPr>
      </w:pPr>
      <w:r>
        <w:rPr>
          <w:rFonts w:ascii="仿宋" w:eastAsia="仿宋" w:hAnsi="仿宋" w:cs="仿宋"/>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仿宋" w:eastAsia="仿宋" w:hAnsi="仿宋" w:cs="仿宋"/>
          <w:b/>
          <w:bCs/>
          <w:color w:val="333333"/>
          <w:sz w:val="28"/>
          <w:szCs w:val="28"/>
          <w:lang w:val="en" w:eastAsia="en"/>
        </w:rPr>
      </w:pPr>
      <w:r>
        <w:rPr>
          <w:rFonts w:ascii="仿宋" w:eastAsia="仿宋" w:hAnsi="仿宋" w:cs="仿宋"/>
          <w:b/>
          <w:bCs/>
          <w:color w:val="333333"/>
          <w:sz w:val="28"/>
          <w:szCs w:val="28"/>
          <w:lang w:val="en" w:eastAsia="en"/>
        </w:rPr>
        <w:t>深圳市殡葬服务中心食堂劳务外包服务项目-A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文件夹/文件名称</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投标函</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项目详细报价</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整体管理设想策划及实施方案（格式自定）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服务质量管理方案（格式自定）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项目重点难点分析、应对措施及相关的合理化建议（格式自定）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承诺及应急响应能力（格式自定）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拟安排的项目经理（仅限一人）（格式自定）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拟安排的项目主要团队成员（主要技术人员）情况（项目经理除外）（格式自定）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同类业绩（格式自定）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履约评价（格式自定）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体系认证情况（格式自定）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荣誉情况（格式自定）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仿宋" w:eastAsia="仿宋" w:hAnsi="仿宋" w:cs="仿宋"/>
          <w:b/>
          <w:bCs/>
          <w:color w:val="333333"/>
          <w:lang w:val="en" w:eastAsia="en"/>
        </w:rPr>
        <w:sectPr>
          <w:pgMar w:top="1440" w:right="1800" w:bottom="1440" w:left="1800" w:header="708" w:footer="708" w:gutter="0"/>
          <w:cols w:num="1"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仿宋" w:eastAsia="仿宋" w:hAnsi="仿宋" w:cs="仿宋"/>
          <w:b/>
          <w:bCs/>
          <w:color w:val="000000"/>
          <w:sz w:val="48"/>
          <w:szCs w:val="48"/>
          <w:lang w:val="en" w:eastAsia="en"/>
        </w:rPr>
      </w:pPr>
      <w:r>
        <w:rPr>
          <w:rFonts w:ascii="仿宋" w:eastAsia="仿宋" w:hAnsi="仿宋" w:cs="仿宋"/>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仿宋" w:eastAsia="仿宋" w:hAnsi="仿宋" w:cs="仿宋" w:hint="eastAsia"/>
          <w:color w:val="333333"/>
          <w:u w:val="single" w:color="333333"/>
          <w:lang w:val="en" w:eastAsia="zh-CN"/>
        </w:rPr>
      </w:pPr>
      <w:r>
        <w:rPr>
          <w:rFonts w:ascii="仿宋" w:eastAsia="仿宋" w:hAnsi="仿宋" w:cs="仿宋"/>
          <w:color w:val="333333"/>
          <w:lang w:val="en" w:eastAsia="en"/>
        </w:rPr>
        <w:t>标段编号：</w:t>
      </w:r>
      <w:r>
        <w:rPr>
          <w:rFonts w:ascii="微软雅黑" w:eastAsia="微软雅黑" w:hAnsi="微软雅黑" w:cs="微软雅黑"/>
          <w:color w:val="333333"/>
          <w:lang w:val="en" w:eastAsia="en"/>
        </w:rPr>
        <w:t xml:space="preserve"> </w:t>
      </w:r>
      <w:r>
        <w:rPr>
          <w:rFonts w:ascii="仿宋" w:eastAsia="仿宋" w:hAnsi="仿宋" w:cs="仿宋"/>
          <w:color w:val="333333"/>
          <w:u w:val="single" w:color="333333"/>
          <w:lang w:val="en" w:eastAsia="en"/>
        </w:rPr>
        <w:t>SZZXCG-2025-00051-001</w:t>
      </w:r>
    </w:p>
    <w:p>
      <w:pPr>
        <w:pBdr>
          <w:top w:val="none" w:sz="0" w:space="0" w:color="auto"/>
          <w:left w:val="none" w:sz="0" w:space="0" w:color="auto"/>
          <w:bottom w:val="none" w:sz="0" w:space="0" w:color="auto"/>
          <w:right w:val="none" w:sz="0" w:space="0" w:color="auto"/>
        </w:pBdr>
        <w:spacing w:after="0" w:line="432" w:lineRule="atLeast"/>
        <w:ind w:left="15" w:right="15"/>
        <w:rPr>
          <w:rFonts w:ascii="仿宋" w:eastAsia="仿宋" w:hAnsi="仿宋" w:cs="仿宋" w:hint="eastAsia"/>
          <w:color w:val="333333"/>
          <w:u w:val="single" w:color="333333"/>
          <w:lang w:val="en" w:eastAsia="zh-CN"/>
        </w:rPr>
      </w:pPr>
      <w:r>
        <w:rPr>
          <w:rFonts w:ascii="仿宋" w:eastAsia="仿宋" w:hAnsi="仿宋" w:cs="仿宋"/>
          <w:color w:val="333333"/>
          <w:lang w:val="en" w:eastAsia="en"/>
        </w:rPr>
        <w:t>标段名称：</w:t>
      </w:r>
      <w:r>
        <w:rPr>
          <w:rFonts w:ascii="微软雅黑" w:eastAsia="微软雅黑" w:hAnsi="微软雅黑" w:cs="微软雅黑"/>
          <w:color w:val="333333"/>
          <w:lang w:val="en" w:eastAsia="en"/>
        </w:rPr>
        <w:t xml:space="preserve"> </w:t>
      </w:r>
      <w:r>
        <w:rPr>
          <w:rFonts w:ascii="仿宋" w:eastAsia="仿宋" w:hAnsi="仿宋" w:cs="仿宋"/>
          <w:color w:val="333333"/>
          <w:u w:val="single" w:color="333333"/>
          <w:lang w:val="en" w:eastAsia="en"/>
        </w:rPr>
        <w:t>深圳市殡葬服务中心食堂劳务外包服务项目-A</w:t>
      </w:r>
    </w:p>
    <w:p>
      <w:pPr>
        <w:pBdr>
          <w:top w:val="none" w:sz="0" w:space="0" w:color="auto"/>
          <w:left w:val="none" w:sz="0" w:space="0" w:color="auto"/>
          <w:bottom w:val="none" w:sz="0" w:space="0" w:color="auto"/>
          <w:right w:val="none" w:sz="0" w:space="0" w:color="auto"/>
        </w:pBdr>
        <w:spacing w:after="0" w:line="432" w:lineRule="atLeast"/>
        <w:ind w:left="15" w:right="15"/>
        <w:rPr>
          <w:rFonts w:ascii="仿宋" w:eastAsia="仿宋" w:hAnsi="仿宋" w:cs="仿宋" w:hint="eastAsia"/>
          <w:color w:val="333333"/>
          <w:u w:val="single" w:color="333333"/>
          <w:lang w:val="en" w:eastAsia="zh-CN"/>
        </w:rPr>
      </w:pP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pPr>
      <w:r>
        <w:rPr>
          <w:rFonts w:ascii="仿宋" w:eastAsia="仿宋" w:hAnsi="仿宋" w:cs="仿宋"/>
          <w:color w:val="333333"/>
          <w:lang w:val="en" w:eastAsia="en"/>
        </w:rPr>
        <w:t>是否过多投标人淘汰：</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分值</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微软雅黑" w:eastAsia="微软雅黑" w:hAnsi="微软雅黑" w:cs="微软雅黑"/>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中标候选人：</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委托评标委员会直接定标</w:t>
      </w: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hint="eastAsia"/>
          <w:color w:val="333333"/>
          <w:lang w:val="en" w:eastAsia="zh-CN"/>
        </w:rPr>
      </w:pP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hint="eastAsia"/>
          <w:b/>
          <w:bCs/>
          <w:color w:val="000000"/>
          <w:lang w:val="en" w:eastAsia="zh-CN"/>
        </w:rPr>
      </w:pPr>
      <w:r>
        <w:rPr>
          <w:rFonts w:ascii="仿宋" w:eastAsia="仿宋" w:hAnsi="仿宋" w:cs="仿宋"/>
          <w:b/>
          <w:bCs/>
          <w:color w:val="000000"/>
          <w:lang w:val="en" w:eastAsia="en"/>
        </w:rPr>
        <w:t>4.1 资格评审</w:t>
      </w: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color w:val="333333"/>
          <w:lang w:val="en" w:eastAsia="en"/>
        </w:rPr>
      </w:pPr>
      <w:r>
        <w:rPr>
          <w:rFonts w:ascii="仿宋" w:eastAsia="仿宋" w:hAnsi="仿宋" w:cs="仿宋"/>
          <w:color w:val="333333"/>
          <w:lang w:val="en" w:eastAsia="en"/>
        </w:rPr>
        <w:t>汇总规则：</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按分项自动汇总并发起否决投标</w:t>
      </w:r>
      <w:r>
        <w:rPr>
          <w:rFonts w:ascii="微软雅黑" w:eastAsia="微软雅黑" w:hAnsi="微软雅黑" w:cs="微软雅黑"/>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评审标准</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投标人不符合资格要求，或未提交相应的资格证明资料（详见招标公告投标人资格要求）</w:t>
            </w:r>
          </w:p>
        </w:tc>
      </w:tr>
    </w:tbl>
    <w:p>
      <w:pPr>
        <w:pBdr>
          <w:top w:val="none" w:sz="0" w:space="0" w:color="auto"/>
          <w:left w:val="none" w:sz="0" w:space="0" w:color="auto"/>
          <w:bottom w:val="none" w:sz="0" w:space="0" w:color="auto"/>
          <w:right w:val="none" w:sz="0" w:space="0" w:color="auto"/>
        </w:pBdr>
        <w:spacing w:line="240" w:lineRule="atLeast"/>
        <w:ind w:left="15" w:right="15"/>
        <w:rPr>
          <w:rFonts w:ascii="仿宋" w:eastAsia="仿宋" w:hAnsi="仿宋" w:cs="仿宋" w:hint="eastAsia"/>
          <w:b/>
          <w:bCs/>
          <w:color w:val="000000"/>
          <w:lang w:val="en" w:eastAsia="zh-CN"/>
        </w:rPr>
      </w:pPr>
      <w:r>
        <w:rPr>
          <w:rFonts w:ascii="仿宋" w:eastAsia="仿宋" w:hAnsi="仿宋" w:cs="仿宋"/>
          <w:b/>
          <w:bCs/>
          <w:color w:val="000000"/>
          <w:lang w:val="en" w:eastAsia="en"/>
        </w:rPr>
        <w:t>4.2 初步评审</w:t>
      </w:r>
    </w:p>
    <w:p>
      <w:pPr>
        <w:pBdr>
          <w:top w:val="none" w:sz="0" w:space="0" w:color="auto"/>
          <w:left w:val="none" w:sz="0" w:space="0" w:color="auto"/>
          <w:bottom w:val="none" w:sz="0" w:space="0" w:color="auto"/>
          <w:right w:val="none" w:sz="0" w:space="0" w:color="auto"/>
        </w:pBdr>
        <w:spacing w:line="240" w:lineRule="atLeast"/>
        <w:ind w:left="15" w:right="15"/>
        <w:rPr>
          <w:rFonts w:ascii="仿宋" w:eastAsia="仿宋" w:hAnsi="仿宋" w:cs="仿宋"/>
          <w:b/>
          <w:bCs/>
          <w:color w:val="000000"/>
          <w:lang w:val="en" w:eastAsia="en"/>
        </w:rPr>
      </w:pPr>
      <w:r>
        <w:rPr>
          <w:rFonts w:ascii="仿宋" w:eastAsia="仿宋" w:hAnsi="仿宋" w:cs="仿宋"/>
          <w:color w:val="333333"/>
          <w:lang w:val="en" w:eastAsia="en"/>
        </w:rPr>
        <w:t>汇总规则：</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按分项自动汇总并发起否决投标</w:t>
      </w:r>
      <w:r>
        <w:rPr>
          <w:rFonts w:ascii="微软雅黑" w:eastAsia="微软雅黑" w:hAnsi="微软雅黑" w:cs="微软雅黑"/>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评审标准</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不得将一个包内容拆开投标；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人响应的内容在技术、商务等方面没有实质性满足（或未响应招标文件中带★号条款或响应有负偏离）招标文件要求的（是否实质性满足招标文件要求，由评审委员会根据实质性条款响应情况作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投标文件用不属于本公司的电子密钥进行加密或投标文件未按时解密的；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bl>
    <w:p>
      <w:pPr>
        <w:pBdr>
          <w:top w:val="none" w:sz="0" w:space="0" w:color="auto"/>
          <w:left w:val="none" w:sz="0" w:space="0" w:color="auto"/>
          <w:bottom w:val="none" w:sz="0" w:space="0" w:color="auto"/>
          <w:right w:val="none" w:sz="0" w:space="0" w:color="auto"/>
        </w:pBdr>
        <w:spacing w:line="432" w:lineRule="atLeast"/>
        <w:rPr>
          <w:rFonts w:ascii="仿宋" w:eastAsia="仿宋" w:hAnsi="仿宋" w:cs="仿宋" w:hint="eastAsia"/>
          <w:b/>
          <w:bCs/>
          <w:color w:val="000000"/>
          <w:lang w:val="en" w:eastAsia="zh-CN"/>
        </w:rPr>
      </w:pPr>
      <w:r>
        <w:rPr>
          <w:rFonts w:ascii="仿宋" w:eastAsia="仿宋" w:hAnsi="仿宋" w:cs="仿宋"/>
          <w:b/>
          <w:bCs/>
          <w:color w:val="000000"/>
          <w:lang w:val="en" w:eastAsia="en"/>
        </w:rPr>
        <w:t>4.3 详细评审</w:t>
      </w:r>
    </w:p>
    <w:p>
      <w:pPr>
        <w:pBdr>
          <w:top w:val="none" w:sz="0" w:space="0" w:color="auto"/>
          <w:left w:val="none" w:sz="0" w:space="0" w:color="auto"/>
          <w:bottom w:val="none" w:sz="0" w:space="0" w:color="auto"/>
          <w:right w:val="none" w:sz="0" w:space="0" w:color="auto"/>
        </w:pBdr>
        <w:spacing w:line="432" w:lineRule="atLeast"/>
        <w:rPr>
          <w:rFonts w:ascii="微软雅黑" w:eastAsia="微软雅黑" w:hAnsi="微软雅黑" w:cs="微软雅黑"/>
          <w:color w:val="333333"/>
          <w:lang w:val="en" w:eastAsia="en"/>
        </w:rPr>
      </w:pPr>
      <w:r>
        <w:rPr>
          <w:rFonts w:ascii="仿宋" w:eastAsia="仿宋" w:hAnsi="仿宋" w:cs="仿宋"/>
          <w:color w:val="333333"/>
          <w:lang w:val="en" w:eastAsia="en"/>
        </w:rPr>
        <w:t>汇总规则：</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按评委打分直接平均</w:t>
      </w:r>
      <w:r>
        <w:rPr>
          <w:rFonts w:ascii="微软雅黑" w:eastAsia="微软雅黑" w:hAnsi="微软雅黑" w:cs="微软雅黑"/>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权重</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整体管理设想策划及实施方案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服务质量管理方案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承诺及应急响应能力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拟安排的项目经理（仅限一人）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技术团队（项目经理除外）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同类业绩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15</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履约评价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体系认证情况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荣誉情况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微软雅黑" w:eastAsia="微软雅黑" w:hAnsi="微软雅黑" w:cs="微软雅黑"/>
          <w:color w:val="333333"/>
          <w:lang w:val="en" w:eastAsia="en"/>
        </w:rPr>
      </w:pPr>
      <w:r>
        <w:rPr>
          <w:rFonts w:ascii="仿宋" w:eastAsia="仿宋" w:hAnsi="仿宋" w:cs="仿宋"/>
          <w:b/>
          <w:bCs/>
          <w:color w:val="000000"/>
          <w:lang w:val="en" w:eastAsia="en"/>
        </w:rPr>
        <w:t>4.5 价格评审</w:t>
      </w:r>
      <w:r>
        <w:rPr>
          <w:rFonts w:ascii="微软雅黑" w:eastAsia="微软雅黑" w:hAnsi="微软雅黑" w:cs="微软雅黑"/>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4.5.1 投标总价</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价格得分满分：</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10</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报价打分方式：</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自动算分（内插法）</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参与基准价计算范围的计算公式：全部投标报价</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基准价计算公式：基准价=最低评标价</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sectPr>
          <w:pgMar w:top="1440" w:right="1800" w:bottom="1440" w:left="1800" w:header="708" w:footer="708" w:gutter="0"/>
          <w:cols w:num="1" w:space="708"/>
        </w:sectPr>
      </w:pPr>
      <w:r>
        <w:rPr>
          <w:rFonts w:ascii="仿宋" w:eastAsia="仿宋" w:hAnsi="仿宋" w:cs="仿宋"/>
          <w:color w:val="333333"/>
          <w:lang w:val="en" w:eastAsia="en"/>
        </w:rPr>
        <w:t>报价打分计算公式：得分=（基准价/评标价）*总分</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仿宋" w:eastAsia="仿宋" w:hAnsi="仿宋" w:cs="仿宋"/>
          <w:b/>
          <w:bCs/>
          <w:color w:val="000000"/>
          <w:sz w:val="48"/>
          <w:szCs w:val="48"/>
          <w:lang w:val="en" w:eastAsia="en"/>
        </w:rPr>
      </w:pPr>
      <w:r>
        <w:rPr>
          <w:rFonts w:ascii="仿宋" w:eastAsia="仿宋" w:hAnsi="仿宋" w:cs="仿宋"/>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仿宋" w:eastAsia="仿宋" w:hAnsi="仿宋" w:cs="仿宋"/>
          <w:b/>
          <w:bCs/>
          <w:color w:val="333333"/>
          <w:sz w:val="28"/>
          <w:szCs w:val="28"/>
          <w:lang w:val="en" w:eastAsia="en"/>
        </w:rPr>
      </w:pPr>
      <w:r>
        <w:rPr>
          <w:rFonts w:ascii="仿宋" w:eastAsia="仿宋" w:hAnsi="仿宋" w:cs="仿宋"/>
          <w:b/>
          <w:bCs/>
          <w:color w:val="333333"/>
          <w:sz w:val="28"/>
          <w:szCs w:val="28"/>
          <w:lang w:val="en" w:eastAsia="en"/>
        </w:rPr>
        <w:t>深圳市殡葬服务中心食堂劳务外包服务项目-A</w:t>
      </w:r>
    </w:p>
    <w:tbl>
      <w:tblPr>
        <w:tblStyle w:val="typotable1"/>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文件夹/文件名称</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投标函</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项目详细报价</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整体管理设想策划及实施方案（格式自定）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服务质量管理方案（格式自定）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项目重点难点分析、应对措施及相关的合理化建议（格式自定）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承诺及应急响应能力（格式自定）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拟安排的项目经理（仅限一人）（格式自定）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拟安排的项目主要团队成员（主要技术人员）情况（项目经理除外）（格式自定）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同类业绩（格式自定）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履约评价（格式自定）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体系认证情况（格式自定）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荣誉情况（格式自定）</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仿宋" w:eastAsia="仿宋" w:hAnsi="仿宋" w:cs="仿宋"/>
          <w:b/>
          <w:bCs/>
          <w:color w:val="333333"/>
          <w:lang w:val="en" w:eastAsia="en"/>
        </w:rPr>
        <w:sectPr>
          <w:pgMar w:top="1440" w:right="1800" w:bottom="1440" w:left="1800" w:header="708" w:footer="708" w:gutter="0"/>
          <w:cols w:num="1"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仿宋" w:eastAsia="仿宋" w:hAnsi="仿宋" w:cs="仿宋"/>
          <w:b/>
          <w:bCs/>
          <w:color w:val="000000"/>
          <w:sz w:val="48"/>
          <w:szCs w:val="48"/>
          <w:lang w:val="en" w:eastAsia="en"/>
        </w:rPr>
      </w:pPr>
      <w:r>
        <w:rPr>
          <w:rFonts w:ascii="仿宋" w:eastAsia="仿宋" w:hAnsi="仿宋" w:cs="仿宋"/>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仿宋" w:eastAsia="仿宋" w:hAnsi="仿宋" w:cs="仿宋" w:hint="eastAsia"/>
          <w:color w:val="333333"/>
          <w:u w:val="single" w:color="333333"/>
          <w:lang w:val="en" w:eastAsia="zh-CN"/>
        </w:rPr>
      </w:pPr>
      <w:r>
        <w:rPr>
          <w:rFonts w:ascii="仿宋" w:eastAsia="仿宋" w:hAnsi="仿宋" w:cs="仿宋"/>
          <w:color w:val="333333"/>
          <w:lang w:val="en" w:eastAsia="en"/>
        </w:rPr>
        <w:t>标段编号：</w:t>
      </w:r>
      <w:r>
        <w:rPr>
          <w:rFonts w:ascii="微软雅黑" w:eastAsia="微软雅黑" w:hAnsi="微软雅黑" w:cs="微软雅黑"/>
          <w:color w:val="333333"/>
          <w:lang w:val="en" w:eastAsia="en"/>
        </w:rPr>
        <w:t xml:space="preserve"> </w:t>
      </w:r>
      <w:r>
        <w:rPr>
          <w:rFonts w:ascii="仿宋" w:eastAsia="仿宋" w:hAnsi="仿宋" w:cs="仿宋"/>
          <w:color w:val="333333"/>
          <w:u w:val="single" w:color="333333"/>
          <w:lang w:val="en" w:eastAsia="en"/>
        </w:rPr>
        <w:t>SZZXCG-2025-00051-001</w:t>
      </w:r>
    </w:p>
    <w:p>
      <w:pPr>
        <w:pBdr>
          <w:top w:val="none" w:sz="0" w:space="0" w:color="auto"/>
          <w:left w:val="none" w:sz="0" w:space="0" w:color="auto"/>
          <w:bottom w:val="none" w:sz="0" w:space="0" w:color="auto"/>
          <w:right w:val="none" w:sz="0" w:space="0" w:color="auto"/>
        </w:pBdr>
        <w:spacing w:after="0" w:line="432" w:lineRule="atLeast"/>
        <w:ind w:left="15" w:right="15"/>
        <w:rPr>
          <w:rFonts w:ascii="仿宋" w:eastAsia="仿宋" w:hAnsi="仿宋" w:cs="仿宋" w:hint="eastAsia"/>
          <w:color w:val="333333"/>
          <w:u w:val="single" w:color="333333"/>
          <w:lang w:val="en" w:eastAsia="zh-CN"/>
        </w:rPr>
      </w:pPr>
      <w:r>
        <w:rPr>
          <w:rFonts w:ascii="仿宋" w:eastAsia="仿宋" w:hAnsi="仿宋" w:cs="仿宋"/>
          <w:color w:val="333333"/>
          <w:lang w:val="en" w:eastAsia="en"/>
        </w:rPr>
        <w:t>标段名称：</w:t>
      </w:r>
      <w:r>
        <w:rPr>
          <w:rFonts w:ascii="微软雅黑" w:eastAsia="微软雅黑" w:hAnsi="微软雅黑" w:cs="微软雅黑"/>
          <w:color w:val="333333"/>
          <w:lang w:val="en" w:eastAsia="en"/>
        </w:rPr>
        <w:t xml:space="preserve"> </w:t>
      </w:r>
      <w:r>
        <w:rPr>
          <w:rFonts w:ascii="仿宋" w:eastAsia="仿宋" w:hAnsi="仿宋" w:cs="仿宋"/>
          <w:color w:val="333333"/>
          <w:u w:val="single" w:color="333333"/>
          <w:lang w:val="en" w:eastAsia="en"/>
        </w:rPr>
        <w:t>深圳市殡葬服务中心食堂劳务外包服务项目-A</w:t>
      </w:r>
    </w:p>
    <w:p>
      <w:pPr>
        <w:pBdr>
          <w:top w:val="none" w:sz="0" w:space="0" w:color="auto"/>
          <w:left w:val="none" w:sz="0" w:space="0" w:color="auto"/>
          <w:bottom w:val="none" w:sz="0" w:space="0" w:color="auto"/>
          <w:right w:val="none" w:sz="0" w:space="0" w:color="auto"/>
        </w:pBdr>
        <w:spacing w:after="0" w:line="432" w:lineRule="atLeast"/>
        <w:ind w:left="15" w:right="15"/>
        <w:rPr>
          <w:rFonts w:ascii="仿宋" w:eastAsia="仿宋" w:hAnsi="仿宋" w:cs="仿宋" w:hint="eastAsia"/>
          <w:color w:val="333333"/>
          <w:u w:val="single" w:color="333333"/>
          <w:lang w:val="en" w:eastAsia="zh-CN"/>
        </w:rPr>
      </w:pP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pPr>
      <w:r>
        <w:rPr>
          <w:rFonts w:ascii="仿宋" w:eastAsia="仿宋" w:hAnsi="仿宋" w:cs="仿宋"/>
          <w:color w:val="333333"/>
          <w:lang w:val="en" w:eastAsia="en"/>
        </w:rPr>
        <w:t>是否过多投标人淘汰：</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3.评审步骤</w:t>
      </w:r>
    </w:p>
    <w:tbl>
      <w:tblPr>
        <w:tblStyle w:val="typotable2"/>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分值</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微软雅黑" w:eastAsia="微软雅黑" w:hAnsi="微软雅黑" w:cs="微软雅黑"/>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中标候选人：</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委托评标委员会直接定标</w:t>
      </w: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hint="eastAsia"/>
          <w:color w:val="333333"/>
          <w:lang w:val="en" w:eastAsia="zh-CN"/>
        </w:rPr>
      </w:pP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hint="eastAsia"/>
          <w:b/>
          <w:bCs/>
          <w:color w:val="000000"/>
          <w:lang w:val="en" w:eastAsia="zh-CN"/>
        </w:rPr>
      </w:pPr>
      <w:r>
        <w:rPr>
          <w:rFonts w:ascii="仿宋" w:eastAsia="仿宋" w:hAnsi="仿宋" w:cs="仿宋"/>
          <w:b/>
          <w:bCs/>
          <w:color w:val="000000"/>
          <w:lang w:val="en" w:eastAsia="en"/>
        </w:rPr>
        <w:t>4.1 资格评审</w:t>
      </w: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color w:val="333333"/>
          <w:lang w:val="en" w:eastAsia="en"/>
        </w:rPr>
      </w:pPr>
      <w:r>
        <w:rPr>
          <w:rFonts w:ascii="仿宋" w:eastAsia="仿宋" w:hAnsi="仿宋" w:cs="仿宋"/>
          <w:color w:val="333333"/>
          <w:lang w:val="en" w:eastAsia="en"/>
        </w:rPr>
        <w:t>汇总规则：</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按分项自动汇总并发起否决投标</w:t>
      </w:r>
      <w:r>
        <w:rPr>
          <w:rFonts w:ascii="微软雅黑" w:eastAsia="微软雅黑" w:hAnsi="微软雅黑" w:cs="微软雅黑"/>
          <w:color w:val="333333"/>
          <w:lang w:val="en" w:eastAsia="en"/>
        </w:rPr>
        <w:t xml:space="preserve"> </w:t>
      </w:r>
    </w:p>
    <w:tbl>
      <w:tblPr>
        <w:tblStyle w:val="typotable2"/>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评审标准</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投标人不符合资格要求，或未提交相应的资格证明资料（详见招标公告投标人资格要求）</w:t>
            </w:r>
          </w:p>
        </w:tc>
      </w:tr>
    </w:tbl>
    <w:p>
      <w:pPr>
        <w:pBdr>
          <w:top w:val="none" w:sz="0" w:space="0" w:color="auto"/>
          <w:left w:val="none" w:sz="0" w:space="0" w:color="auto"/>
          <w:bottom w:val="none" w:sz="0" w:space="0" w:color="auto"/>
          <w:right w:val="none" w:sz="0" w:space="0" w:color="auto"/>
        </w:pBdr>
        <w:spacing w:line="240" w:lineRule="atLeast"/>
        <w:ind w:left="15" w:right="15"/>
        <w:rPr>
          <w:rFonts w:ascii="仿宋" w:eastAsia="仿宋" w:hAnsi="仿宋" w:cs="仿宋" w:hint="eastAsia"/>
          <w:b/>
          <w:bCs/>
          <w:color w:val="000000"/>
          <w:lang w:val="en" w:eastAsia="zh-CN"/>
        </w:rPr>
      </w:pPr>
      <w:r>
        <w:rPr>
          <w:rFonts w:ascii="仿宋" w:eastAsia="仿宋" w:hAnsi="仿宋" w:cs="仿宋"/>
          <w:b/>
          <w:bCs/>
          <w:color w:val="000000"/>
          <w:lang w:val="en" w:eastAsia="en"/>
        </w:rPr>
        <w:t>4.2 初步评审</w:t>
      </w:r>
    </w:p>
    <w:p>
      <w:pPr>
        <w:pBdr>
          <w:top w:val="none" w:sz="0" w:space="0" w:color="auto"/>
          <w:left w:val="none" w:sz="0" w:space="0" w:color="auto"/>
          <w:bottom w:val="none" w:sz="0" w:space="0" w:color="auto"/>
          <w:right w:val="none" w:sz="0" w:space="0" w:color="auto"/>
        </w:pBdr>
        <w:spacing w:line="240" w:lineRule="atLeast"/>
        <w:ind w:left="15" w:right="15"/>
        <w:rPr>
          <w:rFonts w:ascii="仿宋" w:eastAsia="仿宋" w:hAnsi="仿宋" w:cs="仿宋"/>
          <w:b/>
          <w:bCs/>
          <w:color w:val="000000"/>
          <w:lang w:val="en" w:eastAsia="en"/>
        </w:rPr>
      </w:pPr>
      <w:r>
        <w:rPr>
          <w:rFonts w:ascii="仿宋" w:eastAsia="仿宋" w:hAnsi="仿宋" w:cs="仿宋"/>
          <w:color w:val="333333"/>
          <w:lang w:val="en" w:eastAsia="en"/>
        </w:rPr>
        <w:t>汇总规则：</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按分项自动汇总并发起否决投标</w:t>
      </w:r>
      <w:r>
        <w:rPr>
          <w:rFonts w:ascii="微软雅黑" w:eastAsia="微软雅黑" w:hAnsi="微软雅黑" w:cs="微软雅黑"/>
          <w:color w:val="333333"/>
          <w:lang w:val="en" w:eastAsia="en"/>
        </w:rPr>
        <w:t xml:space="preserve"> </w:t>
      </w:r>
    </w:p>
    <w:tbl>
      <w:tblPr>
        <w:tblStyle w:val="typotable2"/>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评审标准</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不得将一个包内容拆开投标；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人响应的内容在技术、商务等方面没有实质性满足（或未响应招标文件中带★号条款或响应有负偏离）招标文件要求的（是否实质性满足招标文件要求，由评审委员会根据实质性条款响应情况作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投标文件用不属于本公司的电子密钥进行加密或投标文件未按时解密的；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r>
    </w:tbl>
    <w:p>
      <w:pPr>
        <w:pBdr>
          <w:top w:val="none" w:sz="0" w:space="0" w:color="auto"/>
          <w:left w:val="none" w:sz="0" w:space="0" w:color="auto"/>
          <w:bottom w:val="none" w:sz="0" w:space="0" w:color="auto"/>
          <w:right w:val="none" w:sz="0" w:space="0" w:color="auto"/>
        </w:pBdr>
        <w:spacing w:line="432" w:lineRule="atLeast"/>
        <w:rPr>
          <w:rFonts w:ascii="仿宋" w:eastAsia="仿宋" w:hAnsi="仿宋" w:cs="仿宋" w:hint="eastAsia"/>
          <w:b/>
          <w:bCs/>
          <w:color w:val="000000"/>
          <w:lang w:val="en" w:eastAsia="zh-CN"/>
        </w:rPr>
      </w:pPr>
      <w:r>
        <w:rPr>
          <w:rFonts w:ascii="仿宋" w:eastAsia="仿宋" w:hAnsi="仿宋" w:cs="仿宋"/>
          <w:b/>
          <w:bCs/>
          <w:color w:val="000000"/>
          <w:lang w:val="en" w:eastAsia="en"/>
        </w:rPr>
        <w:t>4.3 详细评审</w:t>
      </w:r>
    </w:p>
    <w:p>
      <w:pPr>
        <w:pBdr>
          <w:top w:val="none" w:sz="0" w:space="0" w:color="auto"/>
          <w:left w:val="none" w:sz="0" w:space="0" w:color="auto"/>
          <w:bottom w:val="none" w:sz="0" w:space="0" w:color="auto"/>
          <w:right w:val="none" w:sz="0" w:space="0" w:color="auto"/>
        </w:pBdr>
        <w:spacing w:line="432" w:lineRule="atLeast"/>
        <w:rPr>
          <w:rFonts w:ascii="微软雅黑" w:eastAsia="微软雅黑" w:hAnsi="微软雅黑" w:cs="微软雅黑"/>
          <w:color w:val="333333"/>
          <w:lang w:val="en" w:eastAsia="en"/>
        </w:rPr>
      </w:pPr>
      <w:r>
        <w:rPr>
          <w:rFonts w:ascii="仿宋" w:eastAsia="仿宋" w:hAnsi="仿宋" w:cs="仿宋"/>
          <w:color w:val="333333"/>
          <w:lang w:val="en" w:eastAsia="en"/>
        </w:rPr>
        <w:t>汇总规则：</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按评委打分直接平均</w:t>
      </w:r>
      <w:r>
        <w:rPr>
          <w:rFonts w:ascii="微软雅黑" w:eastAsia="微软雅黑" w:hAnsi="微软雅黑" w:cs="微软雅黑"/>
          <w:color w:val="333333"/>
          <w:lang w:val="en" w:eastAsia="en"/>
        </w:rPr>
        <w:t xml:space="preserve"> </w:t>
      </w:r>
    </w:p>
    <w:tbl>
      <w:tblPr>
        <w:tblStyle w:val="typotable2"/>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权重</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整体管理设想策划及实施方案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服务质量管理方案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承诺及应急响应能力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拟安排的项目经理（仅限一人）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技术团队（项目经理除外）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20</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同类业绩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15</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履约评价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体系认证情况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荣誉情况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微软雅黑" w:eastAsia="微软雅黑" w:hAnsi="微软雅黑" w:cs="微软雅黑"/>
          <w:color w:val="333333"/>
          <w:lang w:val="en" w:eastAsia="en"/>
        </w:rPr>
      </w:pPr>
      <w:r>
        <w:rPr>
          <w:rFonts w:ascii="仿宋" w:eastAsia="仿宋" w:hAnsi="仿宋" w:cs="仿宋"/>
          <w:b/>
          <w:bCs/>
          <w:color w:val="000000"/>
          <w:lang w:val="en" w:eastAsia="en"/>
        </w:rPr>
        <w:t>4.5 价格评审</w:t>
      </w:r>
      <w:r>
        <w:rPr>
          <w:rFonts w:ascii="微软雅黑" w:eastAsia="微软雅黑" w:hAnsi="微软雅黑" w:cs="微软雅黑"/>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4.5.1 投标总价</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价格得分满分：</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10</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报价打分方式：</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自动算分（内插法）</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参与基准价计算范围的计算公式：全部投标报价</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基准价计算公式：基准价=最低评标价</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sectPr>
          <w:pgMar w:top="1440" w:right="1800" w:bottom="1440" w:left="1800" w:header="708" w:footer="708" w:gutter="0"/>
          <w:cols w:num="1" w:space="708"/>
        </w:sectPr>
      </w:pPr>
      <w:r>
        <w:rPr>
          <w:rFonts w:ascii="仿宋" w:eastAsia="仿宋" w:hAnsi="仿宋" w:cs="仿宋"/>
          <w:color w:val="333333"/>
          <w:lang w:val="en" w:eastAsia="en"/>
        </w:rPr>
        <w:t>报价打分计算公式：得分=（基准价/评标价）*总分</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深圳市殡葬服务中心食堂劳务外包服务项目-A</w:t>
      </w:r>
    </w:p>
    <w:tbl>
      <w:tblPr>
        <w:tblStyle w:val="typotable3"/>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整体管理设想策划及实施方案（格式自定）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服务质量管理方案（格式自定）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承诺及应急响应能力（格式自定）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拟安排的项目经理（仅限一人）（格式自定）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拟安排的项目主要团队成员（主要技术人员）情况（项目经理除外）（格式自定）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同类业绩（格式自定）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体系认证情况（格式自定）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荣誉情况（格式自定）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SZZXCG-2025-00051-001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深圳市殡葬服务中心食堂劳务外包服务项目-A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4"/>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4"/>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投标人不符合资格要求，或未提交相应的资格证明资料（详见招标公告投标人资格要求）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4"/>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响应的内容在技术、商务等方面没有实质性满足（或未响应招标文件中带★号条款或响应有负偏离）招标文件要求的（是否实质性满足招标文件要求，由评审委员会根据实质性条款响应情况作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投标文件用不属于本公司的电子密钥进行加密或投标文件未按时解密的；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line="432" w:lineRule="atLeast"/>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4"/>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整体管理设想策划及实施方案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服务质量管理方案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承诺及应急响应能力</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拟安排的项目经理（仅限一人）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技术团队（项目经理除外）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体系认证情况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荣誉情况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64</w:t>
    </w:r>
    <w:r>
      <w:fldChar w:fldCharType="end"/>
    </w:r>
    <w:r>
      <w:t xml:space="preserve"> -</w:t>
    </w:r>
  </w:p>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F30691"/>
    <w:multiLevelType w:val="singleLevel"/>
    <w:tmpl w:val="B4F30691"/>
    <w:lvl w:ilvl="0">
      <w:start w:val="3"/>
      <w:numFmt w:val="decimal"/>
      <w:suff w:val="nothing"/>
      <w:lvlText w:val="（%1）"/>
      <w:lvlJc w:val="left"/>
    </w:lvl>
  </w:abstractNum>
  <w:abstractNum w:abstractNumId="1">
    <w:nsid w:val="B51DE769"/>
    <w:multiLevelType w:val="singleLevel"/>
    <w:tmpl w:val="B51DE769"/>
    <w:lvl w:ilvl="0">
      <w:start w:val="1"/>
      <w:numFmt w:val="decimal"/>
      <w:lvlText w:val="%1."/>
      <w:lvlJc w:val="left"/>
      <w:pPr>
        <w:tabs>
          <w:tab w:val="left" w:pos="312"/>
        </w:tabs>
      </w:pPr>
    </w:lvl>
  </w:abstractNum>
  <w:abstractNum w:abstractNumId="2">
    <w:nsid w:val="B9358C2E"/>
    <w:multiLevelType w:val="singleLevel"/>
    <w:tmpl w:val="B9358C2E"/>
    <w:lvl w:ilvl="0">
      <w:start w:val="2"/>
      <w:numFmt w:val="decimal"/>
      <w:suff w:val="nothing"/>
      <w:lvlText w:val="%1、"/>
      <w:lvlJc w:val="left"/>
    </w:lvl>
  </w:abstractNum>
  <w:abstractNum w:abstractNumId="3">
    <w:nsid w:val="2522E530"/>
    <w:multiLevelType w:val="singleLevel"/>
    <w:tmpl w:val="2522E530"/>
    <w:lvl w:ilvl="0">
      <w:start w:val="2"/>
      <w:numFmt w:val="chineseCounting"/>
      <w:suff w:val="nothing"/>
      <w:lvlText w:val="（%1）"/>
      <w:lvlJc w:val="left"/>
      <w:rPr>
        <w:rFonts w:hint="eastAsia"/>
      </w:rPr>
    </w:lvl>
  </w:abstractNum>
  <w:abstractNum w:abstractNumId="4">
    <w:nsid w:val="2C979B8A"/>
    <w:multiLevelType w:val="singleLevel"/>
    <w:tmpl w:val="2C979B8A"/>
    <w:lvl w:ilvl="0">
      <w:start w:val="1"/>
      <w:numFmt w:val="chineseCounting"/>
      <w:suff w:val="nothing"/>
      <w:lvlText w:val="（%1）"/>
      <w:lvlJc w:val="left"/>
      <w:rPr>
        <w:rFonts w:hint="eastAsia"/>
      </w:rPr>
    </w:lvl>
  </w:abstractNum>
  <w:abstractNum w:abstractNumId="5">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BC0B247"/>
    <w:multiLevelType w:val="singleLevel"/>
    <w:tmpl w:val="3BC0B247"/>
    <w:lvl w:ilvl="0">
      <w:start w:val="1"/>
      <w:numFmt w:val="decimal"/>
      <w:lvlText w:val="%1."/>
      <w:lvlJc w:val="left"/>
      <w:pPr>
        <w:tabs>
          <w:tab w:val="left" w:pos="312"/>
        </w:tabs>
      </w:pPr>
    </w:lvl>
  </w:abstractNum>
  <w:abstractNum w:abstractNumId="7">
    <w:nsid w:val="46BC4647"/>
    <w:multiLevelType w:val="singleLevel"/>
    <w:tmpl w:val="46BC4647"/>
    <w:lvl w:ilvl="0">
      <w:start w:val="1"/>
      <w:numFmt w:val="decimalEnclosedCircleChinese"/>
      <w:suff w:val="nothing"/>
      <w:lvlText w:val="%1　"/>
      <w:lvlJc w:val="left"/>
      <w:pPr>
        <w:ind w:left="0" w:firstLine="400"/>
      </w:pPr>
      <w:rPr>
        <w:rFonts w:hint="eastAsia"/>
      </w:rPr>
    </w:lvl>
  </w:abstractNum>
  <w:abstractNum w:abstractNumId="8">
    <w:nsid w:val="6464396D"/>
    <w:multiLevelType w:val="singleLevel"/>
    <w:tmpl w:val="6464396D"/>
    <w:lvl w:ilvl="0">
      <w:start w:val="1"/>
      <w:numFmt w:val="chineseCounting"/>
      <w:suff w:val="nothing"/>
      <w:lvlText w:val="（%1）"/>
      <w:lvlJc w:val="left"/>
      <w:rPr>
        <w:rFonts w:hint="eastAsia"/>
      </w:rPr>
    </w:lvl>
  </w:abstractNum>
  <w:num w:numId="1">
    <w:abstractNumId w:val="4"/>
  </w:num>
  <w:num w:numId="2">
    <w:abstractNumId w:val="1"/>
  </w:num>
  <w:num w:numId="3">
    <w:abstractNumId w:val="8"/>
  </w:num>
  <w:num w:numId="4">
    <w:abstractNumId w:val="6"/>
  </w:num>
  <w:num w:numId="5">
    <w:abstractNumId w:val="0"/>
  </w:num>
  <w:num w:numId="6">
    <w:abstractNumId w:val="7"/>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autoRedefine/>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
    <w:name w:val="页眉 字符"/>
    <w:link w:val="Header"/>
    <w:uiPriority w:val="99"/>
    <w:qFormat/>
    <w:rPr>
      <w:rFonts w:eastAsia="宋体"/>
      <w:kern w:val="2"/>
      <w:sz w:val="18"/>
      <w:szCs w:val="18"/>
      <w:lang w:eastAsia="zh-CN"/>
    </w:rPr>
  </w:style>
  <w:style w:type="paragraph" w:styleId="Footer">
    <w:name w:val="footer"/>
    <w:basedOn w:val="Normal"/>
    <w:link w:val="a0"/>
    <w:autoRedefine/>
    <w:qFormat/>
    <w:pPr>
      <w:widowControl w:val="0"/>
      <w:tabs>
        <w:tab w:val="center" w:pos="4153"/>
        <w:tab w:val="right" w:pos="8306"/>
      </w:tabs>
      <w:snapToGrid w:val="0"/>
    </w:pPr>
    <w:rPr>
      <w:rFonts w:eastAsia="宋体"/>
      <w:kern w:val="2"/>
      <w:sz w:val="18"/>
      <w:szCs w:val="18"/>
      <w:lang w:eastAsia="zh-CN"/>
    </w:rPr>
  </w:style>
  <w:style w:type="character" w:customStyle="1" w:styleId="a0">
    <w:name w:val="页脚 字符"/>
    <w:link w:val="Footer"/>
    <w:autoRedefine/>
    <w:qFormat/>
    <w:rPr>
      <w:rFonts w:eastAsia="宋体"/>
      <w:kern w:val="2"/>
      <w:sz w:val="18"/>
      <w:szCs w:val="18"/>
      <w:lang w:eastAsia="zh-CN"/>
    </w:rPr>
  </w:style>
  <w:style w:type="character" w:styleId="PageNumber">
    <w:name w:val="page number"/>
    <w:basedOn w:val="DefaultParagraphFont"/>
    <w:autoRedefine/>
    <w:qFormat/>
  </w:style>
  <w:style w:type="table" w:styleId="TableGrid">
    <w:name w:val="Table Grid"/>
    <w:basedOn w:val="TableNormal"/>
    <w:autoRedefine/>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semiHidden/>
    <w:unhideWhenUsed/>
    <w:qFormat/>
    <w:rPr>
      <w:rFonts w:eastAsia="宋体"/>
    </w:rPr>
    <w:tblPr>
      <w:tblCellMar>
        <w:top w:w="0" w:type="dxa"/>
        <w:left w:w="0" w:type="dxa"/>
        <w:bottom w:w="0" w:type="dxa"/>
        <w:right w:w="0" w:type="dxa"/>
      </w:tblCellMar>
    </w:tblPr>
  </w:style>
  <w:style w:type="table" w:customStyle="1" w:styleId="1">
    <w:name w:val="网格型1"/>
    <w:basedOn w:val="TableNormal"/>
    <w:autoRedefine/>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tblInd w:w="0" w:type="dxa"/>
    </w:tblPr>
  </w:style>
  <w:style w:type="table" w:customStyle="1" w:styleId="typotable0">
    <w:name w:val="typo_table_0"/>
    <w:basedOn w:val="TableNormal"/>
    <w:tblPr>
      <w:tblInd w:w="0" w:type="dxa"/>
    </w:tblPr>
  </w:style>
  <w:style w:type="table" w:customStyle="1" w:styleId="typotable1">
    <w:name w:val="typo_table_1"/>
    <w:basedOn w:val="TableNormal"/>
    <w:tblPr>
      <w:tblInd w:w="0" w:type="dxa"/>
    </w:tblPr>
  </w:style>
  <w:style w:type="table" w:customStyle="1" w:styleId="typotable2">
    <w:name w:val="typo_table_2"/>
    <w:basedOn w:val="TableNormal"/>
    <w:tblPr>
      <w:tblInd w:w="0" w:type="dxa"/>
    </w:tblPr>
  </w:style>
  <w:style w:type="table" w:customStyle="1" w:styleId="typotable3">
    <w:name w:val="typo_table_3"/>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4">
    <w:name w:val="typo_table_4"/>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