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2F4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color w:val="auto"/>
          <w:sz w:val="28"/>
          <w:szCs w:val="32"/>
          <w:highlight w:val="none"/>
        </w:rPr>
      </w:pPr>
      <w:bookmarkStart w:id="0" w:name="_Toc341708800"/>
      <w:bookmarkStart w:id="1" w:name="_Toc453833229"/>
      <w:bookmarkStart w:id="2" w:name="_Toc333841707"/>
      <w:bookmarkStart w:id="3" w:name="_Toc522182075"/>
      <w:bookmarkStart w:id="4" w:name="_Toc291256508"/>
      <w:bookmarkStart w:id="5" w:name="_Hlk534274209"/>
      <w:r>
        <w:rPr>
          <w:rFonts w:hint="eastAsia"/>
          <w:b/>
          <w:bCs/>
          <w:color w:val="auto"/>
          <w:sz w:val="28"/>
          <w:szCs w:val="32"/>
          <w:highlight w:val="none"/>
        </w:rPr>
        <w:t>天健地产集团2026-2028年度交通划线工程战略采购</w:t>
      </w:r>
    </w:p>
    <w:p w14:paraId="3F8A5A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color w:val="auto"/>
          <w:sz w:val="28"/>
          <w:szCs w:val="32"/>
          <w:highlight w:val="none"/>
        </w:rPr>
      </w:pPr>
      <w:r>
        <w:rPr>
          <w:rFonts w:hint="eastAsia"/>
          <w:b/>
          <w:bCs/>
          <w:color w:val="auto"/>
          <w:sz w:val="28"/>
          <w:szCs w:val="32"/>
          <w:highlight w:val="none"/>
          <w:lang w:val="en-US" w:eastAsia="zh-CN"/>
        </w:rPr>
        <w:t>质量及技术</w:t>
      </w:r>
      <w:r>
        <w:rPr>
          <w:rFonts w:hint="eastAsia"/>
          <w:b/>
          <w:bCs/>
          <w:color w:val="auto"/>
          <w:sz w:val="28"/>
          <w:szCs w:val="32"/>
          <w:highlight w:val="none"/>
        </w:rPr>
        <w:t>要求</w:t>
      </w:r>
    </w:p>
    <w:p w14:paraId="6F4B1E74">
      <w:pPr>
        <w:keepNext w:val="0"/>
        <w:keepLines w:val="0"/>
        <w:pageBreakBefore w:val="0"/>
        <w:widowControl w:val="0"/>
        <w:numPr>
          <w:ilvl w:val="1"/>
          <w:numId w:val="1"/>
        </w:numPr>
        <w:kinsoku/>
        <w:wordWrap/>
        <w:overflowPunct/>
        <w:topLinePunct w:val="0"/>
        <w:autoSpaceDE/>
        <w:autoSpaceDN/>
        <w:bidi w:val="0"/>
        <w:adjustRightInd/>
        <w:snapToGrid/>
        <w:spacing w:line="360" w:lineRule="auto"/>
        <w:textAlignment w:val="auto"/>
        <w:rPr>
          <w:b/>
          <w:bCs/>
          <w:color w:val="auto"/>
          <w:highlight w:val="none"/>
        </w:rPr>
      </w:pPr>
      <w:r>
        <w:rPr>
          <w:rFonts w:hint="eastAsia"/>
          <w:b/>
          <w:bCs/>
          <w:color w:val="auto"/>
          <w:highlight w:val="none"/>
        </w:rPr>
        <w:t>总则</w:t>
      </w:r>
      <w:bookmarkEnd w:id="0"/>
      <w:bookmarkEnd w:id="1"/>
      <w:bookmarkEnd w:id="2"/>
      <w:bookmarkEnd w:id="3"/>
      <w:bookmarkEnd w:id="4"/>
    </w:p>
    <w:p w14:paraId="2B5D1004">
      <w:pPr>
        <w:keepNext w:val="0"/>
        <w:keepLines w:val="0"/>
        <w:pageBreakBefore w:val="0"/>
        <w:widowControl w:val="0"/>
        <w:kinsoku/>
        <w:wordWrap/>
        <w:overflowPunct/>
        <w:topLinePunct w:val="0"/>
        <w:autoSpaceDE/>
        <w:autoSpaceDN/>
        <w:bidi w:val="0"/>
        <w:adjustRightInd/>
        <w:snapToGrid/>
        <w:spacing w:line="360" w:lineRule="auto"/>
        <w:ind w:left="-359" w:leftChars="-171" w:firstLine="420" w:firstLineChars="200"/>
        <w:textAlignment w:val="auto"/>
        <w:rPr>
          <w:rFonts w:ascii="宋体" w:hAnsi="宋体" w:eastAsia="宋体" w:cs="Arial"/>
          <w:b w:val="0"/>
          <w:bCs w:val="0"/>
          <w:color w:val="auto"/>
          <w:szCs w:val="21"/>
          <w:highlight w:val="none"/>
        </w:rPr>
      </w:pPr>
      <w:r>
        <w:rPr>
          <w:rFonts w:hint="eastAsia" w:ascii="宋体" w:hAnsi="宋体" w:eastAsia="宋体" w:cs="Arial"/>
          <w:b w:val="0"/>
          <w:bCs w:val="0"/>
          <w:color w:val="auto"/>
          <w:szCs w:val="21"/>
          <w:highlight w:val="none"/>
        </w:rPr>
        <w:t>本项目所采购的产品应满足现行最新适用的相关</w:t>
      </w:r>
      <w:r>
        <w:rPr>
          <w:rFonts w:ascii="宋体" w:hAnsi="宋体" w:eastAsia="宋体" w:cs="Arial"/>
          <w:b w:val="0"/>
          <w:bCs w:val="0"/>
          <w:color w:val="auto"/>
          <w:szCs w:val="21"/>
          <w:highlight w:val="none"/>
        </w:rPr>
        <w:t>国家、地方</w:t>
      </w:r>
      <w:r>
        <w:rPr>
          <w:rFonts w:hint="eastAsia" w:ascii="宋体" w:hAnsi="宋体" w:eastAsia="宋体" w:cs="Arial"/>
          <w:b w:val="0"/>
          <w:bCs w:val="0"/>
          <w:color w:val="auto"/>
          <w:szCs w:val="21"/>
          <w:highlight w:val="none"/>
        </w:rPr>
        <w:t>、</w:t>
      </w:r>
      <w:r>
        <w:rPr>
          <w:rFonts w:ascii="宋体" w:hAnsi="宋体" w:eastAsia="宋体" w:cs="Arial"/>
          <w:b w:val="0"/>
          <w:bCs w:val="0"/>
          <w:color w:val="auto"/>
          <w:szCs w:val="21"/>
          <w:highlight w:val="none"/>
        </w:rPr>
        <w:t>行业</w:t>
      </w:r>
      <w:r>
        <w:rPr>
          <w:rFonts w:hint="eastAsia" w:ascii="宋体" w:hAnsi="宋体" w:eastAsia="宋体" w:cs="Arial"/>
          <w:b w:val="0"/>
          <w:bCs w:val="0"/>
          <w:color w:val="auto"/>
          <w:szCs w:val="21"/>
          <w:highlight w:val="none"/>
        </w:rPr>
        <w:t>标准和规范（含设计标准和规范、产品标准和规范、工程标准和规范、验收标准和规范，各</w:t>
      </w:r>
      <w:r>
        <w:rPr>
          <w:rFonts w:ascii="宋体" w:hAnsi="宋体" w:eastAsia="宋体" w:cs="Arial"/>
          <w:b w:val="0"/>
          <w:bCs w:val="0"/>
          <w:color w:val="auto"/>
          <w:szCs w:val="21"/>
          <w:highlight w:val="none"/>
        </w:rPr>
        <w:t>标准</w:t>
      </w:r>
      <w:r>
        <w:rPr>
          <w:rFonts w:hint="eastAsia" w:ascii="宋体" w:hAnsi="宋体" w:eastAsia="宋体" w:cs="Arial"/>
          <w:b w:val="0"/>
          <w:bCs w:val="0"/>
          <w:color w:val="auto"/>
          <w:szCs w:val="21"/>
          <w:highlight w:val="none"/>
        </w:rPr>
        <w:t>和规范中有相冲突的以要求较高者执行），包括但不限于以下标准、规范：</w:t>
      </w:r>
    </w:p>
    <w:tbl>
      <w:tblPr>
        <w:tblStyle w:val="34"/>
        <w:tblpPr w:leftFromText="180" w:rightFromText="180" w:vertAnchor="text" w:horzAnchor="margin" w:tblpY="1"/>
        <w:tblW w:w="9579" w:type="dxa"/>
        <w:tblInd w:w="0" w:type="dxa"/>
        <w:tblLayout w:type="fixed"/>
        <w:tblCellMar>
          <w:top w:w="0" w:type="dxa"/>
          <w:left w:w="108" w:type="dxa"/>
          <w:bottom w:w="0" w:type="dxa"/>
          <w:right w:w="108" w:type="dxa"/>
        </w:tblCellMar>
      </w:tblPr>
      <w:tblGrid>
        <w:gridCol w:w="1178"/>
        <w:gridCol w:w="2538"/>
        <w:gridCol w:w="5863"/>
      </w:tblGrid>
      <w:tr w14:paraId="2E7B491B">
        <w:tblPrEx>
          <w:tblCellMar>
            <w:top w:w="0" w:type="dxa"/>
            <w:left w:w="108" w:type="dxa"/>
            <w:bottom w:w="0" w:type="dxa"/>
            <w:right w:w="108" w:type="dxa"/>
          </w:tblCellMar>
        </w:tblPrEx>
        <w:trPr>
          <w:trHeight w:val="411" w:hRule="atLeast"/>
        </w:trPr>
        <w:tc>
          <w:tcPr>
            <w:tcW w:w="1178" w:type="dxa"/>
            <w:tcBorders>
              <w:top w:val="single" w:color="auto" w:sz="4" w:space="0"/>
              <w:left w:val="single" w:color="auto" w:sz="4" w:space="0"/>
              <w:bottom w:val="single" w:color="auto" w:sz="4" w:space="0"/>
              <w:right w:val="single" w:color="auto" w:sz="4" w:space="0"/>
            </w:tcBorders>
            <w:vAlign w:val="center"/>
          </w:tcPr>
          <w:p w14:paraId="1411C0A7">
            <w:pPr>
              <w:widowControl/>
              <w:jc w:val="center"/>
              <w:rPr>
                <w:rFonts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序号</w:t>
            </w:r>
          </w:p>
        </w:tc>
        <w:tc>
          <w:tcPr>
            <w:tcW w:w="2538" w:type="dxa"/>
            <w:tcBorders>
              <w:top w:val="single" w:color="auto" w:sz="4" w:space="0"/>
              <w:left w:val="nil"/>
              <w:bottom w:val="single" w:color="auto" w:sz="4" w:space="0"/>
              <w:right w:val="single" w:color="auto" w:sz="4" w:space="0"/>
            </w:tcBorders>
            <w:vAlign w:val="center"/>
          </w:tcPr>
          <w:p w14:paraId="3706EDA1">
            <w:pPr>
              <w:widowControl/>
              <w:jc w:val="center"/>
              <w:rPr>
                <w:rFonts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标准号</w:t>
            </w:r>
          </w:p>
        </w:tc>
        <w:tc>
          <w:tcPr>
            <w:tcW w:w="5863" w:type="dxa"/>
            <w:tcBorders>
              <w:top w:val="single" w:color="auto" w:sz="4" w:space="0"/>
              <w:left w:val="nil"/>
              <w:bottom w:val="single" w:color="auto" w:sz="4" w:space="0"/>
              <w:right w:val="single" w:color="auto" w:sz="4" w:space="0"/>
            </w:tcBorders>
            <w:vAlign w:val="center"/>
          </w:tcPr>
          <w:p w14:paraId="64589761">
            <w:pPr>
              <w:widowControl/>
              <w:jc w:val="center"/>
              <w:rPr>
                <w:rFonts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标准名称</w:t>
            </w:r>
          </w:p>
        </w:tc>
      </w:tr>
      <w:tr w14:paraId="3271CCF1">
        <w:tblPrEx>
          <w:tblCellMar>
            <w:top w:w="0" w:type="dxa"/>
            <w:left w:w="108" w:type="dxa"/>
            <w:bottom w:w="0" w:type="dxa"/>
            <w:right w:w="108" w:type="dxa"/>
          </w:tblCellMar>
        </w:tblPrEx>
        <w:trPr>
          <w:trHeight w:val="188" w:hRule="atLeast"/>
        </w:trPr>
        <w:tc>
          <w:tcPr>
            <w:tcW w:w="1178" w:type="dxa"/>
            <w:tcBorders>
              <w:top w:val="nil"/>
              <w:left w:val="single" w:color="auto" w:sz="4" w:space="0"/>
              <w:bottom w:val="single" w:color="auto" w:sz="4" w:space="0"/>
              <w:right w:val="single" w:color="auto" w:sz="4" w:space="0"/>
            </w:tcBorders>
            <w:vAlign w:val="center"/>
          </w:tcPr>
          <w:p w14:paraId="3C06F5A2">
            <w:pPr>
              <w:widowControl/>
              <w:jc w:val="center"/>
              <w:rPr>
                <w:rFonts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1</w:t>
            </w:r>
          </w:p>
        </w:tc>
        <w:tc>
          <w:tcPr>
            <w:tcW w:w="2538" w:type="dxa"/>
            <w:tcBorders>
              <w:top w:val="nil"/>
              <w:left w:val="nil"/>
              <w:bottom w:val="single" w:color="auto" w:sz="4" w:space="0"/>
              <w:right w:val="single" w:color="auto" w:sz="4" w:space="0"/>
            </w:tcBorders>
          </w:tcPr>
          <w:p w14:paraId="0A86B6BF">
            <w:pPr>
              <w:spacing w:line="4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JT/T 280</w:t>
            </w:r>
            <w:r>
              <w:rPr>
                <w:rFonts w:hint="eastAsia" w:ascii="宋体" w:hAnsi="宋体" w:eastAsia="宋体" w:cs="宋体"/>
                <w:b w:val="0"/>
                <w:bCs w:val="0"/>
                <w:sz w:val="21"/>
                <w:szCs w:val="21"/>
              </w:rPr>
              <w:noBreakHyphen/>
            </w:r>
            <w:r>
              <w:rPr>
                <w:rFonts w:hint="eastAsia" w:ascii="宋体" w:hAnsi="宋体" w:eastAsia="宋体" w:cs="宋体"/>
                <w:b w:val="0"/>
                <w:bCs w:val="0"/>
                <w:sz w:val="21"/>
                <w:szCs w:val="21"/>
              </w:rPr>
              <w:t xml:space="preserve">2022 </w:t>
            </w:r>
          </w:p>
        </w:tc>
        <w:tc>
          <w:tcPr>
            <w:tcW w:w="5863" w:type="dxa"/>
            <w:tcBorders>
              <w:top w:val="nil"/>
              <w:left w:val="nil"/>
              <w:bottom w:val="single" w:color="auto" w:sz="4" w:space="0"/>
              <w:right w:val="single" w:color="auto" w:sz="4" w:space="0"/>
            </w:tcBorders>
          </w:tcPr>
          <w:p w14:paraId="1D362CD9">
            <w:pPr>
              <w:spacing w:line="400" w:lineRule="exact"/>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路面标线涂料</w:t>
            </w:r>
          </w:p>
        </w:tc>
      </w:tr>
      <w:tr w14:paraId="6F5D8850">
        <w:tblPrEx>
          <w:tblCellMar>
            <w:top w:w="0" w:type="dxa"/>
            <w:left w:w="108" w:type="dxa"/>
            <w:bottom w:w="0" w:type="dxa"/>
            <w:right w:w="108" w:type="dxa"/>
          </w:tblCellMar>
        </w:tblPrEx>
        <w:trPr>
          <w:trHeight w:val="188" w:hRule="atLeast"/>
        </w:trPr>
        <w:tc>
          <w:tcPr>
            <w:tcW w:w="1178" w:type="dxa"/>
            <w:tcBorders>
              <w:top w:val="nil"/>
              <w:left w:val="single" w:color="auto" w:sz="4" w:space="0"/>
              <w:bottom w:val="single" w:color="auto" w:sz="4" w:space="0"/>
              <w:right w:val="single" w:color="auto" w:sz="4" w:space="0"/>
            </w:tcBorders>
            <w:vAlign w:val="center"/>
          </w:tcPr>
          <w:p w14:paraId="2979539D">
            <w:pPr>
              <w:widowControl/>
              <w:jc w:val="center"/>
              <w:rPr>
                <w:rFonts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w:t>
            </w:r>
          </w:p>
        </w:tc>
        <w:tc>
          <w:tcPr>
            <w:tcW w:w="2538" w:type="dxa"/>
            <w:tcBorders>
              <w:top w:val="nil"/>
              <w:left w:val="nil"/>
              <w:bottom w:val="single" w:color="auto" w:sz="4" w:space="0"/>
              <w:right w:val="single" w:color="auto" w:sz="4" w:space="0"/>
            </w:tcBorders>
          </w:tcPr>
          <w:p w14:paraId="2601314E">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GB 5768.1</w:t>
            </w:r>
            <w:r>
              <w:rPr>
                <w:rFonts w:ascii="宋体" w:hAnsi="宋体" w:eastAsia="宋体" w:cs="宋体"/>
                <w:b w:val="0"/>
                <w:bCs w:val="0"/>
                <w:sz w:val="21"/>
                <w:szCs w:val="21"/>
              </w:rPr>
              <w:noBreakHyphen/>
            </w:r>
            <w:r>
              <w:rPr>
                <w:rFonts w:ascii="宋体" w:hAnsi="宋体" w:eastAsia="宋体" w:cs="宋体"/>
                <w:b w:val="0"/>
                <w:bCs w:val="0"/>
                <w:sz w:val="21"/>
                <w:szCs w:val="21"/>
              </w:rPr>
              <w:t>2025</w:t>
            </w:r>
          </w:p>
        </w:tc>
        <w:tc>
          <w:tcPr>
            <w:tcW w:w="5863" w:type="dxa"/>
            <w:tcBorders>
              <w:top w:val="nil"/>
              <w:left w:val="nil"/>
              <w:bottom w:val="single" w:color="auto" w:sz="4" w:space="0"/>
              <w:right w:val="single" w:color="auto" w:sz="4" w:space="0"/>
            </w:tcBorders>
          </w:tcPr>
          <w:p w14:paraId="287267DB">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道路交通标志和标线</w:t>
            </w:r>
          </w:p>
        </w:tc>
      </w:tr>
      <w:tr w14:paraId="0C4C2C1D">
        <w:tblPrEx>
          <w:tblCellMar>
            <w:top w:w="0" w:type="dxa"/>
            <w:left w:w="108" w:type="dxa"/>
            <w:bottom w:w="0" w:type="dxa"/>
            <w:right w:w="108" w:type="dxa"/>
          </w:tblCellMar>
        </w:tblPrEx>
        <w:trPr>
          <w:trHeight w:val="188" w:hRule="atLeast"/>
        </w:trPr>
        <w:tc>
          <w:tcPr>
            <w:tcW w:w="1178" w:type="dxa"/>
            <w:tcBorders>
              <w:top w:val="nil"/>
              <w:left w:val="single" w:color="auto" w:sz="4" w:space="0"/>
              <w:bottom w:val="single" w:color="auto" w:sz="4" w:space="0"/>
              <w:right w:val="single" w:color="auto" w:sz="4" w:space="0"/>
            </w:tcBorders>
            <w:vAlign w:val="center"/>
          </w:tcPr>
          <w:p w14:paraId="06B5EA34">
            <w:pPr>
              <w:widowControl/>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3</w:t>
            </w:r>
          </w:p>
        </w:tc>
        <w:tc>
          <w:tcPr>
            <w:tcW w:w="2538" w:type="dxa"/>
            <w:tcBorders>
              <w:top w:val="nil"/>
              <w:left w:val="nil"/>
              <w:bottom w:val="single" w:color="auto" w:sz="4" w:space="0"/>
              <w:right w:val="single" w:color="auto" w:sz="4" w:space="0"/>
            </w:tcBorders>
          </w:tcPr>
          <w:p w14:paraId="1DB768CC">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GB 5768.2</w:t>
            </w:r>
            <w:r>
              <w:rPr>
                <w:rFonts w:ascii="宋体" w:hAnsi="宋体" w:eastAsia="宋体" w:cs="宋体"/>
                <w:b w:val="0"/>
                <w:bCs w:val="0"/>
                <w:sz w:val="21"/>
                <w:szCs w:val="21"/>
              </w:rPr>
              <w:noBreakHyphen/>
            </w:r>
            <w:r>
              <w:rPr>
                <w:rFonts w:ascii="宋体" w:hAnsi="宋体" w:eastAsia="宋体" w:cs="宋体"/>
                <w:b w:val="0"/>
                <w:bCs w:val="0"/>
                <w:sz w:val="21"/>
                <w:szCs w:val="21"/>
              </w:rPr>
              <w:t xml:space="preserve">2022 </w:t>
            </w:r>
          </w:p>
        </w:tc>
        <w:tc>
          <w:tcPr>
            <w:tcW w:w="5863" w:type="dxa"/>
            <w:tcBorders>
              <w:top w:val="nil"/>
              <w:left w:val="nil"/>
              <w:bottom w:val="single" w:color="auto" w:sz="4" w:space="0"/>
              <w:right w:val="single" w:color="auto" w:sz="4" w:space="0"/>
            </w:tcBorders>
          </w:tcPr>
          <w:p w14:paraId="56B591B8">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道路交通标志和标线</w:t>
            </w:r>
          </w:p>
        </w:tc>
      </w:tr>
      <w:tr w14:paraId="38043382">
        <w:tblPrEx>
          <w:tblCellMar>
            <w:top w:w="0" w:type="dxa"/>
            <w:left w:w="108" w:type="dxa"/>
            <w:bottom w:w="0" w:type="dxa"/>
            <w:right w:w="108" w:type="dxa"/>
          </w:tblCellMar>
        </w:tblPrEx>
        <w:trPr>
          <w:trHeight w:val="188" w:hRule="atLeast"/>
        </w:trPr>
        <w:tc>
          <w:tcPr>
            <w:tcW w:w="1178" w:type="dxa"/>
            <w:tcBorders>
              <w:top w:val="nil"/>
              <w:left w:val="single" w:color="auto" w:sz="4" w:space="0"/>
              <w:bottom w:val="single" w:color="auto" w:sz="4" w:space="0"/>
              <w:right w:val="single" w:color="auto" w:sz="4" w:space="0"/>
            </w:tcBorders>
            <w:vAlign w:val="center"/>
          </w:tcPr>
          <w:p w14:paraId="3C7248B6">
            <w:pPr>
              <w:widowControl/>
              <w:jc w:val="center"/>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val="en-US" w:eastAsia="zh-CN"/>
              </w:rPr>
              <w:t>4</w:t>
            </w:r>
          </w:p>
        </w:tc>
        <w:tc>
          <w:tcPr>
            <w:tcW w:w="2538" w:type="dxa"/>
            <w:tcBorders>
              <w:top w:val="nil"/>
              <w:left w:val="nil"/>
              <w:bottom w:val="single" w:color="auto" w:sz="4" w:space="0"/>
              <w:right w:val="single" w:color="auto" w:sz="4" w:space="0"/>
            </w:tcBorders>
          </w:tcPr>
          <w:p w14:paraId="728F651A">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GB 5768.3</w:t>
            </w:r>
            <w:r>
              <w:rPr>
                <w:rFonts w:ascii="宋体" w:hAnsi="宋体" w:eastAsia="宋体" w:cs="宋体"/>
                <w:b w:val="0"/>
                <w:bCs w:val="0"/>
                <w:sz w:val="21"/>
                <w:szCs w:val="21"/>
              </w:rPr>
              <w:noBreakHyphen/>
            </w:r>
            <w:r>
              <w:rPr>
                <w:rFonts w:ascii="宋体" w:hAnsi="宋体" w:eastAsia="宋体" w:cs="宋体"/>
                <w:b w:val="0"/>
                <w:bCs w:val="0"/>
                <w:sz w:val="21"/>
                <w:szCs w:val="21"/>
              </w:rPr>
              <w:t>2025</w:t>
            </w:r>
          </w:p>
        </w:tc>
        <w:tc>
          <w:tcPr>
            <w:tcW w:w="5863" w:type="dxa"/>
            <w:tcBorders>
              <w:top w:val="nil"/>
              <w:left w:val="nil"/>
              <w:bottom w:val="single" w:color="auto" w:sz="4" w:space="0"/>
              <w:right w:val="single" w:color="auto" w:sz="4" w:space="0"/>
            </w:tcBorders>
          </w:tcPr>
          <w:p w14:paraId="08A0A757">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道路交通标志和标线</w:t>
            </w:r>
          </w:p>
        </w:tc>
      </w:tr>
      <w:tr w14:paraId="6644E6B6">
        <w:tblPrEx>
          <w:tblCellMar>
            <w:top w:w="0" w:type="dxa"/>
            <w:left w:w="108" w:type="dxa"/>
            <w:bottom w:w="0" w:type="dxa"/>
            <w:right w:w="108" w:type="dxa"/>
          </w:tblCellMar>
        </w:tblPrEx>
        <w:trPr>
          <w:trHeight w:val="188" w:hRule="atLeast"/>
        </w:trPr>
        <w:tc>
          <w:tcPr>
            <w:tcW w:w="1178" w:type="dxa"/>
            <w:tcBorders>
              <w:top w:val="nil"/>
              <w:left w:val="single" w:color="auto" w:sz="4" w:space="0"/>
              <w:bottom w:val="single" w:color="auto" w:sz="4" w:space="0"/>
              <w:right w:val="single" w:color="auto" w:sz="4" w:space="0"/>
            </w:tcBorders>
            <w:vAlign w:val="center"/>
          </w:tcPr>
          <w:p w14:paraId="6E7B5D10">
            <w:pPr>
              <w:widowControl/>
              <w:jc w:val="center"/>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val="en-US" w:eastAsia="zh-CN"/>
              </w:rPr>
              <w:t>5</w:t>
            </w:r>
          </w:p>
        </w:tc>
        <w:tc>
          <w:tcPr>
            <w:tcW w:w="2538" w:type="dxa"/>
            <w:tcBorders>
              <w:top w:val="nil"/>
              <w:left w:val="nil"/>
              <w:bottom w:val="single" w:color="auto" w:sz="4" w:space="0"/>
              <w:right w:val="single" w:color="auto" w:sz="4" w:space="0"/>
            </w:tcBorders>
          </w:tcPr>
          <w:p w14:paraId="33FFCAA3">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GB/T 16311</w:t>
            </w:r>
            <w:r>
              <w:rPr>
                <w:rFonts w:ascii="宋体" w:hAnsi="宋体" w:eastAsia="宋体" w:cs="宋体"/>
                <w:b w:val="0"/>
                <w:bCs w:val="0"/>
                <w:sz w:val="21"/>
                <w:szCs w:val="21"/>
              </w:rPr>
              <w:noBreakHyphen/>
            </w:r>
            <w:r>
              <w:rPr>
                <w:rFonts w:ascii="宋体" w:hAnsi="宋体" w:eastAsia="宋体" w:cs="宋体"/>
                <w:b w:val="0"/>
                <w:bCs w:val="0"/>
                <w:sz w:val="21"/>
                <w:szCs w:val="21"/>
              </w:rPr>
              <w:t>2024</w:t>
            </w:r>
          </w:p>
        </w:tc>
        <w:tc>
          <w:tcPr>
            <w:tcW w:w="5863" w:type="dxa"/>
            <w:tcBorders>
              <w:top w:val="nil"/>
              <w:left w:val="nil"/>
              <w:bottom w:val="single" w:color="auto" w:sz="4" w:space="0"/>
              <w:right w:val="single" w:color="auto" w:sz="4" w:space="0"/>
            </w:tcBorders>
          </w:tcPr>
          <w:p w14:paraId="100B7712">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道路交通标线质量要求和检测方法</w:t>
            </w:r>
          </w:p>
        </w:tc>
      </w:tr>
      <w:tr w14:paraId="54F0D261">
        <w:tblPrEx>
          <w:tblCellMar>
            <w:top w:w="0" w:type="dxa"/>
            <w:left w:w="108" w:type="dxa"/>
            <w:bottom w:w="0" w:type="dxa"/>
            <w:right w:w="108" w:type="dxa"/>
          </w:tblCellMar>
        </w:tblPrEx>
        <w:trPr>
          <w:trHeight w:val="188" w:hRule="atLeast"/>
        </w:trPr>
        <w:tc>
          <w:tcPr>
            <w:tcW w:w="1178" w:type="dxa"/>
            <w:tcBorders>
              <w:top w:val="nil"/>
              <w:left w:val="single" w:color="auto" w:sz="4" w:space="0"/>
              <w:bottom w:val="single" w:color="auto" w:sz="4" w:space="0"/>
              <w:right w:val="single" w:color="auto" w:sz="4" w:space="0"/>
            </w:tcBorders>
            <w:vAlign w:val="center"/>
          </w:tcPr>
          <w:p w14:paraId="31A45710">
            <w:pPr>
              <w:widowControl/>
              <w:jc w:val="center"/>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val="en-US" w:eastAsia="zh-CN"/>
              </w:rPr>
              <w:t>6</w:t>
            </w:r>
          </w:p>
        </w:tc>
        <w:tc>
          <w:tcPr>
            <w:tcW w:w="2538" w:type="dxa"/>
            <w:tcBorders>
              <w:top w:val="nil"/>
              <w:left w:val="nil"/>
              <w:bottom w:val="single" w:color="auto" w:sz="4" w:space="0"/>
              <w:right w:val="single" w:color="auto" w:sz="4" w:space="0"/>
            </w:tcBorders>
          </w:tcPr>
          <w:p w14:paraId="1886EEA7">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DB4403/T 54</w:t>
            </w:r>
            <w:r>
              <w:rPr>
                <w:rFonts w:ascii="宋体" w:hAnsi="宋体" w:eastAsia="宋体" w:cs="宋体"/>
                <w:b w:val="0"/>
                <w:bCs w:val="0"/>
                <w:sz w:val="21"/>
                <w:szCs w:val="21"/>
              </w:rPr>
              <w:noBreakHyphen/>
            </w:r>
            <w:r>
              <w:rPr>
                <w:rFonts w:ascii="宋体" w:hAnsi="宋体" w:eastAsia="宋体" w:cs="宋体"/>
                <w:b w:val="0"/>
                <w:bCs w:val="0"/>
                <w:sz w:val="21"/>
                <w:szCs w:val="21"/>
              </w:rPr>
              <w:t>2020</w:t>
            </w:r>
          </w:p>
        </w:tc>
        <w:tc>
          <w:tcPr>
            <w:tcW w:w="5863" w:type="dxa"/>
            <w:tcBorders>
              <w:top w:val="nil"/>
              <w:left w:val="nil"/>
              <w:bottom w:val="single" w:color="auto" w:sz="4" w:space="0"/>
              <w:right w:val="single" w:color="auto" w:sz="4" w:space="0"/>
            </w:tcBorders>
          </w:tcPr>
          <w:p w14:paraId="227334B5">
            <w:pPr>
              <w:spacing w:line="400" w:lineRule="exact"/>
              <w:jc w:val="center"/>
              <w:rPr>
                <w:rFonts w:ascii="宋体" w:hAnsi="宋体" w:eastAsia="宋体" w:cs="宋体"/>
                <w:b w:val="0"/>
                <w:bCs w:val="0"/>
                <w:sz w:val="21"/>
                <w:szCs w:val="21"/>
              </w:rPr>
            </w:pPr>
            <w:r>
              <w:rPr>
                <w:rFonts w:ascii="宋体" w:hAnsi="宋体" w:eastAsia="宋体" w:cs="宋体"/>
                <w:b w:val="0"/>
                <w:bCs w:val="0"/>
                <w:sz w:val="21"/>
                <w:szCs w:val="21"/>
              </w:rPr>
              <w:t>《停车库（场）交通设施建设与管理规范》</w:t>
            </w:r>
          </w:p>
        </w:tc>
      </w:tr>
    </w:tbl>
    <w:p w14:paraId="7970F975">
      <w:pPr>
        <w:spacing w:line="360" w:lineRule="auto"/>
        <w:rPr>
          <w:rFonts w:ascii="宋体" w:hAnsi="宋体" w:eastAsia="宋体" w:cs="Arial"/>
          <w:b/>
          <w:bCs/>
          <w:color w:val="auto"/>
          <w:szCs w:val="21"/>
          <w:highlight w:val="none"/>
        </w:rPr>
      </w:pPr>
    </w:p>
    <w:p w14:paraId="2093F0F9">
      <w:pPr>
        <w:spacing w:line="360" w:lineRule="auto"/>
        <w:rPr>
          <w:rFonts w:ascii="宋体" w:hAnsi="宋体" w:eastAsia="宋体" w:cs="Arial"/>
          <w:b w:val="0"/>
          <w:bCs w:val="0"/>
          <w:color w:val="auto"/>
          <w:szCs w:val="21"/>
          <w:highlight w:val="none"/>
        </w:rPr>
      </w:pPr>
      <w:bookmarkStart w:id="6" w:name="_Toc341708801"/>
      <w:bookmarkStart w:id="7" w:name="_Toc333841708"/>
      <w:bookmarkStart w:id="8" w:name="_Toc321928458"/>
      <w:bookmarkStart w:id="9" w:name="_Toc453833230"/>
      <w:r>
        <w:rPr>
          <w:rFonts w:hint="eastAsia" w:ascii="宋体" w:hAnsi="宋体" w:eastAsia="宋体" w:cs="Arial"/>
          <w:b w:val="0"/>
          <w:bCs w:val="0"/>
          <w:color w:val="auto"/>
          <w:szCs w:val="21"/>
          <w:highlight w:val="none"/>
        </w:rPr>
        <w:t>上述标准如有更新，以最新标准为准。产品必须达到现行</w:t>
      </w:r>
      <w:r>
        <w:rPr>
          <w:rFonts w:hint="eastAsia" w:ascii="宋体" w:hAnsi="宋体" w:eastAsia="宋体" w:cs="Arial"/>
          <w:b w:val="0"/>
          <w:bCs w:val="0"/>
          <w:color w:val="auto"/>
          <w:szCs w:val="21"/>
          <w:highlight w:val="none"/>
          <w:lang w:val="en-US" w:eastAsia="zh-CN"/>
        </w:rPr>
        <w:t>国家</w:t>
      </w:r>
      <w:r>
        <w:rPr>
          <w:rFonts w:hint="eastAsia" w:ascii="宋体" w:hAnsi="宋体" w:eastAsia="宋体" w:cs="Arial"/>
          <w:b w:val="0"/>
          <w:bCs w:val="0"/>
          <w:color w:val="auto"/>
          <w:szCs w:val="21"/>
          <w:highlight w:val="none"/>
        </w:rPr>
        <w:t>及省、市、行业的一切有关法规、规范的要求。如相关标准、规范、技术要求有出入，则以较严格者为准。</w:t>
      </w:r>
    </w:p>
    <w:bookmarkEnd w:id="6"/>
    <w:bookmarkEnd w:id="7"/>
    <w:bookmarkEnd w:id="8"/>
    <w:bookmarkEnd w:id="9"/>
    <w:p w14:paraId="639597B7">
      <w:pPr>
        <w:widowControl/>
        <w:autoSpaceDE w:val="0"/>
        <w:autoSpaceDN w:val="0"/>
        <w:adjustRightInd w:val="0"/>
        <w:spacing w:after="240" w:line="420" w:lineRule="atLeast"/>
        <w:jc w:val="left"/>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lang w:eastAsia="zh-CN"/>
        </w:rPr>
        <w:t>（</w:t>
      </w:r>
      <w:r>
        <w:rPr>
          <w:rFonts w:hint="eastAsia" w:ascii="宋体" w:hAnsi="宋体" w:eastAsia="宋体" w:cs="Times New Roman"/>
          <w:b/>
          <w:bCs/>
          <w:color w:val="auto"/>
          <w:szCs w:val="21"/>
          <w:highlight w:val="none"/>
          <w:lang w:val="en-US" w:eastAsia="zh-CN"/>
        </w:rPr>
        <w:t>一</w:t>
      </w:r>
      <w:r>
        <w:rPr>
          <w:rFonts w:hint="eastAsia" w:ascii="宋体" w:hAnsi="宋体" w:eastAsia="宋体" w:cs="Times New Roman"/>
          <w:b/>
          <w:bCs/>
          <w:color w:val="auto"/>
          <w:szCs w:val="21"/>
          <w:highlight w:val="none"/>
          <w:lang w:eastAsia="zh-CN"/>
        </w:rPr>
        <w:t>）</w:t>
      </w:r>
      <w:r>
        <w:rPr>
          <w:rFonts w:hint="eastAsia" w:ascii="宋体" w:hAnsi="宋体" w:eastAsia="宋体" w:cs="Times New Roman"/>
          <w:b/>
          <w:bCs/>
          <w:color w:val="auto"/>
          <w:szCs w:val="21"/>
          <w:highlight w:val="none"/>
        </w:rPr>
        <w:t>车库划线</w:t>
      </w:r>
      <w:r>
        <w:rPr>
          <w:rFonts w:ascii="宋体" w:hAnsi="宋体" w:eastAsia="宋体" w:cs="Times New Roman"/>
          <w:b/>
          <w:bCs/>
          <w:color w:val="auto"/>
          <w:szCs w:val="21"/>
          <w:highlight w:val="none"/>
        </w:rPr>
        <w:t>:</w:t>
      </w:r>
      <w:r>
        <w:rPr>
          <w:rFonts w:hint="eastAsia" w:ascii="宋体" w:hAnsi="宋体" w:eastAsia="宋体" w:cs="Times New Roman"/>
          <w:b/>
          <w:bCs/>
          <w:color w:val="auto"/>
          <w:szCs w:val="21"/>
          <w:highlight w:val="none"/>
        </w:rPr>
        <w:t>常温涂料（冷涂工艺）</w:t>
      </w:r>
    </w:p>
    <w:p w14:paraId="188AF502">
      <w:pPr>
        <w:widowControl/>
        <w:autoSpaceDE w:val="0"/>
        <w:autoSpaceDN w:val="0"/>
        <w:adjustRightInd w:val="0"/>
        <w:spacing w:after="240" w:line="420" w:lineRule="atLeast"/>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1</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车库为环氧地坪漆地面时，停车位、黄黑警示标、通道线、导向箭头、禁停黄线区、导流带等宜采用常温涂料冷涂工艺</w:t>
      </w:r>
      <w:r>
        <w:rPr>
          <w:rFonts w:hint="eastAsia" w:ascii="宋体" w:hAnsi="宋体" w:eastAsia="宋体" w:cs="Times New Roman"/>
          <w:color w:val="auto"/>
          <w:szCs w:val="21"/>
          <w:highlight w:val="none"/>
          <w:lang w:eastAsia="zh-CN"/>
        </w:rPr>
        <w:t>；</w:t>
      </w:r>
    </w:p>
    <w:p w14:paraId="7265630F">
      <w:pPr>
        <w:widowControl/>
        <w:autoSpaceDE w:val="0"/>
        <w:autoSpaceDN w:val="0"/>
        <w:adjustRightInd w:val="0"/>
        <w:spacing w:after="240" w:line="420" w:lineRule="atLeast"/>
        <w:jc w:val="left"/>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2</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在车库通道两侧划分车行道边缘线，为单实线和单虚线，线宽</w:t>
      </w:r>
      <w:r>
        <w:rPr>
          <w:rFonts w:ascii="宋体" w:hAnsi="宋体" w:eastAsia="宋体" w:cs="Times New Roman"/>
          <w:color w:val="auto"/>
          <w:szCs w:val="21"/>
          <w:highlight w:val="none"/>
        </w:rPr>
        <w:t xml:space="preserve"> 150mm</w:t>
      </w:r>
      <w:r>
        <w:rPr>
          <w:rFonts w:hint="eastAsia" w:ascii="宋体" w:hAnsi="宋体" w:eastAsia="宋体" w:cs="Times New Roman"/>
          <w:color w:val="auto"/>
          <w:szCs w:val="21"/>
          <w:highlight w:val="none"/>
          <w:lang w:val="en-US" w:eastAsia="zh-CN"/>
        </w:rPr>
        <w:t>；</w:t>
      </w:r>
    </w:p>
    <w:p w14:paraId="2DA41030">
      <w:pPr>
        <w:widowControl/>
        <w:autoSpaceDE w:val="0"/>
        <w:autoSpaceDN w:val="0"/>
        <w:adjustRightInd w:val="0"/>
        <w:spacing w:after="240" w:line="420" w:lineRule="atLeast"/>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（3）</w:t>
      </w:r>
      <w:r>
        <w:rPr>
          <w:rFonts w:hint="eastAsia" w:ascii="宋体" w:hAnsi="宋体" w:eastAsia="宋体" w:cs="Times New Roman"/>
          <w:color w:val="auto"/>
          <w:szCs w:val="21"/>
          <w:highlight w:val="none"/>
        </w:rPr>
        <w:t>停车位标线按设计大小进行划线，线宽为</w:t>
      </w:r>
      <w:r>
        <w:rPr>
          <w:rFonts w:ascii="宋体" w:hAnsi="宋体" w:eastAsia="宋体" w:cs="Times New Roman"/>
          <w:color w:val="auto"/>
          <w:szCs w:val="21"/>
          <w:highlight w:val="none"/>
        </w:rPr>
        <w:t xml:space="preserve"> 150mm</w:t>
      </w: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 xml:space="preserve"> </w:t>
      </w:r>
    </w:p>
    <w:p w14:paraId="65FB5BC5">
      <w:pPr>
        <w:widowControl/>
        <w:autoSpaceDE w:val="0"/>
        <w:autoSpaceDN w:val="0"/>
        <w:adjustRightInd w:val="0"/>
        <w:spacing w:after="240" w:line="420" w:lineRule="atLeast"/>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4</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在车库进出口适当位置标示导向箭头，线宽为</w:t>
      </w:r>
      <w:r>
        <w:rPr>
          <w:rFonts w:ascii="宋体" w:hAnsi="宋体" w:eastAsia="宋体" w:cs="Times New Roman"/>
          <w:color w:val="auto"/>
          <w:szCs w:val="21"/>
          <w:highlight w:val="none"/>
        </w:rPr>
        <w:t xml:space="preserve"> 150mm</w:t>
      </w:r>
      <w:r>
        <w:rPr>
          <w:rFonts w:hint="eastAsia" w:ascii="宋体" w:hAnsi="宋体" w:eastAsia="宋体" w:cs="Times New Roman"/>
          <w:color w:val="auto"/>
          <w:szCs w:val="21"/>
          <w:highlight w:val="none"/>
          <w:lang w:eastAsia="zh-CN"/>
        </w:rPr>
        <w:t>；</w:t>
      </w:r>
    </w:p>
    <w:p w14:paraId="299F0B43">
      <w:pPr>
        <w:widowControl/>
        <w:autoSpaceDE w:val="0"/>
        <w:autoSpaceDN w:val="0"/>
        <w:adjustRightInd w:val="0"/>
        <w:spacing w:after="240" w:line="420" w:lineRule="atLeast"/>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5</w:t>
      </w: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在电梯出入口的车库通道上设置斑马线，线宽为</w:t>
      </w:r>
      <w:r>
        <w:rPr>
          <w:rFonts w:ascii="宋体" w:hAnsi="宋体" w:eastAsia="宋体" w:cs="Times New Roman"/>
          <w:color w:val="auto"/>
          <w:szCs w:val="21"/>
          <w:highlight w:val="none"/>
        </w:rPr>
        <w:t xml:space="preserve"> 300</w:t>
      </w:r>
      <w:r>
        <w:rPr>
          <w:rFonts w:hint="eastAsia" w:ascii="宋体" w:hAnsi="宋体" w:eastAsia="宋体" w:cs="Times New Roman"/>
          <w:color w:val="auto"/>
          <w:szCs w:val="21"/>
          <w:highlight w:val="none"/>
          <w:lang w:val="en-US" w:eastAsia="zh-CN"/>
        </w:rPr>
        <w:t>或400</w:t>
      </w:r>
      <w:r>
        <w:rPr>
          <w:rFonts w:ascii="宋体" w:hAnsi="宋体" w:eastAsia="宋体" w:cs="Times New Roman"/>
          <w:color w:val="auto"/>
          <w:szCs w:val="21"/>
          <w:highlight w:val="none"/>
        </w:rPr>
        <w:t>mm</w:t>
      </w: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 xml:space="preserve"> </w:t>
      </w:r>
    </w:p>
    <w:p w14:paraId="63C8D1B8">
      <w:pPr>
        <w:widowControl/>
        <w:autoSpaceDE w:val="0"/>
        <w:autoSpaceDN w:val="0"/>
        <w:adjustRightInd w:val="0"/>
        <w:spacing w:after="240" w:line="420" w:lineRule="atLeast"/>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6</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车挡</w:t>
      </w:r>
      <w:r>
        <w:rPr>
          <w:rFonts w:ascii="宋体" w:hAnsi="宋体" w:eastAsia="宋体" w:cs="Times New Roman"/>
          <w:color w:val="auto"/>
          <w:szCs w:val="21"/>
          <w:highlight w:val="none"/>
        </w:rPr>
        <w:t>/</w:t>
      </w:r>
      <w:r>
        <w:rPr>
          <w:rFonts w:hint="eastAsia" w:ascii="宋体" w:hAnsi="宋体" w:eastAsia="宋体" w:cs="Times New Roman"/>
          <w:color w:val="auto"/>
          <w:szCs w:val="21"/>
          <w:highlight w:val="none"/>
        </w:rPr>
        <w:t>减速带</w:t>
      </w:r>
      <w:r>
        <w:rPr>
          <w:rFonts w:ascii="宋体" w:hAnsi="宋体" w:eastAsia="宋体" w:cs="Times New Roman"/>
          <w:color w:val="auto"/>
          <w:szCs w:val="21"/>
          <w:highlight w:val="none"/>
        </w:rPr>
        <w:t>应要求：1</w:t>
      </w:r>
      <w:r>
        <w:rPr>
          <w:rFonts w:hint="eastAsia" w:ascii="宋体" w:hAnsi="宋体" w:eastAsia="宋体" w:cs="Times New Roman"/>
          <w:color w:val="auto"/>
          <w:szCs w:val="21"/>
          <w:highlight w:val="none"/>
        </w:rPr>
        <w:t>、采用成品车挡。</w:t>
      </w:r>
      <w:r>
        <w:rPr>
          <w:rFonts w:ascii="宋体" w:hAnsi="宋体" w:eastAsia="宋体" w:cs="Times New Roman"/>
          <w:color w:val="auto"/>
          <w:szCs w:val="21"/>
          <w:highlight w:val="none"/>
        </w:rPr>
        <w:t xml:space="preserve"> 2</w:t>
      </w:r>
      <w:r>
        <w:rPr>
          <w:rFonts w:hint="eastAsia" w:ascii="宋体" w:hAnsi="宋体" w:eastAsia="宋体" w:cs="Times New Roman"/>
          <w:color w:val="auto"/>
          <w:szCs w:val="21"/>
          <w:highlight w:val="none"/>
        </w:rPr>
        <w:t>、采用黑黄相间的高强橡胶圆弧减速带，带反光珠</w:t>
      </w:r>
      <w:r>
        <w:rPr>
          <w:rFonts w:hint="eastAsia" w:ascii="宋体" w:hAnsi="宋体" w:eastAsia="宋体" w:cs="Times New Roman"/>
          <w:color w:val="auto"/>
          <w:szCs w:val="21"/>
          <w:highlight w:val="none"/>
          <w:lang w:val="en-US" w:eastAsia="zh-CN"/>
        </w:rPr>
        <w:t>500</w:t>
      </w:r>
      <w:r>
        <w:rPr>
          <w:rFonts w:ascii="宋体" w:hAnsi="宋体" w:eastAsia="宋体" w:cs="Times New Roman"/>
          <w:color w:val="auto"/>
          <w:szCs w:val="21"/>
          <w:highlight w:val="none"/>
        </w:rPr>
        <w:t>mm*3</w:t>
      </w:r>
      <w:r>
        <w:rPr>
          <w:rFonts w:hint="eastAsia" w:ascii="宋体" w:hAnsi="宋体" w:eastAsia="宋体" w:cs="Times New Roman"/>
          <w:color w:val="auto"/>
          <w:szCs w:val="21"/>
          <w:highlight w:val="none"/>
          <w:lang w:val="en-US" w:eastAsia="zh-CN"/>
        </w:rPr>
        <w:t>5</w:t>
      </w:r>
      <w:r>
        <w:rPr>
          <w:rFonts w:ascii="宋体" w:hAnsi="宋体" w:eastAsia="宋体" w:cs="Times New Roman"/>
          <w:color w:val="auto"/>
          <w:szCs w:val="21"/>
          <w:highlight w:val="none"/>
        </w:rPr>
        <w:t>0mm*</w:t>
      </w:r>
      <w:r>
        <w:rPr>
          <w:rFonts w:hint="eastAsia" w:ascii="宋体" w:hAnsi="宋体" w:eastAsia="宋体" w:cs="Times New Roman"/>
          <w:color w:val="auto"/>
          <w:szCs w:val="21"/>
          <w:highlight w:val="none"/>
          <w:lang w:val="en-US" w:eastAsia="zh-CN"/>
        </w:rPr>
        <w:t>3</w:t>
      </w:r>
      <w:r>
        <w:rPr>
          <w:rFonts w:ascii="宋体" w:hAnsi="宋体" w:eastAsia="宋体" w:cs="Times New Roman"/>
          <w:color w:val="auto"/>
          <w:szCs w:val="21"/>
          <w:highlight w:val="none"/>
        </w:rPr>
        <w:t>5mm</w:t>
      </w: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在出入口、上下坡、电梯出入口等需要车辆减速慢行的部位设置。</w:t>
      </w:r>
      <w:r>
        <w:rPr>
          <w:rFonts w:ascii="宋体" w:hAnsi="宋体" w:eastAsia="宋体" w:cs="Times New Roman"/>
          <w:color w:val="auto"/>
          <w:szCs w:val="21"/>
          <w:highlight w:val="none"/>
        </w:rPr>
        <w:t xml:space="preserve"> </w:t>
      </w:r>
    </w:p>
    <w:p w14:paraId="21E37E30">
      <w:pPr>
        <w:widowControl/>
        <w:autoSpaceDE w:val="0"/>
        <w:autoSpaceDN w:val="0"/>
        <w:adjustRightInd w:val="0"/>
        <w:spacing w:after="240" w:line="340" w:lineRule="atLeast"/>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7</w:t>
      </w: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护墙角：1</w:t>
      </w:r>
      <w:r>
        <w:rPr>
          <w:rFonts w:hint="eastAsia" w:ascii="宋体" w:hAnsi="宋体" w:eastAsia="宋体" w:cs="Times New Roman"/>
          <w:color w:val="auto"/>
          <w:szCs w:val="21"/>
          <w:highlight w:val="none"/>
        </w:rPr>
        <w:t>、使用高强橡胶护墙角，长度</w:t>
      </w:r>
      <w:r>
        <w:rPr>
          <w:rFonts w:ascii="宋体" w:hAnsi="宋体" w:eastAsia="宋体" w:cs="Times New Roman"/>
          <w:color w:val="auto"/>
          <w:szCs w:val="21"/>
          <w:highlight w:val="none"/>
        </w:rPr>
        <w:t>800mm</w:t>
      </w:r>
      <w:r>
        <w:rPr>
          <w:rFonts w:hint="eastAsia" w:ascii="宋体" w:hAnsi="宋体" w:eastAsia="宋体" w:cs="Times New Roman"/>
          <w:color w:val="auto"/>
          <w:szCs w:val="21"/>
          <w:highlight w:val="none"/>
        </w:rPr>
        <w:t>，宽度</w:t>
      </w:r>
      <w:r>
        <w:rPr>
          <w:rFonts w:ascii="宋体" w:hAnsi="宋体" w:eastAsia="宋体" w:cs="Times New Roman"/>
          <w:color w:val="auto"/>
          <w:szCs w:val="21"/>
          <w:highlight w:val="none"/>
        </w:rPr>
        <w:t>200(100+100)mm</w:t>
      </w:r>
      <w:r>
        <w:rPr>
          <w:rFonts w:hint="eastAsia" w:ascii="宋体" w:hAnsi="宋体" w:eastAsia="宋体" w:cs="Times New Roman"/>
          <w:color w:val="auto"/>
          <w:szCs w:val="21"/>
          <w:highlight w:val="none"/>
        </w:rPr>
        <w:t>，厚度</w:t>
      </w:r>
      <w:r>
        <w:rPr>
          <w:rFonts w:hint="eastAsia" w:ascii="宋体" w:hAnsi="宋体" w:eastAsia="宋体" w:cs="Times New Roman"/>
          <w:color w:val="auto"/>
          <w:szCs w:val="21"/>
          <w:highlight w:val="none"/>
          <w:lang w:val="en-US" w:eastAsia="zh-CN"/>
        </w:rPr>
        <w:t>8</w:t>
      </w:r>
      <w:bookmarkStart w:id="11" w:name="_GoBack"/>
      <w:bookmarkEnd w:id="11"/>
      <w:r>
        <w:rPr>
          <w:rFonts w:ascii="宋体" w:hAnsi="宋体" w:eastAsia="宋体" w:cs="Times New Roman"/>
          <w:color w:val="auto"/>
          <w:szCs w:val="21"/>
          <w:highlight w:val="none"/>
        </w:rPr>
        <w:t>.0mm</w:t>
      </w: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 xml:space="preserve"> 2</w:t>
      </w:r>
      <w:r>
        <w:rPr>
          <w:rFonts w:hint="eastAsia" w:ascii="宋体" w:hAnsi="宋体" w:eastAsia="宋体" w:cs="Times New Roman"/>
          <w:color w:val="auto"/>
          <w:szCs w:val="21"/>
          <w:highlight w:val="none"/>
        </w:rPr>
        <w:t>、护墙角表面采用嵌入式的高亮度黄色反光材料，黄黑相间</w:t>
      </w: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 xml:space="preserve"> 3</w:t>
      </w:r>
      <w:r>
        <w:rPr>
          <w:rFonts w:hint="eastAsia" w:ascii="宋体" w:hAnsi="宋体" w:eastAsia="宋体" w:cs="Times New Roman"/>
          <w:color w:val="auto"/>
          <w:szCs w:val="21"/>
          <w:highlight w:val="none"/>
        </w:rPr>
        <w:t>、护墙角贴距地</w:t>
      </w:r>
      <w:r>
        <w:rPr>
          <w:rFonts w:ascii="宋体" w:hAnsi="宋体" w:eastAsia="宋体" w:cs="Times New Roman"/>
          <w:color w:val="auto"/>
          <w:szCs w:val="21"/>
          <w:highlight w:val="none"/>
        </w:rPr>
        <w:t>100</w:t>
      </w:r>
      <w:r>
        <w:rPr>
          <w:rFonts w:hint="eastAsia" w:ascii="宋体" w:hAnsi="宋体" w:eastAsia="宋体" w:cs="Times New Roman"/>
          <w:color w:val="auto"/>
          <w:szCs w:val="21"/>
          <w:highlight w:val="none"/>
        </w:rPr>
        <w:t>安装，采用胶塞螺丝固定</w:t>
      </w: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 xml:space="preserve"> 4</w:t>
      </w:r>
      <w:r>
        <w:rPr>
          <w:rFonts w:hint="eastAsia" w:ascii="宋体" w:hAnsi="宋体" w:eastAsia="宋体" w:cs="Times New Roman"/>
          <w:color w:val="auto"/>
          <w:szCs w:val="21"/>
          <w:highlight w:val="none"/>
        </w:rPr>
        <w:t>、护墙角安装在车道两侧的立柱或通道突出部位。</w:t>
      </w:r>
      <w:r>
        <w:rPr>
          <w:rFonts w:ascii="宋体" w:hAnsi="宋体" w:eastAsia="宋体" w:cs="Times New Roman"/>
          <w:color w:val="auto"/>
          <w:szCs w:val="21"/>
          <w:highlight w:val="none"/>
        </w:rPr>
        <w:t xml:space="preserve"> </w:t>
      </w:r>
    </w:p>
    <w:p w14:paraId="06AD75C1">
      <w:pPr>
        <w:widowControl/>
        <w:autoSpaceDE w:val="0"/>
        <w:autoSpaceDN w:val="0"/>
        <w:adjustRightInd w:val="0"/>
        <w:spacing w:after="240" w:line="420" w:lineRule="atLeast"/>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8</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反光镜</w:t>
      </w:r>
      <w:r>
        <w:rPr>
          <w:rFonts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三防</w:t>
      </w:r>
      <w:r>
        <w:rPr>
          <w:rFonts w:hint="eastAsia" w:ascii="宋体" w:hAnsi="宋体" w:eastAsia="宋体" w:cs="Times New Roman"/>
          <w:color w:val="auto"/>
          <w:szCs w:val="21"/>
          <w:highlight w:val="none"/>
        </w:rPr>
        <w:t>镀膜安全凸镜</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，直径8</w:t>
      </w:r>
      <w:r>
        <w:rPr>
          <w:rFonts w:ascii="宋体" w:hAnsi="宋体" w:eastAsia="宋体" w:cs="Times New Roman"/>
          <w:color w:val="auto"/>
          <w:szCs w:val="21"/>
          <w:highlight w:val="none"/>
        </w:rPr>
        <w:t>00mm</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车库出入口、车道转弯处、多方向交叉口、电梯出入口均需设置反光镜</w:t>
      </w:r>
      <w:r>
        <w:rPr>
          <w:rFonts w:hint="eastAsia" w:ascii="宋体" w:hAnsi="宋体" w:eastAsia="宋体" w:cs="Times New Roman"/>
          <w:color w:val="auto"/>
          <w:szCs w:val="21"/>
          <w:highlight w:val="none"/>
          <w:lang w:eastAsia="zh-CN"/>
        </w:rPr>
        <w:t>；</w:t>
      </w:r>
      <w:r>
        <w:rPr>
          <w:rFonts w:ascii="宋体" w:hAnsi="宋体" w:eastAsia="宋体" w:cs="Times New Roman"/>
          <w:color w:val="auto"/>
          <w:szCs w:val="21"/>
          <w:highlight w:val="none"/>
        </w:rPr>
        <w:t xml:space="preserve"> </w:t>
      </w:r>
    </w:p>
    <w:p w14:paraId="7183A644">
      <w:pPr>
        <w:widowControl/>
        <w:autoSpaceDE w:val="0"/>
        <w:autoSpaceDN w:val="0"/>
        <w:adjustRightInd w:val="0"/>
        <w:spacing w:after="240" w:line="340" w:lineRule="atLeast"/>
        <w:jc w:val="left"/>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9</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交通标线、标识尺寸具体以实际设计尺寸为准。</w:t>
      </w:r>
    </w:p>
    <w:p w14:paraId="4238BA10">
      <w:pPr>
        <w:bidi w:val="0"/>
        <w:rPr>
          <w:b/>
          <w:bCs/>
          <w:color w:val="auto"/>
          <w:sz w:val="22"/>
          <w:szCs w:val="24"/>
          <w:highlight w:val="none"/>
        </w:rPr>
      </w:pPr>
      <w:bookmarkStart w:id="10" w:name="_Toc522182123"/>
      <w:r>
        <w:rPr>
          <w:rFonts w:hint="eastAsia"/>
          <w:b/>
          <w:bCs/>
          <w:color w:val="auto"/>
          <w:sz w:val="22"/>
          <w:szCs w:val="24"/>
          <w:highlight w:val="none"/>
          <w:lang w:val="en-US" w:eastAsia="zh-CN"/>
        </w:rPr>
        <w:t>二、</w:t>
      </w:r>
      <w:r>
        <w:rPr>
          <w:b/>
          <w:bCs/>
          <w:color w:val="auto"/>
          <w:sz w:val="22"/>
          <w:szCs w:val="24"/>
          <w:highlight w:val="none"/>
        </w:rPr>
        <w:t>质量要求、验收标准</w:t>
      </w:r>
      <w:bookmarkEnd w:id="10"/>
    </w:p>
    <w:p w14:paraId="0B281ADF">
      <w:pPr>
        <w:numPr>
          <w:ilvl w:val="1"/>
          <w:numId w:val="2"/>
        </w:numPr>
        <w:spacing w:line="400" w:lineRule="exact"/>
        <w:rPr>
          <w:rFonts w:ascii="宋体" w:hAnsi="宋体" w:eastAsia="宋体" w:cs="Times New Roman"/>
          <w:b/>
          <w:bCs/>
          <w:color w:val="auto"/>
          <w:szCs w:val="21"/>
          <w:highlight w:val="none"/>
        </w:rPr>
      </w:pPr>
      <w:r>
        <w:rPr>
          <w:rFonts w:ascii="宋体" w:hAnsi="宋体" w:eastAsia="宋体" w:cs="Times New Roman"/>
          <w:b/>
          <w:bCs/>
          <w:color w:val="auto"/>
          <w:szCs w:val="21"/>
          <w:highlight w:val="none"/>
        </w:rPr>
        <w:t>质量要求</w:t>
      </w:r>
    </w:p>
    <w:p w14:paraId="282FD582">
      <w:pPr>
        <w:numPr>
          <w:ilvl w:val="0"/>
          <w:numId w:val="3"/>
        </w:numPr>
        <w:spacing w:line="400" w:lineRule="exact"/>
        <w:ind w:left="284" w:leftChars="0"/>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标线涂料性能必须满足 JT/T 280‑2022；进场提供合格证、第三方检测报告。</w:t>
      </w:r>
    </w:p>
    <w:p w14:paraId="47DDD0AF">
      <w:pPr>
        <w:numPr>
          <w:ilvl w:val="0"/>
          <w:numId w:val="3"/>
        </w:numPr>
        <w:spacing w:line="400" w:lineRule="exact"/>
        <w:ind w:left="284" w:leftChars="0"/>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涂料有害物质限值符合 GB 30981.1‑2025，重金属铅、镉、汞等≤100mg/kg，无刺鼻异味。</w:t>
      </w:r>
    </w:p>
    <w:p w14:paraId="41768016">
      <w:pPr>
        <w:numPr>
          <w:ilvl w:val="0"/>
          <w:numId w:val="3"/>
        </w:numPr>
        <w:spacing w:line="400" w:lineRule="exact"/>
        <w:ind w:left="284" w:leftChars="0"/>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地面起砂、疏松部位不得直接划线，必须先做基层加固处理。</w:t>
      </w:r>
    </w:p>
    <w:p w14:paraId="602522F7">
      <w:pPr>
        <w:numPr>
          <w:ilvl w:val="0"/>
          <w:numId w:val="3"/>
        </w:numPr>
        <w:spacing w:line="400" w:lineRule="exact"/>
        <w:ind w:left="284" w:leftChars="0"/>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标线色泽均匀，白色、黄色颜色纯正，无色差、泛黄、发灰、斑驳。</w:t>
      </w:r>
    </w:p>
    <w:p w14:paraId="6CC2394B">
      <w:pPr>
        <w:numPr>
          <w:ilvl w:val="0"/>
          <w:numId w:val="3"/>
        </w:numPr>
        <w:spacing w:line="400" w:lineRule="exact"/>
        <w:ind w:left="284" w:leftChars="0"/>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线条顺直流畅，边缘清晰、无毛边、无溢料、无锯齿；曲线转角顺滑。</w:t>
      </w:r>
    </w:p>
    <w:p w14:paraId="00110B76">
      <w:pPr>
        <w:numPr>
          <w:ilvl w:val="0"/>
          <w:numId w:val="3"/>
        </w:numPr>
        <w:spacing w:line="400" w:lineRule="exact"/>
        <w:ind w:left="284" w:leftChars="0"/>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涂层表面无气泡、裂纹、针孔、流淌痕迹、划痕、漏涂。</w:t>
      </w:r>
    </w:p>
    <w:p w14:paraId="141EAB36">
      <w:pPr>
        <w:numPr>
          <w:ilvl w:val="0"/>
          <w:numId w:val="3"/>
        </w:numPr>
        <w:spacing w:line="400" w:lineRule="exact"/>
        <w:ind w:left="284" w:leftChars="0"/>
        <w:rPr>
          <w:rFonts w:ascii="宋体" w:hAnsi="宋体" w:eastAsia="宋体" w:cs="Times New Roman"/>
          <w:b w:val="0"/>
          <w:bCs/>
          <w:color w:val="auto"/>
          <w:szCs w:val="21"/>
          <w:highlight w:val="none"/>
        </w:rPr>
      </w:pPr>
      <w:r>
        <w:rPr>
          <w:rFonts w:hint="eastAsia" w:ascii="宋体" w:hAnsi="宋体" w:eastAsia="宋体" w:cs="Times New Roman"/>
          <w:b w:val="0"/>
          <w:bCs/>
          <w:color w:val="auto"/>
          <w:szCs w:val="21"/>
          <w:highlight w:val="none"/>
        </w:rPr>
        <w:t>箭头、文字、禁停网格、斑马线图形完整，边角清晰，无缺角变形。</w:t>
      </w:r>
    </w:p>
    <w:p w14:paraId="19B5C2D6">
      <w:pPr>
        <w:numPr>
          <w:ilvl w:val="0"/>
          <w:numId w:val="3"/>
        </w:numPr>
        <w:spacing w:line="400" w:lineRule="exact"/>
        <w:ind w:left="284" w:leftChars="0"/>
        <w:rPr>
          <w:rFonts w:ascii="宋体" w:hAnsi="宋体" w:eastAsia="宋体" w:cs="Times New Roman"/>
          <w:b w:val="0"/>
          <w:bCs/>
          <w:color w:val="auto"/>
          <w:szCs w:val="21"/>
          <w:highlight w:val="none"/>
        </w:rPr>
      </w:pPr>
      <w:r>
        <w:rPr>
          <w:rFonts w:hint="eastAsia" w:ascii="宋体" w:hAnsi="宋体" w:eastAsia="宋体" w:cs="Times New Roman"/>
          <w:b w:val="0"/>
          <w:bCs/>
          <w:color w:val="auto"/>
          <w:szCs w:val="21"/>
          <w:highlight w:val="none"/>
        </w:rPr>
        <w:t>标线与地面粘结牢固，无空鼓、起皮</w:t>
      </w:r>
    </w:p>
    <w:p w14:paraId="5E299E69">
      <w:pPr>
        <w:numPr>
          <w:ilvl w:val="1"/>
          <w:numId w:val="2"/>
        </w:numPr>
        <w:spacing w:line="400" w:lineRule="exact"/>
        <w:rPr>
          <w:rFonts w:ascii="宋体" w:hAnsi="宋体" w:eastAsia="宋体" w:cs="Times New Roman"/>
          <w:b/>
          <w:bCs/>
          <w:color w:val="auto"/>
          <w:szCs w:val="21"/>
          <w:highlight w:val="none"/>
        </w:rPr>
      </w:pPr>
      <w:r>
        <w:rPr>
          <w:rFonts w:ascii="宋体" w:hAnsi="宋体" w:eastAsia="宋体" w:cs="Times New Roman"/>
          <w:b/>
          <w:bCs/>
          <w:color w:val="auto"/>
          <w:szCs w:val="21"/>
          <w:highlight w:val="none"/>
        </w:rPr>
        <w:t>验收标准</w:t>
      </w:r>
    </w:p>
    <w:p w14:paraId="6FD4C761">
      <w:pPr>
        <w:numPr>
          <w:ilvl w:val="0"/>
          <w:numId w:val="4"/>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材料验收</w:t>
      </w:r>
    </w:p>
    <w:p w14:paraId="200DED61">
      <w:pPr>
        <w:spacing w:line="400" w:lineRule="exact"/>
        <w:ind w:firstLine="420" w:firstLineChars="200"/>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w:t>
      </w:r>
      <w:r>
        <w:rPr>
          <w:rFonts w:ascii="宋体" w:hAnsi="宋体" w:eastAsia="宋体" w:cs="Times New Roman"/>
          <w:bCs/>
          <w:color w:val="auto"/>
          <w:szCs w:val="21"/>
          <w:highlight w:val="none"/>
        </w:rPr>
        <w:t>1) 进场材料必须同时提供对应批次产品的检测报告、使用说明书、出厂合格证书等技术证明资料，并同时通知发包方项目工程师与监理工程师及材料接收方共同验收与接收。</w:t>
      </w:r>
    </w:p>
    <w:p w14:paraId="2D21B609">
      <w:pPr>
        <w:spacing w:line="400" w:lineRule="exact"/>
        <w:ind w:firstLine="420" w:firstLineChars="200"/>
        <w:rPr>
          <w:rFonts w:ascii="宋体" w:hAnsi="宋体" w:eastAsia="宋体" w:cs="Times New Roman"/>
          <w:bCs/>
          <w:color w:val="auto"/>
          <w:szCs w:val="21"/>
          <w:highlight w:val="none"/>
        </w:rPr>
      </w:pPr>
      <w:r>
        <w:rPr>
          <w:rFonts w:ascii="宋体" w:hAnsi="宋体" w:eastAsia="宋体" w:cs="Times New Roman"/>
          <w:bCs/>
          <w:color w:val="auto"/>
          <w:szCs w:val="21"/>
          <w:highlight w:val="none"/>
        </w:rPr>
        <w:t>(2) 甲方可对进场材料需要随机进行见证抽样送检(地方行政主管部门有特殊要求的情况，按当地要求检验频次执行，见证人为甲方现场工程师或授权监理工程师)。</w:t>
      </w:r>
    </w:p>
    <w:p w14:paraId="1E8D3427">
      <w:pPr>
        <w:numPr>
          <w:ilvl w:val="0"/>
          <w:numId w:val="4"/>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施工验收</w:t>
      </w:r>
    </w:p>
    <w:p w14:paraId="2DF46165">
      <w:pPr>
        <w:spacing w:line="400" w:lineRule="exact"/>
        <w:ind w:firstLine="420" w:firstLineChars="200"/>
        <w:rPr>
          <w:rFonts w:ascii="宋体" w:hAnsi="宋体" w:eastAsia="宋体" w:cs="Times New Roman"/>
          <w:bCs/>
          <w:color w:val="auto"/>
          <w:szCs w:val="21"/>
          <w:highlight w:val="none"/>
        </w:rPr>
      </w:pPr>
      <w:r>
        <w:rPr>
          <w:rFonts w:ascii="宋体" w:hAnsi="宋体" w:eastAsia="宋体" w:cs="Times New Roman"/>
          <w:bCs/>
          <w:color w:val="auto"/>
          <w:szCs w:val="21"/>
          <w:highlight w:val="none"/>
        </w:rPr>
        <w:t>(1) 厚度要求</w:t>
      </w:r>
    </w:p>
    <w:p w14:paraId="5E8B5707">
      <w:pPr>
        <w:spacing w:line="400" w:lineRule="exact"/>
        <w:ind w:firstLine="420" w:firstLineChars="200"/>
        <w:rPr>
          <w:rFonts w:ascii="宋体" w:hAnsi="宋体" w:eastAsia="宋体" w:cs="Times New Roman"/>
          <w:bCs/>
          <w:color w:val="auto"/>
          <w:szCs w:val="21"/>
          <w:highlight w:val="none"/>
        </w:rPr>
      </w:pPr>
      <w:r>
        <w:rPr>
          <w:rFonts w:ascii="宋体" w:hAnsi="宋体" w:eastAsia="宋体" w:cs="Times New Roman"/>
          <w:bCs/>
          <w:color w:val="auto"/>
          <w:szCs w:val="21"/>
          <w:highlight w:val="none"/>
        </w:rPr>
        <w:t>施工过程中由甲方监督，每道工序完成后，待甲方签字确认后方可进行下一道工序，以确保工程质量</w:t>
      </w:r>
      <w:r>
        <w:rPr>
          <w:rFonts w:hint="eastAsia" w:ascii="宋体" w:hAnsi="宋体" w:eastAsia="宋体" w:cs="Times New Roman"/>
          <w:bCs/>
          <w:color w:val="auto"/>
          <w:szCs w:val="21"/>
          <w:highlight w:val="none"/>
          <w:lang w:eastAsia="zh-CN"/>
        </w:rPr>
        <w:t>，</w:t>
      </w:r>
      <w:r>
        <w:rPr>
          <w:rFonts w:hint="eastAsia" w:ascii="宋体" w:hAnsi="宋体" w:eastAsia="宋体" w:cs="Times New Roman"/>
          <w:bCs/>
          <w:color w:val="auto"/>
          <w:szCs w:val="21"/>
          <w:highlight w:val="none"/>
          <w:lang w:val="en-US" w:eastAsia="zh-CN"/>
        </w:rPr>
        <w:t>厚度满足质量验收规范的要求</w:t>
      </w:r>
      <w:r>
        <w:rPr>
          <w:rFonts w:ascii="宋体" w:hAnsi="宋体" w:eastAsia="宋体" w:cs="Times New Roman"/>
          <w:bCs/>
          <w:color w:val="auto"/>
          <w:szCs w:val="21"/>
          <w:highlight w:val="none"/>
        </w:rPr>
        <w:t>。</w:t>
      </w:r>
    </w:p>
    <w:p w14:paraId="0887AA49">
      <w:pPr>
        <w:numPr>
          <w:ilvl w:val="1"/>
          <w:numId w:val="2"/>
        </w:numPr>
        <w:spacing w:line="400" w:lineRule="exact"/>
        <w:rPr>
          <w:rFonts w:ascii="宋体" w:hAnsi="宋体" w:eastAsia="宋体" w:cs="Times New Roman"/>
          <w:b/>
          <w:bCs/>
          <w:color w:val="auto"/>
          <w:szCs w:val="21"/>
          <w:highlight w:val="none"/>
        </w:rPr>
      </w:pPr>
      <w:r>
        <w:rPr>
          <w:rFonts w:ascii="宋体" w:hAnsi="宋体" w:eastAsia="宋体" w:cs="Times New Roman"/>
          <w:b/>
          <w:bCs/>
          <w:color w:val="auto"/>
          <w:szCs w:val="21"/>
          <w:highlight w:val="none"/>
        </w:rPr>
        <w:t>施工设备与管理</w:t>
      </w:r>
    </w:p>
    <w:p w14:paraId="4EB77AAF">
      <w:pPr>
        <w:numPr>
          <w:ilvl w:val="0"/>
          <w:numId w:val="5"/>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施工单位需拥有处理不同基面的专用施工设备，如：喷砂机、铣刨机、磨平机、镘平机、吸尘器等。</w:t>
      </w:r>
    </w:p>
    <w:p w14:paraId="5D4989A5">
      <w:pPr>
        <w:numPr>
          <w:ilvl w:val="0"/>
          <w:numId w:val="5"/>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施工人员需经过培训，操作熟练，均具有多年对处理不同基面各种工法应用及临场技术应变能力的丰富经验。</w:t>
      </w:r>
    </w:p>
    <w:p w14:paraId="4ACBB396">
      <w:pPr>
        <w:numPr>
          <w:ilvl w:val="0"/>
          <w:numId w:val="5"/>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每个项目配有项目经理，施工队长及技术工程师对项目实施专责管理，保证施工现场有负责人跟踪并协调各项事宜。</w:t>
      </w:r>
    </w:p>
    <w:p w14:paraId="6D9A0BC4">
      <w:pPr>
        <w:numPr>
          <w:ilvl w:val="0"/>
          <w:numId w:val="5"/>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严格按照有关合同条款，施工进度计划执行。</w:t>
      </w:r>
    </w:p>
    <w:p w14:paraId="0BFCF02A">
      <w:pPr>
        <w:spacing w:line="400" w:lineRule="exact"/>
        <w:rPr>
          <w:rFonts w:ascii="宋体" w:hAnsi="宋体" w:eastAsia="宋体" w:cs="Times New Roman"/>
          <w:bCs/>
          <w:color w:val="auto"/>
          <w:szCs w:val="21"/>
          <w:highlight w:val="none"/>
        </w:rPr>
      </w:pPr>
    </w:p>
    <w:p w14:paraId="1C665529">
      <w:pPr>
        <w:numPr>
          <w:ilvl w:val="1"/>
          <w:numId w:val="2"/>
        </w:numPr>
        <w:spacing w:line="400" w:lineRule="exact"/>
        <w:rPr>
          <w:rFonts w:ascii="宋体" w:hAnsi="宋体" w:eastAsia="宋体" w:cs="Times New Roman"/>
          <w:b/>
          <w:bCs/>
          <w:color w:val="auto"/>
          <w:szCs w:val="21"/>
          <w:highlight w:val="none"/>
        </w:rPr>
      </w:pPr>
      <w:r>
        <w:rPr>
          <w:rFonts w:ascii="宋体" w:hAnsi="宋体" w:eastAsia="宋体" w:cs="Times New Roman"/>
          <w:b/>
          <w:bCs/>
          <w:color w:val="auto"/>
          <w:szCs w:val="21"/>
          <w:highlight w:val="none"/>
        </w:rPr>
        <w:t>施工质量保证体系</w:t>
      </w:r>
    </w:p>
    <w:p w14:paraId="7F5BDD88">
      <w:pPr>
        <w:numPr>
          <w:ilvl w:val="0"/>
          <w:numId w:val="6"/>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施工前现场勘察</w:t>
      </w:r>
    </w:p>
    <w:p w14:paraId="1007CE8D">
      <w:pPr>
        <w:spacing w:line="400" w:lineRule="exact"/>
        <w:ind w:firstLine="420" w:firstLineChars="200"/>
        <w:rPr>
          <w:rFonts w:ascii="宋体" w:hAnsi="宋体" w:eastAsia="宋体" w:cs="Times New Roman"/>
          <w:bCs/>
          <w:color w:val="auto"/>
          <w:szCs w:val="21"/>
          <w:highlight w:val="none"/>
        </w:rPr>
      </w:pPr>
      <w:r>
        <w:rPr>
          <w:rFonts w:ascii="宋体" w:hAnsi="宋体" w:eastAsia="宋体" w:cs="Times New Roman"/>
          <w:bCs/>
          <w:color w:val="auto"/>
          <w:szCs w:val="21"/>
          <w:highlight w:val="none"/>
        </w:rPr>
        <w:t>在制定施工方案前，应组织专业工程师前往施工现场勘察，包括：地坪状况、基础完成时间、干燥程度、平整度、强度、有可能交叉施工的项目情况；</w:t>
      </w:r>
    </w:p>
    <w:p w14:paraId="7A17585E">
      <w:pPr>
        <w:numPr>
          <w:ilvl w:val="0"/>
          <w:numId w:val="6"/>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制定施工方案</w:t>
      </w:r>
    </w:p>
    <w:p w14:paraId="35D6BFD6">
      <w:pPr>
        <w:spacing w:line="400" w:lineRule="exact"/>
        <w:ind w:firstLine="420" w:firstLineChars="200"/>
        <w:rPr>
          <w:rFonts w:ascii="宋体" w:hAnsi="宋体" w:eastAsia="宋体" w:cs="Times New Roman"/>
          <w:bCs/>
          <w:color w:val="auto"/>
          <w:szCs w:val="21"/>
          <w:highlight w:val="none"/>
        </w:rPr>
      </w:pPr>
      <w:r>
        <w:rPr>
          <w:rFonts w:ascii="宋体" w:hAnsi="宋体" w:eastAsia="宋体" w:cs="Times New Roman"/>
          <w:bCs/>
          <w:color w:val="auto"/>
          <w:szCs w:val="21"/>
          <w:highlight w:val="none"/>
        </w:rPr>
        <w:t>根据勘察结果，制定详细的施工方案，召集相关技术人员，研究方案的合理性、可行性并形成最终施工方案。</w:t>
      </w:r>
    </w:p>
    <w:p w14:paraId="0564F7C3">
      <w:pPr>
        <w:numPr>
          <w:ilvl w:val="0"/>
          <w:numId w:val="6"/>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确定项目负责人和项目管理规程</w:t>
      </w:r>
    </w:p>
    <w:p w14:paraId="0EFB3CF3">
      <w:pPr>
        <w:spacing w:line="400" w:lineRule="exact"/>
        <w:ind w:firstLine="420" w:firstLineChars="200"/>
        <w:rPr>
          <w:rFonts w:ascii="宋体" w:hAnsi="宋体" w:eastAsia="宋体" w:cs="Times New Roman"/>
          <w:bCs/>
          <w:color w:val="auto"/>
          <w:szCs w:val="21"/>
          <w:highlight w:val="none"/>
        </w:rPr>
      </w:pPr>
      <w:r>
        <w:rPr>
          <w:rFonts w:ascii="宋体" w:hAnsi="宋体" w:eastAsia="宋体" w:cs="Times New Roman"/>
          <w:bCs/>
          <w:color w:val="auto"/>
          <w:szCs w:val="21"/>
          <w:highlight w:val="none"/>
        </w:rPr>
        <w:t>选派工程项目负责人，首先必须熟悉详细施工步骤，按施工要求，组织专业施工队伍和落实施工设备，做好施工前的一切准备工作。项目负责人对该项目的工程质量、安全无事故负全面责任。由项目负责人组建的项目管理班子实施项目的管理，并做好沟通、协调、提交报表等工作。</w:t>
      </w:r>
    </w:p>
    <w:p w14:paraId="5B357575">
      <w:pPr>
        <w:numPr>
          <w:ilvl w:val="0"/>
          <w:numId w:val="6"/>
        </w:numPr>
        <w:spacing w:line="400" w:lineRule="exact"/>
        <w:rPr>
          <w:rFonts w:ascii="宋体" w:hAnsi="宋体" w:eastAsia="宋体" w:cs="Times New Roman"/>
          <w:bCs/>
          <w:color w:val="auto"/>
          <w:szCs w:val="21"/>
          <w:highlight w:val="none"/>
        </w:rPr>
      </w:pPr>
      <w:r>
        <w:rPr>
          <w:rFonts w:ascii="宋体" w:hAnsi="宋体" w:eastAsia="宋体" w:cs="Times New Roman"/>
          <w:bCs/>
          <w:color w:val="auto"/>
          <w:szCs w:val="21"/>
          <w:highlight w:val="none"/>
        </w:rPr>
        <w:t>确定技术负责人</w:t>
      </w:r>
    </w:p>
    <w:p w14:paraId="444A9DF9">
      <w:pPr>
        <w:spacing w:line="400" w:lineRule="exact"/>
        <w:ind w:firstLine="420" w:firstLineChars="200"/>
        <w:rPr>
          <w:rFonts w:ascii="宋体" w:hAnsi="宋体" w:eastAsia="宋体" w:cs="Times New Roman"/>
          <w:bCs/>
          <w:color w:val="auto"/>
          <w:szCs w:val="21"/>
          <w:highlight w:val="none"/>
        </w:rPr>
      </w:pPr>
      <w:r>
        <w:rPr>
          <w:rFonts w:ascii="宋体" w:hAnsi="宋体" w:eastAsia="宋体" w:cs="Times New Roman"/>
          <w:bCs/>
          <w:color w:val="auto"/>
          <w:szCs w:val="21"/>
          <w:highlight w:val="none"/>
        </w:rPr>
        <w:t>每个项目专门指派技术负责人，负责对项目施工过程中出现的质量问题、技术问题机型现场分析并及时解决。</w:t>
      </w:r>
    </w:p>
    <w:p w14:paraId="0BDFDEFE">
      <w:pPr>
        <w:spacing w:line="400" w:lineRule="exact"/>
        <w:rPr>
          <w:rFonts w:ascii="宋体" w:hAnsi="宋体" w:eastAsia="宋体" w:cs="Times New Roman"/>
          <w:bCs/>
          <w:color w:val="auto"/>
          <w:szCs w:val="21"/>
          <w:highlight w:val="none"/>
        </w:rPr>
      </w:pPr>
    </w:p>
    <w:p w14:paraId="1C7B7304">
      <w:pPr>
        <w:numPr>
          <w:ilvl w:val="1"/>
          <w:numId w:val="2"/>
        </w:numPr>
        <w:spacing w:line="400" w:lineRule="exact"/>
        <w:rPr>
          <w:rFonts w:ascii="宋体" w:hAnsi="宋体" w:eastAsia="宋体" w:cs="Times New Roman"/>
          <w:b/>
          <w:bCs/>
          <w:color w:val="auto"/>
          <w:szCs w:val="21"/>
          <w:highlight w:val="none"/>
        </w:rPr>
      </w:pPr>
      <w:r>
        <w:rPr>
          <w:rFonts w:ascii="宋体" w:hAnsi="宋体" w:eastAsia="宋体" w:cs="Times New Roman"/>
          <w:b/>
          <w:bCs/>
          <w:color w:val="auto"/>
          <w:szCs w:val="21"/>
          <w:highlight w:val="none"/>
        </w:rPr>
        <w:t>保修服务要求</w:t>
      </w:r>
    </w:p>
    <w:p w14:paraId="6FD20DF0">
      <w:pPr>
        <w:spacing w:line="400" w:lineRule="exact"/>
        <w:ind w:firstLine="420" w:firstLineChars="200"/>
        <w:rPr>
          <w:rFonts w:hint="eastAsia" w:ascii="宋体" w:hAnsi="宋体" w:eastAsia="宋体" w:cs="Times New Roman"/>
          <w:bCs/>
          <w:color w:val="auto"/>
          <w:szCs w:val="21"/>
          <w:highlight w:val="none"/>
          <w:lang w:eastAsia="zh-CN"/>
        </w:rPr>
      </w:pPr>
      <w:r>
        <w:rPr>
          <w:rFonts w:hint="eastAsia" w:ascii="宋体" w:hAnsi="宋体" w:eastAsia="宋体" w:cs="Times New Roman"/>
          <w:bCs/>
          <w:color w:val="auto"/>
          <w:szCs w:val="21"/>
          <w:highlight w:val="none"/>
          <w:lang w:val="en-US" w:eastAsia="zh-CN"/>
        </w:rPr>
        <w:t>自集中交付起，两年</w:t>
      </w:r>
      <w:r>
        <w:rPr>
          <w:rFonts w:ascii="宋体" w:hAnsi="宋体" w:eastAsia="宋体" w:cs="Times New Roman"/>
          <w:bCs/>
          <w:color w:val="auto"/>
          <w:szCs w:val="21"/>
          <w:highlight w:val="none"/>
        </w:rPr>
        <w:t>保修期内因施工造成的质量问题或产品质量问题，</w:t>
      </w:r>
      <w:r>
        <w:rPr>
          <w:rFonts w:hint="eastAsia" w:ascii="宋体" w:hAnsi="宋体" w:eastAsia="宋体" w:cs="Times New Roman"/>
          <w:bCs/>
          <w:color w:val="auto"/>
          <w:szCs w:val="21"/>
          <w:highlight w:val="none"/>
          <w:lang w:val="en-US" w:eastAsia="zh-CN"/>
        </w:rPr>
        <w:t>由</w:t>
      </w:r>
      <w:r>
        <w:rPr>
          <w:rFonts w:ascii="宋体" w:hAnsi="宋体" w:eastAsia="宋体" w:cs="Times New Roman"/>
          <w:bCs/>
          <w:color w:val="auto"/>
          <w:szCs w:val="21"/>
          <w:highlight w:val="none"/>
        </w:rPr>
        <w:t>施工方负责免费维修</w:t>
      </w:r>
      <w:r>
        <w:rPr>
          <w:rFonts w:hint="eastAsia" w:ascii="宋体" w:hAnsi="宋体" w:eastAsia="宋体" w:cs="Times New Roman"/>
          <w:bCs/>
          <w:color w:val="auto"/>
          <w:szCs w:val="21"/>
          <w:highlight w:val="none"/>
          <w:lang w:eastAsia="zh-CN"/>
        </w:rPr>
        <w:t>。</w:t>
      </w:r>
    </w:p>
    <w:p w14:paraId="537F848E">
      <w:pPr>
        <w:spacing w:line="400" w:lineRule="exact"/>
        <w:rPr>
          <w:rFonts w:ascii="宋体" w:hAnsi="宋体" w:eastAsia="宋体" w:cs="Times New Roman"/>
          <w:color w:val="auto"/>
          <w:szCs w:val="21"/>
          <w:highlight w:val="none"/>
        </w:rPr>
      </w:pPr>
    </w:p>
    <w:bookmarkEnd w:id="5"/>
    <w:p w14:paraId="2D26AA64">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251170"/>
    </w:sdtPr>
    <w:sdtContent>
      <w:p w14:paraId="0F36C2CB">
        <w:pPr>
          <w:pStyle w:val="24"/>
          <w:jc w:val="center"/>
        </w:pPr>
        <w:r>
          <w:fldChar w:fldCharType="begin"/>
        </w:r>
        <w:r>
          <w:instrText xml:space="preserve">PAGE   \* MERGEFORMAT</w:instrText>
        </w:r>
        <w:r>
          <w:fldChar w:fldCharType="separate"/>
        </w:r>
        <w:r>
          <w:rPr>
            <w:lang w:val="zh-CN"/>
          </w:rPr>
          <w:t>13</w:t>
        </w:r>
        <w:r>
          <w:fldChar w:fldCharType="end"/>
        </w:r>
      </w:p>
    </w:sdtContent>
  </w:sdt>
  <w:p w14:paraId="7692FDDA">
    <w:pPr>
      <w:pStyle w:val="2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302F"/>
    <w:multiLevelType w:val="multilevel"/>
    <w:tmpl w:val="00C5302F"/>
    <w:lvl w:ilvl="0" w:tentative="0">
      <w:start w:val="1"/>
      <w:numFmt w:val="decimal"/>
      <w:suff w:val="nothing"/>
      <w:lvlText w:val="%1."/>
      <w:lvlJc w:val="left"/>
      <w:pPr>
        <w:ind w:left="624" w:hanging="198"/>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E706F3A"/>
    <w:multiLevelType w:val="multilevel"/>
    <w:tmpl w:val="1E706F3A"/>
    <w:lvl w:ilvl="0" w:tentative="0">
      <w:start w:val="1"/>
      <w:numFmt w:val="decimal"/>
      <w:lvlText w:val="%1、"/>
      <w:lvlJc w:val="left"/>
      <w:pPr>
        <w:tabs>
          <w:tab w:val="left" w:pos="425"/>
        </w:tabs>
        <w:ind w:left="425" w:hanging="425"/>
      </w:pPr>
      <w:rPr>
        <w:rFonts w:hint="eastAsia"/>
      </w:rPr>
    </w:lvl>
    <w:lvl w:ilvl="1" w:tentative="0">
      <w:start w:val="1"/>
      <w:numFmt w:val="japaneseCounting"/>
      <w:lvlText w:val="%2、"/>
      <w:lvlJc w:val="left"/>
      <w:pPr>
        <w:tabs>
          <w:tab w:val="left" w:pos="425"/>
        </w:tabs>
        <w:ind w:left="425" w:hanging="425"/>
      </w:pPr>
      <w:rPr>
        <w:rFonts w:hint="eastAsia" w:ascii="宋体" w:hAnsi="宋体" w:eastAsia="宋体"/>
        <w:sz w:val="21"/>
        <w:szCs w:val="28"/>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2CBF66F4"/>
    <w:multiLevelType w:val="multilevel"/>
    <w:tmpl w:val="2CBF66F4"/>
    <w:lvl w:ilvl="0" w:tentative="0">
      <w:start w:val="1"/>
      <w:numFmt w:val="decimal"/>
      <w:suff w:val="nothing"/>
      <w:lvlText w:val="%1."/>
      <w:lvlJc w:val="left"/>
      <w:pPr>
        <w:ind w:left="624" w:hanging="198"/>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98433FB"/>
    <w:multiLevelType w:val="multilevel"/>
    <w:tmpl w:val="398433FB"/>
    <w:lvl w:ilvl="0" w:tentative="0">
      <w:start w:val="1"/>
      <w:numFmt w:val="decimal"/>
      <w:suff w:val="nothing"/>
      <w:lvlText w:val="%1."/>
      <w:lvlJc w:val="left"/>
      <w:pPr>
        <w:ind w:left="624" w:hanging="198"/>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8771E73"/>
    <w:multiLevelType w:val="singleLevel"/>
    <w:tmpl w:val="48771E73"/>
    <w:lvl w:ilvl="0" w:tentative="0">
      <w:start w:val="1"/>
      <w:numFmt w:val="decimal"/>
      <w:suff w:val="nothing"/>
      <w:lvlText w:val="（%1）"/>
      <w:lvlJc w:val="left"/>
    </w:lvl>
  </w:abstractNum>
  <w:abstractNum w:abstractNumId="5">
    <w:nsid w:val="61373452"/>
    <w:multiLevelType w:val="multilevel"/>
    <w:tmpl w:val="61373452"/>
    <w:lvl w:ilvl="0" w:tentative="0">
      <w:start w:val="1"/>
      <w:numFmt w:val="chineseCountingThousand"/>
      <w:lvlText w:val="(%1)"/>
      <w:lvlJc w:val="left"/>
      <w:pPr>
        <w:ind w:left="840" w:hanging="420"/>
      </w:pPr>
    </w:lvl>
    <w:lvl w:ilvl="1" w:tentative="0">
      <w:start w:val="1"/>
      <w:numFmt w:val="chineseCountingThousand"/>
      <w:lvlText w:val="(%2)"/>
      <w:lvlJc w:val="left"/>
      <w:pPr>
        <w:ind w:left="704" w:hanging="420"/>
      </w:pPr>
    </w:lvl>
    <w:lvl w:ilvl="2" w:tentative="0">
      <w:start w:val="1"/>
      <w:numFmt w:val="decimal"/>
      <w:lvlText w:val="%3、"/>
      <w:lvlJc w:val="left"/>
      <w:pPr>
        <w:ind w:left="1620" w:hanging="360"/>
      </w:pPr>
      <w:rPr>
        <w:rFonts w:hint="default"/>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ODZjYjkxOWZhMDYzNjVjZDkxMjUyNTA3OTFiNTAifQ=="/>
  </w:docVars>
  <w:rsids>
    <w:rsidRoot w:val="002612FF"/>
    <w:rsid w:val="00006973"/>
    <w:rsid w:val="0000790B"/>
    <w:rsid w:val="000274F9"/>
    <w:rsid w:val="00062DB0"/>
    <w:rsid w:val="000728C2"/>
    <w:rsid w:val="000F57F6"/>
    <w:rsid w:val="00115CE5"/>
    <w:rsid w:val="001C2D2B"/>
    <w:rsid w:val="001D06BE"/>
    <w:rsid w:val="00240C58"/>
    <w:rsid w:val="002612FF"/>
    <w:rsid w:val="00263646"/>
    <w:rsid w:val="00266150"/>
    <w:rsid w:val="00284748"/>
    <w:rsid w:val="002D20CA"/>
    <w:rsid w:val="0037226D"/>
    <w:rsid w:val="00395688"/>
    <w:rsid w:val="003D3332"/>
    <w:rsid w:val="003D73F4"/>
    <w:rsid w:val="003E7DDB"/>
    <w:rsid w:val="004459C5"/>
    <w:rsid w:val="00446B05"/>
    <w:rsid w:val="00495770"/>
    <w:rsid w:val="004F1289"/>
    <w:rsid w:val="004F6910"/>
    <w:rsid w:val="005141AA"/>
    <w:rsid w:val="00583ACE"/>
    <w:rsid w:val="005C3758"/>
    <w:rsid w:val="005D0B49"/>
    <w:rsid w:val="005F0588"/>
    <w:rsid w:val="006049BD"/>
    <w:rsid w:val="00706070"/>
    <w:rsid w:val="00707298"/>
    <w:rsid w:val="007C0957"/>
    <w:rsid w:val="00827A52"/>
    <w:rsid w:val="0086412B"/>
    <w:rsid w:val="0095318C"/>
    <w:rsid w:val="00964279"/>
    <w:rsid w:val="009A3FF3"/>
    <w:rsid w:val="00A22858"/>
    <w:rsid w:val="00A8523F"/>
    <w:rsid w:val="00A920F3"/>
    <w:rsid w:val="00AF5BA4"/>
    <w:rsid w:val="00BC2FBD"/>
    <w:rsid w:val="00BC6ED3"/>
    <w:rsid w:val="00C75FC4"/>
    <w:rsid w:val="00CA6BF6"/>
    <w:rsid w:val="00CB7DC6"/>
    <w:rsid w:val="00D37FF9"/>
    <w:rsid w:val="00DB2E33"/>
    <w:rsid w:val="00DF4898"/>
    <w:rsid w:val="00E41B72"/>
    <w:rsid w:val="00E63E32"/>
    <w:rsid w:val="00EB7C91"/>
    <w:rsid w:val="00F5597E"/>
    <w:rsid w:val="01044C84"/>
    <w:rsid w:val="0AE4604C"/>
    <w:rsid w:val="12BD5252"/>
    <w:rsid w:val="12EF4D7C"/>
    <w:rsid w:val="13DF1463"/>
    <w:rsid w:val="14657CCC"/>
    <w:rsid w:val="193D20F8"/>
    <w:rsid w:val="19DB71FB"/>
    <w:rsid w:val="24C3687B"/>
    <w:rsid w:val="25F3318A"/>
    <w:rsid w:val="29F61D99"/>
    <w:rsid w:val="2D046767"/>
    <w:rsid w:val="2D6648F3"/>
    <w:rsid w:val="2DDB2E87"/>
    <w:rsid w:val="3033122E"/>
    <w:rsid w:val="35DC7E93"/>
    <w:rsid w:val="37F67700"/>
    <w:rsid w:val="39BF2416"/>
    <w:rsid w:val="3D712C20"/>
    <w:rsid w:val="3E377C66"/>
    <w:rsid w:val="3E481E73"/>
    <w:rsid w:val="43D9356D"/>
    <w:rsid w:val="453227C1"/>
    <w:rsid w:val="4823143B"/>
    <w:rsid w:val="492C775C"/>
    <w:rsid w:val="496F29A9"/>
    <w:rsid w:val="4A67244B"/>
    <w:rsid w:val="4C3C03FF"/>
    <w:rsid w:val="4F8512CA"/>
    <w:rsid w:val="515F78D8"/>
    <w:rsid w:val="51717247"/>
    <w:rsid w:val="52D74277"/>
    <w:rsid w:val="5A2F1CE1"/>
    <w:rsid w:val="5DDA2C91"/>
    <w:rsid w:val="5F3E78E8"/>
    <w:rsid w:val="605E3788"/>
    <w:rsid w:val="624502F4"/>
    <w:rsid w:val="69204E76"/>
    <w:rsid w:val="69561038"/>
    <w:rsid w:val="6A801B88"/>
    <w:rsid w:val="746E5488"/>
    <w:rsid w:val="78871B9A"/>
    <w:rsid w:val="7C331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qFormat="1" w:unhideWhenUsed="0"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99" w:semiHidden="0" w:name="footnote reference"/>
    <w:lsdException w:qFormat="1" w:unhideWhenUsed="0" w:uiPriority="0" w:name="annotation reference"/>
    <w:lsdException w:qFormat="1" w:uiPriority="99"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7"/>
    <w:qFormat/>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paragraph" w:styleId="3">
    <w:name w:val="heading 2"/>
    <w:basedOn w:val="1"/>
    <w:next w:val="1"/>
    <w:link w:val="48"/>
    <w:qFormat/>
    <w:uiPriority w:val="0"/>
    <w:pPr>
      <w:keepNext/>
      <w:keepLines/>
      <w:spacing w:before="260" w:after="260" w:line="413" w:lineRule="auto"/>
      <w:outlineLvl w:val="1"/>
    </w:pPr>
    <w:rPr>
      <w:rFonts w:ascii="Arial" w:hAnsi="Arial" w:eastAsia="黑体" w:cs="Times New Roman"/>
      <w:b/>
      <w:bCs/>
      <w:sz w:val="32"/>
      <w:szCs w:val="32"/>
    </w:rPr>
  </w:style>
  <w:style w:type="paragraph" w:styleId="4">
    <w:name w:val="heading 3"/>
    <w:basedOn w:val="1"/>
    <w:next w:val="5"/>
    <w:link w:val="49"/>
    <w:qFormat/>
    <w:uiPriority w:val="9"/>
    <w:pPr>
      <w:keepNext/>
      <w:keepLines/>
      <w:tabs>
        <w:tab w:val="left" w:pos="5852"/>
      </w:tabs>
      <w:snapToGrid w:val="0"/>
      <w:spacing w:before="360" w:line="240" w:lineRule="exact"/>
      <w:ind w:left="425" w:hanging="425"/>
      <w:outlineLvl w:val="2"/>
    </w:pPr>
    <w:rPr>
      <w:rFonts w:ascii="Times New Roman" w:hAnsi="Times New Roman" w:eastAsia="宋体" w:cs="Times New Roman"/>
      <w:b/>
      <w:sz w:val="28"/>
      <w:szCs w:val="24"/>
    </w:rPr>
  </w:style>
  <w:style w:type="paragraph" w:styleId="6">
    <w:name w:val="heading 4"/>
    <w:basedOn w:val="1"/>
    <w:next w:val="5"/>
    <w:link w:val="50"/>
    <w:qFormat/>
    <w:uiPriority w:val="9"/>
    <w:pPr>
      <w:keepNext/>
      <w:keepLines/>
      <w:tabs>
        <w:tab w:val="left" w:pos="425"/>
      </w:tabs>
      <w:spacing w:before="360" w:line="240" w:lineRule="exact"/>
      <w:ind w:left="425" w:hanging="425"/>
      <w:outlineLvl w:val="3"/>
    </w:pPr>
    <w:rPr>
      <w:rFonts w:ascii="宋体" w:hAnsi="Times New Roman" w:eastAsia="宋体" w:cs="Times New Roman"/>
      <w:b/>
      <w:sz w:val="24"/>
      <w:szCs w:val="24"/>
    </w:rPr>
  </w:style>
  <w:style w:type="paragraph" w:styleId="7">
    <w:name w:val="heading 5"/>
    <w:basedOn w:val="1"/>
    <w:next w:val="1"/>
    <w:link w:val="51"/>
    <w:qFormat/>
    <w:uiPriority w:val="0"/>
    <w:pPr>
      <w:keepNext/>
      <w:keepLines/>
      <w:spacing w:before="280" w:after="290" w:line="372" w:lineRule="auto"/>
      <w:outlineLvl w:val="4"/>
    </w:pPr>
    <w:rPr>
      <w:rFonts w:ascii="Times New Roman" w:hAnsi="Times New Roman" w:eastAsia="宋体" w:cs="Times New Roman"/>
      <w:b/>
      <w:bCs/>
      <w:sz w:val="28"/>
      <w:szCs w:val="28"/>
    </w:rPr>
  </w:style>
  <w:style w:type="paragraph" w:styleId="8">
    <w:name w:val="heading 6"/>
    <w:basedOn w:val="1"/>
    <w:next w:val="1"/>
    <w:link w:val="52"/>
    <w:qFormat/>
    <w:uiPriority w:val="0"/>
    <w:pPr>
      <w:adjustRightInd w:val="0"/>
      <w:snapToGrid w:val="0"/>
      <w:outlineLvl w:val="5"/>
    </w:pPr>
    <w:rPr>
      <w:rFonts w:ascii="Arial" w:hAnsi="Arial" w:eastAsia="华文中宋" w:cs="Times New Roman"/>
      <w:b/>
      <w:color w:val="000000"/>
      <w:szCs w:val="24"/>
    </w:rPr>
  </w:style>
  <w:style w:type="paragraph" w:styleId="9">
    <w:name w:val="heading 7"/>
    <w:basedOn w:val="1"/>
    <w:next w:val="1"/>
    <w:link w:val="53"/>
    <w:qFormat/>
    <w:uiPriority w:val="0"/>
    <w:pPr>
      <w:adjustRightInd w:val="0"/>
      <w:snapToGrid w:val="0"/>
      <w:spacing w:line="360" w:lineRule="auto"/>
      <w:ind w:left="180"/>
      <w:outlineLvl w:val="6"/>
    </w:pPr>
    <w:rPr>
      <w:rFonts w:ascii="Times New Roman" w:hAnsi="Times New Roman" w:eastAsia="华文中宋" w:cs="Times New Roman"/>
      <w:sz w:val="28"/>
      <w:szCs w:val="20"/>
    </w:rPr>
  </w:style>
  <w:style w:type="paragraph" w:styleId="10">
    <w:name w:val="heading 8"/>
    <w:basedOn w:val="1"/>
    <w:next w:val="1"/>
    <w:link w:val="54"/>
    <w:qFormat/>
    <w:uiPriority w:val="0"/>
    <w:pPr>
      <w:keepNext/>
      <w:keepLines/>
      <w:spacing w:before="240" w:after="64" w:line="320" w:lineRule="auto"/>
      <w:outlineLvl w:val="7"/>
    </w:pPr>
    <w:rPr>
      <w:rFonts w:ascii="Cambria" w:hAnsi="Cambria" w:eastAsia="宋体" w:cs="Times New Roman"/>
      <w:sz w:val="24"/>
      <w:szCs w:val="24"/>
    </w:rPr>
  </w:style>
  <w:style w:type="paragraph" w:styleId="11">
    <w:name w:val="heading 9"/>
    <w:basedOn w:val="1"/>
    <w:next w:val="1"/>
    <w:link w:val="55"/>
    <w:qFormat/>
    <w:uiPriority w:val="0"/>
    <w:pPr>
      <w:keepNext/>
      <w:keepLines/>
      <w:spacing w:before="240" w:after="64" w:line="320" w:lineRule="auto"/>
      <w:outlineLvl w:val="8"/>
    </w:pPr>
    <w:rPr>
      <w:rFonts w:ascii="Arial" w:hAnsi="Arial" w:eastAsia="黑体" w:cs="Times New Roman"/>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59"/>
    <w:qFormat/>
    <w:uiPriority w:val="99"/>
    <w:pPr>
      <w:ind w:firstLine="420"/>
    </w:pPr>
    <w:rPr>
      <w:rFonts w:eastAsia="宋体"/>
    </w:rPr>
  </w:style>
  <w:style w:type="paragraph" w:styleId="12">
    <w:name w:val="caption"/>
    <w:basedOn w:val="1"/>
    <w:next w:val="1"/>
    <w:qFormat/>
    <w:uiPriority w:val="0"/>
    <w:pPr>
      <w:spacing w:before="152" w:after="160"/>
    </w:pPr>
    <w:rPr>
      <w:rFonts w:ascii="Arial" w:hAnsi="Arial" w:eastAsia="黑体" w:cs="Arial"/>
      <w:sz w:val="20"/>
      <w:szCs w:val="20"/>
    </w:rPr>
  </w:style>
  <w:style w:type="paragraph" w:styleId="13">
    <w:name w:val="Document Map"/>
    <w:basedOn w:val="1"/>
    <w:link w:val="82"/>
    <w:semiHidden/>
    <w:qFormat/>
    <w:uiPriority w:val="0"/>
    <w:pPr>
      <w:shd w:val="clear" w:color="auto" w:fill="000080"/>
    </w:pPr>
    <w:rPr>
      <w:rFonts w:ascii="Times New Roman" w:hAnsi="Times New Roman" w:eastAsia="宋体" w:cs="Times New Roman"/>
      <w:szCs w:val="24"/>
    </w:rPr>
  </w:style>
  <w:style w:type="paragraph" w:styleId="14">
    <w:name w:val="annotation text"/>
    <w:basedOn w:val="1"/>
    <w:link w:val="80"/>
    <w:unhideWhenUsed/>
    <w:qFormat/>
    <w:uiPriority w:val="99"/>
    <w:pPr>
      <w:jc w:val="left"/>
    </w:pPr>
  </w:style>
  <w:style w:type="paragraph" w:styleId="15">
    <w:name w:val="Body Text 3"/>
    <w:basedOn w:val="1"/>
    <w:link w:val="84"/>
    <w:qFormat/>
    <w:uiPriority w:val="0"/>
    <w:pPr>
      <w:spacing w:after="120"/>
    </w:pPr>
    <w:rPr>
      <w:rFonts w:ascii="Times New Roman" w:hAnsi="Times New Roman" w:eastAsia="宋体" w:cs="Times New Roman"/>
      <w:sz w:val="16"/>
      <w:szCs w:val="16"/>
    </w:rPr>
  </w:style>
  <w:style w:type="paragraph" w:styleId="16">
    <w:name w:val="Body Text"/>
    <w:basedOn w:val="1"/>
    <w:link w:val="83"/>
    <w:qFormat/>
    <w:uiPriority w:val="0"/>
    <w:rPr>
      <w:rFonts w:ascii="宋体" w:hAnsi="宋体" w:eastAsia="宋体" w:cs="Times New Roman"/>
      <w:sz w:val="30"/>
      <w:szCs w:val="30"/>
    </w:rPr>
  </w:style>
  <w:style w:type="paragraph" w:styleId="17">
    <w:name w:val="Body Text Indent"/>
    <w:basedOn w:val="1"/>
    <w:link w:val="61"/>
    <w:qFormat/>
    <w:uiPriority w:val="0"/>
    <w:pPr>
      <w:spacing w:line="300" w:lineRule="exact"/>
      <w:ind w:left="-358" w:leftChars="-171" w:hanging="1"/>
    </w:pPr>
    <w:rPr>
      <w:rFonts w:ascii="宋体" w:hAnsi="宋体" w:eastAsia="宋体"/>
      <w:b/>
      <w:bCs/>
      <w:sz w:val="18"/>
    </w:rPr>
  </w:style>
  <w:style w:type="paragraph" w:styleId="18">
    <w:name w:val="Block Text"/>
    <w:basedOn w:val="1"/>
    <w:qFormat/>
    <w:uiPriority w:val="0"/>
    <w:pPr>
      <w:widowControl/>
      <w:snapToGrid w:val="0"/>
      <w:ind w:left="3090" w:leftChars="1440" w:right="50" w:hanging="210" w:hangingChars="100"/>
    </w:pPr>
    <w:rPr>
      <w:rFonts w:ascii="Arial" w:hAnsi="Arial" w:eastAsia="宋体" w:cs="Arial"/>
      <w:kern w:val="0"/>
      <w:szCs w:val="20"/>
    </w:rPr>
  </w:style>
  <w:style w:type="paragraph" w:styleId="19">
    <w:name w:val="toc 3"/>
    <w:basedOn w:val="1"/>
    <w:next w:val="1"/>
    <w:qFormat/>
    <w:uiPriority w:val="39"/>
    <w:pPr>
      <w:jc w:val="left"/>
    </w:pPr>
    <w:rPr>
      <w:rFonts w:ascii="Times New Roman" w:hAnsi="Times New Roman" w:eastAsia="宋体" w:cs="Times New Roman"/>
      <w:smallCaps/>
      <w:sz w:val="22"/>
      <w:szCs w:val="24"/>
    </w:rPr>
  </w:style>
  <w:style w:type="paragraph" w:styleId="20">
    <w:name w:val="Plain Text"/>
    <w:basedOn w:val="1"/>
    <w:link w:val="63"/>
    <w:qFormat/>
    <w:uiPriority w:val="0"/>
    <w:rPr>
      <w:rFonts w:ascii="宋体" w:hAnsi="Courier New" w:eastAsia="宋体" w:cs="Courier New"/>
      <w:szCs w:val="21"/>
    </w:rPr>
  </w:style>
  <w:style w:type="paragraph" w:styleId="21">
    <w:name w:val="Date"/>
    <w:basedOn w:val="1"/>
    <w:next w:val="1"/>
    <w:link w:val="65"/>
    <w:qFormat/>
    <w:uiPriority w:val="0"/>
    <w:pPr>
      <w:ind w:left="100" w:leftChars="2500"/>
    </w:pPr>
    <w:rPr>
      <w:szCs w:val="24"/>
    </w:rPr>
  </w:style>
  <w:style w:type="paragraph" w:styleId="22">
    <w:name w:val="Body Text Indent 2"/>
    <w:basedOn w:val="1"/>
    <w:link w:val="89"/>
    <w:qFormat/>
    <w:uiPriority w:val="0"/>
    <w:pPr>
      <w:spacing w:after="120" w:line="480" w:lineRule="auto"/>
      <w:ind w:left="420" w:leftChars="200"/>
    </w:pPr>
    <w:rPr>
      <w:rFonts w:ascii="Times New Roman" w:hAnsi="Times New Roman" w:eastAsia="宋体" w:cs="Times New Roman"/>
      <w:szCs w:val="24"/>
    </w:rPr>
  </w:style>
  <w:style w:type="paragraph" w:styleId="23">
    <w:name w:val="Balloon Text"/>
    <w:basedOn w:val="1"/>
    <w:link w:val="64"/>
    <w:qFormat/>
    <w:uiPriority w:val="99"/>
    <w:rPr>
      <w:sz w:val="18"/>
      <w:szCs w:val="18"/>
    </w:rPr>
  </w:style>
  <w:style w:type="paragraph" w:styleId="24">
    <w:name w:val="footer"/>
    <w:basedOn w:val="1"/>
    <w:link w:val="46"/>
    <w:unhideWhenUsed/>
    <w:qFormat/>
    <w:uiPriority w:val="99"/>
    <w:pPr>
      <w:tabs>
        <w:tab w:val="center" w:pos="4153"/>
        <w:tab w:val="right" w:pos="8306"/>
      </w:tabs>
      <w:snapToGrid w:val="0"/>
      <w:jc w:val="left"/>
    </w:pPr>
    <w:rPr>
      <w:sz w:val="18"/>
      <w:szCs w:val="18"/>
    </w:rPr>
  </w:style>
  <w:style w:type="paragraph" w:styleId="25">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pPr>
      <w:tabs>
        <w:tab w:val="right" w:leader="dot" w:pos="9344"/>
      </w:tabs>
      <w:spacing w:line="440" w:lineRule="exact"/>
    </w:pPr>
    <w:rPr>
      <w:rFonts w:ascii="Times New Roman" w:hAnsi="Times New Roman" w:eastAsia="宋体" w:cs="Times New Roman"/>
      <w:szCs w:val="24"/>
    </w:rPr>
  </w:style>
  <w:style w:type="paragraph" w:styleId="27">
    <w:name w:val="toc 4"/>
    <w:basedOn w:val="1"/>
    <w:next w:val="1"/>
    <w:unhideWhenUsed/>
    <w:qFormat/>
    <w:uiPriority w:val="39"/>
    <w:pPr>
      <w:ind w:left="1260" w:leftChars="600"/>
    </w:pPr>
    <w:rPr>
      <w:rFonts w:ascii="Times New Roman" w:hAnsi="Times New Roman" w:eastAsia="宋体" w:cs="Times New Roman"/>
      <w:szCs w:val="24"/>
    </w:rPr>
  </w:style>
  <w:style w:type="paragraph" w:styleId="28">
    <w:name w:val="footnote text"/>
    <w:basedOn w:val="1"/>
    <w:link w:val="69"/>
    <w:qFormat/>
    <w:uiPriority w:val="99"/>
    <w:pPr>
      <w:snapToGrid w:val="0"/>
      <w:jc w:val="left"/>
    </w:pPr>
    <w:rPr>
      <w:sz w:val="18"/>
      <w:szCs w:val="18"/>
    </w:rPr>
  </w:style>
  <w:style w:type="paragraph" w:styleId="29">
    <w:name w:val="table of figures"/>
    <w:basedOn w:val="1"/>
    <w:next w:val="1"/>
    <w:qFormat/>
    <w:uiPriority w:val="0"/>
    <w:pPr>
      <w:ind w:left="200" w:leftChars="200" w:hanging="200" w:hangingChars="200"/>
    </w:pPr>
    <w:rPr>
      <w:rFonts w:ascii="Times New Roman" w:hAnsi="Times New Roman" w:eastAsia="宋体" w:cs="Times New Roman"/>
      <w:szCs w:val="20"/>
    </w:rPr>
  </w:style>
  <w:style w:type="paragraph" w:styleId="30">
    <w:name w:val="toc 2"/>
    <w:basedOn w:val="1"/>
    <w:next w:val="1"/>
    <w:qFormat/>
    <w:uiPriority w:val="39"/>
    <w:pPr>
      <w:tabs>
        <w:tab w:val="right" w:leader="dot" w:pos="9344"/>
      </w:tabs>
      <w:spacing w:line="280" w:lineRule="exact"/>
      <w:ind w:left="420" w:leftChars="200"/>
    </w:pPr>
    <w:rPr>
      <w:rFonts w:ascii="Times New Roman" w:hAnsi="Times New Roman" w:eastAsia="宋体" w:cs="Times New Roman"/>
      <w:szCs w:val="24"/>
    </w:rPr>
  </w:style>
  <w:style w:type="paragraph" w:styleId="31">
    <w:name w:val="Normal (Web)"/>
    <w:basedOn w:val="1"/>
    <w:qFormat/>
    <w:uiPriority w:val="99"/>
    <w:pPr>
      <w:widowControl/>
      <w:spacing w:before="100" w:beforeAutospacing="1" w:after="100" w:afterAutospacing="1"/>
      <w:jc w:val="left"/>
    </w:pPr>
    <w:rPr>
      <w:rFonts w:ascii="ˎ̥" w:hAnsi="ˎ̥" w:eastAsia="宋体" w:cs="Times New Roman"/>
      <w:color w:val="000000"/>
      <w:kern w:val="0"/>
      <w:sz w:val="14"/>
      <w:szCs w:val="20"/>
    </w:rPr>
  </w:style>
  <w:style w:type="paragraph" w:styleId="32">
    <w:name w:val="Title"/>
    <w:basedOn w:val="1"/>
    <w:next w:val="1"/>
    <w:link w:val="87"/>
    <w:qFormat/>
    <w:uiPriority w:val="0"/>
    <w:pPr>
      <w:spacing w:before="240" w:after="60"/>
      <w:jc w:val="center"/>
      <w:outlineLvl w:val="0"/>
    </w:pPr>
    <w:rPr>
      <w:rFonts w:ascii="Cambria" w:hAnsi="Cambria" w:eastAsia="宋体" w:cs="Times New Roman"/>
      <w:b/>
      <w:bCs/>
      <w:sz w:val="32"/>
      <w:szCs w:val="32"/>
    </w:rPr>
  </w:style>
  <w:style w:type="paragraph" w:styleId="33">
    <w:name w:val="annotation subject"/>
    <w:basedOn w:val="14"/>
    <w:next w:val="14"/>
    <w:link w:val="74"/>
    <w:semiHidden/>
    <w:qFormat/>
    <w:uiPriority w:val="99"/>
    <w:rPr>
      <w:b/>
      <w:bCs/>
    </w:rPr>
  </w:style>
  <w:style w:type="table" w:styleId="35">
    <w:name w:val="Table Grid"/>
    <w:basedOn w:val="34"/>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page number"/>
    <w:basedOn w:val="36"/>
    <w:qFormat/>
    <w:uiPriority w:val="0"/>
  </w:style>
  <w:style w:type="character" w:styleId="39">
    <w:name w:val="FollowedHyperlink"/>
    <w:qFormat/>
    <w:uiPriority w:val="99"/>
    <w:rPr>
      <w:color w:val="800080"/>
      <w:u w:val="single"/>
    </w:rPr>
  </w:style>
  <w:style w:type="character" w:styleId="40">
    <w:name w:val="Emphasis"/>
    <w:qFormat/>
    <w:uiPriority w:val="0"/>
    <w:rPr>
      <w:color w:val="CC0000"/>
    </w:rPr>
  </w:style>
  <w:style w:type="character" w:styleId="41">
    <w:name w:val="line number"/>
    <w:basedOn w:val="36"/>
    <w:unhideWhenUsed/>
    <w:qFormat/>
    <w:uiPriority w:val="99"/>
  </w:style>
  <w:style w:type="character" w:styleId="42">
    <w:name w:val="Hyperlink"/>
    <w:qFormat/>
    <w:uiPriority w:val="99"/>
    <w:rPr>
      <w:rFonts w:hint="default"/>
      <w:color w:val="000000"/>
      <w:sz w:val="18"/>
      <w:szCs w:val="18"/>
      <w:u w:val="none"/>
    </w:rPr>
  </w:style>
  <w:style w:type="character" w:styleId="43">
    <w:name w:val="annotation reference"/>
    <w:semiHidden/>
    <w:qFormat/>
    <w:uiPriority w:val="0"/>
    <w:rPr>
      <w:sz w:val="21"/>
      <w:szCs w:val="21"/>
    </w:rPr>
  </w:style>
  <w:style w:type="character" w:styleId="44">
    <w:name w:val="footnote reference"/>
    <w:qFormat/>
    <w:uiPriority w:val="99"/>
    <w:rPr>
      <w:vertAlign w:val="superscript"/>
    </w:rPr>
  </w:style>
  <w:style w:type="character" w:customStyle="1" w:styleId="45">
    <w:name w:val="页眉 Char"/>
    <w:basedOn w:val="36"/>
    <w:link w:val="25"/>
    <w:qFormat/>
    <w:uiPriority w:val="99"/>
    <w:rPr>
      <w:sz w:val="18"/>
      <w:szCs w:val="18"/>
    </w:rPr>
  </w:style>
  <w:style w:type="character" w:customStyle="1" w:styleId="46">
    <w:name w:val="页脚 Char"/>
    <w:basedOn w:val="36"/>
    <w:link w:val="24"/>
    <w:qFormat/>
    <w:uiPriority w:val="99"/>
    <w:rPr>
      <w:sz w:val="18"/>
      <w:szCs w:val="18"/>
    </w:rPr>
  </w:style>
  <w:style w:type="character" w:customStyle="1" w:styleId="47">
    <w:name w:val="标题 1 Char"/>
    <w:basedOn w:val="36"/>
    <w:link w:val="2"/>
    <w:qFormat/>
    <w:uiPriority w:val="0"/>
    <w:rPr>
      <w:rFonts w:ascii="Times New Roman" w:hAnsi="Times New Roman" w:eastAsia="宋体" w:cs="Times New Roman"/>
      <w:b/>
      <w:bCs/>
      <w:kern w:val="44"/>
      <w:sz w:val="44"/>
      <w:szCs w:val="44"/>
    </w:rPr>
  </w:style>
  <w:style w:type="character" w:customStyle="1" w:styleId="48">
    <w:name w:val="标题 2 Char"/>
    <w:basedOn w:val="36"/>
    <w:link w:val="3"/>
    <w:qFormat/>
    <w:uiPriority w:val="0"/>
    <w:rPr>
      <w:rFonts w:ascii="Arial" w:hAnsi="Arial" w:eastAsia="黑体" w:cs="Times New Roman"/>
      <w:b/>
      <w:bCs/>
      <w:sz w:val="32"/>
      <w:szCs w:val="32"/>
    </w:rPr>
  </w:style>
  <w:style w:type="character" w:customStyle="1" w:styleId="49">
    <w:name w:val="标题 3 Char"/>
    <w:basedOn w:val="36"/>
    <w:link w:val="4"/>
    <w:qFormat/>
    <w:uiPriority w:val="9"/>
    <w:rPr>
      <w:rFonts w:ascii="Times New Roman" w:hAnsi="Times New Roman" w:eastAsia="宋体" w:cs="Times New Roman"/>
      <w:b/>
      <w:sz w:val="28"/>
      <w:szCs w:val="24"/>
    </w:rPr>
  </w:style>
  <w:style w:type="character" w:customStyle="1" w:styleId="50">
    <w:name w:val="标题 4 Char"/>
    <w:basedOn w:val="36"/>
    <w:link w:val="6"/>
    <w:qFormat/>
    <w:uiPriority w:val="9"/>
    <w:rPr>
      <w:rFonts w:ascii="宋体" w:hAnsi="Times New Roman" w:eastAsia="宋体" w:cs="Times New Roman"/>
      <w:b/>
      <w:sz w:val="24"/>
      <w:szCs w:val="24"/>
    </w:rPr>
  </w:style>
  <w:style w:type="character" w:customStyle="1" w:styleId="51">
    <w:name w:val="标题 5 Char"/>
    <w:basedOn w:val="36"/>
    <w:link w:val="7"/>
    <w:qFormat/>
    <w:uiPriority w:val="0"/>
    <w:rPr>
      <w:rFonts w:ascii="Times New Roman" w:hAnsi="Times New Roman" w:eastAsia="宋体" w:cs="Times New Roman"/>
      <w:b/>
      <w:bCs/>
      <w:sz w:val="28"/>
      <w:szCs w:val="28"/>
    </w:rPr>
  </w:style>
  <w:style w:type="character" w:customStyle="1" w:styleId="52">
    <w:name w:val="标题 6 Char"/>
    <w:basedOn w:val="36"/>
    <w:link w:val="8"/>
    <w:qFormat/>
    <w:uiPriority w:val="0"/>
    <w:rPr>
      <w:rFonts w:ascii="Arial" w:hAnsi="Arial" w:eastAsia="华文中宋" w:cs="Times New Roman"/>
      <w:b/>
      <w:color w:val="000000"/>
      <w:szCs w:val="24"/>
    </w:rPr>
  </w:style>
  <w:style w:type="character" w:customStyle="1" w:styleId="53">
    <w:name w:val="标题 7 Char"/>
    <w:basedOn w:val="36"/>
    <w:link w:val="9"/>
    <w:qFormat/>
    <w:uiPriority w:val="0"/>
    <w:rPr>
      <w:rFonts w:ascii="Times New Roman" w:hAnsi="Times New Roman" w:eastAsia="华文中宋" w:cs="Times New Roman"/>
      <w:sz w:val="28"/>
      <w:szCs w:val="20"/>
    </w:rPr>
  </w:style>
  <w:style w:type="character" w:customStyle="1" w:styleId="54">
    <w:name w:val="标题 8 Char"/>
    <w:basedOn w:val="36"/>
    <w:link w:val="10"/>
    <w:qFormat/>
    <w:uiPriority w:val="0"/>
    <w:rPr>
      <w:rFonts w:ascii="Cambria" w:hAnsi="Cambria" w:eastAsia="宋体" w:cs="Times New Roman"/>
      <w:sz w:val="24"/>
      <w:szCs w:val="24"/>
    </w:rPr>
  </w:style>
  <w:style w:type="character" w:customStyle="1" w:styleId="55">
    <w:name w:val="标题 9 Char"/>
    <w:basedOn w:val="36"/>
    <w:link w:val="11"/>
    <w:qFormat/>
    <w:uiPriority w:val="0"/>
    <w:rPr>
      <w:rFonts w:ascii="Arial" w:hAnsi="Arial" w:eastAsia="黑体" w:cs="Times New Roman"/>
      <w:szCs w:val="21"/>
    </w:rPr>
  </w:style>
  <w:style w:type="character" w:customStyle="1" w:styleId="56">
    <w:name w:val="Char Char13"/>
    <w:qFormat/>
    <w:uiPriority w:val="0"/>
    <w:rPr>
      <w:rFonts w:eastAsia="宋体"/>
      <w:kern w:val="2"/>
      <w:sz w:val="18"/>
      <w:szCs w:val="18"/>
      <w:lang w:val="en-US" w:eastAsia="zh-CN" w:bidi="ar-SA"/>
    </w:rPr>
  </w:style>
  <w:style w:type="character" w:customStyle="1" w:styleId="57">
    <w:name w:val="textcontents"/>
    <w:basedOn w:val="36"/>
    <w:qFormat/>
    <w:uiPriority w:val="0"/>
  </w:style>
  <w:style w:type="character" w:customStyle="1" w:styleId="58">
    <w:name w:val="zhangts"/>
    <w:qFormat/>
    <w:uiPriority w:val="0"/>
    <w:rPr>
      <w:rFonts w:ascii="Arial" w:hAnsi="Arial" w:eastAsia="宋体" w:cs="Arial"/>
      <w:color w:val="000080"/>
      <w:sz w:val="18"/>
      <w:szCs w:val="20"/>
    </w:rPr>
  </w:style>
  <w:style w:type="character" w:customStyle="1" w:styleId="59">
    <w:name w:val="正文缩进 Char"/>
    <w:link w:val="5"/>
    <w:qFormat/>
    <w:uiPriority w:val="99"/>
    <w:rPr>
      <w:rFonts w:eastAsia="宋体"/>
    </w:rPr>
  </w:style>
  <w:style w:type="character" w:customStyle="1" w:styleId="60">
    <w:name w:val="biaoti"/>
    <w:basedOn w:val="36"/>
    <w:qFormat/>
    <w:uiPriority w:val="0"/>
  </w:style>
  <w:style w:type="character" w:customStyle="1" w:styleId="61">
    <w:name w:val="正文文本缩进 Char"/>
    <w:link w:val="17"/>
    <w:qFormat/>
    <w:uiPriority w:val="0"/>
    <w:rPr>
      <w:rFonts w:ascii="宋体" w:hAnsi="宋体" w:eastAsia="宋体"/>
      <w:b/>
      <w:bCs/>
      <w:sz w:val="18"/>
    </w:rPr>
  </w:style>
  <w:style w:type="character" w:customStyle="1" w:styleId="62">
    <w:name w:val="p121"/>
    <w:qFormat/>
    <w:uiPriority w:val="0"/>
    <w:rPr>
      <w:rFonts w:hint="default" w:ascii="ˎ̥" w:hAnsi="ˎ̥"/>
      <w:sz w:val="24"/>
      <w:szCs w:val="24"/>
      <w:u w:val="none"/>
    </w:rPr>
  </w:style>
  <w:style w:type="character" w:customStyle="1" w:styleId="63">
    <w:name w:val="纯文本 Char"/>
    <w:link w:val="20"/>
    <w:qFormat/>
    <w:uiPriority w:val="0"/>
    <w:rPr>
      <w:rFonts w:ascii="宋体" w:hAnsi="Courier New" w:eastAsia="宋体" w:cs="Courier New"/>
      <w:szCs w:val="21"/>
    </w:rPr>
  </w:style>
  <w:style w:type="character" w:customStyle="1" w:styleId="64">
    <w:name w:val="批注框文本 Char"/>
    <w:link w:val="23"/>
    <w:qFormat/>
    <w:uiPriority w:val="99"/>
    <w:rPr>
      <w:sz w:val="18"/>
      <w:szCs w:val="18"/>
    </w:rPr>
  </w:style>
  <w:style w:type="character" w:customStyle="1" w:styleId="65">
    <w:name w:val="日期 Char"/>
    <w:link w:val="21"/>
    <w:qFormat/>
    <w:uiPriority w:val="0"/>
    <w:rPr>
      <w:szCs w:val="24"/>
    </w:rPr>
  </w:style>
  <w:style w:type="character" w:customStyle="1" w:styleId="66">
    <w:name w:val="批注文字 Char"/>
    <w:qFormat/>
    <w:uiPriority w:val="99"/>
    <w:rPr>
      <w:sz w:val="24"/>
    </w:rPr>
  </w:style>
  <w:style w:type="character" w:customStyle="1" w:styleId="67">
    <w:name w:val="无间隔 Char"/>
    <w:link w:val="68"/>
    <w:qFormat/>
    <w:uiPriority w:val="1"/>
    <w:rPr>
      <w:szCs w:val="24"/>
    </w:rPr>
  </w:style>
  <w:style w:type="paragraph" w:styleId="68">
    <w:name w:val="No Spacing"/>
    <w:link w:val="67"/>
    <w:qFormat/>
    <w:uiPriority w:val="1"/>
    <w:pPr>
      <w:widowControl w:val="0"/>
      <w:spacing w:line="360" w:lineRule="auto"/>
      <w:ind w:firstLine="200" w:firstLineChars="200"/>
    </w:pPr>
    <w:rPr>
      <w:rFonts w:asciiTheme="minorHAnsi" w:hAnsiTheme="minorHAnsi" w:eastAsiaTheme="minorEastAsia" w:cstheme="minorBidi"/>
      <w:kern w:val="2"/>
      <w:sz w:val="21"/>
      <w:szCs w:val="24"/>
      <w:lang w:val="en-US" w:eastAsia="zh-CN" w:bidi="ar-SA"/>
    </w:rPr>
  </w:style>
  <w:style w:type="character" w:customStyle="1" w:styleId="69">
    <w:name w:val="脚注文本 Char"/>
    <w:link w:val="28"/>
    <w:qFormat/>
    <w:uiPriority w:val="99"/>
    <w:rPr>
      <w:sz w:val="18"/>
      <w:szCs w:val="18"/>
    </w:rPr>
  </w:style>
  <w:style w:type="character" w:customStyle="1" w:styleId="70">
    <w:name w:val="合同标题 Char Char"/>
    <w:qFormat/>
    <w:uiPriority w:val="0"/>
    <w:rPr>
      <w:rFonts w:ascii="Times New Roman" w:hAnsi="Times New Roman" w:eastAsia="宋体" w:cs="Times New Roman"/>
      <w:b/>
      <w:bCs/>
      <w:spacing w:val="20"/>
      <w:kern w:val="44"/>
      <w:sz w:val="32"/>
      <w:szCs w:val="44"/>
    </w:rPr>
  </w:style>
  <w:style w:type="character" w:customStyle="1" w:styleId="71">
    <w:name w:val="Char Char8"/>
    <w:qFormat/>
    <w:uiPriority w:val="0"/>
    <w:rPr>
      <w:rFonts w:ascii="Cambria" w:hAnsi="Cambria" w:eastAsia="宋体" w:cs="Times New Roman"/>
      <w:b/>
      <w:bCs/>
      <w:spacing w:val="20"/>
      <w:sz w:val="28"/>
      <w:szCs w:val="28"/>
    </w:rPr>
  </w:style>
  <w:style w:type="character" w:customStyle="1" w:styleId="72">
    <w:name w:val="Char Char9"/>
    <w:qFormat/>
    <w:uiPriority w:val="0"/>
    <w:rPr>
      <w:rFonts w:ascii="Times New Roman" w:hAnsi="Times New Roman" w:eastAsia="宋体" w:cs="Times New Roman"/>
      <w:b/>
      <w:bCs/>
      <w:sz w:val="28"/>
      <w:szCs w:val="32"/>
    </w:rPr>
  </w:style>
  <w:style w:type="character" w:customStyle="1" w:styleId="73">
    <w:name w:val="cn91"/>
    <w:qFormat/>
    <w:uiPriority w:val="0"/>
    <w:rPr>
      <w:rFonts w:hint="default" w:ascii="Verdana" w:hAnsi="Verdana"/>
      <w:color w:val="606060"/>
      <w:sz w:val="18"/>
      <w:szCs w:val="18"/>
      <w:u w:val="none"/>
    </w:rPr>
  </w:style>
  <w:style w:type="character" w:customStyle="1" w:styleId="74">
    <w:name w:val="批注主题 Char"/>
    <w:link w:val="33"/>
    <w:semiHidden/>
    <w:qFormat/>
    <w:uiPriority w:val="99"/>
    <w:rPr>
      <w:b/>
      <w:bCs/>
    </w:rPr>
  </w:style>
  <w:style w:type="character" w:customStyle="1" w:styleId="75">
    <w:name w:val="js_location_string"/>
    <w:basedOn w:val="36"/>
    <w:qFormat/>
    <w:uiPriority w:val="0"/>
  </w:style>
  <w:style w:type="character" w:customStyle="1" w:styleId="76">
    <w:name w:val="样式2 Char"/>
    <w:link w:val="77"/>
    <w:qFormat/>
    <w:uiPriority w:val="0"/>
    <w:rPr>
      <w:rFonts w:ascii="Calibri" w:hAnsi="Calibri"/>
      <w:szCs w:val="24"/>
    </w:rPr>
  </w:style>
  <w:style w:type="paragraph" w:customStyle="1" w:styleId="77">
    <w:name w:val="样式2"/>
    <w:basedOn w:val="1"/>
    <w:link w:val="76"/>
    <w:qFormat/>
    <w:uiPriority w:val="0"/>
    <w:pPr>
      <w:spacing w:line="400" w:lineRule="exact"/>
      <w:ind w:left="786" w:hanging="360"/>
    </w:pPr>
    <w:rPr>
      <w:rFonts w:ascii="Calibri" w:hAnsi="Calibri"/>
      <w:szCs w:val="24"/>
    </w:rPr>
  </w:style>
  <w:style w:type="character" w:customStyle="1" w:styleId="78">
    <w:name w:val="标题 2 Char1"/>
    <w:qFormat/>
    <w:uiPriority w:val="0"/>
    <w:rPr>
      <w:rFonts w:ascii="Arial" w:hAnsi="Arial" w:eastAsia="黑体"/>
      <w:b/>
      <w:bCs/>
      <w:sz w:val="32"/>
      <w:szCs w:val="32"/>
    </w:rPr>
  </w:style>
  <w:style w:type="paragraph" w:customStyle="1" w:styleId="79">
    <w:name w:val="默认段落字体 Para Char"/>
    <w:basedOn w:val="1"/>
    <w:qFormat/>
    <w:uiPriority w:val="0"/>
    <w:rPr>
      <w:rFonts w:ascii="Tahoma" w:hAnsi="Tahoma" w:eastAsia="宋体" w:cs="Times New Roman"/>
      <w:sz w:val="24"/>
      <w:szCs w:val="20"/>
    </w:rPr>
  </w:style>
  <w:style w:type="character" w:customStyle="1" w:styleId="80">
    <w:name w:val="批注文字 Char1"/>
    <w:basedOn w:val="36"/>
    <w:link w:val="14"/>
    <w:semiHidden/>
    <w:qFormat/>
    <w:uiPriority w:val="99"/>
  </w:style>
  <w:style w:type="character" w:customStyle="1" w:styleId="81">
    <w:name w:val="批注主题 Char1"/>
    <w:basedOn w:val="80"/>
    <w:semiHidden/>
    <w:qFormat/>
    <w:uiPriority w:val="99"/>
    <w:rPr>
      <w:b/>
      <w:bCs/>
    </w:rPr>
  </w:style>
  <w:style w:type="character" w:customStyle="1" w:styleId="82">
    <w:name w:val="文档结构图 Char"/>
    <w:basedOn w:val="36"/>
    <w:link w:val="13"/>
    <w:semiHidden/>
    <w:qFormat/>
    <w:uiPriority w:val="0"/>
    <w:rPr>
      <w:rFonts w:ascii="Times New Roman" w:hAnsi="Times New Roman" w:eastAsia="宋体" w:cs="Times New Roman"/>
      <w:szCs w:val="24"/>
      <w:shd w:val="clear" w:color="auto" w:fill="000080"/>
    </w:rPr>
  </w:style>
  <w:style w:type="character" w:customStyle="1" w:styleId="83">
    <w:name w:val="正文文本 Char"/>
    <w:basedOn w:val="36"/>
    <w:link w:val="16"/>
    <w:qFormat/>
    <w:uiPriority w:val="0"/>
    <w:rPr>
      <w:rFonts w:ascii="宋体" w:hAnsi="宋体" w:eastAsia="宋体" w:cs="Times New Roman"/>
      <w:sz w:val="30"/>
      <w:szCs w:val="30"/>
    </w:rPr>
  </w:style>
  <w:style w:type="character" w:customStyle="1" w:styleId="84">
    <w:name w:val="正文文本 3 Char"/>
    <w:basedOn w:val="36"/>
    <w:link w:val="15"/>
    <w:qFormat/>
    <w:uiPriority w:val="0"/>
    <w:rPr>
      <w:rFonts w:ascii="Times New Roman" w:hAnsi="Times New Roman" w:eastAsia="宋体" w:cs="Times New Roman"/>
      <w:sz w:val="16"/>
      <w:szCs w:val="16"/>
    </w:rPr>
  </w:style>
  <w:style w:type="character" w:customStyle="1" w:styleId="85">
    <w:name w:val="脚注文本 Char1"/>
    <w:basedOn w:val="36"/>
    <w:semiHidden/>
    <w:qFormat/>
    <w:uiPriority w:val="99"/>
    <w:rPr>
      <w:sz w:val="18"/>
      <w:szCs w:val="18"/>
    </w:rPr>
  </w:style>
  <w:style w:type="character" w:customStyle="1" w:styleId="86">
    <w:name w:val="正文文本缩进 Char1"/>
    <w:basedOn w:val="36"/>
    <w:semiHidden/>
    <w:qFormat/>
    <w:uiPriority w:val="99"/>
  </w:style>
  <w:style w:type="character" w:customStyle="1" w:styleId="87">
    <w:name w:val="标题 Char"/>
    <w:basedOn w:val="36"/>
    <w:link w:val="32"/>
    <w:qFormat/>
    <w:uiPriority w:val="0"/>
    <w:rPr>
      <w:rFonts w:ascii="Cambria" w:hAnsi="Cambria" w:eastAsia="宋体" w:cs="Times New Roman"/>
      <w:b/>
      <w:bCs/>
      <w:sz w:val="32"/>
      <w:szCs w:val="32"/>
    </w:rPr>
  </w:style>
  <w:style w:type="character" w:customStyle="1" w:styleId="88">
    <w:name w:val="纯文本 Char1"/>
    <w:basedOn w:val="36"/>
    <w:semiHidden/>
    <w:qFormat/>
    <w:uiPriority w:val="99"/>
    <w:rPr>
      <w:rFonts w:ascii="宋体" w:hAnsi="Courier New" w:eastAsia="宋体" w:cs="Courier New"/>
      <w:szCs w:val="21"/>
    </w:rPr>
  </w:style>
  <w:style w:type="character" w:customStyle="1" w:styleId="89">
    <w:name w:val="正文文本缩进 2 Char"/>
    <w:basedOn w:val="36"/>
    <w:link w:val="22"/>
    <w:qFormat/>
    <w:uiPriority w:val="0"/>
    <w:rPr>
      <w:rFonts w:ascii="Times New Roman" w:hAnsi="Times New Roman" w:eastAsia="宋体" w:cs="Times New Roman"/>
      <w:szCs w:val="24"/>
    </w:rPr>
  </w:style>
  <w:style w:type="character" w:customStyle="1" w:styleId="90">
    <w:name w:val="日期 Char1"/>
    <w:basedOn w:val="36"/>
    <w:semiHidden/>
    <w:qFormat/>
    <w:uiPriority w:val="99"/>
  </w:style>
  <w:style w:type="character" w:customStyle="1" w:styleId="91">
    <w:name w:val="批注框文本 Char1"/>
    <w:basedOn w:val="36"/>
    <w:semiHidden/>
    <w:qFormat/>
    <w:uiPriority w:val="99"/>
    <w:rPr>
      <w:sz w:val="18"/>
      <w:szCs w:val="18"/>
    </w:rPr>
  </w:style>
  <w:style w:type="paragraph" w:customStyle="1" w:styleId="9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93">
    <w:name w:val="Char Char Char"/>
    <w:basedOn w:val="13"/>
    <w:qFormat/>
    <w:uiPriority w:val="0"/>
    <w:pPr>
      <w:adjustRightInd w:val="0"/>
      <w:spacing w:line="436" w:lineRule="exact"/>
      <w:ind w:left="357"/>
      <w:jc w:val="left"/>
      <w:outlineLvl w:val="3"/>
    </w:pPr>
  </w:style>
  <w:style w:type="paragraph" w:customStyle="1" w:styleId="94">
    <w:name w:val="Tender"/>
    <w:basedOn w:val="1"/>
    <w:next w:val="1"/>
    <w:qFormat/>
    <w:uiPriority w:val="0"/>
    <w:pPr>
      <w:widowControl/>
      <w:spacing w:before="120" w:after="360" w:line="360" w:lineRule="auto"/>
      <w:jc w:val="left"/>
    </w:pPr>
    <w:rPr>
      <w:rFonts w:ascii="Arial" w:hAnsi="Arial" w:eastAsia="宋体" w:cs="Times New Roman"/>
      <w:kern w:val="0"/>
      <w:sz w:val="24"/>
      <w:szCs w:val="24"/>
      <w:lang w:eastAsia="en-US"/>
    </w:rPr>
  </w:style>
  <w:style w:type="paragraph" w:customStyle="1" w:styleId="95">
    <w:name w:val="cntrt"/>
    <w:basedOn w:val="1"/>
    <w:qFormat/>
    <w:uiPriority w:val="0"/>
    <w:pPr>
      <w:widowControl/>
      <w:jc w:val="left"/>
    </w:pPr>
    <w:rPr>
      <w:rFonts w:ascii="Arial" w:hAnsi="Arial" w:eastAsia="宋体" w:cs="Times New Roman"/>
      <w:kern w:val="0"/>
      <w:sz w:val="20"/>
      <w:szCs w:val="20"/>
      <w:lang w:val="en-AU"/>
    </w:rPr>
  </w:style>
  <w:style w:type="paragraph" w:customStyle="1" w:styleId="96">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styleId="97">
    <w:name w:val="List Paragraph"/>
    <w:basedOn w:val="1"/>
    <w:qFormat/>
    <w:uiPriority w:val="34"/>
    <w:pPr>
      <w:ind w:firstLine="420" w:firstLineChars="200"/>
    </w:pPr>
    <w:rPr>
      <w:rFonts w:ascii="Times New Roman" w:hAnsi="Times New Roman" w:eastAsia="宋体" w:cs="Times New Roman"/>
      <w:szCs w:val="24"/>
    </w:rPr>
  </w:style>
  <w:style w:type="paragraph" w:customStyle="1" w:styleId="98">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lang w:eastAsia="en-US"/>
    </w:rPr>
  </w:style>
  <w:style w:type="paragraph" w:customStyle="1" w:styleId="99">
    <w:name w:val="Char"/>
    <w:basedOn w:val="1"/>
    <w:qFormat/>
    <w:uiPriority w:val="0"/>
    <w:pPr>
      <w:spacing w:line="240" w:lineRule="atLeast"/>
      <w:ind w:left="420" w:firstLine="420"/>
    </w:pPr>
    <w:rPr>
      <w:rFonts w:ascii="Times New Roman" w:hAnsi="Times New Roman" w:eastAsia="宋体" w:cs="Times New Roman"/>
      <w:kern w:val="0"/>
      <w:szCs w:val="21"/>
    </w:rPr>
  </w:style>
  <w:style w:type="paragraph" w:customStyle="1" w:styleId="100">
    <w:name w:val="title1"/>
    <w:basedOn w:val="1"/>
    <w:qFormat/>
    <w:uiPriority w:val="0"/>
    <w:pPr>
      <w:widowControl/>
      <w:spacing w:before="100" w:beforeAutospacing="1" w:after="100" w:afterAutospacing="1" w:line="360" w:lineRule="atLeast"/>
      <w:jc w:val="left"/>
    </w:pPr>
    <w:rPr>
      <w:rFonts w:ascii="宋体" w:hAnsi="宋体" w:eastAsia="宋体" w:cs="宋体"/>
      <w:kern w:val="0"/>
      <w:sz w:val="27"/>
      <w:szCs w:val="27"/>
    </w:rPr>
  </w:style>
  <w:style w:type="paragraph" w:customStyle="1" w:styleId="101">
    <w:name w:val="p12"/>
    <w:basedOn w:val="1"/>
    <w:qFormat/>
    <w:uiPriority w:val="0"/>
    <w:pPr>
      <w:widowControl/>
      <w:spacing w:before="100" w:beforeAutospacing="1" w:after="100" w:afterAutospacing="1"/>
      <w:jc w:val="left"/>
    </w:pPr>
    <w:rPr>
      <w:rFonts w:ascii="ˎ̥" w:hAnsi="ˎ̥" w:eastAsia="宋体" w:cs="宋体"/>
      <w:color w:val="000000"/>
      <w:kern w:val="0"/>
      <w:sz w:val="24"/>
      <w:szCs w:val="24"/>
    </w:rPr>
  </w:style>
  <w:style w:type="paragraph" w:customStyle="1" w:styleId="102">
    <w:name w:val="普通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03">
    <w:name w:val="p10"/>
    <w:basedOn w:val="1"/>
    <w:qFormat/>
    <w:uiPriority w:val="0"/>
    <w:pPr>
      <w:widowControl/>
      <w:spacing w:before="100" w:beforeAutospacing="1" w:after="100" w:afterAutospacing="1"/>
      <w:jc w:val="left"/>
    </w:pPr>
    <w:rPr>
      <w:rFonts w:ascii="ˎ̥" w:hAnsi="ˎ̥" w:eastAsia="宋体" w:cs="宋体"/>
      <w:color w:val="000000"/>
      <w:kern w:val="0"/>
      <w:sz w:val="20"/>
      <w:szCs w:val="20"/>
    </w:rPr>
  </w:style>
  <w:style w:type="paragraph" w:customStyle="1" w:styleId="104">
    <w:name w:val="Char Char"/>
    <w:next w:val="1"/>
    <w:qFormat/>
    <w:uiPriority w:val="0"/>
    <w:pPr>
      <w:keepNext/>
      <w:keepLines/>
      <w:spacing w:before="240" w:after="240"/>
      <w:ind w:left="624" w:hanging="624"/>
      <w:outlineLvl w:val="7"/>
    </w:pPr>
    <w:rPr>
      <w:rFonts w:ascii="Arial" w:hAnsi="Arial" w:eastAsia="黑体" w:cs="Arial"/>
      <w:snapToGrid w:val="0"/>
      <w:sz w:val="21"/>
      <w:szCs w:val="21"/>
      <w:lang w:val="en-US" w:eastAsia="zh-CN" w:bidi="ar-SA"/>
    </w:rPr>
  </w:style>
  <w:style w:type="paragraph" w:customStyle="1" w:styleId="105">
    <w:name w:val="wang正文"/>
    <w:basedOn w:val="1"/>
    <w:qFormat/>
    <w:uiPriority w:val="0"/>
    <w:pPr>
      <w:tabs>
        <w:tab w:val="left" w:pos="6840"/>
      </w:tabs>
      <w:topLinePunct/>
      <w:ind w:firstLine="420"/>
    </w:pPr>
    <w:rPr>
      <w:rFonts w:ascii="Times New Roman" w:hAnsi="Times New Roman" w:eastAsia="宋体" w:cs="Times New Roman"/>
      <w:snapToGrid w:val="0"/>
      <w:kern w:val="0"/>
      <w:szCs w:val="20"/>
    </w:rPr>
  </w:style>
  <w:style w:type="paragraph" w:customStyle="1" w:styleId="106">
    <w:name w:val="H1"/>
    <w:qFormat/>
    <w:uiPriority w:val="0"/>
    <w:pPr>
      <w:widowControl w:val="0"/>
      <w:adjustRightInd w:val="0"/>
      <w:spacing w:after="240"/>
      <w:textAlignment w:val="baseline"/>
    </w:pPr>
    <w:rPr>
      <w:rFonts w:ascii="Times New Roman" w:hAnsi="Times New Roman" w:eastAsia="全真中明體" w:cs="Times New Roman"/>
      <w:b/>
      <w:caps/>
      <w:spacing w:val="30"/>
      <w:sz w:val="24"/>
      <w:lang w:val="en-GB" w:eastAsia="zh-TW" w:bidi="ar-SA"/>
    </w:rPr>
  </w:style>
  <w:style w:type="paragraph" w:customStyle="1" w:styleId="107">
    <w:name w:val="Char1"/>
    <w:basedOn w:val="1"/>
    <w:qFormat/>
    <w:uiPriority w:val="0"/>
    <w:rPr>
      <w:rFonts w:ascii="仿宋_GB2312" w:hAnsi="Times New Roman" w:eastAsia="仿宋_GB2312" w:cs="Times New Roman"/>
      <w:b/>
      <w:sz w:val="32"/>
      <w:szCs w:val="32"/>
    </w:rPr>
  </w:style>
  <w:style w:type="paragraph" w:customStyle="1" w:styleId="108">
    <w:name w:val="P1"/>
    <w:qFormat/>
    <w:uiPriority w:val="0"/>
    <w:pPr>
      <w:widowControl w:val="0"/>
      <w:adjustRightInd w:val="0"/>
      <w:spacing w:after="240"/>
      <w:ind w:left="2304"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109">
    <w:name w:val="H2"/>
    <w:qFormat/>
    <w:uiPriority w:val="0"/>
    <w:pPr>
      <w:widowControl w:val="0"/>
      <w:adjustRightInd w:val="0"/>
      <w:spacing w:after="240"/>
      <w:textAlignment w:val="baseline"/>
    </w:pPr>
    <w:rPr>
      <w:rFonts w:ascii="Times New Roman" w:hAnsi="Times New Roman" w:eastAsia="全真中明體" w:cs="Times New Roman"/>
      <w:b/>
      <w:spacing w:val="30"/>
      <w:sz w:val="24"/>
      <w:lang w:val="en-GB" w:eastAsia="zh-TW" w:bidi="ar-SA"/>
    </w:rPr>
  </w:style>
  <w:style w:type="paragraph" w:customStyle="1" w:styleId="110">
    <w:name w:val="P2"/>
    <w:qFormat/>
    <w:uiPriority w:val="0"/>
    <w:pPr>
      <w:widowControl w:val="0"/>
      <w:adjustRightInd w:val="0"/>
      <w:spacing w:after="240"/>
      <w:ind w:left="1728"/>
      <w:jc w:val="both"/>
      <w:textAlignment w:val="baseline"/>
    </w:pPr>
    <w:rPr>
      <w:rFonts w:ascii="Times New Roman" w:hAnsi="Times New Roman" w:eastAsia="全真中明體" w:cs="Times New Roman"/>
      <w:spacing w:val="30"/>
      <w:sz w:val="24"/>
      <w:lang w:val="en-GB" w:eastAsia="zh-TW" w:bidi="ar-SA"/>
    </w:rPr>
  </w:style>
  <w:style w:type="paragraph" w:customStyle="1" w:styleId="111">
    <w:name w:val="列出段落1"/>
    <w:basedOn w:val="1"/>
    <w:qFormat/>
    <w:uiPriority w:val="0"/>
    <w:pPr>
      <w:widowControl/>
      <w:spacing w:line="360" w:lineRule="auto"/>
      <w:ind w:left="134" w:leftChars="63" w:firstLine="420" w:firstLineChars="200"/>
      <w:jc w:val="left"/>
    </w:pPr>
    <w:rPr>
      <w:rFonts w:ascii="Arial" w:hAnsi="Cambria" w:eastAsia="宋体" w:cs="Arial"/>
      <w:kern w:val="0"/>
      <w:szCs w:val="21"/>
    </w:rPr>
  </w:style>
  <w:style w:type="paragraph" w:customStyle="1" w:styleId="112">
    <w:name w:val="样式5"/>
    <w:basedOn w:val="1"/>
    <w:qFormat/>
    <w:uiPriority w:val="0"/>
    <w:rPr>
      <w:rFonts w:ascii="宋体" w:hAnsi="Times New Roman" w:eastAsia="宋体" w:cs="Times New Roman"/>
      <w:sz w:val="24"/>
      <w:szCs w:val="20"/>
    </w:rPr>
  </w:style>
  <w:style w:type="paragraph" w:customStyle="1" w:styleId="113">
    <w:name w:val="无间隔1"/>
    <w:qFormat/>
    <w:uiPriority w:val="0"/>
    <w:pPr>
      <w:widowControl w:val="0"/>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114">
    <w:name w:val="列出段落11"/>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371DA-3F15-430D-9F51-6A6CBC852E4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1746</Words>
  <Characters>1913</Characters>
  <Lines>122</Lines>
  <Paragraphs>34</Paragraphs>
  <TotalTime>11</TotalTime>
  <ScaleCrop>false</ScaleCrop>
  <LinksUpToDate>false</LinksUpToDate>
  <CharactersWithSpaces>1944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2018-10-15T03:01:00Z</dcterms:created>
  <dc:creator>李晓明,lixiaoming</dc:creator>
  <cp:lastModifiedBy>jzhoubo</cp:lastModifiedBy>
  <dcterms:modified xsi:type="dcterms:W3CDTF">2026-08-20T00:57:24Z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3E458BCEB1E947549767B0C5C9DE3238</vt:lpwstr>
  </property>
  <property fmtid="{D5CDD505-2E9C-101B-9397-08002B2CF9AE}" pid="4" name="KSOTemplateDocerSaveRecord">
    <vt:lpwstr>eyJoZGlkIjoiMDlkZjhiOWJiZDM5OGM4Njg1NjdmNDU2OWE1YzAxMmMiLCJ1c2VySWQiOiI0NjE0OTM3NjQifQ==</vt:lpwstr>
  </property>
</Properties>
</file>