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AF4B">
      <w:pPr>
        <w:jc w:val="center"/>
        <w:rPr>
          <w:b/>
          <w:bCs/>
          <w:sz w:val="40"/>
          <w:szCs w:val="48"/>
        </w:rPr>
      </w:pPr>
      <w:r>
        <w:rPr>
          <w:rFonts w:hint="eastAsia"/>
          <w:b/>
          <w:bCs/>
          <w:sz w:val="40"/>
          <w:szCs w:val="48"/>
        </w:rPr>
        <w:t>招租信息表</w:t>
      </w:r>
    </w:p>
    <w:tbl>
      <w:tblPr>
        <w:tblStyle w:val="8"/>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011"/>
        <w:gridCol w:w="2503"/>
        <w:gridCol w:w="2310"/>
      </w:tblGrid>
      <w:tr w14:paraId="3FA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tcPr>
          <w:p w14:paraId="7D25F36A">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资产信息</w:t>
            </w:r>
          </w:p>
        </w:tc>
      </w:tr>
      <w:tr w14:paraId="3340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tcPr>
          <w:p w14:paraId="3479185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资产现状</w:t>
            </w:r>
          </w:p>
        </w:tc>
        <w:tc>
          <w:tcPr>
            <w:tcW w:w="3011" w:type="dxa"/>
          </w:tcPr>
          <w:p w14:paraId="7BD2F86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未租</w:t>
            </w:r>
          </w:p>
        </w:tc>
        <w:tc>
          <w:tcPr>
            <w:tcW w:w="2503" w:type="dxa"/>
          </w:tcPr>
          <w:p w14:paraId="55B0A36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地址</w:t>
            </w:r>
          </w:p>
        </w:tc>
        <w:tc>
          <w:tcPr>
            <w:tcW w:w="2310" w:type="dxa"/>
          </w:tcPr>
          <w:p w14:paraId="693B8EFD">
            <w:pP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深圳市光明区红花山公园</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B1点位</w:t>
            </w:r>
          </w:p>
        </w:tc>
      </w:tr>
      <w:tr w14:paraId="77E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tcPr>
          <w:p w14:paraId="62D1045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面积/数量</w:t>
            </w:r>
          </w:p>
        </w:tc>
        <w:tc>
          <w:tcPr>
            <w:tcW w:w="3011" w:type="dxa"/>
          </w:tcPr>
          <w:p w14:paraId="7DD36DE7">
            <w:pPr>
              <w:widowControl/>
              <w:numPr>
                <w:ilvl w:val="0"/>
                <w:numId w:val="0"/>
              </w:numPr>
              <w:jc w:val="left"/>
              <w:rPr>
                <w:rFonts w:hint="eastAsia"/>
                <w:lang w:eastAsia="zh-CN"/>
              </w:rPr>
            </w:pPr>
            <w:permStart w:id="0" w:edGrp="everyone"/>
            <w:r>
              <w:rPr>
                <w:rFonts w:hint="eastAsia" w:ascii="微软雅黑" w:hAnsi="微软雅黑" w:eastAsia="微软雅黑" w:cs="微软雅黑"/>
                <w:color w:val="0000FF"/>
                <w:sz w:val="20"/>
                <w:szCs w:val="20"/>
              </w:rPr>
              <w:t>面积</w:t>
            </w:r>
            <w:r>
              <w:rPr>
                <w:rFonts w:hint="eastAsia" w:ascii="微软雅黑" w:hAnsi="微软雅黑" w:eastAsia="微软雅黑" w:cs="微软雅黑"/>
                <w:color w:val="0000FF"/>
                <w:sz w:val="20"/>
                <w:szCs w:val="20"/>
                <w:u w:val="single"/>
                <w:lang w:val="en-US" w:eastAsia="zh-CN"/>
              </w:rPr>
              <w:t xml:space="preserve"> 30 </w:t>
            </w:r>
            <w:r>
              <w:rPr>
                <w:rFonts w:hint="eastAsia" w:ascii="微软雅黑" w:hAnsi="微软雅黑" w:eastAsia="微软雅黑" w:cs="微软雅黑"/>
                <w:color w:val="0000FF"/>
                <w:sz w:val="20"/>
                <w:szCs w:val="20"/>
              </w:rPr>
              <w:t>㎡</w:t>
            </w:r>
            <w:r>
              <w:rPr>
                <w:rFonts w:hint="eastAsia" w:ascii="微软雅黑" w:hAnsi="微软雅黑" w:eastAsia="微软雅黑" w:cs="微软雅黑"/>
                <w:color w:val="0000FF"/>
                <w:sz w:val="20"/>
                <w:szCs w:val="20"/>
                <w:lang w:eastAsia="zh-CN"/>
              </w:rPr>
              <w:t>；（</w:t>
            </w:r>
            <w:r>
              <w:rPr>
                <w:rFonts w:hint="eastAsia" w:ascii="微软雅黑" w:hAnsi="微软雅黑" w:eastAsia="微软雅黑" w:cs="微软雅黑"/>
                <w:color w:val="0000FF"/>
                <w:sz w:val="20"/>
                <w:szCs w:val="20"/>
                <w:lang w:val="en-US" w:eastAsia="zh-CN"/>
              </w:rPr>
              <w:t>以出租方实际交付情况为准</w:t>
            </w:r>
            <w:r>
              <w:rPr>
                <w:rFonts w:hint="eastAsia" w:ascii="微软雅黑" w:hAnsi="微软雅黑" w:eastAsia="微软雅黑" w:cs="微软雅黑"/>
                <w:color w:val="0000FF"/>
                <w:sz w:val="20"/>
                <w:szCs w:val="20"/>
                <w:lang w:eastAsia="zh-CN"/>
              </w:rPr>
              <w:t>）</w:t>
            </w:r>
            <w:permEnd w:id="0"/>
          </w:p>
        </w:tc>
        <w:tc>
          <w:tcPr>
            <w:tcW w:w="2503" w:type="dxa"/>
          </w:tcPr>
          <w:p w14:paraId="7B038FA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权属情况</w:t>
            </w:r>
          </w:p>
        </w:tc>
        <w:tc>
          <w:tcPr>
            <w:tcW w:w="2310" w:type="dxa"/>
          </w:tcPr>
          <w:p w14:paraId="403A858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有权属说明</w:t>
            </w:r>
          </w:p>
        </w:tc>
      </w:tr>
      <w:tr w14:paraId="5B5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06" w:type="dxa"/>
          </w:tcPr>
          <w:p w14:paraId="12B45C91">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资产性质</w:t>
            </w:r>
          </w:p>
        </w:tc>
        <w:tc>
          <w:tcPr>
            <w:tcW w:w="3011" w:type="dxa"/>
          </w:tcPr>
          <w:p w14:paraId="289EDB82">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其它类</w:t>
            </w:r>
          </w:p>
        </w:tc>
        <w:tc>
          <w:tcPr>
            <w:tcW w:w="2503" w:type="dxa"/>
          </w:tcPr>
          <w:p w14:paraId="1ACE378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是否涉及优先承租权</w:t>
            </w:r>
          </w:p>
        </w:tc>
        <w:tc>
          <w:tcPr>
            <w:tcW w:w="2310" w:type="dxa"/>
          </w:tcPr>
          <w:p w14:paraId="68BC679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否</w:t>
            </w:r>
          </w:p>
        </w:tc>
      </w:tr>
      <w:tr w14:paraId="0B0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tcPr>
          <w:p w14:paraId="2C3B5EBE">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招租信息</w:t>
            </w:r>
          </w:p>
        </w:tc>
      </w:tr>
      <w:tr w14:paraId="21CC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tcPr>
          <w:p w14:paraId="69964DA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租赁期限</w:t>
            </w:r>
          </w:p>
        </w:tc>
        <w:tc>
          <w:tcPr>
            <w:tcW w:w="3011" w:type="dxa"/>
          </w:tcPr>
          <w:p w14:paraId="1081FAAA">
            <w:pPr>
              <w:rPr>
                <w:rFonts w:hint="eastAsia" w:ascii="微软雅黑" w:hAnsi="微软雅黑" w:eastAsia="微软雅黑" w:cs="微软雅黑"/>
                <w:sz w:val="20"/>
                <w:szCs w:val="20"/>
              </w:rPr>
            </w:pPr>
            <w:permStart w:id="1" w:edGrp="everyone"/>
            <w:r>
              <w:rPr>
                <w:rFonts w:hint="eastAsia" w:ascii="微软雅黑" w:hAnsi="微软雅黑" w:eastAsia="微软雅黑" w:cs="微软雅黑"/>
                <w:sz w:val="20"/>
                <w:szCs w:val="20"/>
                <w:lang w:val="en-US" w:eastAsia="zh-CN"/>
              </w:rPr>
              <w:t>3</w:t>
            </w:r>
            <w:r>
              <w:rPr>
                <w:rFonts w:hint="eastAsia" w:ascii="微软雅黑" w:hAnsi="微软雅黑" w:eastAsia="微软雅黑" w:cs="微软雅黑"/>
                <w:sz w:val="20"/>
                <w:szCs w:val="20"/>
              </w:rPr>
              <w:t>年</w:t>
            </w:r>
            <w:permEnd w:id="1"/>
          </w:p>
        </w:tc>
        <w:tc>
          <w:tcPr>
            <w:tcW w:w="2503" w:type="dxa"/>
          </w:tcPr>
          <w:p w14:paraId="5178E7E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免租期</w:t>
            </w:r>
          </w:p>
        </w:tc>
        <w:tc>
          <w:tcPr>
            <w:tcW w:w="2310" w:type="dxa"/>
          </w:tcPr>
          <w:p w14:paraId="1465043A">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无</w:t>
            </w:r>
          </w:p>
        </w:tc>
      </w:tr>
      <w:tr w14:paraId="139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tcPr>
          <w:p w14:paraId="59C2ED90">
            <w:pPr>
              <w:rPr>
                <w:rFonts w:hint="eastAsia" w:ascii="微软雅黑" w:hAnsi="微软雅黑" w:eastAsia="微软雅黑" w:cs="微软雅黑"/>
                <w:sz w:val="20"/>
                <w:szCs w:val="20"/>
              </w:rPr>
            </w:pPr>
            <w:permStart w:id="2" w:edGrp="everyone" w:colFirst="3" w:colLast="3"/>
            <w:r>
              <w:rPr>
                <w:rFonts w:hint="eastAsia" w:ascii="微软雅黑" w:hAnsi="微软雅黑" w:eastAsia="微软雅黑" w:cs="微软雅黑"/>
                <w:sz w:val="20"/>
                <w:szCs w:val="20"/>
              </w:rPr>
              <w:t>合同签订期限</w:t>
            </w:r>
          </w:p>
        </w:tc>
        <w:tc>
          <w:tcPr>
            <w:tcW w:w="3011" w:type="dxa"/>
          </w:tcPr>
          <w:p w14:paraId="493D792D">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《公开招租结果通知书》发出后10个工作日</w:t>
            </w:r>
          </w:p>
        </w:tc>
        <w:tc>
          <w:tcPr>
            <w:tcW w:w="2503" w:type="dxa"/>
          </w:tcPr>
          <w:p w14:paraId="0611DAB9">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招租底价及递增</w:t>
            </w:r>
          </w:p>
          <w:p w14:paraId="1E5AB23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(租金含日常基础养护)</w:t>
            </w:r>
          </w:p>
        </w:tc>
        <w:tc>
          <w:tcPr>
            <w:tcW w:w="2310" w:type="dxa"/>
          </w:tcPr>
          <w:p w14:paraId="0B41A8D4">
            <w:pPr>
              <w:widowControl/>
              <w:numPr>
                <w:ilvl w:val="0"/>
                <w:numId w:val="0"/>
              </w:numPr>
              <w:jc w:val="left"/>
              <w:rPr>
                <w:rFonts w:hint="eastAsia" w:ascii="微软雅黑" w:hAnsi="微软雅黑" w:eastAsia="微软雅黑" w:cs="微软雅黑"/>
                <w:sz w:val="20"/>
                <w:szCs w:val="20"/>
              </w:rPr>
            </w:pPr>
            <w:r>
              <w:rPr>
                <w:rFonts w:hint="eastAsia" w:ascii="微软雅黑" w:hAnsi="微软雅黑" w:eastAsia="微软雅黑" w:cs="微软雅黑"/>
                <w:color w:val="0000FF"/>
                <w:sz w:val="20"/>
                <w:szCs w:val="20"/>
                <w:lang w:val="en-US" w:eastAsia="zh-CN"/>
              </w:rPr>
              <w:t>租金底价按 6300 元/月或营业额 15 %，两者取高收取；递增方式：租金每年按5%进行递增；月总营收额分成为 15 %，三年不递增。</w:t>
            </w:r>
          </w:p>
        </w:tc>
      </w:tr>
      <w:permEnd w:id="2"/>
      <w:tr w14:paraId="42E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906" w:type="dxa"/>
          </w:tcPr>
          <w:p w14:paraId="7B104E04">
            <w:pPr>
              <w:rPr>
                <w:rFonts w:hint="eastAsia" w:ascii="微软雅黑" w:hAnsi="微软雅黑" w:eastAsia="微软雅黑" w:cs="微软雅黑"/>
                <w:sz w:val="20"/>
                <w:szCs w:val="20"/>
              </w:rPr>
            </w:pPr>
            <w:permStart w:id="3" w:edGrp="everyone" w:colFirst="3" w:colLast="3"/>
            <w:r>
              <w:rPr>
                <w:rFonts w:hint="eastAsia" w:ascii="微软雅黑" w:hAnsi="微软雅黑" w:eastAsia="微软雅黑" w:cs="微软雅黑"/>
                <w:sz w:val="20"/>
                <w:szCs w:val="20"/>
              </w:rPr>
              <w:t>租金支付方式</w:t>
            </w:r>
          </w:p>
        </w:tc>
        <w:tc>
          <w:tcPr>
            <w:tcW w:w="3011" w:type="dxa"/>
          </w:tcPr>
          <w:p w14:paraId="565D8EB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银行转账，月付（每月5日前以银行转账方式支付当月租金）</w:t>
            </w:r>
          </w:p>
        </w:tc>
        <w:tc>
          <w:tcPr>
            <w:tcW w:w="2503" w:type="dxa"/>
          </w:tcPr>
          <w:p w14:paraId="42E417B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资产用途限定</w:t>
            </w:r>
          </w:p>
        </w:tc>
        <w:tc>
          <w:tcPr>
            <w:tcW w:w="2310" w:type="dxa"/>
          </w:tcPr>
          <w:p w14:paraId="7D96D16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轻餐饮</w:t>
            </w:r>
            <w:r>
              <w:rPr>
                <w:rFonts w:hint="eastAsia" w:ascii="微软雅黑" w:hAnsi="微软雅黑" w:eastAsia="微软雅黑" w:cs="微软雅黑"/>
                <w:sz w:val="20"/>
                <w:szCs w:val="20"/>
                <w:lang w:val="en-US" w:eastAsia="zh-CN"/>
              </w:rPr>
              <w:t>及零售服务</w:t>
            </w:r>
            <w:r>
              <w:rPr>
                <w:rFonts w:hint="eastAsia" w:ascii="微软雅黑" w:hAnsi="微软雅黑" w:eastAsia="微软雅黑" w:cs="微软雅黑"/>
                <w:sz w:val="20"/>
                <w:szCs w:val="20"/>
              </w:rPr>
              <w:t>业态</w:t>
            </w:r>
          </w:p>
        </w:tc>
      </w:tr>
      <w:permEnd w:id="3"/>
      <w:tr w14:paraId="558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1E69FB61">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阳光租赁平台交易保证金</w:t>
            </w:r>
          </w:p>
        </w:tc>
        <w:tc>
          <w:tcPr>
            <w:tcW w:w="4813" w:type="dxa"/>
            <w:gridSpan w:val="2"/>
          </w:tcPr>
          <w:p w14:paraId="17809B5E">
            <w:pPr>
              <w:rPr>
                <w:rFonts w:hint="eastAsia" w:ascii="微软雅黑" w:hAnsi="微软雅黑" w:eastAsia="微软雅黑" w:cs="微软雅黑"/>
                <w:sz w:val="20"/>
                <w:szCs w:val="20"/>
                <w:lang w:eastAsia="zh-CN"/>
              </w:rPr>
            </w:pPr>
            <w:permStart w:id="4" w:edGrp="everyone"/>
            <w:r>
              <w:rPr>
                <w:rFonts w:hint="eastAsia" w:ascii="微软雅黑" w:hAnsi="微软雅黑" w:eastAsia="微软雅黑" w:cs="微软雅黑"/>
                <w:sz w:val="20"/>
                <w:szCs w:val="20"/>
                <w:lang w:val="en-US" w:eastAsia="zh-CN"/>
              </w:rPr>
              <w:t xml:space="preserve">  12600 </w:t>
            </w:r>
            <w:r>
              <w:rPr>
                <w:rFonts w:hint="eastAsia" w:ascii="微软雅黑" w:hAnsi="微软雅黑" w:eastAsia="微软雅黑" w:cs="微软雅黑"/>
                <w:sz w:val="20"/>
                <w:szCs w:val="20"/>
              </w:rPr>
              <w:t xml:space="preserve"> 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lang w:val="en-US" w:eastAsia="zh-CN"/>
              </w:rPr>
              <w:t>本项目</w:t>
            </w:r>
            <w:r>
              <w:rPr>
                <w:rFonts w:hint="eastAsia" w:ascii="微软雅黑" w:hAnsi="微软雅黑" w:eastAsia="微软雅黑" w:cs="微软雅黑"/>
                <w:sz w:val="20"/>
                <w:szCs w:val="20"/>
              </w:rPr>
              <w:t>招租底价</w:t>
            </w:r>
            <w:r>
              <w:rPr>
                <w:rFonts w:hint="eastAsia" w:ascii="微软雅黑" w:hAnsi="微软雅黑" w:eastAsia="微软雅黑" w:cs="微软雅黑"/>
                <w:sz w:val="20"/>
                <w:szCs w:val="20"/>
                <w:lang w:val="en-US" w:eastAsia="zh-CN"/>
              </w:rPr>
              <w:t>*2</w:t>
            </w:r>
            <w:r>
              <w:rPr>
                <w:rFonts w:hint="eastAsia" w:ascii="微软雅黑" w:hAnsi="微软雅黑" w:eastAsia="微软雅黑" w:cs="微软雅黑"/>
                <w:sz w:val="20"/>
                <w:szCs w:val="20"/>
                <w:lang w:eastAsia="zh-CN"/>
              </w:rPr>
              <w:t>）</w:t>
            </w:r>
            <w:permEnd w:id="4"/>
          </w:p>
        </w:tc>
      </w:tr>
      <w:tr w14:paraId="6DE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352AE0FF">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收款信息</w:t>
            </w:r>
          </w:p>
        </w:tc>
        <w:tc>
          <w:tcPr>
            <w:tcW w:w="4813" w:type="dxa"/>
            <w:gridSpan w:val="2"/>
          </w:tcPr>
          <w:p w14:paraId="3A258A56">
            <w:pPr>
              <w:wordWrap w:val="0"/>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名</w:t>
            </w:r>
            <w:r>
              <w:rPr>
                <w:rFonts w:hint="eastAsia" w:ascii="微软雅黑" w:hAnsi="微软雅黑" w:eastAsia="微软雅黑" w:cs="微软雅黑"/>
                <w:sz w:val="20"/>
                <w:szCs w:val="20"/>
                <w:shd w:val="clear" w:color="auto" w:fill="FFFFFF"/>
                <w:lang w:val="en-US" w:eastAsia="zh-CN"/>
              </w:rPr>
              <w:t xml:space="preserve"> </w:t>
            </w:r>
            <w:r>
              <w:rPr>
                <w:rFonts w:hint="eastAsia" w:ascii="微软雅黑" w:hAnsi="微软雅黑" w:eastAsia="微软雅黑" w:cs="微软雅黑"/>
                <w:sz w:val="20"/>
                <w:szCs w:val="20"/>
                <w:shd w:val="clear" w:color="auto" w:fill="FFFFFF"/>
              </w:rPr>
              <w:t>称：深圳市特区建工园林生态科技集团有限公司</w:t>
            </w:r>
          </w:p>
          <w:p w14:paraId="0FB1DF9B">
            <w:pPr>
              <w:wordWrap w:val="0"/>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开户行</w:t>
            </w:r>
            <w:r>
              <w:rPr>
                <w:rFonts w:hint="eastAsia" w:ascii="微软雅黑" w:hAnsi="微软雅黑" w:eastAsia="微软雅黑" w:cs="微软雅黑"/>
                <w:sz w:val="20"/>
                <w:szCs w:val="20"/>
                <w:shd w:val="clear" w:color="auto" w:fill="FFFFFF"/>
                <w:lang w:eastAsia="zh-CN"/>
              </w:rPr>
              <w:t>：</w:t>
            </w:r>
            <w:r>
              <w:rPr>
                <w:rFonts w:hint="eastAsia" w:ascii="微软雅黑" w:hAnsi="微软雅黑" w:eastAsia="微软雅黑" w:cs="微软雅黑"/>
                <w:sz w:val="20"/>
                <w:szCs w:val="20"/>
                <w:shd w:val="clear" w:color="auto" w:fill="FFFFFF"/>
              </w:rPr>
              <w:t>招商银行深圳光明分行</w:t>
            </w:r>
          </w:p>
          <w:p w14:paraId="58051AEF">
            <w:pPr>
              <w:pStyle w:val="2"/>
              <w:rPr>
                <w:rFonts w:hint="eastAsia"/>
              </w:rPr>
            </w:pPr>
            <w:r>
              <w:rPr>
                <w:rFonts w:hint="eastAsia" w:ascii="微软雅黑" w:hAnsi="微软雅黑" w:eastAsia="微软雅黑" w:cs="微软雅黑"/>
                <w:sz w:val="20"/>
                <w:szCs w:val="20"/>
                <w:shd w:val="clear" w:color="auto" w:fill="FFFFFF"/>
              </w:rPr>
              <w:t>账号：755970834810005</w:t>
            </w:r>
          </w:p>
        </w:tc>
      </w:tr>
      <w:tr w14:paraId="0BF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4C2319D3">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交易保证金缴纳截至时间</w:t>
            </w:r>
          </w:p>
        </w:tc>
        <w:tc>
          <w:tcPr>
            <w:tcW w:w="4813" w:type="dxa"/>
            <w:gridSpan w:val="2"/>
          </w:tcPr>
          <w:p w14:paraId="7011B599">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2026-0</w:t>
            </w:r>
            <w:r>
              <w:rPr>
                <w:rFonts w:hint="eastAsia" w:ascii="微软雅黑" w:hAnsi="微软雅黑" w:eastAsia="微软雅黑" w:cs="微软雅黑"/>
                <w:sz w:val="20"/>
                <w:szCs w:val="20"/>
                <w:lang w:val="en-US" w:eastAsia="zh-CN"/>
              </w:rPr>
              <w:t>6</w:t>
            </w:r>
            <w:r>
              <w:rPr>
                <w:rFonts w:hint="eastAsia" w:ascii="微软雅黑" w:hAnsi="微软雅黑" w:eastAsia="微软雅黑" w:cs="微软雅黑"/>
                <w:sz w:val="20"/>
                <w:szCs w:val="20"/>
              </w:rPr>
              <w:t>-1</w:t>
            </w:r>
            <w:r>
              <w:rPr>
                <w:rFonts w:hint="eastAsia" w:ascii="微软雅黑" w:hAnsi="微软雅黑" w:eastAsia="微软雅黑" w:cs="微软雅黑"/>
                <w:sz w:val="20"/>
                <w:szCs w:val="20"/>
                <w:lang w:val="en-US" w:eastAsia="zh-CN"/>
              </w:rPr>
              <w:t>0</w:t>
            </w:r>
            <w:r>
              <w:rPr>
                <w:rFonts w:hint="eastAsia" w:ascii="微软雅黑" w:hAnsi="微软雅黑" w:eastAsia="微软雅黑" w:cs="微软雅黑"/>
                <w:sz w:val="20"/>
                <w:szCs w:val="20"/>
              </w:rPr>
              <w:t xml:space="preserve"> 15:00:00</w:t>
            </w:r>
          </w:p>
        </w:tc>
      </w:tr>
      <w:tr w14:paraId="749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049086F4">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项目服务及承租范围</w:t>
            </w:r>
          </w:p>
        </w:tc>
        <w:tc>
          <w:tcPr>
            <w:tcW w:w="7824" w:type="dxa"/>
            <w:gridSpan w:val="3"/>
          </w:tcPr>
          <w:p w14:paraId="472739C4">
            <w:pPr>
              <w:numPr>
                <w:ilvl w:val="255"/>
                <w:numId w:val="0"/>
              </w:numPr>
              <w:rPr>
                <w:rFonts w:hint="eastAsia" w:ascii="微软雅黑" w:hAnsi="微软雅黑" w:eastAsia="微软雅黑" w:cs="微软雅黑"/>
                <w:sz w:val="20"/>
                <w:szCs w:val="20"/>
              </w:rPr>
            </w:pPr>
            <w:permStart w:id="5" w:edGrp="everyone"/>
            <w:r>
              <w:rPr>
                <w:rFonts w:hint="eastAsia" w:ascii="微软雅黑" w:hAnsi="微软雅黑" w:eastAsia="微软雅黑" w:cs="微软雅黑"/>
                <w:sz w:val="20"/>
                <w:szCs w:val="20"/>
              </w:rPr>
              <w:t>（一）承租方需将承租场地打造为轻餐饮</w:t>
            </w:r>
            <w:r>
              <w:rPr>
                <w:rFonts w:hint="eastAsia" w:ascii="微软雅黑" w:hAnsi="微软雅黑" w:eastAsia="微软雅黑" w:cs="微软雅黑"/>
                <w:sz w:val="20"/>
                <w:szCs w:val="20"/>
                <w:lang w:val="en-US" w:eastAsia="zh-CN"/>
              </w:rPr>
              <w:t>或零售服务</w:t>
            </w:r>
            <w:r>
              <w:rPr>
                <w:rFonts w:hint="eastAsia" w:ascii="微软雅黑" w:hAnsi="微软雅黑" w:eastAsia="微软雅黑" w:cs="微软雅黑"/>
                <w:sz w:val="20"/>
                <w:szCs w:val="20"/>
              </w:rPr>
              <w:t>业态空间；</w:t>
            </w:r>
          </w:p>
          <w:p w14:paraId="25486CF8">
            <w:pPr>
              <w:numPr>
                <w:ilvl w:val="255"/>
                <w:numId w:val="0"/>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（二）承租方需自行配套设置相应的休闲配套等设施，配套附属设施需确保安全且外观新颖，与公园环境景观相协调，相关配套方案需经招租方审核认可。</w:t>
            </w:r>
          </w:p>
          <w:p w14:paraId="78A14B67">
            <w:p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rPr>
              <w:t>（</w:t>
            </w:r>
            <w:r>
              <w:rPr>
                <w:rFonts w:hint="eastAsia" w:ascii="微软雅黑" w:hAnsi="微软雅黑" w:eastAsia="微软雅黑" w:cs="微软雅黑"/>
                <w:sz w:val="20"/>
                <w:szCs w:val="20"/>
                <w:lang w:val="en-US" w:eastAsia="zh-CN"/>
              </w:rPr>
              <w:t>三</w:t>
            </w:r>
            <w:r>
              <w:rPr>
                <w:rFonts w:hint="eastAsia" w:ascii="微软雅黑" w:hAnsi="微软雅黑" w:eastAsia="微软雅黑" w:cs="微软雅黑"/>
                <w:sz w:val="20"/>
                <w:szCs w:val="20"/>
              </w:rPr>
              <w:t>）承租方不得经营造成场地环境污染或者伤害游客人身的商品，或有污染及其他法律法规不允许经营的项目；</w:t>
            </w:r>
            <w:permEnd w:id="5"/>
          </w:p>
        </w:tc>
      </w:tr>
      <w:tr w14:paraId="104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2332685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履约条件</w:t>
            </w:r>
          </w:p>
        </w:tc>
        <w:tc>
          <w:tcPr>
            <w:tcW w:w="7824" w:type="dxa"/>
            <w:gridSpan w:val="3"/>
          </w:tcPr>
          <w:p w14:paraId="114E60F5">
            <w:pPr>
              <w:rPr>
                <w:rFonts w:hint="eastAsia" w:ascii="微软雅黑" w:hAnsi="微软雅黑" w:eastAsia="微软雅黑" w:cs="微软雅黑"/>
                <w:sz w:val="20"/>
                <w:szCs w:val="20"/>
                <w:shd w:val="clear" w:color="auto" w:fill="FFFFFF"/>
              </w:rPr>
            </w:pPr>
            <w:permStart w:id="6" w:edGrp="everyone"/>
            <w:r>
              <w:rPr>
                <w:rFonts w:hint="eastAsia" w:ascii="微软雅黑" w:hAnsi="微软雅黑" w:eastAsia="微软雅黑" w:cs="微软雅黑"/>
                <w:sz w:val="20"/>
                <w:szCs w:val="20"/>
                <w:shd w:val="clear" w:color="auto" w:fill="FFFFFF"/>
              </w:rPr>
              <w:t>（一）基本要求：在其承租范围内提供符合国家质量标准及食品安全卫生许可标准的休闲饮</w:t>
            </w:r>
            <w:r>
              <w:rPr>
                <w:rFonts w:hint="eastAsia" w:ascii="微软雅黑" w:hAnsi="微软雅黑" w:eastAsia="微软雅黑" w:cs="微软雅黑"/>
                <w:sz w:val="20"/>
                <w:szCs w:val="20"/>
                <w:shd w:val="clear" w:color="auto" w:fill="FFFFFF"/>
                <w:lang w:val="en-US" w:eastAsia="zh-CN"/>
              </w:rPr>
              <w:t>食</w:t>
            </w:r>
            <w:r>
              <w:rPr>
                <w:rFonts w:hint="eastAsia" w:ascii="微软雅黑" w:hAnsi="微软雅黑" w:eastAsia="微软雅黑" w:cs="微软雅黑"/>
                <w:sz w:val="20"/>
                <w:szCs w:val="20"/>
                <w:shd w:val="clear" w:color="auto" w:fill="FFFFFF"/>
              </w:rPr>
              <w:t>品及</w:t>
            </w:r>
            <w:r>
              <w:rPr>
                <w:rFonts w:hint="eastAsia" w:ascii="微软雅黑" w:hAnsi="微软雅黑" w:eastAsia="微软雅黑" w:cs="微软雅黑"/>
                <w:sz w:val="20"/>
                <w:szCs w:val="20"/>
                <w:shd w:val="clear" w:color="auto" w:fill="FFFFFF"/>
                <w:lang w:val="en-US" w:eastAsia="zh-CN"/>
              </w:rPr>
              <w:t>相关</w:t>
            </w:r>
            <w:r>
              <w:rPr>
                <w:rFonts w:hint="eastAsia" w:ascii="微软雅黑" w:hAnsi="微软雅黑" w:eastAsia="微软雅黑" w:cs="微软雅黑"/>
                <w:sz w:val="20"/>
                <w:szCs w:val="20"/>
                <w:shd w:val="clear" w:color="auto" w:fill="FFFFFF"/>
              </w:rPr>
              <w:t>配套服务；并按招租方要求须提供合法合规、符合公园主题、高品质的文化活动。</w:t>
            </w:r>
          </w:p>
          <w:permEnd w:id="6"/>
          <w:p w14:paraId="6E5553C8">
            <w:p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二）承租方应按招租方移交时的现状接收物业，除房屋主体结构外，需要进一步进行修缮或开展二次装修工程的，均由承租方负责(包括相关费用的支出)，承租方自行开展的室内二次装修工程需经招租方相关部门审批。</w:t>
            </w:r>
          </w:p>
          <w:p w14:paraId="54E33F26">
            <w:p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（三）</w:t>
            </w:r>
            <w:r>
              <w:rPr>
                <w:rFonts w:hint="eastAsia" w:ascii="微软雅黑" w:hAnsi="微软雅黑" w:eastAsia="微软雅黑" w:cs="微软雅黑"/>
                <w:sz w:val="20"/>
                <w:szCs w:val="20"/>
                <w:shd w:val="clear" w:color="auto" w:fill="FFFFFF"/>
                <w:lang w:val="en-US" w:eastAsia="zh-CN"/>
              </w:rPr>
              <w:t>配合甲方开展</w:t>
            </w:r>
            <w:r>
              <w:rPr>
                <w:rFonts w:hint="eastAsia" w:ascii="微软雅黑" w:hAnsi="微软雅黑" w:eastAsia="微软雅黑" w:cs="微软雅黑"/>
                <w:sz w:val="20"/>
                <w:szCs w:val="20"/>
                <w:shd w:val="clear" w:color="auto" w:fill="FFFFFF"/>
              </w:rPr>
              <w:t>公益文化活动不低于</w:t>
            </w:r>
            <w:r>
              <w:rPr>
                <w:rFonts w:hint="eastAsia" w:ascii="微软雅黑" w:hAnsi="微软雅黑" w:eastAsia="微软雅黑" w:cs="微软雅黑"/>
                <w:b/>
                <w:bCs/>
                <w:sz w:val="20"/>
                <w:szCs w:val="20"/>
                <w:u w:val="single"/>
                <w:shd w:val="clear" w:color="auto" w:fill="FFFFFF"/>
                <w:lang w:val="en-US" w:eastAsia="zh-CN"/>
              </w:rPr>
              <w:t xml:space="preserve"> 6 </w:t>
            </w:r>
            <w:r>
              <w:rPr>
                <w:rFonts w:hint="eastAsia" w:ascii="微软雅黑" w:hAnsi="微软雅黑" w:eastAsia="微软雅黑" w:cs="微软雅黑"/>
                <w:b/>
                <w:bCs/>
                <w:sz w:val="20"/>
                <w:szCs w:val="20"/>
                <w:shd w:val="clear" w:color="auto" w:fill="FFFFFF"/>
              </w:rPr>
              <w:t>场/年</w:t>
            </w:r>
            <w:r>
              <w:rPr>
                <w:rFonts w:hint="eastAsia" w:ascii="微软雅黑" w:hAnsi="微软雅黑" w:eastAsia="微软雅黑" w:cs="微软雅黑"/>
                <w:sz w:val="20"/>
                <w:szCs w:val="20"/>
                <w:shd w:val="clear" w:color="auto" w:fill="FFFFFF"/>
              </w:rPr>
              <w:t>，单次活动时间不低于1小时，公益内容：包括但不限于展览、市集、音乐会、儿童音乐剧、读书会、露天电影等，每次活动举办前承租方需制定详细活动方案报招租方审批报备，经招租方审核同意后实施。</w:t>
            </w:r>
          </w:p>
          <w:p w14:paraId="477055B0">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（四）履约要求：</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1、风险提示：服务期限内，招租方有权根据自身经营管理需要，自主决定在公园内新增投放同类经营服务项目及多经点位的投放，承租方应充分了解并承担其中可能存在的经营亏损风险。</w:t>
            </w:r>
          </w:p>
          <w:p w14:paraId="7A4D6E5E">
            <w:pPr>
              <w:numPr>
                <w:ilvl w:val="255"/>
                <w:numId w:val="0"/>
              </w:num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2、承租方承担水电接驳</w:t>
            </w:r>
            <w:r>
              <w:rPr>
                <w:rFonts w:hint="eastAsia" w:ascii="微软雅黑" w:hAnsi="微软雅黑" w:eastAsia="微软雅黑" w:cs="微软雅黑"/>
                <w:sz w:val="20"/>
                <w:szCs w:val="20"/>
                <w:shd w:val="clear" w:color="auto" w:fill="FFFFFF"/>
                <w:lang w:eastAsia="zh-CN"/>
              </w:rPr>
              <w:t>、</w:t>
            </w:r>
            <w:r>
              <w:rPr>
                <w:rFonts w:hint="eastAsia" w:ascii="微软雅黑" w:hAnsi="微软雅黑" w:eastAsia="微软雅黑" w:cs="微软雅黑"/>
                <w:sz w:val="20"/>
                <w:szCs w:val="20"/>
                <w:shd w:val="clear" w:color="auto" w:fill="FFFFFF"/>
                <w:lang w:val="en-US" w:eastAsia="zh-CN"/>
              </w:rPr>
              <w:t>物业管理费</w:t>
            </w:r>
            <w:r>
              <w:rPr>
                <w:rFonts w:hint="eastAsia" w:ascii="微软雅黑" w:hAnsi="微软雅黑" w:eastAsia="微软雅黑" w:cs="微软雅黑"/>
                <w:sz w:val="20"/>
                <w:szCs w:val="20"/>
                <w:shd w:val="clear" w:color="auto" w:fill="FFFFFF"/>
              </w:rPr>
              <w:t>及运营期间所需的一切费用。</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3、承租方应在在成交结果公示期发布之日起30个自然日签订租赁合同及相关协议并按合同约定交纳租赁保证金，否则视为承租方违约，招租方有权不予退还阳光租赁平台交易保证金，并重新出租物业，且无需对承租方承担赔偿责任；</w:t>
            </w:r>
          </w:p>
          <w:p w14:paraId="738C3B8A">
            <w:pPr>
              <w:numPr>
                <w:ilvl w:val="255"/>
                <w:numId w:val="0"/>
              </w:num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4、因政府规划调整或者不可抗力因素，导致租赁合同无法履行的，招租方不承担任何违约责任，承租方不得以此为由向招租方主张赔偿或补偿，“不可抗力”是指双方不能合理控制、不可预见、亦无法避免的事件，该事件妨碍、影响或延误任何一方根据租赁合同履行其全部或部分义务，包括但不限于因发生地震、火灾、水灾、暴风雨、爆炸、台风、罢工、国家或政府机关征用、征收、征购、没收或收归国有，或发生任何双方无法控制的其他不可抗力事件，致使对方或对方的雇员、代理人、或访客发生的损失。</w:t>
            </w:r>
          </w:p>
          <w:p w14:paraId="4F855C04">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5、负面清单：</w:t>
            </w:r>
          </w:p>
          <w:p w14:paraId="584988F7">
            <w:pPr>
              <w:pStyle w:val="12"/>
              <w:shd w:val="clear" w:color="auto" w:fill="FFFFFF" w:themeFill="background1"/>
            </w:pPr>
            <w:r>
              <w:t>本项目定位为配套设施，须对项目的承租管理活动做出必要的限制。禁止承租方进行以下任意一类的经营活动：</w:t>
            </w:r>
          </w:p>
          <w:p w14:paraId="7A651321">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违反中华人民共和国法律、法规规定的，违背社会主义核心价值观的。</w:t>
            </w:r>
          </w:p>
          <w:p w14:paraId="2332B69E">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存在叛国、分裂国家、煽动叛乱、颠覆或者煽动颠覆人民民主专政政权的行为的。</w:t>
            </w:r>
          </w:p>
          <w:p w14:paraId="6B6553CB">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违法、违背社会道德和公序良俗的。</w:t>
            </w:r>
          </w:p>
          <w:p w14:paraId="2F28FA78">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开展大规模集会的。</w:t>
            </w:r>
          </w:p>
          <w:p w14:paraId="4C1EA393">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涉及黄、赌、毒等违法活动。 </w:t>
            </w:r>
          </w:p>
          <w:p w14:paraId="36FA9DF6">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擅自转让、分包经营项目，擅自将所经营的财产进行处置或抵押，危及公共利益、公众安全。</w:t>
            </w:r>
          </w:p>
          <w:p w14:paraId="2DFEBBF8">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超出经营范围，从事合同约定以外的经营项目。</w:t>
            </w:r>
          </w:p>
          <w:p w14:paraId="34BD6AFB">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擅自将经营所用的配套服务设施改作其它用途。</w:t>
            </w:r>
          </w:p>
          <w:p w14:paraId="27C375B7">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擅自扩大面积，私自搭建。</w:t>
            </w:r>
          </w:p>
          <w:p w14:paraId="28A2AB9B">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擅自对配套服务设施进行改造装修。</w:t>
            </w:r>
          </w:p>
          <w:p w14:paraId="6D556479">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经营行为不文明，服务态度恶劣且造成严重后果。</w:t>
            </w:r>
          </w:p>
          <w:p w14:paraId="18B87F26">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无证照经营的餐饮经营活动。</w:t>
            </w:r>
          </w:p>
          <w:p w14:paraId="084E228A">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易燃易爆、有毒有害等化学物品销售。</w:t>
            </w:r>
          </w:p>
          <w:p w14:paraId="10921138">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燃放烟花爆竹、放孔明灯等存在森林火灾隐患的经营活动。</w:t>
            </w:r>
          </w:p>
          <w:p w14:paraId="1A87F84B">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禁止设立私人会所，或只对少数人开放的场所。</w:t>
            </w:r>
          </w:p>
          <w:p w14:paraId="4C9CDB44">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政府方因公共利益或公共安全需要限制引入的其他经营活动。</w:t>
            </w:r>
          </w:p>
          <w:p w14:paraId="1396253D">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不符合公园功能定位的其他经营活动。</w:t>
            </w:r>
          </w:p>
          <w:p w14:paraId="5254CE3B">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不符合场地相关管理要求的。</w:t>
            </w:r>
          </w:p>
          <w:p w14:paraId="6F2012CC">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危险的、污染环境的、消极的。</w:t>
            </w:r>
          </w:p>
          <w:p w14:paraId="23841D69">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使用明火的。</w:t>
            </w:r>
          </w:p>
          <w:p w14:paraId="5B97D827">
            <w:pPr>
              <w:numPr>
                <w:ilvl w:val="0"/>
                <w:numId w:val="1"/>
              </w:numPr>
              <w:shd w:val="clear" w:color="auto" w:fill="FFFFFF" w:themeFill="background1"/>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对承租效果或形象产生不良影响的。</w:t>
            </w:r>
          </w:p>
          <w:p w14:paraId="0DE2C498">
            <w:pPr>
              <w:numPr>
                <w:ilvl w:val="0"/>
                <w:numId w:val="1"/>
              </w:numPr>
              <w:shd w:val="clear" w:color="auto" w:fill="FFFFFF" w:themeFill="background1"/>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rPr>
              <w:t>开展有可能引起公众批评反对，难以消除不良影响的。</w:t>
            </w:r>
          </w:p>
          <w:p w14:paraId="1AD56938">
            <w:pPr>
              <w:numPr>
                <w:ilvl w:val="0"/>
                <w:numId w:val="1"/>
              </w:numPr>
              <w:shd w:val="clear" w:color="auto" w:fill="FFFFFF" w:themeFill="background1"/>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法律、法规及公园管理制度禁止的其他行为。</w:t>
            </w:r>
          </w:p>
          <w:p w14:paraId="03D22244">
            <w:pPr>
              <w:numPr>
                <w:ilvl w:val="0"/>
                <w:numId w:val="2"/>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承租方须对院落空间保持常态化开放，除吧台区、仓储区和配餐区游客不可进入外，经营空间的其他消费场景无消费情况下仍完全开放，不允许设立私人会所或区域，只对少数人开放。</w:t>
            </w:r>
          </w:p>
          <w:p w14:paraId="52D80A30">
            <w:pPr>
              <w:pStyle w:val="12"/>
            </w:pPr>
            <w:r>
              <w:t>7、活动计划和确认</w:t>
            </w:r>
          </w:p>
          <w:p w14:paraId="44538C0B">
            <w:pPr>
              <w:pStyle w:val="12"/>
            </w:pPr>
            <w:r>
              <w:t>承租方应当配合招租方的活动计划和活动主题，经营性活动开展前，应向招租方报备案。备案信息包括但不限于活动内容、活动安排、开展时间、安全保障措施等内容。活动计划有变动的，须及时再次报备案。</w:t>
            </w:r>
          </w:p>
          <w:p w14:paraId="26467656">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8、本项目不接受联合体承租，不可分租、转租。</w:t>
            </w:r>
          </w:p>
        </w:tc>
      </w:tr>
      <w:tr w14:paraId="7DD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55244C7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承租管理内容及要求</w:t>
            </w:r>
          </w:p>
        </w:tc>
        <w:tc>
          <w:tcPr>
            <w:tcW w:w="7824" w:type="dxa"/>
            <w:gridSpan w:val="3"/>
          </w:tcPr>
          <w:p w14:paraId="2950E47E">
            <w:pPr>
              <w:pStyle w:val="12"/>
            </w:pPr>
            <w:permStart w:id="7" w:edGrp="everyone"/>
            <w:r>
              <w:rPr>
                <w:shd w:val="clear" w:color="auto" w:fill="FFFFFF"/>
              </w:rPr>
              <w:t>1、</w:t>
            </w:r>
            <w:r>
              <w:t>本项目</w:t>
            </w:r>
            <w:r>
              <w:rPr>
                <w:b/>
                <w:bCs/>
              </w:rPr>
              <w:t>无免租期</w:t>
            </w:r>
            <w:r>
              <w:t>，承租方应在项目中标后</w:t>
            </w:r>
            <w:r>
              <w:rPr>
                <w:rFonts w:hint="eastAsia"/>
                <w:lang w:val="en-US" w:eastAsia="zh-CN"/>
              </w:rPr>
              <w:t>10</w:t>
            </w:r>
            <w:r>
              <w:t>日内筹备完毕并进场运营，若超过上述时间，则每逾期一天从租赁保证金中扣除500元/天。</w:t>
            </w:r>
          </w:p>
          <w:permEnd w:id="7"/>
          <w:p w14:paraId="6BBC0D3F">
            <w:pPr>
              <w:pStyle w:val="12"/>
            </w:pPr>
            <w:r>
              <w:t>2、项目承租期间招租方有权根据项目实际情况和监管需要制定和更新项目履约监管考核办法，发现现场管理无序、管理人员缺位、卫生不达标、存在安全隐患或被市民游客投诉等情况，有权要求承租方限期整改。承租方接到通知后，应立即进行整改，逾期不整改或整改不到位，招租方有权视情节轻重每次对承租方处以月租金10%至100%的违约金。违约金直接从租赁保证金中扣除后，承租方应在5个工作日内补齐租赁保证金，逾期不补齐的视为租金逾期。</w:t>
            </w:r>
          </w:p>
          <w:p w14:paraId="38D7B0CA">
            <w:pPr>
              <w:pStyle w:val="12"/>
            </w:pPr>
            <w:r>
              <w:t>3、承租方租赁期间，应当于其对外经营前的15日内，自费购买租赁期限内的公众责任险，食品安全责任险及该租赁房屋内承租方的自有财产的财产一切险（如盗窃险、现金险、营业中断险等）。</w:t>
            </w:r>
          </w:p>
          <w:p w14:paraId="780B7FAD">
            <w:pPr>
              <w:pStyle w:val="12"/>
            </w:pPr>
            <w:r>
              <w:t>4、承租方须指定专人负责管理，对接招租方，定期向招租方汇报承租情况，于每年年末提交本年度承租报告及下一年度承租计划，作为管理承租方履约评估的依据之一，并无条件配合政府部门的监督检查，对存在的问题及时进行整改。</w:t>
            </w:r>
          </w:p>
          <w:p w14:paraId="26B452C0">
            <w:pPr>
              <w:pStyle w:val="12"/>
            </w:pPr>
            <w:r>
              <w:t>5、承租方必须确保合同期间及合同期满后，由招租方根据《租赁房屋交付确认函》对其所移交并验收确认的场地设备设施及房屋进行验收，验收不通过的招租方有权使用租赁保证金委托第三方对相关资产进行维护，维护费用超过租赁保证金数额的，招租方有权向承租方追偿。维护费用直接从租赁保证金中扣除后，承租方应在5个工作日内补齐租赁保证金，逾期不补齐的视为租金逾期。</w:t>
            </w:r>
          </w:p>
          <w:p w14:paraId="32612699">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6、承租方需承担承租范围内环卫清扫保洁，保持绿地清洁无垃圾杂物，产出垃圾投放至指定地点。保持承租范围内所有公用设施设备的清洁，及时清理乱涂写、乱张贴、乱悬挂和乱刻画等。</w:t>
            </w:r>
          </w:p>
          <w:p w14:paraId="3DBC0DBF">
            <w:pPr>
              <w:pStyle w:val="12"/>
            </w:pPr>
            <w:r>
              <w:t>7、承租方承租期间若出现经营问题，管理不善或自身原因导致无法继续履约，则招租方有权重新组织采购。</w:t>
            </w:r>
          </w:p>
          <w:p w14:paraId="12039306">
            <w:pPr>
              <w:pStyle w:val="12"/>
              <w:rPr>
                <w:color w:val="auto"/>
              </w:rPr>
            </w:pPr>
            <w:r>
              <w:t>8、开放时间：全年开放，因极端天气等不可抗力因素或其他客观原因导致无法开放情况除外。无正当理由暂停营业，每个自然年累计15天以下警告处理，若全年累计超过15天，除应继续缴纳租金外，每超过</w:t>
            </w:r>
            <w:r>
              <w:rPr>
                <w:color w:val="auto"/>
              </w:rPr>
              <w:t>一天扣罚500元人民币。罚扣金额直接从租赁保证金中扣除后，承租方应在5个工作日内补齐租赁保证金，逾期不补齐的视为租金逾期。</w:t>
            </w:r>
          </w:p>
          <w:p w14:paraId="6679CCE5">
            <w:pPr>
              <w:pStyle w:val="12"/>
              <w:rPr>
                <w:color w:val="auto"/>
              </w:rPr>
            </w:pPr>
            <w:r>
              <w:rPr>
                <w:color w:val="auto"/>
              </w:rPr>
              <w:t>9、承租方须严格按投标的经营方案执行，招租方将全程监管，如发现实际经营与投标方案存在</w:t>
            </w:r>
            <w:r>
              <w:rPr>
                <w:color w:val="auto"/>
                <w:shd w:val="clear" w:color="auto" w:fill="FFFFFF"/>
              </w:rPr>
              <w:t>重大偏差</w:t>
            </w:r>
            <w:r>
              <w:rPr>
                <w:color w:val="auto"/>
              </w:rPr>
              <w:t>且未获批准，管理方将根据违约程度扣减商户的</w:t>
            </w:r>
            <w:r>
              <w:rPr>
                <w:color w:val="auto"/>
                <w:shd w:val="clear" w:color="auto" w:fill="FFFFFF"/>
              </w:rPr>
              <w:t>履约评价分数及</w:t>
            </w:r>
            <w:r>
              <w:rPr>
                <w:color w:val="auto"/>
              </w:rPr>
              <w:t>扣减租赁保证金，并纳入商户信用档案，影响后续合作机会。</w:t>
            </w:r>
          </w:p>
          <w:p w14:paraId="388FC2F3">
            <w:pPr>
              <w:pStyle w:val="12"/>
            </w:pPr>
            <w:r>
              <w:t>10、承租方经营期间，因经营行为被顾客有效投诉三次以上（含三次），有效投诉包括但不限于因食品卫生问题、现场安全问题和不符合公园管理规定而引起的用户投诉，不包括商户商业经营引起的投诉。经核实投诉符合实际情况的，每再超出一次，甲方有权要求乙方按照每次5000元支付违约金。</w:t>
            </w:r>
          </w:p>
          <w:p w14:paraId="06A08F78">
            <w:pPr>
              <w:pStyle w:val="12"/>
            </w:pPr>
            <w:r>
              <w:t>11、承租方在承租期间决定退出，可以书面通知招租方放弃承租权，提前60天以上书面申请，在扣罚其他承租责任款项后可退回全部租赁保证金。提前30天及以上书面申请，招租方有权扣罚承租方的一个月租金金额的租赁保证金。若提前不足30天申请，招租方有权扣罚承租方1.5个月租金金额的租赁保证金。未能提前通知招租方，招租方有权扣罚承租方两个月租金金额的租赁保证金。如租赁保证金在扣除前述违约金后不足以覆盖其他承租责任款项，承租方应当予以补缴。</w:t>
            </w:r>
          </w:p>
          <w:p w14:paraId="1AB57773">
            <w:pPr>
              <w:pStyle w:val="12"/>
            </w:pPr>
            <w:r>
              <w:t>12、承租方在承租期间内申请退出或因违约等情况退出，退出交接期间不得干扰招租方重新寻找新承租方以及后续进场工作。承租期限满3年，承租方在期满前60天，应积极配合招租方进行工作交接和后续采购工作。</w:t>
            </w:r>
          </w:p>
        </w:tc>
      </w:tr>
      <w:tr w14:paraId="72AC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vAlign w:val="center"/>
          </w:tcPr>
          <w:p w14:paraId="68B498B6">
            <w:pPr>
              <w:rPr>
                <w:rFonts w:hint="eastAsia" w:ascii="微软雅黑" w:hAnsi="微软雅黑" w:eastAsia="微软雅黑" w:cs="微软雅黑"/>
                <w:b/>
                <w:bCs/>
                <w:sz w:val="20"/>
                <w:szCs w:val="20"/>
              </w:rPr>
            </w:pPr>
            <w:r>
              <w:rPr>
                <w:rFonts w:hint="eastAsia" w:ascii="微软雅黑" w:hAnsi="微软雅黑" w:eastAsia="微软雅黑" w:cs="微软雅黑"/>
                <w:sz w:val="20"/>
                <w:szCs w:val="20"/>
              </w:rPr>
              <w:t>项目商务要求</w:t>
            </w:r>
          </w:p>
        </w:tc>
        <w:tc>
          <w:tcPr>
            <w:tcW w:w="7824" w:type="dxa"/>
            <w:gridSpan w:val="3"/>
          </w:tcPr>
          <w:p w14:paraId="20050CF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1、租赁期限</w:t>
            </w:r>
          </w:p>
          <w:p w14:paraId="2887A9A0">
            <w:pPr>
              <w:rPr>
                <w:rFonts w:hint="eastAsia" w:ascii="微软雅黑" w:hAnsi="微软雅黑" w:eastAsia="微软雅黑" w:cs="微软雅黑"/>
                <w:sz w:val="20"/>
                <w:szCs w:val="20"/>
              </w:rPr>
            </w:pPr>
            <w:permStart w:id="8" w:edGrp="everyone"/>
            <w:r>
              <w:rPr>
                <w:rFonts w:hint="eastAsia" w:ascii="微软雅黑" w:hAnsi="微软雅黑" w:eastAsia="微软雅黑" w:cs="微软雅黑"/>
                <w:sz w:val="20"/>
                <w:szCs w:val="20"/>
              </w:rPr>
              <w:t>本项目租赁期限三年，系指合同签订之日起至服务结束的时间期限。</w:t>
            </w:r>
          </w:p>
          <w:p w14:paraId="4F761F8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合同期内承租方发生重大安全责任事故或因严重违规经营被相关行政管理部门处罚的，招租方有权单方面终止合同。</w:t>
            </w:r>
          </w:p>
          <w:permEnd w:id="8"/>
          <w:p w14:paraId="3C652E62">
            <w:pPr>
              <w:pStyle w:val="12"/>
            </w:pPr>
            <w:r>
              <w:t>2、付款方式</w:t>
            </w:r>
          </w:p>
          <w:p w14:paraId="182B855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本合同签订之日起【5】日内支付首个租赁年度一个月的租金，此后每月租金应于当月【5】日前支付。</w:t>
            </w:r>
          </w:p>
          <w:p w14:paraId="3CEA8A3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3、承租方违约责任</w:t>
            </w:r>
            <w:permStart w:id="9" w:edGrp="everyone"/>
            <w:permEnd w:id="9"/>
          </w:p>
          <w:p w14:paraId="56EE44C4">
            <w:pPr>
              <w:pStyle w:val="12"/>
              <w:spacing w:before="156" w:beforeLines="50" w:line="360" w:lineRule="auto"/>
            </w:pPr>
            <w:r>
              <w:t>3.1 承租方逾期支付租金、管理费等招租方或管理方有权收取的费用的，自本合同约定的各项费用支付日的次日起计算至承租方实际支付之日，每逾期一日，应按欠付金额的万分之五向招租方支付违约金。招租方有权在承租方交纳的租金及费用中先行扣除应交的违约金，租金及费用不足部分视同承租方欠费。</w:t>
            </w:r>
          </w:p>
          <w:p w14:paraId="2C3B72C7">
            <w:pPr>
              <w:pStyle w:val="12"/>
              <w:spacing w:before="156" w:beforeLines="50" w:line="360" w:lineRule="auto"/>
            </w:pPr>
            <w:r>
              <w:t>3.2 承租方拖欠租金、管理费或其它费用累计超过30日的，管理方有权依照双方签订的租赁合同条款采取相应措施并追究违约责任。</w:t>
            </w:r>
          </w:p>
          <w:p w14:paraId="2E7D834F">
            <w:pPr>
              <w:pStyle w:val="12"/>
              <w:spacing w:before="156" w:beforeLines="50" w:line="360" w:lineRule="auto"/>
            </w:pPr>
            <w:r>
              <w:t>3.3 除本合同另有约定外，承租方拖欠任何费用累计超过60日的，招租方有权单方解除本合同，有权依照双方签订的租赁合同条款采取相应措施并追究违约责任。</w:t>
            </w:r>
          </w:p>
          <w:p w14:paraId="6B28A27F">
            <w:pPr>
              <w:pStyle w:val="12"/>
              <w:spacing w:before="156" w:beforeLines="50" w:line="360" w:lineRule="auto"/>
            </w:pPr>
            <w:r>
              <w:t>3.4 承租方逾期未在招租方通知的清退日将房屋恢复至承租起始日状态或者其他招租方要求的状态的，招租方有权依照双方签订的租赁合同条款采取相应措施并追究违约责任。</w:t>
            </w:r>
          </w:p>
          <w:p w14:paraId="3D63CA42">
            <w:pPr>
              <w:pStyle w:val="12"/>
            </w:pPr>
            <w:r>
              <w:t>3.5 3.1至3.4的违约责任各自独立且可累加。如本合同所约定的违约金无法弥补因违约行为所造成的损失，承租方应补偿上述不足部分的损失。</w:t>
            </w:r>
          </w:p>
          <w:p w14:paraId="69F39040">
            <w:pPr>
              <w:pStyle w:val="12"/>
            </w:pPr>
            <w:r>
              <w:t>3.6 违约责任各自独立且可累加。如本合同所约定的违约金无法弥补因违约行为所造成的损失，承租方应补偿上述不足部分的损失。</w:t>
            </w:r>
          </w:p>
          <w:p w14:paraId="4CF14591">
            <w:pPr>
              <w:pStyle w:val="12"/>
            </w:pPr>
            <w:r>
              <w:t>3.7 除法律、行政法规规定或本项目的合同另有约定外，合同的任何一方未履行、未完全履行其在本项目合同项下的义务或违反协议的约定均属违约。对违约行为及责任有明确约定的，按相关约定处理。对任何违约行为及责任没有明确约定的，按照本合同其他条款的约定(包括原则性规定)处理，如合同其他章节未做约定的，按照适用法律的规定处理。按合同约定任何一方向另一方承担违约责任，均不免除违约方对第三方的其他责任，也不免除对此有管辖权的政府部门依照适用法律对违约方进行的行政处罚或依法要求其承担的其他民事、刑事、行政责任。</w:t>
            </w:r>
          </w:p>
          <w:p w14:paraId="45CB449A">
            <w:pPr>
              <w:pStyle w:val="12"/>
            </w:pPr>
            <w:r>
              <w:t>4、租赁保证金</w:t>
            </w:r>
          </w:p>
          <w:p w14:paraId="3F4393EE">
            <w:pPr>
              <w:pStyle w:val="12"/>
            </w:pPr>
            <w:r>
              <w:t>4.1租赁保证金的来源</w:t>
            </w:r>
          </w:p>
          <w:p w14:paraId="597F491C">
            <w:pPr>
              <w:pStyle w:val="12"/>
            </w:pPr>
            <w:r>
              <w:t>承租方应在本合同签署之日起【5】日内招租方缴纳租赁房屋租赁保证金，租赁保证金额度为中标金额租金的2倍。若无法履约或因自身原因放弃则招租方有权没收租赁保证金。</w:t>
            </w:r>
          </w:p>
          <w:p w14:paraId="68B04362">
            <w:pPr>
              <w:pStyle w:val="12"/>
            </w:pPr>
            <w:r>
              <w:t>4.2租赁保证金的使用</w:t>
            </w:r>
          </w:p>
          <w:p w14:paraId="5342DA7D">
            <w:pPr>
              <w:pStyle w:val="12"/>
            </w:pPr>
            <w:r>
              <w:t>（1）承租方在经营场所装修或承租期间，因管理不善引起火灾或其他安全责任事故而造成的一切损失由承租方负责，造成招租方房屋及其他财产损失由承租方负责赔偿，给其他商户或第三人造成的损失全部由承租方承担。招租方有权解除双方所签订的租赁合同，并没收承租方所缴纳的租赁保证金。</w:t>
            </w:r>
          </w:p>
          <w:p w14:paraId="006AAAD8">
            <w:pPr>
              <w:pStyle w:val="12"/>
            </w:pPr>
            <w:r>
              <w:t>（2）承租方逾期支付全部或部分的租赁保证金的，每逾期一日，应按照逾期支付金额的万分之五向招租方支付违约金，且招租方有权顺延交付租赁房屋，但本合同项下装修免租期、计租日、租赁期限等均不予顺延；如逾期30日仍未缴纳的，招租方除有权不退还承租方已支付的部分租赁保证金（如有）且要求承租方支付前述违约金外，并有权单方解除本合同。</w:t>
            </w:r>
          </w:p>
          <w:p w14:paraId="2AC25972">
            <w:pPr>
              <w:pStyle w:val="12"/>
            </w:pPr>
            <w:r>
              <w:t>（3）如果承租方未按本合同约定足额交纳租金、管理费用或承租方违约、侵权等行为造成招租方损失的，在招租方发出要求承租方支付费用、赔偿损失的书面通知后7日内，承租方拒不支付或赔偿损失的，招租方均有权直接从租赁保证金中扣减，招租方应在扣减后3日内书面告知承租方承租方应在收到招租方书面扣减通知的10日内向招租方补足被扣减部分的租赁保证金，承租方逾期补足的，应按4.2（2）条约定承担违约责任。承租方无权要求招租方以租赁保证金抵扣其应缴纳的租金、管理费、水电费、违约金等任何款项。</w:t>
            </w:r>
          </w:p>
          <w:p w14:paraId="46B43C08">
            <w:pPr>
              <w:pStyle w:val="12"/>
            </w:pPr>
            <w:r>
              <w:t>（4）承租方逾期签署《租赁房屋交付确认函》且超过30天的，招租方有权单方解除本合同。有权清退承租方及承租方物品，并不予退还租赁保证金。</w:t>
            </w:r>
          </w:p>
          <w:p w14:paraId="3B7DE5F2">
            <w:pPr>
              <w:pStyle w:val="12"/>
            </w:pPr>
            <w:r>
              <w:t>（5）招租方依据本合同第30.1条单方解除合同的，有权没收租赁保证金、要求承租方全额补足支付装修免租期或重装期免除或者减少的租金（租金标准为减免期限所在租赁年度对应的月租金），并要求承租方按照本合同终止日所在月份两个月的月租金标准（如合同终止日在计租日前按计租日后首月月租金标准计算）向招租方支付违约金，同时承租方还应按本合同其他约定向招租方支付违约金、占用费等并承担其他违约责任。</w:t>
            </w:r>
          </w:p>
          <w:p w14:paraId="2957C6BB">
            <w:pPr>
              <w:pStyle w:val="12"/>
            </w:pPr>
            <w:r>
              <w:t>（6）承租方违约的，招租方有权没收租赁保证金，向承租方催付租金、管理费、等欠缴费用及违约金、赔偿金（不限于任何修理、维修费用，及因承租方违约导致第三方向招租方索赔或主张其权益而导致招租方支出的任何款项），并要求承租方支付招租方因要求承租方履行本合同义务而引起的招租方所有费用和开支（包括保全费、律师费、仲裁费、鉴定费、差旅费等）。</w:t>
            </w:r>
          </w:p>
          <w:p w14:paraId="3E8CE582">
            <w:pPr>
              <w:pStyle w:val="12"/>
            </w:pPr>
            <w:r>
              <w:t>4.3租赁保证金的退还</w:t>
            </w:r>
          </w:p>
          <w:p w14:paraId="0BBE9D18">
            <w:pPr>
              <w:pStyle w:val="12"/>
              <w:rPr>
                <w:b/>
                <w:bCs/>
              </w:rPr>
            </w:pPr>
            <w:r>
              <w:t>承租方按照协议规定的时间和质量要求完成项目承租，项目期满或提前终止后依据合同约定完成反向移交并经招租方验收认可，在所有手续交接完毕后30个工作日内，招租方应将租赁保证金的剩余金额向承租方支付。</w:t>
            </w:r>
          </w:p>
        </w:tc>
      </w:tr>
      <w:tr w14:paraId="010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30" w:type="dxa"/>
            <w:gridSpan w:val="4"/>
          </w:tcPr>
          <w:p w14:paraId="3585D30C">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交易方式</w:t>
            </w:r>
          </w:p>
        </w:tc>
      </w:tr>
      <w:tr w14:paraId="5CA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tcPr>
          <w:p w14:paraId="1AA3D76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w:t>
            </w:r>
            <w:r>
              <w:rPr>
                <w:rFonts w:hint="eastAsia" w:ascii="微软雅黑" w:hAnsi="微软雅黑" w:eastAsia="微软雅黑" w:cs="微软雅黑"/>
                <w:sz w:val="20"/>
                <w:szCs w:val="20"/>
                <w:lang w:val="en-US" w:eastAsia="zh-CN"/>
              </w:rPr>
              <w:t>单点位</w:t>
            </w:r>
            <w:r>
              <w:rPr>
                <w:rFonts w:hint="eastAsia" w:ascii="微软雅黑" w:hAnsi="微软雅黑" w:eastAsia="微软雅黑" w:cs="微软雅黑"/>
                <w:sz w:val="20"/>
                <w:szCs w:val="20"/>
              </w:rPr>
              <w:t>有两家（含）以上符合条件的报名者</w:t>
            </w:r>
          </w:p>
        </w:tc>
        <w:tc>
          <w:tcPr>
            <w:tcW w:w="7824" w:type="dxa"/>
            <w:gridSpan w:val="3"/>
          </w:tcPr>
          <w:p w14:paraId="0D6096A4">
            <w:pPr>
              <w:rPr>
                <w:rFonts w:hint="eastAsia" w:ascii="微软雅黑" w:hAnsi="微软雅黑" w:eastAsia="微软雅黑" w:cs="微软雅黑"/>
                <w:sz w:val="20"/>
                <w:szCs w:val="20"/>
                <w:lang w:eastAsia="zh-CN"/>
              </w:rPr>
            </w:pPr>
            <w:r>
              <w:rPr>
                <w:rFonts w:hint="eastAsia" w:ascii="微软雅黑" w:hAnsi="微软雅黑" w:eastAsia="微软雅黑" w:cs="微软雅黑"/>
                <w:sz w:val="20"/>
                <w:szCs w:val="20"/>
                <w:lang w:val="en-US" w:eastAsia="zh-CN"/>
              </w:rPr>
              <w:t>公开竞价</w:t>
            </w:r>
          </w:p>
        </w:tc>
      </w:tr>
      <w:tr w14:paraId="5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tcPr>
          <w:p w14:paraId="2312B71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公告期满，仅有一家符合条件的报名者</w:t>
            </w:r>
          </w:p>
        </w:tc>
        <w:tc>
          <w:tcPr>
            <w:tcW w:w="7824" w:type="dxa"/>
            <w:gridSpan w:val="3"/>
          </w:tcPr>
          <w:p w14:paraId="3D535467">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经招租方批准后，公示3个工作日无异议后采取协议租赁。</w:t>
            </w:r>
          </w:p>
        </w:tc>
      </w:tr>
      <w:tr w14:paraId="22F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6" w:type="dxa"/>
          </w:tcPr>
          <w:p w14:paraId="7CA56467">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公告期满，无符合条件的报名者</w:t>
            </w:r>
          </w:p>
        </w:tc>
        <w:tc>
          <w:tcPr>
            <w:tcW w:w="7824" w:type="dxa"/>
            <w:gridSpan w:val="3"/>
          </w:tcPr>
          <w:p w14:paraId="6BE6E8F4">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信息公告到期自行终结</w:t>
            </w:r>
          </w:p>
        </w:tc>
      </w:tr>
      <w:tr w14:paraId="4A53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tcPr>
          <w:p w14:paraId="0C84CFF5">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特殊情况说明：线上系统仅发布招商公告 ，起公示作用，开标时间以附件招商公告为准。</w:t>
            </w:r>
          </w:p>
        </w:tc>
      </w:tr>
      <w:tr w14:paraId="5FA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tcPr>
          <w:p w14:paraId="06A3EB6D">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报名须知</w:t>
            </w:r>
          </w:p>
        </w:tc>
      </w:tr>
      <w:tr w14:paraId="22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tcPr>
          <w:p w14:paraId="6C1884E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报名方式</w:t>
            </w:r>
          </w:p>
        </w:tc>
        <w:tc>
          <w:tcPr>
            <w:tcW w:w="7824" w:type="dxa"/>
            <w:gridSpan w:val="3"/>
          </w:tcPr>
          <w:p w14:paraId="7DBE929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线下报名</w:t>
            </w:r>
          </w:p>
        </w:tc>
      </w:tr>
      <w:tr w14:paraId="3A5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06" w:type="dxa"/>
          </w:tcPr>
          <w:p w14:paraId="74DE1287">
            <w:pPr>
              <w:rPr>
                <w:rFonts w:hint="eastAsia" w:ascii="微软雅黑" w:hAnsi="微软雅黑" w:eastAsia="微软雅黑" w:cs="微软雅黑"/>
                <w:sz w:val="20"/>
                <w:szCs w:val="20"/>
              </w:rPr>
            </w:pPr>
            <w:r>
              <w:rPr>
                <w:rFonts w:hint="eastAsia" w:ascii="微软雅黑" w:hAnsi="微软雅黑" w:eastAsia="微软雅黑" w:cs="微软雅黑"/>
                <w:color w:val="FF0000"/>
                <w:sz w:val="20"/>
                <w:szCs w:val="20"/>
              </w:rPr>
              <w:t>报名资格条件及所需提供的证明材料</w:t>
            </w:r>
          </w:p>
        </w:tc>
        <w:tc>
          <w:tcPr>
            <w:tcW w:w="7824" w:type="dxa"/>
            <w:gridSpan w:val="3"/>
          </w:tcPr>
          <w:p w14:paraId="13C15E99">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意向承租方报名时，须满足以下资格条件并相对应提交下列材料，并保证其真实、完整、有效。（以下材料须加盖公章</w:t>
            </w:r>
            <w:r>
              <w:rPr>
                <w:rFonts w:hint="eastAsia" w:ascii="微软雅黑" w:hAnsi="微软雅黑" w:eastAsia="微软雅黑" w:cs="微软雅黑"/>
                <w:sz w:val="20"/>
                <w:szCs w:val="20"/>
                <w:lang w:val="en-US" w:eastAsia="zh-CN"/>
              </w:rPr>
              <w:t>/指摸</w:t>
            </w:r>
            <w:r>
              <w:rPr>
                <w:rFonts w:hint="eastAsia" w:ascii="微软雅黑" w:hAnsi="微软雅黑" w:eastAsia="微软雅黑" w:cs="微软雅黑"/>
                <w:sz w:val="20"/>
                <w:szCs w:val="20"/>
              </w:rPr>
              <w:t>）：</w:t>
            </w:r>
          </w:p>
          <w:p w14:paraId="2D31A078">
            <w:pPr>
              <w:numPr>
                <w:ilvl w:val="0"/>
                <w:numId w:val="0"/>
              </w:num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b/>
                <w:bCs/>
                <w:kern w:val="2"/>
                <w:sz w:val="20"/>
                <w:szCs w:val="20"/>
                <w:shd w:val="clear" w:fill="FFFFFF"/>
                <w:lang w:val="en-US" w:eastAsia="zh-CN" w:bidi="ar-SA"/>
              </w:rPr>
              <w:t>（1）</w:t>
            </w:r>
            <w:r>
              <w:rPr>
                <w:rFonts w:hint="eastAsia" w:ascii="微软雅黑" w:hAnsi="微软雅黑" w:eastAsia="微软雅黑" w:cs="微软雅黑"/>
                <w:b/>
                <w:bCs/>
                <w:sz w:val="20"/>
                <w:szCs w:val="20"/>
                <w:shd w:val="clear" w:color="auto" w:fill="FFFFFF"/>
              </w:rPr>
              <w:t>竞租人为公司或其它组织需提交资料</w:t>
            </w:r>
            <w:r>
              <w:rPr>
                <w:rFonts w:hint="eastAsia" w:ascii="微软雅黑" w:hAnsi="微软雅黑" w:eastAsia="微软雅黑" w:cs="微软雅黑"/>
                <w:b/>
                <w:bCs/>
                <w:color w:val="FF0000"/>
                <w:sz w:val="20"/>
                <w:szCs w:val="20"/>
                <w:shd w:val="clear" w:color="auto" w:fill="FFFFFF"/>
              </w:rPr>
              <w:t>（以下材料均需加盖公章）</w:t>
            </w:r>
            <w:r>
              <w:rPr>
                <w:rFonts w:hint="eastAsia" w:ascii="微软雅黑" w:hAnsi="微软雅黑" w:eastAsia="微软雅黑" w:cs="微软雅黑"/>
                <w:b/>
                <w:bCs/>
                <w:sz w:val="20"/>
                <w:szCs w:val="20"/>
                <w:shd w:val="clear" w:color="auto" w:fill="FFFFFF"/>
              </w:rPr>
              <w:t>：</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①营业执照复印件</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②国家企业信用信息公示文件（国家企业信用信息公示系统http://www.gsxt.gov.cn/index.html自行下载打印）</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③失信被执行人查询信息（中国执行信息公开网http://zxgk.court.gov.cn/自行下载打印）；</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④《法定代表人证明书》，法人身份证复印件；</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⑤《法定代表人授权委托书》，代理人身份证复印件（非法定代表人亲自竞租才提交）；</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⑥项目相关说明；</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⑦《承诺书》(未受到政府相关部门责今停产、停业的行政处罚或财务被接管、冻结、破产的状态、不存在竞租人交叉任职、竞租人相互串通报价的情况）；</w:t>
            </w:r>
          </w:p>
          <w:p w14:paraId="21203D21">
            <w:pPr>
              <w:numPr>
                <w:ilvl w:val="0"/>
                <w:numId w:val="0"/>
              </w:num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lang w:val="en-US" w:eastAsia="zh-CN"/>
              </w:rPr>
              <w:t>⑧</w:t>
            </w:r>
            <w:r>
              <w:rPr>
                <w:rFonts w:hint="eastAsia" w:ascii="微软雅黑" w:hAnsi="微软雅黑" w:eastAsia="微软雅黑" w:cs="微软雅黑"/>
                <w:sz w:val="20"/>
                <w:szCs w:val="20"/>
                <w:shd w:val="clear" w:color="auto" w:fill="FFFFFF"/>
              </w:rPr>
              <w:t>承租方须购买至少包含公众责任险的两种以上商业保险（提供承诺函，格式自拟（加盖公章））；</w:t>
            </w:r>
          </w:p>
          <w:p w14:paraId="512246C3">
            <w:pPr>
              <w:numPr>
                <w:ilvl w:val="0"/>
                <w:numId w:val="0"/>
              </w:numPr>
              <w:rPr>
                <w:rFonts w:hint="eastAsia" w:ascii="微软雅黑" w:hAnsi="微软雅黑" w:eastAsia="微软雅黑" w:cs="微软雅黑"/>
                <w:sz w:val="20"/>
                <w:szCs w:val="20"/>
                <w:shd w:val="clear" w:color="auto" w:fill="FFFFFF"/>
                <w:lang w:eastAsia="zh-CN"/>
              </w:rPr>
            </w:pPr>
            <w:r>
              <w:rPr>
                <w:rFonts w:hint="eastAsia" w:ascii="微软雅黑" w:hAnsi="微软雅黑" w:eastAsia="微软雅黑" w:cs="微软雅黑"/>
                <w:sz w:val="20"/>
                <w:szCs w:val="20"/>
                <w:shd w:val="clear" w:color="auto" w:fill="FFFFFF"/>
                <w:lang w:val="en-US" w:eastAsia="zh-CN"/>
              </w:rPr>
              <w:t>⑨</w:t>
            </w:r>
            <w:r>
              <w:rPr>
                <w:rFonts w:hint="eastAsia" w:ascii="微软雅黑" w:hAnsi="微软雅黑" w:eastAsia="微软雅黑" w:cs="微软雅黑"/>
                <w:sz w:val="20"/>
                <w:szCs w:val="20"/>
                <w:shd w:val="clear" w:color="auto" w:fill="FFFFFF"/>
                <w:lang w:eastAsia="zh-CN"/>
              </w:rPr>
              <w:t>承租方须承诺承租后的物业用途符合经营业态限定，在承租期间不变更经营业态（</w:t>
            </w:r>
            <w:r>
              <w:rPr>
                <w:rFonts w:hint="eastAsia" w:ascii="微软雅黑" w:hAnsi="微软雅黑" w:eastAsia="微软雅黑" w:cs="微软雅黑"/>
                <w:sz w:val="20"/>
                <w:szCs w:val="20"/>
                <w:lang w:eastAsia="zh-CN"/>
              </w:rPr>
              <w:t>提供承诺函，格式可自拟</w:t>
            </w:r>
            <w:r>
              <w:rPr>
                <w:rFonts w:hint="eastAsia" w:ascii="微软雅黑" w:hAnsi="微软雅黑" w:eastAsia="微软雅黑" w:cs="微软雅黑"/>
                <w:sz w:val="20"/>
                <w:szCs w:val="20"/>
                <w:shd w:val="clear" w:color="auto" w:fill="FFFFFF"/>
                <w:lang w:eastAsia="zh-CN"/>
              </w:rPr>
              <w:t>（加盖公章））；</w:t>
            </w:r>
          </w:p>
          <w:p w14:paraId="6A26BA9D">
            <w:pPr>
              <w:numPr>
                <w:ilvl w:val="0"/>
                <w:numId w:val="0"/>
              </w:num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lang w:val="en-US" w:eastAsia="zh-CN"/>
              </w:rPr>
              <w:t>⑩</w:t>
            </w:r>
            <w:r>
              <w:rPr>
                <w:rFonts w:hint="eastAsia" w:ascii="微软雅黑" w:hAnsi="微软雅黑" w:eastAsia="微软雅黑" w:cs="微软雅黑"/>
                <w:sz w:val="20"/>
                <w:szCs w:val="20"/>
              </w:rPr>
              <w:t>承租方应拥有在营</w:t>
            </w:r>
            <w:r>
              <w:rPr>
                <w:rFonts w:hint="eastAsia" w:ascii="微软雅黑" w:hAnsi="微软雅黑" w:eastAsia="微软雅黑" w:cs="微软雅黑"/>
                <w:sz w:val="20"/>
                <w:szCs w:val="20"/>
                <w:lang w:val="en-US" w:eastAsia="zh-CN"/>
              </w:rPr>
              <w:t>商户</w:t>
            </w:r>
            <w:r>
              <w:rPr>
                <w:rFonts w:hint="eastAsia" w:ascii="微软雅黑" w:hAnsi="微软雅黑" w:eastAsia="微软雅黑" w:cs="微软雅黑"/>
                <w:sz w:val="20"/>
                <w:szCs w:val="20"/>
              </w:rPr>
              <w:t>至少1家</w:t>
            </w:r>
            <w:r>
              <w:rPr>
                <w:rFonts w:hint="eastAsia" w:ascii="微软雅黑" w:hAnsi="微软雅黑" w:eastAsia="微软雅黑" w:cs="微软雅黑"/>
                <w:sz w:val="20"/>
                <w:szCs w:val="20"/>
                <w:shd w:val="clear" w:color="auto" w:fill="FFFFFF"/>
              </w:rPr>
              <w:t>（</w:t>
            </w:r>
            <w:r>
              <w:rPr>
                <w:rFonts w:hint="eastAsia" w:ascii="微软雅黑" w:hAnsi="微软雅黑" w:eastAsia="微软雅黑" w:cs="微软雅黑"/>
                <w:sz w:val="20"/>
                <w:szCs w:val="20"/>
              </w:rPr>
              <w:t>提供合同关键页，格式可自拟</w:t>
            </w:r>
            <w:r>
              <w:rPr>
                <w:rFonts w:hint="eastAsia" w:ascii="微软雅黑" w:hAnsi="微软雅黑" w:eastAsia="微软雅黑" w:cs="微软雅黑"/>
                <w:sz w:val="20"/>
                <w:szCs w:val="20"/>
                <w:shd w:val="clear" w:color="auto" w:fill="FFFFFF"/>
              </w:rPr>
              <w:t>（加盖公章））</w:t>
            </w:r>
            <w:r>
              <w:rPr>
                <w:rFonts w:hint="eastAsia" w:ascii="微软雅黑" w:hAnsi="微软雅黑" w:eastAsia="微软雅黑" w:cs="微软雅黑"/>
                <w:sz w:val="20"/>
                <w:szCs w:val="20"/>
              </w:rPr>
              <w:t>；</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b/>
                <w:bCs/>
                <w:sz w:val="20"/>
                <w:szCs w:val="20"/>
                <w:shd w:val="clear" w:color="auto" w:fill="FFFFFF"/>
                <w:lang w:eastAsia="zh-CN"/>
              </w:rPr>
              <w:t>（</w:t>
            </w:r>
            <w:r>
              <w:rPr>
                <w:rFonts w:hint="eastAsia" w:ascii="微软雅黑" w:hAnsi="微软雅黑" w:eastAsia="微软雅黑" w:cs="微软雅黑"/>
                <w:b/>
                <w:bCs/>
                <w:sz w:val="20"/>
                <w:szCs w:val="20"/>
                <w:shd w:val="clear" w:color="auto" w:fill="FFFFFF"/>
              </w:rPr>
              <w:t>2</w:t>
            </w:r>
            <w:r>
              <w:rPr>
                <w:rFonts w:hint="eastAsia" w:ascii="微软雅黑" w:hAnsi="微软雅黑" w:eastAsia="微软雅黑" w:cs="微软雅黑"/>
                <w:b/>
                <w:bCs/>
                <w:sz w:val="20"/>
                <w:szCs w:val="20"/>
                <w:shd w:val="clear" w:color="auto" w:fill="FFFFFF"/>
                <w:lang w:eastAsia="zh-CN"/>
              </w:rPr>
              <w:t>）</w:t>
            </w:r>
            <w:r>
              <w:rPr>
                <w:rFonts w:hint="eastAsia" w:ascii="微软雅黑" w:hAnsi="微软雅黑" w:eastAsia="微软雅黑" w:cs="微软雅黑"/>
                <w:b/>
                <w:bCs/>
                <w:sz w:val="20"/>
                <w:szCs w:val="20"/>
                <w:shd w:val="clear" w:color="auto" w:fill="FFFFFF"/>
              </w:rPr>
              <w:t>竞租人为个体工商户或自然人需提交资料</w:t>
            </w:r>
            <w:r>
              <w:rPr>
                <w:rFonts w:hint="eastAsia" w:ascii="微软雅黑" w:hAnsi="微软雅黑" w:eastAsia="微软雅黑" w:cs="微软雅黑"/>
                <w:b/>
                <w:bCs/>
                <w:color w:val="FF0000"/>
                <w:sz w:val="20"/>
                <w:szCs w:val="20"/>
                <w:shd w:val="clear" w:color="auto" w:fill="FFFFFF"/>
              </w:rPr>
              <w:t>（以下材料均需签字并按指摸）</w:t>
            </w:r>
            <w:r>
              <w:rPr>
                <w:rFonts w:hint="eastAsia" w:ascii="微软雅黑" w:hAnsi="微软雅黑" w:eastAsia="微软雅黑" w:cs="微软雅黑"/>
                <w:b/>
                <w:bCs/>
                <w:sz w:val="20"/>
                <w:szCs w:val="20"/>
                <w:shd w:val="clear" w:color="auto" w:fill="FFFFFF"/>
              </w:rPr>
              <w:t>：</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①身份证复印件；</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②失信被执行人查询信息（中国执行信息公开网http://zxgk.court.gov.cn/自行下载打印）；</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③营业执照复印件（个体工商户须提供）；</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④项目相关说明；</w:t>
            </w:r>
            <w:r>
              <w:rPr>
                <w:rFonts w:hint="eastAsia" w:ascii="微软雅黑" w:hAnsi="微软雅黑" w:eastAsia="微软雅黑" w:cs="微软雅黑"/>
                <w:sz w:val="20"/>
                <w:szCs w:val="20"/>
                <w:shd w:val="clear" w:color="auto" w:fill="FFFFFF"/>
              </w:rPr>
              <w:br w:type="textWrapping"/>
            </w:r>
            <w:r>
              <w:rPr>
                <w:rFonts w:hint="eastAsia" w:ascii="微软雅黑" w:hAnsi="微软雅黑" w:eastAsia="微软雅黑" w:cs="微软雅黑"/>
                <w:sz w:val="20"/>
                <w:szCs w:val="20"/>
                <w:shd w:val="clear" w:color="auto" w:fill="FFFFFF"/>
              </w:rPr>
              <w:t>⑤《承诺书》(未受到政府相关部门责</w:t>
            </w:r>
            <w:r>
              <w:rPr>
                <w:rFonts w:hint="eastAsia" w:ascii="微软雅黑" w:hAnsi="微软雅黑" w:eastAsia="微软雅黑" w:cs="微软雅黑"/>
                <w:sz w:val="20"/>
                <w:szCs w:val="20"/>
                <w:shd w:val="clear" w:color="auto" w:fill="FFFFFF"/>
                <w:lang w:val="en-US" w:eastAsia="zh-CN"/>
              </w:rPr>
              <w:t>令</w:t>
            </w:r>
            <w:r>
              <w:rPr>
                <w:rFonts w:hint="eastAsia" w:ascii="微软雅黑" w:hAnsi="微软雅黑" w:eastAsia="微软雅黑" w:cs="微软雅黑"/>
                <w:sz w:val="20"/>
                <w:szCs w:val="20"/>
                <w:shd w:val="clear" w:color="auto" w:fill="FFFFFF"/>
              </w:rPr>
              <w:t>停产、停业的行政处罚或财务被接管、冻结、破产的状态、不存在竞租人交叉任职、竞租人相互串通报价的情况）；</w:t>
            </w:r>
          </w:p>
          <w:p w14:paraId="397BB864">
            <w:pPr>
              <w:pStyle w:val="2"/>
              <w:numPr>
                <w:ilvl w:val="0"/>
                <w:numId w:val="0"/>
              </w:num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lang w:val="en-US" w:eastAsia="zh-CN"/>
              </w:rPr>
              <w:t>⑥</w:t>
            </w:r>
            <w:r>
              <w:rPr>
                <w:rFonts w:hint="eastAsia" w:ascii="微软雅黑" w:hAnsi="微软雅黑" w:eastAsia="微软雅黑" w:cs="微软雅黑"/>
                <w:sz w:val="20"/>
                <w:szCs w:val="20"/>
                <w:shd w:val="clear" w:color="auto" w:fill="FFFFFF"/>
              </w:rPr>
              <w:t>承租方须购买至少包含公众责任险的两种以上商业保险（提供承诺函，格式自拟（加盖公章））；</w:t>
            </w:r>
          </w:p>
          <w:p w14:paraId="3E69112F">
            <w:pPr>
              <w:rPr>
                <w:rFonts w:hint="eastAsia" w:ascii="微软雅黑" w:hAnsi="微软雅黑" w:eastAsia="微软雅黑" w:cs="微软雅黑"/>
                <w:sz w:val="20"/>
                <w:szCs w:val="20"/>
                <w:shd w:val="clear" w:color="auto" w:fill="FFFFFF"/>
                <w:lang w:eastAsia="zh-CN"/>
              </w:rPr>
            </w:pPr>
            <w:r>
              <w:rPr>
                <w:rFonts w:hint="eastAsia" w:ascii="微软雅黑" w:hAnsi="微软雅黑" w:eastAsia="微软雅黑" w:cs="微软雅黑"/>
                <w:sz w:val="20"/>
                <w:szCs w:val="20"/>
                <w:shd w:val="clear" w:color="auto" w:fill="FFFFFF"/>
              </w:rPr>
              <w:t>⑦</w:t>
            </w:r>
            <w:r>
              <w:rPr>
                <w:rFonts w:hint="eastAsia" w:ascii="微软雅黑" w:hAnsi="微软雅黑" w:eastAsia="微软雅黑" w:cs="微软雅黑"/>
                <w:sz w:val="20"/>
                <w:szCs w:val="20"/>
                <w:shd w:val="clear" w:color="auto" w:fill="FFFFFF"/>
                <w:lang w:eastAsia="zh-CN"/>
              </w:rPr>
              <w:t>承租方须承诺承租后的物业用途符合经营业态限定，在承租期间不变更经营业态（</w:t>
            </w:r>
            <w:r>
              <w:rPr>
                <w:rFonts w:hint="eastAsia" w:ascii="微软雅黑" w:hAnsi="微软雅黑" w:eastAsia="微软雅黑" w:cs="微软雅黑"/>
                <w:sz w:val="20"/>
                <w:szCs w:val="20"/>
                <w:lang w:eastAsia="zh-CN"/>
              </w:rPr>
              <w:t>提供承诺函，格式可自拟</w:t>
            </w:r>
            <w:r>
              <w:rPr>
                <w:rFonts w:hint="eastAsia" w:ascii="微软雅黑" w:hAnsi="微软雅黑" w:eastAsia="微软雅黑" w:cs="微软雅黑"/>
                <w:sz w:val="20"/>
                <w:szCs w:val="20"/>
                <w:shd w:val="clear" w:color="auto" w:fill="FFFFFF"/>
                <w:lang w:eastAsia="zh-CN"/>
              </w:rPr>
              <w:t>（加盖公章））；</w:t>
            </w:r>
          </w:p>
          <w:p w14:paraId="27631BAB">
            <w:pPr>
              <w:pStyle w:val="2"/>
              <w:rPr>
                <w:rFonts w:hint="eastAsia"/>
              </w:rPr>
            </w:pPr>
            <w:r>
              <w:rPr>
                <w:rFonts w:hint="eastAsia" w:ascii="微软雅黑" w:hAnsi="微软雅黑" w:eastAsia="微软雅黑" w:cs="微软雅黑"/>
                <w:sz w:val="20"/>
                <w:szCs w:val="20"/>
                <w:lang w:val="en-US" w:eastAsia="zh-CN"/>
              </w:rPr>
              <w:t>⑧</w:t>
            </w:r>
            <w:r>
              <w:rPr>
                <w:rFonts w:hint="eastAsia" w:ascii="微软雅黑" w:hAnsi="微软雅黑" w:eastAsia="微软雅黑" w:cs="微软雅黑"/>
                <w:sz w:val="20"/>
                <w:szCs w:val="20"/>
              </w:rPr>
              <w:t>承租方应拥有在营</w:t>
            </w:r>
            <w:r>
              <w:rPr>
                <w:rFonts w:hint="eastAsia" w:ascii="微软雅黑" w:hAnsi="微软雅黑" w:eastAsia="微软雅黑" w:cs="微软雅黑"/>
                <w:sz w:val="20"/>
                <w:szCs w:val="20"/>
                <w:lang w:val="en-US" w:eastAsia="zh-CN"/>
              </w:rPr>
              <w:t>商户</w:t>
            </w:r>
            <w:r>
              <w:rPr>
                <w:rFonts w:hint="eastAsia" w:ascii="微软雅黑" w:hAnsi="微软雅黑" w:eastAsia="微软雅黑" w:cs="微软雅黑"/>
                <w:sz w:val="20"/>
                <w:szCs w:val="20"/>
              </w:rPr>
              <w:t>至少1家</w:t>
            </w:r>
            <w:r>
              <w:rPr>
                <w:rFonts w:hint="eastAsia" w:ascii="微软雅黑" w:hAnsi="微软雅黑" w:eastAsia="微软雅黑" w:cs="微软雅黑"/>
                <w:sz w:val="20"/>
                <w:szCs w:val="20"/>
                <w:shd w:val="clear" w:color="auto" w:fill="FFFFFF"/>
              </w:rPr>
              <w:t>（</w:t>
            </w:r>
            <w:r>
              <w:rPr>
                <w:rFonts w:hint="eastAsia" w:ascii="微软雅黑" w:hAnsi="微软雅黑" w:eastAsia="微软雅黑" w:cs="微软雅黑"/>
                <w:sz w:val="20"/>
                <w:szCs w:val="20"/>
              </w:rPr>
              <w:t>提供合同关键页，格式可自拟</w:t>
            </w:r>
            <w:r>
              <w:rPr>
                <w:rFonts w:hint="eastAsia" w:ascii="微软雅黑" w:hAnsi="微软雅黑" w:eastAsia="微软雅黑" w:cs="微软雅黑"/>
                <w:sz w:val="20"/>
                <w:szCs w:val="20"/>
                <w:shd w:val="clear" w:color="auto" w:fill="FFFFFF"/>
              </w:rPr>
              <w:t>（加盖公章））</w:t>
            </w:r>
            <w:r>
              <w:rPr>
                <w:rFonts w:hint="eastAsia" w:ascii="微软雅黑" w:hAnsi="微软雅黑" w:eastAsia="微软雅黑" w:cs="微软雅黑"/>
                <w:sz w:val="20"/>
                <w:szCs w:val="20"/>
              </w:rPr>
              <w:t>；</w:t>
            </w:r>
          </w:p>
          <w:p w14:paraId="584109F8">
            <w:pPr>
              <w:pStyle w:val="2"/>
              <w:numPr>
                <w:ilvl w:val="0"/>
                <w:numId w:val="0"/>
              </w:numPr>
              <w:rPr>
                <w:rFonts w:hint="eastAsia"/>
              </w:rPr>
            </w:pPr>
          </w:p>
        </w:tc>
      </w:tr>
      <w:tr w14:paraId="4DE9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tcPr>
          <w:p w14:paraId="3ACFD3FA">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报名开始时间</w:t>
            </w:r>
          </w:p>
        </w:tc>
        <w:tc>
          <w:tcPr>
            <w:tcW w:w="7824" w:type="dxa"/>
            <w:gridSpan w:val="3"/>
            <w:vAlign w:val="top"/>
          </w:tcPr>
          <w:p w14:paraId="28901E40">
            <w:p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2026年</w:t>
            </w:r>
            <w:r>
              <w:rPr>
                <w:rFonts w:hint="eastAsia" w:ascii="微软雅黑" w:hAnsi="微软雅黑" w:eastAsia="微软雅黑" w:cs="微软雅黑"/>
                <w:sz w:val="20"/>
                <w:szCs w:val="20"/>
                <w:shd w:val="clear" w:color="auto" w:fill="FFFFFF"/>
                <w:lang w:val="en-US" w:eastAsia="zh-CN"/>
              </w:rPr>
              <w:t>5</w:t>
            </w:r>
            <w:r>
              <w:rPr>
                <w:rFonts w:hint="eastAsia" w:ascii="微软雅黑" w:hAnsi="微软雅黑" w:eastAsia="微软雅黑" w:cs="微软雅黑"/>
                <w:sz w:val="20"/>
                <w:szCs w:val="20"/>
                <w:shd w:val="clear" w:color="auto" w:fill="FFFFFF"/>
              </w:rPr>
              <w:t>月2</w:t>
            </w:r>
            <w:r>
              <w:rPr>
                <w:rFonts w:hint="eastAsia" w:ascii="微软雅黑" w:hAnsi="微软雅黑" w:eastAsia="微软雅黑" w:cs="微软雅黑"/>
                <w:sz w:val="20"/>
                <w:szCs w:val="20"/>
                <w:shd w:val="clear" w:color="auto" w:fill="FFFFFF"/>
                <w:lang w:val="en-US" w:eastAsia="zh-CN"/>
              </w:rPr>
              <w:t>7</w:t>
            </w:r>
            <w:r>
              <w:rPr>
                <w:rFonts w:hint="eastAsia" w:ascii="微软雅黑" w:hAnsi="微软雅黑" w:eastAsia="微软雅黑" w:cs="微软雅黑"/>
                <w:sz w:val="20"/>
                <w:szCs w:val="20"/>
                <w:shd w:val="clear" w:color="auto" w:fill="FFFFFF"/>
              </w:rPr>
              <w:t>日15时00分00秒（10个工作日）</w:t>
            </w:r>
          </w:p>
        </w:tc>
      </w:tr>
      <w:tr w14:paraId="7CC6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tcPr>
          <w:p w14:paraId="63E7A08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报名结束时间</w:t>
            </w:r>
          </w:p>
        </w:tc>
        <w:tc>
          <w:tcPr>
            <w:tcW w:w="7824" w:type="dxa"/>
            <w:gridSpan w:val="3"/>
            <w:vAlign w:val="top"/>
          </w:tcPr>
          <w:p w14:paraId="4AEC35FD">
            <w:pPr>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2026年</w:t>
            </w:r>
            <w:r>
              <w:rPr>
                <w:rFonts w:hint="eastAsia" w:ascii="微软雅黑" w:hAnsi="微软雅黑" w:eastAsia="微软雅黑" w:cs="微软雅黑"/>
                <w:sz w:val="20"/>
                <w:szCs w:val="20"/>
                <w:shd w:val="clear" w:color="auto" w:fill="FFFFFF"/>
                <w:lang w:val="en-US" w:eastAsia="zh-CN"/>
              </w:rPr>
              <w:t>6</w:t>
            </w:r>
            <w:r>
              <w:rPr>
                <w:rFonts w:hint="eastAsia" w:ascii="微软雅黑" w:hAnsi="微软雅黑" w:eastAsia="微软雅黑" w:cs="微软雅黑"/>
                <w:sz w:val="20"/>
                <w:szCs w:val="20"/>
                <w:shd w:val="clear" w:color="auto" w:fill="FFFFFF"/>
              </w:rPr>
              <w:t>月1</w:t>
            </w:r>
            <w:r>
              <w:rPr>
                <w:rFonts w:hint="eastAsia" w:ascii="微软雅黑" w:hAnsi="微软雅黑" w:eastAsia="微软雅黑" w:cs="微软雅黑"/>
                <w:sz w:val="20"/>
                <w:szCs w:val="20"/>
                <w:shd w:val="clear" w:color="auto" w:fill="FFFFFF"/>
                <w:lang w:val="en-US" w:eastAsia="zh-CN"/>
              </w:rPr>
              <w:t>0</w:t>
            </w:r>
            <w:r>
              <w:rPr>
                <w:rFonts w:hint="eastAsia" w:ascii="微软雅黑" w:hAnsi="微软雅黑" w:eastAsia="微软雅黑" w:cs="微软雅黑"/>
                <w:sz w:val="20"/>
                <w:szCs w:val="20"/>
                <w:shd w:val="clear" w:color="auto" w:fill="FFFFFF"/>
              </w:rPr>
              <w:t>日15时00分00秒</w:t>
            </w:r>
          </w:p>
        </w:tc>
      </w:tr>
      <w:tr w14:paraId="2117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tcPr>
          <w:p w14:paraId="7235C1F8">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踏勘时间</w:t>
            </w:r>
          </w:p>
        </w:tc>
        <w:tc>
          <w:tcPr>
            <w:tcW w:w="7824" w:type="dxa"/>
            <w:gridSpan w:val="3"/>
            <w:vAlign w:val="top"/>
          </w:tcPr>
          <w:p w14:paraId="780FBFBF">
            <w:pPr>
              <w:rPr>
                <w:rFonts w:hint="default" w:ascii="微软雅黑" w:hAnsi="微软雅黑" w:eastAsia="微软雅黑" w:cs="微软雅黑"/>
                <w:sz w:val="20"/>
                <w:szCs w:val="20"/>
                <w:shd w:val="clear" w:color="auto" w:fill="FFFFFF"/>
                <w:lang w:val="en-US" w:eastAsia="zh-CN"/>
              </w:rPr>
            </w:pPr>
            <w:r>
              <w:rPr>
                <w:rFonts w:hint="eastAsia" w:ascii="微软雅黑" w:hAnsi="微软雅黑" w:eastAsia="微软雅黑" w:cs="微软雅黑"/>
                <w:sz w:val="20"/>
                <w:szCs w:val="20"/>
                <w:shd w:val="clear" w:color="auto" w:fill="FFFFFF"/>
                <w:lang w:val="en-US" w:eastAsia="zh-CN"/>
              </w:rPr>
              <w:t>意向承租人自行踏勘</w:t>
            </w:r>
          </w:p>
        </w:tc>
      </w:tr>
      <w:tr w14:paraId="6F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tcPr>
          <w:p w14:paraId="4DB595A2">
            <w:pPr>
              <w:rPr>
                <w:rFonts w:hint="eastAsia" w:ascii="微软雅黑" w:hAnsi="微软雅黑" w:eastAsia="微软雅黑" w:cs="微软雅黑"/>
                <w:sz w:val="20"/>
                <w:szCs w:val="20"/>
              </w:rPr>
            </w:pPr>
            <w:r>
              <w:rPr>
                <w:rFonts w:ascii="微软雅黑" w:hAnsi="微软雅黑" w:eastAsia="微软雅黑" w:cs="微软雅黑"/>
                <w:sz w:val="20"/>
                <w:szCs w:val="20"/>
              </w:rPr>
              <w:t>递交投标文件截止时间</w:t>
            </w:r>
          </w:p>
        </w:tc>
        <w:tc>
          <w:tcPr>
            <w:tcW w:w="7824" w:type="dxa"/>
            <w:gridSpan w:val="3"/>
            <w:vAlign w:val="top"/>
          </w:tcPr>
          <w:p w14:paraId="4E15ECD3">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2026年</w:t>
            </w:r>
            <w:r>
              <w:rPr>
                <w:rFonts w:hint="eastAsia" w:ascii="微软雅黑" w:hAnsi="微软雅黑" w:eastAsia="微软雅黑" w:cs="微软雅黑"/>
                <w:sz w:val="20"/>
                <w:szCs w:val="20"/>
                <w:shd w:val="clear" w:color="auto" w:fill="FFFFFF"/>
                <w:lang w:val="en-US" w:eastAsia="zh-CN"/>
              </w:rPr>
              <w:t>6</w:t>
            </w:r>
            <w:r>
              <w:rPr>
                <w:rFonts w:hint="eastAsia" w:ascii="微软雅黑" w:hAnsi="微软雅黑" w:eastAsia="微软雅黑" w:cs="微软雅黑"/>
                <w:sz w:val="20"/>
                <w:szCs w:val="20"/>
                <w:shd w:val="clear" w:color="auto" w:fill="FFFFFF"/>
              </w:rPr>
              <w:t>月1</w:t>
            </w:r>
            <w:r>
              <w:rPr>
                <w:rFonts w:hint="eastAsia" w:ascii="微软雅黑" w:hAnsi="微软雅黑" w:eastAsia="微软雅黑" w:cs="微软雅黑"/>
                <w:sz w:val="20"/>
                <w:szCs w:val="20"/>
                <w:shd w:val="clear" w:color="auto" w:fill="FFFFFF"/>
                <w:lang w:val="en-US" w:eastAsia="zh-CN"/>
              </w:rPr>
              <w:t>0</w:t>
            </w:r>
            <w:r>
              <w:rPr>
                <w:rFonts w:hint="eastAsia" w:ascii="微软雅黑" w:hAnsi="微软雅黑" w:eastAsia="微软雅黑" w:cs="微软雅黑"/>
                <w:sz w:val="20"/>
                <w:szCs w:val="20"/>
                <w:shd w:val="clear" w:color="auto" w:fill="FFFFFF"/>
              </w:rPr>
              <w:t>日15时00分00秒</w:t>
            </w:r>
          </w:p>
        </w:tc>
      </w:tr>
      <w:tr w14:paraId="3595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tcPr>
          <w:p w14:paraId="01C286F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开标时间</w:t>
            </w:r>
          </w:p>
        </w:tc>
        <w:tc>
          <w:tcPr>
            <w:tcW w:w="7824" w:type="dxa"/>
            <w:gridSpan w:val="3"/>
            <w:vAlign w:val="top"/>
          </w:tcPr>
          <w:p w14:paraId="0BC21B5A">
            <w:pPr>
              <w:numPr>
                <w:ilvl w:val="255"/>
                <w:numId w:val="0"/>
              </w:numPr>
              <w:ind w:left="0" w:leftChars="0" w:firstLine="0" w:firstLineChars="0"/>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2026年</w:t>
            </w:r>
            <w:r>
              <w:rPr>
                <w:rFonts w:hint="eastAsia" w:ascii="微软雅黑" w:hAnsi="微软雅黑" w:eastAsia="微软雅黑" w:cs="微软雅黑"/>
                <w:sz w:val="20"/>
                <w:szCs w:val="20"/>
                <w:shd w:val="clear" w:color="auto" w:fill="FFFFFF"/>
                <w:lang w:val="en-US" w:eastAsia="zh-CN"/>
              </w:rPr>
              <w:t>6</w:t>
            </w:r>
            <w:r>
              <w:rPr>
                <w:rFonts w:hint="eastAsia" w:ascii="微软雅黑" w:hAnsi="微软雅黑" w:eastAsia="微软雅黑" w:cs="微软雅黑"/>
                <w:sz w:val="20"/>
                <w:szCs w:val="20"/>
                <w:shd w:val="clear" w:color="auto" w:fill="FFFFFF"/>
              </w:rPr>
              <w:t>月1</w:t>
            </w:r>
            <w:r>
              <w:rPr>
                <w:rFonts w:hint="eastAsia" w:ascii="微软雅黑" w:hAnsi="微软雅黑" w:eastAsia="微软雅黑" w:cs="微软雅黑"/>
                <w:sz w:val="20"/>
                <w:szCs w:val="20"/>
                <w:shd w:val="clear" w:color="auto" w:fill="FFFFFF"/>
                <w:lang w:val="en-US" w:eastAsia="zh-CN"/>
              </w:rPr>
              <w:t>0</w:t>
            </w:r>
            <w:r>
              <w:rPr>
                <w:rFonts w:hint="eastAsia" w:ascii="微软雅黑" w:hAnsi="微软雅黑" w:eastAsia="微软雅黑" w:cs="微软雅黑"/>
                <w:sz w:val="20"/>
                <w:szCs w:val="20"/>
                <w:shd w:val="clear" w:color="auto" w:fill="FFFFFF"/>
              </w:rPr>
              <w:t>日15时00分00秒</w:t>
            </w:r>
            <w:bookmarkStart w:id="0" w:name="_GoBack"/>
            <w:bookmarkEnd w:id="0"/>
          </w:p>
        </w:tc>
      </w:tr>
      <w:tr w14:paraId="086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tcPr>
          <w:p w14:paraId="11AC9E67">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特殊事项说明</w:t>
            </w:r>
          </w:p>
        </w:tc>
        <w:tc>
          <w:tcPr>
            <w:tcW w:w="7824" w:type="dxa"/>
            <w:gridSpan w:val="3"/>
          </w:tcPr>
          <w:p w14:paraId="28D23868">
            <w:pPr>
              <w:numPr>
                <w:ilvl w:val="0"/>
                <w:numId w:val="3"/>
              </w:numPr>
              <w:rPr>
                <w:rFonts w:hint="eastAsia" w:ascii="微软雅黑" w:hAnsi="微软雅黑" w:eastAsia="微软雅黑" w:cs="微软雅黑"/>
                <w:sz w:val="20"/>
                <w:szCs w:val="20"/>
              </w:rPr>
            </w:pPr>
            <w:permStart w:id="10" w:edGrp="everyone"/>
            <w:r>
              <w:rPr>
                <w:rFonts w:hint="eastAsia" w:ascii="微软雅黑" w:hAnsi="微软雅黑" w:eastAsia="微软雅黑" w:cs="微软雅黑"/>
                <w:sz w:val="20"/>
                <w:szCs w:val="20"/>
                <w:shd w:val="clear" w:color="auto" w:fill="FFFFFF"/>
              </w:rPr>
              <w:t>本项目点位位置为：</w:t>
            </w:r>
            <w:r>
              <w:rPr>
                <w:rFonts w:hint="eastAsia" w:ascii="微软雅黑" w:hAnsi="微软雅黑" w:eastAsia="微软雅黑" w:cs="微软雅黑"/>
                <w:sz w:val="20"/>
                <w:szCs w:val="20"/>
                <w:shd w:val="clear" w:color="auto" w:fill="FFFFFF"/>
                <w:lang w:val="en-US" w:eastAsia="zh-CN"/>
              </w:rPr>
              <w:t>深圳市光明区公明街道红花山公园内</w:t>
            </w:r>
            <w:r>
              <w:rPr>
                <w:rFonts w:hint="eastAsia" w:ascii="微软雅黑" w:hAnsi="微软雅黑" w:eastAsia="微软雅黑" w:cs="微软雅黑"/>
                <w:sz w:val="20"/>
                <w:szCs w:val="20"/>
                <w:shd w:val="clear" w:color="auto" w:fill="FFFFFF"/>
              </w:rPr>
              <w:t>；</w:t>
            </w:r>
          </w:p>
          <w:permEnd w:id="10"/>
          <w:p w14:paraId="7C2B8275">
            <w:pPr>
              <w:numPr>
                <w:ilvl w:val="0"/>
                <w:numId w:val="3"/>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lang w:val="en-US" w:eastAsia="zh-CN"/>
              </w:rPr>
              <w:t>本项目</w:t>
            </w:r>
            <w:r>
              <w:rPr>
                <w:rFonts w:hint="eastAsia" w:ascii="微软雅黑" w:hAnsi="微软雅黑" w:eastAsia="微软雅黑" w:cs="微软雅黑"/>
                <w:sz w:val="20"/>
                <w:szCs w:val="20"/>
                <w:shd w:val="clear" w:color="auto" w:fill="FFFFFF"/>
              </w:rPr>
              <w:t>计租面积为</w:t>
            </w:r>
            <w:r>
              <w:rPr>
                <w:rFonts w:hint="eastAsia" w:ascii="微软雅黑" w:hAnsi="微软雅黑" w:eastAsia="微软雅黑" w:cs="微软雅黑"/>
                <w:sz w:val="20"/>
                <w:szCs w:val="20"/>
                <w:shd w:val="clear" w:color="auto" w:fill="FFFFFF"/>
                <w:lang w:val="en-US" w:eastAsia="zh-CN"/>
              </w:rPr>
              <w:t>场地</w:t>
            </w:r>
            <w:r>
              <w:rPr>
                <w:rFonts w:hint="eastAsia" w:ascii="微软雅黑" w:hAnsi="微软雅黑" w:eastAsia="微软雅黑" w:cs="微软雅黑"/>
                <w:sz w:val="20"/>
                <w:szCs w:val="20"/>
                <w:shd w:val="clear" w:color="auto" w:fill="FFFFFF"/>
              </w:rPr>
              <w:t>面积</w:t>
            </w:r>
            <w:r>
              <w:rPr>
                <w:rFonts w:hint="eastAsia" w:ascii="微软雅黑" w:hAnsi="微软雅黑" w:eastAsia="微软雅黑" w:cs="微软雅黑"/>
                <w:sz w:val="20"/>
                <w:szCs w:val="20"/>
                <w:shd w:val="clear" w:color="auto" w:fill="FFFFFF"/>
                <w:lang w:eastAsia="zh-CN"/>
              </w:rPr>
              <w:t>；</w:t>
            </w:r>
          </w:p>
          <w:p w14:paraId="3315823A">
            <w:pPr>
              <w:numPr>
                <w:ilvl w:val="0"/>
                <w:numId w:val="3"/>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承租方经营使</w:t>
            </w:r>
            <w:r>
              <w:rPr>
                <w:rFonts w:hint="eastAsia" w:ascii="微软雅黑" w:hAnsi="微软雅黑" w:eastAsia="微软雅黑" w:cs="微软雅黑"/>
                <w:color w:val="auto"/>
                <w:sz w:val="20"/>
                <w:szCs w:val="20"/>
              </w:rPr>
              <w:t>用范围控制在物业计租面积范围内，不允许超出物业计租面积范围外经营；承租方</w:t>
            </w:r>
            <w:r>
              <w:rPr>
                <w:rFonts w:hint="eastAsia" w:ascii="微软雅黑" w:hAnsi="微软雅黑" w:eastAsia="微软雅黑" w:cs="微软雅黑"/>
                <w:sz w:val="20"/>
                <w:szCs w:val="20"/>
              </w:rPr>
              <w:t>超出经营范围或经营使用部分进行经营的，承租方须向招标方提前报备协商，针对超出范围及使用部分重新计取租金，未经招租方审批同意擅自使用，招租方有权对承租方按1000（元/次）进行罚款；</w:t>
            </w:r>
          </w:p>
          <w:p w14:paraId="6C66D018">
            <w:pPr>
              <w:numPr>
                <w:ilvl w:val="0"/>
                <w:numId w:val="3"/>
              </w:numPr>
              <w:rPr>
                <w:rFonts w:hint="eastAsia"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招租底价为</w:t>
            </w:r>
            <w:r>
              <w:rPr>
                <w:rFonts w:hint="eastAsia" w:ascii="微软雅黑" w:hAnsi="微软雅黑" w:eastAsia="微软雅黑" w:cs="微软雅黑"/>
                <w:b/>
                <w:bCs/>
                <w:color w:val="FF0000"/>
                <w:sz w:val="20"/>
                <w:szCs w:val="20"/>
                <w:lang w:val="en-US" w:eastAsia="zh-CN"/>
              </w:rPr>
              <w:t>单个点位</w:t>
            </w:r>
            <w:r>
              <w:rPr>
                <w:rFonts w:hint="eastAsia" w:ascii="微软雅黑" w:hAnsi="微软雅黑" w:eastAsia="微软雅黑" w:cs="微软雅黑"/>
                <w:b/>
                <w:bCs/>
                <w:color w:val="FF0000"/>
                <w:sz w:val="20"/>
                <w:szCs w:val="20"/>
              </w:rPr>
              <w:t>租金基准价（元/月），承租方报价参考该模式分别计费，合计输出总费用租金；</w:t>
            </w:r>
            <w:r>
              <w:rPr>
                <w:rFonts w:hint="eastAsia" w:ascii="微软雅黑" w:hAnsi="微软雅黑" w:eastAsia="微软雅黑" w:cs="微软雅黑"/>
                <w:b/>
                <w:bCs/>
                <w:color w:val="FF0000"/>
                <w:sz w:val="20"/>
                <w:szCs w:val="20"/>
                <w:lang w:val="en-US" w:eastAsia="zh-CN"/>
              </w:rPr>
              <w:t>水电费、物业管理费（</w:t>
            </w:r>
            <w:r>
              <w:rPr>
                <w:rFonts w:hint="eastAsia" w:ascii="微软雅黑" w:hAnsi="微软雅黑" w:eastAsia="微软雅黑" w:cs="微软雅黑"/>
                <w:b/>
                <w:bCs/>
                <w:color w:val="FF0000"/>
                <w:sz w:val="20"/>
                <w:szCs w:val="20"/>
              </w:rPr>
              <w:t>计租面积*物业管理费基准价（元/m2/月）</w:t>
            </w:r>
            <w:r>
              <w:rPr>
                <w:rFonts w:hint="eastAsia" w:ascii="微软雅黑" w:hAnsi="微软雅黑" w:eastAsia="微软雅黑" w:cs="微软雅黑"/>
                <w:b/>
                <w:bCs/>
                <w:color w:val="FF0000"/>
                <w:sz w:val="20"/>
                <w:szCs w:val="20"/>
                <w:lang w:eastAsia="zh-CN"/>
              </w:rPr>
              <w:t>）</w:t>
            </w:r>
            <w:r>
              <w:rPr>
                <w:rFonts w:hint="eastAsia" w:ascii="微软雅黑" w:hAnsi="微软雅黑" w:eastAsia="微软雅黑" w:cs="微软雅黑"/>
                <w:b/>
                <w:bCs/>
                <w:color w:val="FF0000"/>
                <w:sz w:val="20"/>
                <w:szCs w:val="20"/>
                <w:lang w:val="en-US" w:eastAsia="zh-CN"/>
              </w:rPr>
              <w:t>将按照实际使用情况进行据实结算，不计入投标报价中。</w:t>
            </w:r>
          </w:p>
          <w:p w14:paraId="46B2D2AB">
            <w:pPr>
              <w:numPr>
                <w:ilvl w:val="0"/>
                <w:numId w:val="3"/>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因本项目不组织现场踏勘，意向承租方根据需要自行开展踏勘。</w:t>
            </w:r>
          </w:p>
          <w:p w14:paraId="33D5363C">
            <w:pPr>
              <w:numPr>
                <w:ilvl w:val="0"/>
                <w:numId w:val="3"/>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意向承租方报名前应充分了解出租物业本身及周边的相关情况，并认真研阅招租信息的全部内容以及出租物业所在地的政策，意向承租方自愿报名参加物业承租的，视为已对出租物业查验、知悉并且了解出租物业瑕疵，并同意承担该瑕疵带来的全部风险；</w:t>
            </w:r>
          </w:p>
          <w:p w14:paraId="36BD126B">
            <w:pPr>
              <w:numPr>
                <w:ilvl w:val="0"/>
                <w:numId w:val="3"/>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承租方应在《公开招租结果通知书》发出后30个自然日内与招租方签订租赁合同及相关协议，并按合同约定交纳租赁保证金，否则视为承租方违约，招租方有权不予退还交易招租保证金，并重新出租物业，且无对承租方承担赔偿责任；</w:t>
            </w:r>
          </w:p>
          <w:p w14:paraId="0B8AA4DB">
            <w:pPr>
              <w:numPr>
                <w:ilvl w:val="0"/>
                <w:numId w:val="3"/>
              </w:numPr>
              <w:rPr>
                <w:rFonts w:hint="eastAsia" w:ascii="微软雅黑" w:hAnsi="微软雅黑" w:eastAsia="微软雅黑" w:cs="微软雅黑"/>
                <w:sz w:val="20"/>
                <w:szCs w:val="20"/>
              </w:rPr>
            </w:pPr>
            <w:permStart w:id="11" w:edGrp="everyone"/>
            <w:r>
              <w:rPr>
                <w:rFonts w:hint="eastAsia" w:ascii="微软雅黑" w:hAnsi="微软雅黑" w:eastAsia="微软雅黑" w:cs="微软雅黑"/>
                <w:sz w:val="20"/>
                <w:szCs w:val="20"/>
                <w:shd w:val="clear" w:color="auto" w:fill="FFFFFF"/>
              </w:rPr>
              <w:t>合同期限</w:t>
            </w:r>
            <w:r>
              <w:rPr>
                <w:rFonts w:hint="eastAsia" w:ascii="微软雅黑" w:hAnsi="微软雅黑" w:eastAsia="微软雅黑" w:cs="微软雅黑"/>
                <w:sz w:val="20"/>
                <w:szCs w:val="20"/>
              </w:rPr>
              <w:t>3</w:t>
            </w:r>
            <w:r>
              <w:rPr>
                <w:rFonts w:hint="eastAsia" w:ascii="微软雅黑" w:hAnsi="微软雅黑" w:eastAsia="微软雅黑" w:cs="微软雅黑"/>
                <w:sz w:val="20"/>
                <w:szCs w:val="20"/>
                <w:shd w:val="clear" w:color="auto" w:fill="FFFFFF"/>
              </w:rPr>
              <w:t>年，</w:t>
            </w:r>
            <w:r>
              <w:rPr>
                <w:rFonts w:hint="eastAsia" w:ascii="微软雅黑" w:hAnsi="微软雅黑" w:eastAsia="微软雅黑" w:cs="微软雅黑"/>
                <w:sz w:val="20"/>
                <w:szCs w:val="20"/>
              </w:rPr>
              <w:t>本合同采用“招一管三”，须一年一签。每年合同期末，根据承租方履约情况决定是否续签下一年度合同，若未达到招租方要求的服务标准，可不予续签。</w:t>
            </w:r>
          </w:p>
          <w:permEnd w:id="11"/>
          <w:p w14:paraId="63AA19FF">
            <w:pPr>
              <w:numPr>
                <w:ilvl w:val="0"/>
                <w:numId w:val="3"/>
              </w:num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租金支付方式：每月5号前，以银行转账的方式缴纳当月租金。</w:t>
            </w:r>
          </w:p>
          <w:p w14:paraId="4E3B4789">
            <w:pPr>
              <w:numPr>
                <w:ilvl w:val="0"/>
                <w:numId w:val="3"/>
              </w:numPr>
              <w:rPr>
                <w:rFonts w:hint="default"/>
                <w:lang w:val="en-US" w:eastAsia="zh-CN"/>
              </w:rPr>
            </w:pPr>
            <w:r>
              <w:rPr>
                <w:rFonts w:hint="eastAsia" w:ascii="微软雅黑" w:hAnsi="微软雅黑" w:eastAsia="微软雅黑" w:cs="微软雅黑"/>
                <w:sz w:val="20"/>
                <w:szCs w:val="20"/>
                <w:lang w:val="en-US" w:eastAsia="zh-CN"/>
              </w:rPr>
              <w:t>本项目成交后，由出租方授权深圳市特区建工园林生态科技集团有限公司城市运营分公司作为合同甲方签订房屋租赁合同。</w:t>
            </w:r>
          </w:p>
          <w:p w14:paraId="40A24309">
            <w:pPr>
              <w:numPr>
                <w:ilvl w:val="0"/>
                <w:numId w:val="3"/>
              </w:numPr>
              <w:rPr>
                <w:rFonts w:hint="default" w:eastAsia="微软雅黑"/>
                <w:lang w:val="en-US" w:eastAsia="zh-CN"/>
              </w:rPr>
            </w:pPr>
            <w:r>
              <w:rPr>
                <w:rFonts w:hint="eastAsia" w:ascii="微软雅黑" w:hAnsi="微软雅黑" w:eastAsia="微软雅黑" w:cs="微软雅黑"/>
                <w:sz w:val="20"/>
                <w:szCs w:val="20"/>
              </w:rPr>
              <w:t>其他条款见留存在交易实施机构的租赁合同版本，招租方有权在签订租赁合同之前对不影响租赁合同实质性条款作适当的调整。</w:t>
            </w:r>
          </w:p>
        </w:tc>
      </w:tr>
      <w:tr w14:paraId="7F84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tcPr>
          <w:p w14:paraId="33F671F6">
            <w:pPr>
              <w:numPr>
                <w:ilvl w:val="255"/>
                <w:numId w:val="0"/>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投标需提供的材料</w:t>
            </w:r>
          </w:p>
        </w:tc>
        <w:tc>
          <w:tcPr>
            <w:tcW w:w="7824" w:type="dxa"/>
            <w:gridSpan w:val="3"/>
          </w:tcPr>
          <w:p w14:paraId="02295788">
            <w:pPr>
              <w:numPr>
                <w:ilvl w:val="255"/>
                <w:numId w:val="0"/>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意向承租方投标时，须按评分细则要求提交下列相关材料，并保证其真实、完整、有效。（以下材料须文件袋密封并加盖公章）：</w:t>
            </w:r>
          </w:p>
          <w:p w14:paraId="27DF76B8">
            <w:pPr>
              <w:numPr>
                <w:ilvl w:val="0"/>
                <w:numId w:val="0"/>
              </w:numPr>
              <w:rPr>
                <w:rFonts w:hint="eastAsia" w:ascii="微软雅黑" w:hAnsi="微软雅黑" w:eastAsia="微软雅黑" w:cs="微软雅黑"/>
                <w:sz w:val="20"/>
                <w:szCs w:val="20"/>
              </w:rPr>
            </w:pPr>
            <w:r>
              <w:rPr>
                <w:rFonts w:hint="eastAsia" w:ascii="微软雅黑" w:hAnsi="微软雅黑" w:eastAsia="微软雅黑" w:cs="微软雅黑"/>
                <w:kern w:val="2"/>
                <w:sz w:val="20"/>
                <w:szCs w:val="20"/>
                <w:lang w:val="en-US" w:eastAsia="zh-CN" w:bidi="ar-SA"/>
              </w:rPr>
              <w:t>1.</w:t>
            </w:r>
            <w:r>
              <w:rPr>
                <w:rFonts w:hint="eastAsia" w:ascii="微软雅黑" w:hAnsi="微软雅黑" w:eastAsia="微软雅黑" w:cs="微软雅黑"/>
                <w:sz w:val="20"/>
                <w:szCs w:val="20"/>
              </w:rPr>
              <w:t>意向承租方登记表</w:t>
            </w:r>
          </w:p>
          <w:p w14:paraId="612CB215">
            <w:pPr>
              <w:numPr>
                <w:ilvl w:val="0"/>
                <w:numId w:val="0"/>
              </w:numPr>
              <w:rPr>
                <w:rFonts w:hint="eastAsia" w:ascii="微软雅黑" w:hAnsi="微软雅黑" w:eastAsia="微软雅黑" w:cs="微软雅黑"/>
                <w:sz w:val="20"/>
                <w:szCs w:val="20"/>
              </w:rPr>
            </w:pPr>
            <w:r>
              <w:rPr>
                <w:rFonts w:hint="eastAsia" w:ascii="微软雅黑" w:hAnsi="微软雅黑" w:eastAsia="微软雅黑" w:cs="微软雅黑"/>
                <w:kern w:val="2"/>
                <w:sz w:val="20"/>
                <w:szCs w:val="20"/>
                <w:lang w:val="en-US" w:eastAsia="zh-CN" w:bidi="ar-SA"/>
              </w:rPr>
              <w:t>2.</w:t>
            </w:r>
            <w:r>
              <w:rPr>
                <w:rFonts w:hint="eastAsia" w:ascii="微软雅黑" w:hAnsi="微软雅黑" w:eastAsia="微软雅黑" w:cs="微软雅黑"/>
                <w:sz w:val="20"/>
                <w:szCs w:val="20"/>
              </w:rPr>
              <w:t>意向承租方经营方案；</w:t>
            </w:r>
          </w:p>
          <w:p w14:paraId="6BBA8148">
            <w:pPr>
              <w:pStyle w:val="2"/>
              <w:rPr>
                <w:rFonts w:hint="default" w:eastAsia="微软雅黑"/>
                <w:lang w:val="en-US" w:eastAsia="zh-CN"/>
              </w:rPr>
            </w:pPr>
            <w:r>
              <w:rPr>
                <w:rFonts w:hint="eastAsia" w:ascii="微软雅黑" w:hAnsi="微软雅黑" w:eastAsia="微软雅黑" w:cs="微软雅黑"/>
                <w:sz w:val="20"/>
                <w:szCs w:val="20"/>
                <w:lang w:val="en-US" w:eastAsia="zh-CN"/>
              </w:rPr>
              <w:t xml:space="preserve">3. </w:t>
            </w:r>
            <w:r>
              <w:rPr>
                <w:rFonts w:hint="eastAsia" w:ascii="微软雅黑" w:hAnsi="微软雅黑" w:eastAsia="微软雅黑" w:cs="微软雅黑"/>
                <w:sz w:val="20"/>
                <w:szCs w:val="20"/>
              </w:rPr>
              <w:t>意向承租方</w:t>
            </w:r>
            <w:r>
              <w:rPr>
                <w:rFonts w:hint="eastAsia" w:ascii="微软雅黑" w:hAnsi="微软雅黑" w:eastAsia="微软雅黑" w:cs="微软雅黑"/>
                <w:sz w:val="20"/>
                <w:szCs w:val="20"/>
                <w:lang w:val="en-US" w:eastAsia="zh-CN"/>
              </w:rPr>
              <w:t>设计布局方案</w:t>
            </w:r>
          </w:p>
          <w:p w14:paraId="25CB2BBB">
            <w:pPr>
              <w:numPr>
                <w:ilvl w:val="0"/>
                <w:numId w:val="0"/>
              </w:numPr>
            </w:pPr>
            <w:r>
              <w:rPr>
                <w:rFonts w:hint="eastAsia" w:ascii="微软雅黑" w:hAnsi="微软雅黑" w:eastAsia="微软雅黑" w:cs="微软雅黑"/>
                <w:sz w:val="20"/>
                <w:szCs w:val="20"/>
                <w:lang w:val="en-US" w:eastAsia="zh-CN"/>
              </w:rPr>
              <w:t>4.</w:t>
            </w:r>
            <w:r>
              <w:rPr>
                <w:rFonts w:hint="eastAsia" w:ascii="微软雅黑" w:hAnsi="微软雅黑" w:eastAsia="微软雅黑" w:cs="微软雅黑"/>
                <w:sz w:val="20"/>
                <w:szCs w:val="20"/>
              </w:rPr>
              <w:t>潜在承租方应具备的资格条件中提及的相关证明；</w:t>
            </w:r>
          </w:p>
        </w:tc>
      </w:tr>
    </w:tbl>
    <w:p w14:paraId="565F233A">
      <w:r>
        <w:br w:type="page"/>
      </w:r>
    </w:p>
    <w:p w14:paraId="2C30453C">
      <w:pPr>
        <w:pStyle w:val="2"/>
      </w:pPr>
    </w:p>
    <w:p w14:paraId="685BC4B2">
      <w:pPr>
        <w:jc w:val="center"/>
        <w:rPr>
          <w:rFonts w:hint="eastAsia"/>
          <w:lang w:val="en-US" w:eastAsia="zh-CN"/>
        </w:rPr>
      </w:pPr>
      <w:r>
        <w:rPr>
          <w:rFonts w:hint="eastAsia"/>
          <w:lang w:val="en-US" w:eastAsia="zh-CN"/>
        </w:rPr>
        <w:t>平面图</w:t>
      </w:r>
    </w:p>
    <w:p w14:paraId="3289C47F">
      <w:pPr>
        <w:pStyle w:val="2"/>
        <w:rPr>
          <w:rFonts w:hint="eastAsia"/>
          <w:lang w:val="en-US" w:eastAsia="zh-CN"/>
        </w:rPr>
      </w:pPr>
      <w:r>
        <w:drawing>
          <wp:inline distT="0" distB="0" distL="114300" distR="114300">
            <wp:extent cx="5753735" cy="3966845"/>
            <wp:effectExtent l="0" t="0" r="1841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53735" cy="3966845"/>
                    </a:xfrm>
                    <a:prstGeom prst="rect">
                      <a:avLst/>
                    </a:prstGeom>
                    <a:noFill/>
                    <a:ln>
                      <a:noFill/>
                    </a:ln>
                  </pic:spPr>
                </pic:pic>
              </a:graphicData>
            </a:graphic>
          </wp:inline>
        </w:drawing>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83017"/>
    <w:multiLevelType w:val="singleLevel"/>
    <w:tmpl w:val="FD883017"/>
    <w:lvl w:ilvl="0" w:tentative="0">
      <w:start w:val="6"/>
      <w:numFmt w:val="decimal"/>
      <w:suff w:val="nothing"/>
      <w:lvlText w:val="%1、"/>
      <w:lvlJc w:val="left"/>
    </w:lvl>
  </w:abstractNum>
  <w:abstractNum w:abstractNumId="1">
    <w:nsid w:val="1A3F2DC9"/>
    <w:multiLevelType w:val="singleLevel"/>
    <w:tmpl w:val="1A3F2DC9"/>
    <w:lvl w:ilvl="0" w:tentative="0">
      <w:start w:val="1"/>
      <w:numFmt w:val="decimal"/>
      <w:lvlText w:val="(%1)"/>
      <w:lvlJc w:val="left"/>
      <w:pPr>
        <w:ind w:left="425" w:hanging="425"/>
      </w:pPr>
      <w:rPr>
        <w:rFonts w:hint="default"/>
      </w:rPr>
    </w:lvl>
  </w:abstractNum>
  <w:abstractNum w:abstractNumId="2">
    <w:nsid w:val="463891A5"/>
    <w:multiLevelType w:val="singleLevel"/>
    <w:tmpl w:val="463891A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yNWIwZWUzNDg2ZTE1YzU1MzllNTc1YjE4NGQzMjYifQ=="/>
  </w:docVars>
  <w:rsids>
    <w:rsidRoot w:val="70EF6726"/>
    <w:rsid w:val="000D1EBF"/>
    <w:rsid w:val="001A0391"/>
    <w:rsid w:val="001C102C"/>
    <w:rsid w:val="00235A00"/>
    <w:rsid w:val="002B12C7"/>
    <w:rsid w:val="002F6DB3"/>
    <w:rsid w:val="00383B01"/>
    <w:rsid w:val="003E1EE4"/>
    <w:rsid w:val="003F1F79"/>
    <w:rsid w:val="0049542C"/>
    <w:rsid w:val="004C3DB9"/>
    <w:rsid w:val="00510B37"/>
    <w:rsid w:val="005D5913"/>
    <w:rsid w:val="008F14A2"/>
    <w:rsid w:val="00951ECB"/>
    <w:rsid w:val="00976101"/>
    <w:rsid w:val="00D512C0"/>
    <w:rsid w:val="00E24EF8"/>
    <w:rsid w:val="00EE6044"/>
    <w:rsid w:val="00F013E2"/>
    <w:rsid w:val="00FB5E3E"/>
    <w:rsid w:val="010D7DD7"/>
    <w:rsid w:val="019F6208"/>
    <w:rsid w:val="01DA23AF"/>
    <w:rsid w:val="01EC4EBD"/>
    <w:rsid w:val="01EE19B6"/>
    <w:rsid w:val="01EF7EAB"/>
    <w:rsid w:val="01FE28FF"/>
    <w:rsid w:val="026C04D7"/>
    <w:rsid w:val="03E60B39"/>
    <w:rsid w:val="03E75CAC"/>
    <w:rsid w:val="04212517"/>
    <w:rsid w:val="0427425B"/>
    <w:rsid w:val="045C354F"/>
    <w:rsid w:val="04F76DD4"/>
    <w:rsid w:val="058645FB"/>
    <w:rsid w:val="06510766"/>
    <w:rsid w:val="067554FA"/>
    <w:rsid w:val="06E72E78"/>
    <w:rsid w:val="06E861A2"/>
    <w:rsid w:val="074D717F"/>
    <w:rsid w:val="08206641"/>
    <w:rsid w:val="082F60FD"/>
    <w:rsid w:val="089C3E83"/>
    <w:rsid w:val="08C848A1"/>
    <w:rsid w:val="091C0BCB"/>
    <w:rsid w:val="092C5282"/>
    <w:rsid w:val="094A1349"/>
    <w:rsid w:val="095A5B83"/>
    <w:rsid w:val="095A6AB9"/>
    <w:rsid w:val="0B4439DE"/>
    <w:rsid w:val="0BDA3681"/>
    <w:rsid w:val="0C184576"/>
    <w:rsid w:val="0C2F779B"/>
    <w:rsid w:val="0D2275A9"/>
    <w:rsid w:val="0E0F15BA"/>
    <w:rsid w:val="0EA224A6"/>
    <w:rsid w:val="0EC8358F"/>
    <w:rsid w:val="0ED1615D"/>
    <w:rsid w:val="0F39623B"/>
    <w:rsid w:val="0FEB1C2B"/>
    <w:rsid w:val="10156CA8"/>
    <w:rsid w:val="107240FA"/>
    <w:rsid w:val="108F1785"/>
    <w:rsid w:val="10D751BE"/>
    <w:rsid w:val="111057CB"/>
    <w:rsid w:val="113849FC"/>
    <w:rsid w:val="11CB4341"/>
    <w:rsid w:val="121E2DFA"/>
    <w:rsid w:val="12AA36D7"/>
    <w:rsid w:val="12AB744F"/>
    <w:rsid w:val="13F11F07"/>
    <w:rsid w:val="141E5D56"/>
    <w:rsid w:val="14470957"/>
    <w:rsid w:val="14771CDF"/>
    <w:rsid w:val="154020D1"/>
    <w:rsid w:val="1585061F"/>
    <w:rsid w:val="15E42090"/>
    <w:rsid w:val="168652DF"/>
    <w:rsid w:val="16A91EF8"/>
    <w:rsid w:val="174C1F3A"/>
    <w:rsid w:val="178C784F"/>
    <w:rsid w:val="17935082"/>
    <w:rsid w:val="179C380B"/>
    <w:rsid w:val="17BD20FF"/>
    <w:rsid w:val="17E2594C"/>
    <w:rsid w:val="18860743"/>
    <w:rsid w:val="19C03088"/>
    <w:rsid w:val="1A3146DE"/>
    <w:rsid w:val="1A315B63"/>
    <w:rsid w:val="1A630417"/>
    <w:rsid w:val="1ACD2659"/>
    <w:rsid w:val="1B530684"/>
    <w:rsid w:val="1B614EDB"/>
    <w:rsid w:val="1C415123"/>
    <w:rsid w:val="1C503E57"/>
    <w:rsid w:val="1CC41A5F"/>
    <w:rsid w:val="1CE617B0"/>
    <w:rsid w:val="1DE972FF"/>
    <w:rsid w:val="1E645700"/>
    <w:rsid w:val="1EF77947"/>
    <w:rsid w:val="1F1F544D"/>
    <w:rsid w:val="1F6D6908"/>
    <w:rsid w:val="1FED73E3"/>
    <w:rsid w:val="20733B6C"/>
    <w:rsid w:val="208B5B1A"/>
    <w:rsid w:val="21BA145D"/>
    <w:rsid w:val="220F17A9"/>
    <w:rsid w:val="225C1655"/>
    <w:rsid w:val="228A7081"/>
    <w:rsid w:val="22BB548D"/>
    <w:rsid w:val="22D965D0"/>
    <w:rsid w:val="23C16EE3"/>
    <w:rsid w:val="23EE3640"/>
    <w:rsid w:val="255E0351"/>
    <w:rsid w:val="2593449F"/>
    <w:rsid w:val="26BA37FD"/>
    <w:rsid w:val="26F7406E"/>
    <w:rsid w:val="26FC3E21"/>
    <w:rsid w:val="278014A6"/>
    <w:rsid w:val="27EA6304"/>
    <w:rsid w:val="28864685"/>
    <w:rsid w:val="28DB0637"/>
    <w:rsid w:val="290C322E"/>
    <w:rsid w:val="29413B20"/>
    <w:rsid w:val="2A3F0751"/>
    <w:rsid w:val="2AA77572"/>
    <w:rsid w:val="2B577D1D"/>
    <w:rsid w:val="2B62264C"/>
    <w:rsid w:val="2BDA4BD6"/>
    <w:rsid w:val="2BDD0222"/>
    <w:rsid w:val="2C14618C"/>
    <w:rsid w:val="2D0551B8"/>
    <w:rsid w:val="2DC25921"/>
    <w:rsid w:val="2E206AEC"/>
    <w:rsid w:val="2EFE1F45"/>
    <w:rsid w:val="30073ABF"/>
    <w:rsid w:val="301C26FD"/>
    <w:rsid w:val="30E16A06"/>
    <w:rsid w:val="31085D41"/>
    <w:rsid w:val="31763C33"/>
    <w:rsid w:val="31866D38"/>
    <w:rsid w:val="319E4AB9"/>
    <w:rsid w:val="32E61DDF"/>
    <w:rsid w:val="332E3A59"/>
    <w:rsid w:val="33E83C08"/>
    <w:rsid w:val="341D5FA7"/>
    <w:rsid w:val="34713BFD"/>
    <w:rsid w:val="353115DE"/>
    <w:rsid w:val="36F9612C"/>
    <w:rsid w:val="385C4BC4"/>
    <w:rsid w:val="38B94AB8"/>
    <w:rsid w:val="38EA21D0"/>
    <w:rsid w:val="394E6C03"/>
    <w:rsid w:val="39CF0185"/>
    <w:rsid w:val="3A0028CF"/>
    <w:rsid w:val="3A3E4582"/>
    <w:rsid w:val="3ABB2076"/>
    <w:rsid w:val="3ACB4F85"/>
    <w:rsid w:val="3B64270E"/>
    <w:rsid w:val="3BA448B8"/>
    <w:rsid w:val="3BBB5D11"/>
    <w:rsid w:val="3C0D677A"/>
    <w:rsid w:val="3C157564"/>
    <w:rsid w:val="3C4A2E77"/>
    <w:rsid w:val="3D566086"/>
    <w:rsid w:val="3D9B618F"/>
    <w:rsid w:val="3DC76903"/>
    <w:rsid w:val="3DD57F56"/>
    <w:rsid w:val="3DF76196"/>
    <w:rsid w:val="3E181A78"/>
    <w:rsid w:val="3F762A0F"/>
    <w:rsid w:val="3FF57DD8"/>
    <w:rsid w:val="400A2E3F"/>
    <w:rsid w:val="405C14EE"/>
    <w:rsid w:val="409D5D7A"/>
    <w:rsid w:val="40CE5987"/>
    <w:rsid w:val="41004C87"/>
    <w:rsid w:val="41253AF4"/>
    <w:rsid w:val="42366486"/>
    <w:rsid w:val="43505326"/>
    <w:rsid w:val="43784FA8"/>
    <w:rsid w:val="454F1EDE"/>
    <w:rsid w:val="45C36283"/>
    <w:rsid w:val="46857168"/>
    <w:rsid w:val="47AB796F"/>
    <w:rsid w:val="47B1315D"/>
    <w:rsid w:val="47B642F1"/>
    <w:rsid w:val="48AD055F"/>
    <w:rsid w:val="48E659D9"/>
    <w:rsid w:val="49261002"/>
    <w:rsid w:val="49275C6C"/>
    <w:rsid w:val="49CC7DFC"/>
    <w:rsid w:val="4A347F6C"/>
    <w:rsid w:val="4A960A49"/>
    <w:rsid w:val="4B987A6E"/>
    <w:rsid w:val="4BCC39E9"/>
    <w:rsid w:val="4BFA22D2"/>
    <w:rsid w:val="4C1D1CD1"/>
    <w:rsid w:val="4C4243A5"/>
    <w:rsid w:val="4C60482B"/>
    <w:rsid w:val="4C6934E2"/>
    <w:rsid w:val="4D1B4BF6"/>
    <w:rsid w:val="4DD20247"/>
    <w:rsid w:val="4DD83ED3"/>
    <w:rsid w:val="4DD92E99"/>
    <w:rsid w:val="4F637D4D"/>
    <w:rsid w:val="4FB13778"/>
    <w:rsid w:val="514B72BE"/>
    <w:rsid w:val="5253036B"/>
    <w:rsid w:val="527C0957"/>
    <w:rsid w:val="52FE4D9E"/>
    <w:rsid w:val="53EC2E48"/>
    <w:rsid w:val="54C558E0"/>
    <w:rsid w:val="554A42CB"/>
    <w:rsid w:val="55527B28"/>
    <w:rsid w:val="56554CD5"/>
    <w:rsid w:val="567B1FAE"/>
    <w:rsid w:val="56AB175A"/>
    <w:rsid w:val="56DE2F1C"/>
    <w:rsid w:val="573E7E5F"/>
    <w:rsid w:val="57B1418D"/>
    <w:rsid w:val="57F64296"/>
    <w:rsid w:val="59195C28"/>
    <w:rsid w:val="59562DC7"/>
    <w:rsid w:val="59E85E60"/>
    <w:rsid w:val="59F760A3"/>
    <w:rsid w:val="5A4D63C1"/>
    <w:rsid w:val="5ABF4E13"/>
    <w:rsid w:val="5B9B2C44"/>
    <w:rsid w:val="5BD90156"/>
    <w:rsid w:val="5D101956"/>
    <w:rsid w:val="5D1B3859"/>
    <w:rsid w:val="5DA536EB"/>
    <w:rsid w:val="5DE965EC"/>
    <w:rsid w:val="5E22256C"/>
    <w:rsid w:val="5E7E0FE9"/>
    <w:rsid w:val="5EA54320"/>
    <w:rsid w:val="5EFC6636"/>
    <w:rsid w:val="5F427DC1"/>
    <w:rsid w:val="6051650D"/>
    <w:rsid w:val="60FE664A"/>
    <w:rsid w:val="621D2E06"/>
    <w:rsid w:val="628C7CD0"/>
    <w:rsid w:val="62963B64"/>
    <w:rsid w:val="6352137C"/>
    <w:rsid w:val="63894210"/>
    <w:rsid w:val="63D92960"/>
    <w:rsid w:val="64063AB3"/>
    <w:rsid w:val="6476329D"/>
    <w:rsid w:val="653E102A"/>
    <w:rsid w:val="656C666D"/>
    <w:rsid w:val="65AB2B63"/>
    <w:rsid w:val="66444FD8"/>
    <w:rsid w:val="66BE2423"/>
    <w:rsid w:val="673C668E"/>
    <w:rsid w:val="67D57A24"/>
    <w:rsid w:val="67DA328C"/>
    <w:rsid w:val="67FC0761"/>
    <w:rsid w:val="685B1C0C"/>
    <w:rsid w:val="68C84CF7"/>
    <w:rsid w:val="6B305FCE"/>
    <w:rsid w:val="6B5B2936"/>
    <w:rsid w:val="6C6E0447"/>
    <w:rsid w:val="6C9C03CF"/>
    <w:rsid w:val="6CD85E71"/>
    <w:rsid w:val="6DD32C57"/>
    <w:rsid w:val="6DF66946"/>
    <w:rsid w:val="6EA41627"/>
    <w:rsid w:val="6F5B3596"/>
    <w:rsid w:val="704F63E5"/>
    <w:rsid w:val="70977D93"/>
    <w:rsid w:val="70E87657"/>
    <w:rsid w:val="70EF6726"/>
    <w:rsid w:val="71D83356"/>
    <w:rsid w:val="721E49C2"/>
    <w:rsid w:val="72334F5D"/>
    <w:rsid w:val="724B09A7"/>
    <w:rsid w:val="729A3D44"/>
    <w:rsid w:val="73AB752D"/>
    <w:rsid w:val="73CA0659"/>
    <w:rsid w:val="73E26C2E"/>
    <w:rsid w:val="743D24D6"/>
    <w:rsid w:val="749D3FBF"/>
    <w:rsid w:val="74B310ED"/>
    <w:rsid w:val="75682909"/>
    <w:rsid w:val="75B7503F"/>
    <w:rsid w:val="76F6043A"/>
    <w:rsid w:val="76F854DD"/>
    <w:rsid w:val="77C2072D"/>
    <w:rsid w:val="77FC0FFD"/>
    <w:rsid w:val="7836450F"/>
    <w:rsid w:val="787119EB"/>
    <w:rsid w:val="789B25C4"/>
    <w:rsid w:val="78E86EFE"/>
    <w:rsid w:val="79425135"/>
    <w:rsid w:val="796B468C"/>
    <w:rsid w:val="797C23F5"/>
    <w:rsid w:val="79826CDE"/>
    <w:rsid w:val="7AFD79F9"/>
    <w:rsid w:val="7B4F7695"/>
    <w:rsid w:val="7C9C690A"/>
    <w:rsid w:val="7D2A385A"/>
    <w:rsid w:val="7D5E1E12"/>
    <w:rsid w:val="7D7D04EA"/>
    <w:rsid w:val="7E487708"/>
    <w:rsid w:val="7F4F235A"/>
    <w:rsid w:val="7F6A43E7"/>
    <w:rsid w:val="7FD5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15"/>
      <w:szCs w:val="15"/>
      <w:lang w:eastAsia="en-US"/>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4">
    <w:name w:val="annotation text"/>
    <w:basedOn w:val="1"/>
    <w:qFormat/>
    <w:uiPriority w:val="0"/>
    <w:pPr>
      <w:jc w:val="left"/>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限制内容"/>
    <w:basedOn w:val="1"/>
    <w:qFormat/>
    <w:locked/>
    <w:uiPriority w:val="0"/>
    <w:rPr>
      <w:rFonts w:hint="eastAsia" w:ascii="微软雅黑" w:hAnsi="微软雅黑" w:eastAsia="微软雅黑" w:cs="微软雅黑"/>
      <w:sz w:val="20"/>
      <w:szCs w:val="20"/>
    </w:rPr>
  </w:style>
  <w:style w:type="paragraph" w:customStyle="1" w:styleId="13">
    <w:name w:val="Table Text"/>
    <w:basedOn w:val="1"/>
    <w:semiHidden/>
    <w:qFormat/>
    <w:uiPriority w:val="0"/>
    <w:rPr>
      <w:rFonts w:ascii="宋体" w:hAnsi="宋体" w:eastAsia="宋体" w:cs="宋体"/>
      <w:sz w:val="16"/>
      <w:szCs w:val="16"/>
      <w:lang w:eastAsia="en-US"/>
    </w:rPr>
  </w:style>
  <w:style w:type="character" w:customStyle="1" w:styleId="14">
    <w:name w:val="页眉 字符"/>
    <w:basedOn w:val="10"/>
    <w:link w:val="6"/>
    <w:qFormat/>
    <w:uiPriority w:val="0"/>
    <w:rPr>
      <w:rFonts w:asciiTheme="minorHAnsi" w:hAnsiTheme="minorHAnsi" w:eastAsiaTheme="minorEastAsia" w:cstheme="minorBidi"/>
      <w:kern w:val="2"/>
      <w:sz w:val="18"/>
      <w:szCs w:val="18"/>
    </w:rPr>
  </w:style>
  <w:style w:type="character" w:customStyle="1" w:styleId="15">
    <w:name w:val="页脚 字符"/>
    <w:basedOn w:val="10"/>
    <w:link w:val="5"/>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7239</Words>
  <Characters>7463</Characters>
  <Lines>71</Lines>
  <Paragraphs>20</Paragraphs>
  <TotalTime>2</TotalTime>
  <ScaleCrop>false</ScaleCrop>
  <LinksUpToDate>false</LinksUpToDate>
  <CharactersWithSpaces>7490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2025-11-18T02:53:00Z</dcterms:created>
  <dc:creator>吴大可</dc:creator>
  <cp:lastModifiedBy>麦沛钦</cp:lastModifiedBy>
  <cp:lastPrinted>2025-06-12T09:05:00Z</cp:lastPrinted>
  <dcterms:modified xsi:type="dcterms:W3CDTF">2026-05-26T17:29:28Z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A84EB11681A24B19AA4D1E4B8318FFD1_13</vt:lpwstr>
  </property>
  <property fmtid="{D5CDD505-2E9C-101B-9397-08002B2CF9AE}" pid="4" name="KSOTemplateDocerSaveRecord">
    <vt:lpwstr>eyJoZGlkIjoiN2Q4Y2I4NTlhYmQ5OTRmOTRhOTBjMmMyYzIxMDIzMjYiLCJ1c2VySWQiOiIxNzY2MjY3ODE5In0=</vt:lpwstr>
  </property>
</Properties>
</file>