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hint="eastAsia" w:ascii="黑体" w:hAnsi="宋体" w:eastAsia="黑体" w:cs="黑体"/>
          <w:kern w:val="0"/>
          <w:sz w:val="40"/>
          <w:szCs w:val="40"/>
          <w:lang w:eastAsia="zh-CN"/>
        </w:rPr>
      </w:pPr>
      <w:r>
        <w:rPr>
          <w:rFonts w:hint="eastAsia" w:ascii="黑体" w:hAnsi="宋体" w:eastAsia="黑体" w:cs="黑体"/>
          <w:kern w:val="0"/>
          <w:sz w:val="40"/>
          <w:szCs w:val="40"/>
          <w:lang w:eastAsia="zh-CN"/>
        </w:rPr>
        <w:t>操场大型玩具</w:t>
      </w:r>
    </w:p>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7938" w:type="dxa"/>
        <w:jc w:val="center"/>
        <w:tblCellSpacing w:w="0" w:type="dxa"/>
        <w:tblLayout w:type="autofit"/>
        <w:tblCellMar>
          <w:top w:w="36" w:type="dxa"/>
          <w:left w:w="36" w:type="dxa"/>
          <w:bottom w:w="36" w:type="dxa"/>
          <w:right w:w="36" w:type="dxa"/>
        </w:tblCellMar>
      </w:tblPr>
      <w:tblGrid>
        <w:gridCol w:w="2722"/>
        <w:gridCol w:w="5216"/>
      </w:tblGrid>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项目编号：</w:t>
            </w:r>
          </w:p>
        </w:tc>
        <w:tc>
          <w:tcPr>
            <w:tcW w:w="0" w:type="auto"/>
            <w:vAlign w:val="center"/>
          </w:tcPr>
          <w:p>
            <w:pPr>
              <w:rPr>
                <w:rFonts w:hint="eastAsia" w:eastAsiaTheme="minorEastAsia"/>
                <w:sz w:val="30"/>
                <w:szCs w:val="30"/>
                <w:lang w:eastAsia="zh-CN"/>
              </w:rPr>
            </w:pPr>
            <w:r>
              <w:rPr>
                <w:rFonts w:hint="eastAsia"/>
                <w:sz w:val="30"/>
                <w:szCs w:val="30"/>
                <w:lang w:eastAsia="zh-CN"/>
              </w:rPr>
              <w:t>LHAZXCG-2024-00019</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项目名称：</w:t>
            </w:r>
          </w:p>
        </w:tc>
        <w:tc>
          <w:tcPr>
            <w:tcW w:w="0" w:type="auto"/>
            <w:vAlign w:val="center"/>
          </w:tcPr>
          <w:p>
            <w:pPr>
              <w:rPr>
                <w:rFonts w:hint="eastAsia" w:eastAsiaTheme="minorEastAsia"/>
                <w:sz w:val="30"/>
                <w:szCs w:val="30"/>
                <w:lang w:eastAsia="zh-CN"/>
              </w:rPr>
            </w:pPr>
            <w:r>
              <w:rPr>
                <w:rFonts w:hint="eastAsia"/>
                <w:sz w:val="30"/>
                <w:szCs w:val="30"/>
                <w:lang w:eastAsia="zh-CN"/>
              </w:rPr>
              <w:t>操场大型玩具</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包</w:t>
            </w:r>
            <w:r>
              <w:rPr>
                <w:rFonts w:hint="eastAsia"/>
                <w:sz w:val="30"/>
                <w:szCs w:val="30"/>
                <w:lang w:val="en-US" w:eastAsia="zh-CN"/>
              </w:rPr>
              <w:t xml:space="preserve">    </w:t>
            </w:r>
            <w:r>
              <w:rPr>
                <w:sz w:val="30"/>
                <w:szCs w:val="30"/>
              </w:rPr>
              <w:t>号：</w:t>
            </w:r>
          </w:p>
        </w:tc>
        <w:tc>
          <w:tcPr>
            <w:tcW w:w="0" w:type="auto"/>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项目类型：</w:t>
            </w:r>
          </w:p>
        </w:tc>
        <w:tc>
          <w:tcPr>
            <w:tcW w:w="0" w:type="auto"/>
            <w:vAlign w:val="center"/>
          </w:tcPr>
          <w:p>
            <w:pPr>
              <w:rPr>
                <w:sz w:val="30"/>
                <w:szCs w:val="30"/>
              </w:rPr>
            </w:pPr>
            <w:r>
              <w:rPr>
                <w:rFonts w:hint="eastAsia"/>
                <w:sz w:val="30"/>
                <w:szCs w:val="30"/>
                <w:lang w:val="en-US" w:eastAsia="zh-CN"/>
              </w:rPr>
              <w:t>货物</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采购方式：</w:t>
            </w:r>
          </w:p>
        </w:tc>
        <w:tc>
          <w:tcPr>
            <w:tcW w:w="0" w:type="auto"/>
            <w:vAlign w:val="center"/>
          </w:tcPr>
          <w:p>
            <w:pPr>
              <w:rPr>
                <w:sz w:val="30"/>
                <w:szCs w:val="30"/>
              </w:rPr>
            </w:pPr>
            <w:r>
              <w:rPr>
                <w:sz w:val="30"/>
                <w:szCs w:val="30"/>
              </w:rPr>
              <w:t>公开招标</w:t>
            </w:r>
          </w:p>
        </w:tc>
      </w:tr>
      <w:tr>
        <w:trPr>
          <w:trHeight w:val="737" w:hRule="atLeast"/>
          <w:tblCellSpacing w:w="0" w:type="dxa"/>
          <w:jc w:val="center"/>
        </w:trPr>
        <w:tc>
          <w:tcPr>
            <w:tcW w:w="0" w:type="auto"/>
            <w:vAlign w:val="center"/>
          </w:tcPr>
          <w:p>
            <w:pPr>
              <w:jc w:val="right"/>
              <w:rPr>
                <w:sz w:val="30"/>
                <w:szCs w:val="30"/>
              </w:rPr>
            </w:pPr>
            <w:r>
              <w:rPr>
                <w:sz w:val="30"/>
                <w:szCs w:val="30"/>
              </w:rPr>
              <w:t>货币类型：</w:t>
            </w:r>
          </w:p>
        </w:tc>
        <w:tc>
          <w:tcPr>
            <w:tcW w:w="0" w:type="auto"/>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评标方法：</w:t>
            </w:r>
          </w:p>
        </w:tc>
        <w:tc>
          <w:tcPr>
            <w:tcW w:w="0" w:type="auto"/>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w:t>
            </w:r>
            <w:r>
              <w:rPr>
                <w:rFonts w:hint="eastAsia"/>
                <w:lang w:val="en-US" w:eastAsia="zh-CN"/>
              </w:rPr>
              <w:t>不得</w:t>
            </w:r>
            <w:r>
              <w:rPr>
                <w:rFonts w:hint="eastAsia"/>
              </w:rPr>
              <w:t>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rPr>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eastAsia="宋体"/>
                <w:szCs w:val="24"/>
                <w:lang w:val="en-US" w:eastAsia="zh-CN"/>
              </w:rPr>
            </w:pPr>
            <w:r>
              <w:rPr>
                <w:rFonts w:hint="eastAsia"/>
                <w:szCs w:val="24"/>
                <w:lang w:val="en-US"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eastAsia="宋体"/>
                <w:szCs w:val="24"/>
                <w:lang w:val="en-US" w:eastAsia="zh-CN"/>
              </w:rPr>
            </w:pPr>
            <w:r>
              <w:rPr>
                <w:rFonts w:hint="eastAsia"/>
                <w:szCs w:val="24"/>
                <w:lang w:val="en-US"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eastAsia="宋体"/>
                <w:szCs w:val="21"/>
                <w:lang w:val="en-US" w:eastAsia="zh-CN"/>
              </w:rPr>
            </w:pPr>
            <w:r>
              <w:rPr>
                <w:rFonts w:hint="eastAsia" w:ascii="宋体" w:hAnsi="宋体" w:cs="宋体"/>
                <w:kern w:val="0"/>
                <w:szCs w:val="21"/>
                <w:lang w:val="en-US" w:eastAsia="zh-CN"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tbl>
      <w:tblPr>
        <w:tblStyle w:val="16"/>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0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是指投标文件满足招标文件全部实质性要求，且按照评审因素的量化指标评审得分</w:t>
            </w:r>
            <w:r>
              <w:rPr>
                <w:rFonts w:hint="eastAsia"/>
                <w:szCs w:val="21"/>
                <w:lang w:val="en-US" w:eastAsia="zh-CN"/>
              </w:rPr>
              <w:t>排名前列</w:t>
            </w:r>
            <w:r>
              <w:rPr>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szCs w:val="21"/>
              </w:rPr>
              <w:t>价格分计算方法：</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kern w:val="2"/>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type="textWrapping"/>
            </w:r>
            <w:r>
              <w:rPr>
                <w:kern w:val="2"/>
                <w:sz w:val="21"/>
                <w:szCs w:val="21"/>
              </w:rPr>
              <w:t xml:space="preserve">投标报价得分=(评标基准价／投标报价)×100 </w:t>
            </w:r>
            <w:r>
              <w:rPr>
                <w:kern w:val="2"/>
                <w:sz w:val="21"/>
                <w:szCs w:val="21"/>
              </w:rPr>
              <w:br w:type="textWrapping"/>
            </w:r>
            <w:r>
              <w:rPr>
                <w:kern w:val="2"/>
                <w:sz w:val="21"/>
                <w:szCs w:val="21"/>
              </w:rPr>
              <w:t xml:space="preserve">评标总得分＝F1×A1＋F2×A2＋……＋Fn×An </w:t>
            </w:r>
            <w:r>
              <w:rPr>
                <w:kern w:val="2"/>
                <w:sz w:val="21"/>
                <w:szCs w:val="21"/>
              </w:rPr>
              <w:br w:type="textWrapping"/>
            </w:r>
            <w:r>
              <w:rPr>
                <w:kern w:val="2"/>
                <w:sz w:val="21"/>
                <w:szCs w:val="21"/>
              </w:rPr>
              <w:t xml:space="preserve">F1、F2……Fn分别为各项评审因素的得分； </w:t>
            </w:r>
            <w:r>
              <w:rPr>
                <w:kern w:val="2"/>
                <w:sz w:val="21"/>
                <w:szCs w:val="21"/>
              </w:rPr>
              <w:br w:type="textWrapping"/>
            </w:r>
            <w:r>
              <w:rPr>
                <w:kern w:val="2"/>
                <w:sz w:val="21"/>
                <w:szCs w:val="21"/>
              </w:rPr>
              <w:t xml:space="preserve">A1、A2、……An 分别为各项评审因素所占的权重(A1＋A2＋……＋An＝1)。 </w:t>
            </w:r>
            <w:r>
              <w:rPr>
                <w:kern w:val="2"/>
                <w:sz w:val="21"/>
                <w:szCs w:val="21"/>
              </w:rPr>
              <w:br w:type="textWrapping"/>
            </w:r>
            <w:r>
              <w:rPr>
                <w:kern w:val="2"/>
                <w:sz w:val="21"/>
                <w:szCs w:val="21"/>
              </w:rPr>
              <w:t>评标过程中，不得去掉报价中的最高报价和最低报价。</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pPr>
            <w:r>
              <w:rPr>
                <w:rFonts w:hint="eastAsia"/>
                <w:kern w:val="2"/>
                <w:sz w:val="21"/>
                <w:szCs w:val="21"/>
              </w:rPr>
              <w:t>因落实政府采购政策进行价格调整的，以调整后的价格计算评标基准价和投标报价。</w:t>
            </w:r>
          </w:p>
        </w:tc>
      </w:tr>
    </w:tbl>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val="0"/>
                <w:bCs/>
                <w:sz w:val="21"/>
                <w:szCs w:val="21"/>
                <w:highlight w:val="none"/>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8"/>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rPr>
              <w:t xml:space="preserve">评审内容：投标人提供本项目的技术保障措施，方案中应包含 </w:t>
            </w:r>
          </w:p>
          <w:p>
            <w:pPr>
              <w:pStyle w:val="8"/>
              <w:numPr>
                <w:ilvl w:val="0"/>
                <w:numId w:val="1"/>
              </w:num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技术方案</w:t>
            </w:r>
            <w:r>
              <w:rPr>
                <w:rFonts w:hint="eastAsia" w:ascii="宋体" w:hAnsi="宋体" w:eastAsia="宋体" w:cs="宋体"/>
                <w:color w:val="auto"/>
                <w:sz w:val="21"/>
                <w:szCs w:val="21"/>
                <w:highlight w:val="none"/>
              </w:rPr>
              <w:t xml:space="preserve"> </w:t>
            </w:r>
          </w:p>
          <w:p>
            <w:pPr>
              <w:pStyle w:val="8"/>
              <w:numPr>
                <w:ilvl w:val="0"/>
                <w:numId w:val="1"/>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产品供货进度</w:t>
            </w:r>
            <w:r>
              <w:rPr>
                <w:rFonts w:hint="eastAsia" w:ascii="宋体" w:hAnsi="宋体" w:eastAsia="宋体" w:cs="宋体"/>
                <w:color w:val="auto"/>
                <w:sz w:val="21"/>
                <w:szCs w:val="21"/>
                <w:highlight w:val="none"/>
              </w:rPr>
              <w:t xml:space="preserve"> </w:t>
            </w:r>
          </w:p>
          <w:p>
            <w:pPr>
              <w:pStyle w:val="8"/>
              <w:numPr>
                <w:ilvl w:val="0"/>
                <w:numId w:val="1"/>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安装调试及验收方案 </w:t>
            </w:r>
          </w:p>
          <w:p>
            <w:pPr>
              <w:pStyle w:val="8"/>
              <w:numPr>
                <w:ilvl w:val="0"/>
                <w:numId w:val="1"/>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售后服务计划 </w:t>
            </w:r>
          </w:p>
          <w:p>
            <w:pPr>
              <w:pStyle w:val="8"/>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评审标准：方案中含有上述一个内容得15分</w:t>
            </w:r>
            <w:r>
              <w:rPr>
                <w:rFonts w:hint="eastAsia" w:ascii="宋体" w:hAnsi="宋体" w:eastAsia="宋体" w:cs="宋体"/>
                <w:color w:val="auto"/>
                <w:sz w:val="21"/>
                <w:szCs w:val="21"/>
                <w:highlight w:val="none"/>
                <w:lang w:val="en-US" w:eastAsia="zh-CN"/>
              </w:rPr>
              <w:t>,累计最高得60分</w:t>
            </w:r>
            <w:r>
              <w:rPr>
                <w:rFonts w:hint="eastAsia" w:ascii="宋体" w:hAnsi="宋体" w:eastAsia="宋体" w:cs="宋体"/>
                <w:color w:val="auto"/>
                <w:sz w:val="21"/>
                <w:szCs w:val="21"/>
                <w:highlight w:val="none"/>
              </w:rPr>
              <w:t xml:space="preserve">。在此基础上，对方案的合理性、可行性进行打分。 </w:t>
            </w:r>
          </w:p>
          <w:p>
            <w:pPr>
              <w:pStyle w:val="8"/>
              <w:numPr>
                <w:ilvl w:val="0"/>
                <w:numId w:val="2"/>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技术保障措施内容全面、具体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针对性强、科学合理、可操作性强评价为优</w:t>
            </w:r>
            <w:r>
              <w:rPr>
                <w:rFonts w:hint="eastAsia" w:ascii="宋体" w:hAnsi="宋体" w:eastAsia="宋体" w:cs="宋体"/>
                <w:color w:val="auto"/>
                <w:sz w:val="21"/>
                <w:szCs w:val="21"/>
                <w:highlight w:val="none"/>
              </w:rPr>
              <w:t xml:space="preserve">得40分。 </w:t>
            </w:r>
          </w:p>
          <w:p>
            <w:pPr>
              <w:pStyle w:val="8"/>
              <w:numPr>
                <w:ilvl w:val="0"/>
                <w:numId w:val="2"/>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技术保障措施内容较具体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具有针对性、可操作性评价为良得20分。 </w:t>
            </w:r>
          </w:p>
          <w:p>
            <w:pPr>
              <w:numPr>
                <w:ilvl w:val="0"/>
                <w:numId w:val="2"/>
              </w:numPr>
              <w:snapToGrid w:val="0"/>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技术保障措施内容不够具体详细、具有一定的针对性和可操作性评价为中</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10分。</w:t>
            </w:r>
          </w:p>
          <w:p>
            <w:pPr>
              <w:numPr>
                <w:ilvl w:val="0"/>
                <w:numId w:val="2"/>
              </w:numPr>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未提供或方案计划不切合本项目的实际情况、合理完善性差、可行性差的对应项不得分。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技术规格偏离情况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考察内容：</w:t>
            </w:r>
            <w:r>
              <w:rPr>
                <w:rFonts w:hint="eastAsia" w:ascii="宋体" w:hAnsi="宋体" w:eastAsia="宋体" w:cs="宋体"/>
                <w:b/>
                <w:bCs/>
                <w:sz w:val="21"/>
                <w:szCs w:val="21"/>
                <w:highlight w:val="none"/>
                <w:lang w:eastAsia="zh-CN"/>
              </w:rPr>
              <w:br w:type="textWrapping"/>
            </w:r>
            <w:r>
              <w:rPr>
                <w:rFonts w:hint="eastAsia" w:ascii="宋体" w:hAnsi="宋体" w:eastAsia="宋体" w:cs="宋体"/>
                <w:sz w:val="21"/>
                <w:szCs w:val="21"/>
                <w:highlight w:val="none"/>
              </w:rPr>
              <w:t>评审委员会根据《技术规格偏离表》（以下简称“偏离表”）响应情况进行打分，全部满足的得100分，一般参数每负偏离一项扣</w:t>
            </w:r>
            <w:r>
              <w:rPr>
                <w:rFonts w:hint="eastAsia" w:ascii="宋体" w:hAnsi="宋体" w:eastAsia="宋体" w:cs="宋体"/>
                <w:sz w:val="21"/>
                <w:szCs w:val="21"/>
                <w:highlight w:val="none"/>
                <w:lang w:val="en-US" w:eastAsia="zh-CN"/>
              </w:rPr>
              <w:t>0.07</w:t>
            </w:r>
            <w:r>
              <w:rPr>
                <w:rFonts w:hint="eastAsia" w:ascii="宋体" w:hAnsi="宋体" w:eastAsia="宋体" w:cs="宋体"/>
                <w:sz w:val="21"/>
                <w:szCs w:val="21"/>
                <w:highlight w:val="none"/>
              </w:rPr>
              <w:t>分，重点技术参数▲项每负偏离一项扣</w:t>
            </w:r>
            <w:r>
              <w:rPr>
                <w:rFonts w:hint="eastAsia"/>
                <w:lang w:val="en-US" w:eastAsia="zh-CN"/>
              </w:rPr>
              <w:t>15</w:t>
            </w:r>
            <w:r>
              <w:rPr>
                <w:rFonts w:hint="eastAsia" w:ascii="宋体" w:hAnsi="宋体" w:eastAsia="宋体" w:cs="宋体"/>
                <w:sz w:val="21"/>
                <w:szCs w:val="21"/>
                <w:highlight w:val="none"/>
              </w:rPr>
              <w:t>分。扣完为止。</w:t>
            </w:r>
            <w:r>
              <w:rPr>
                <w:rFonts w:hint="eastAsia" w:ascii="宋体" w:hAnsi="宋体" w:eastAsia="宋体" w:cs="宋体"/>
                <w:sz w:val="21"/>
                <w:szCs w:val="21"/>
                <w:highlight w:val="none"/>
              </w:rPr>
              <w:br w:type="textWrapping"/>
            </w:r>
            <w:r>
              <w:rPr>
                <w:rFonts w:hint="eastAsia" w:ascii="宋体" w:hAnsi="宋体" w:eastAsia="宋体" w:cs="宋体"/>
                <w:b/>
                <w:bCs/>
                <w:sz w:val="21"/>
                <w:szCs w:val="21"/>
                <w:highlight w:val="none"/>
                <w:lang w:eastAsia="zh-CN"/>
              </w:rPr>
              <w:t>证明文件：</w:t>
            </w:r>
            <w:r>
              <w:rPr>
                <w:rFonts w:hint="eastAsia" w:ascii="宋体" w:hAnsi="宋体" w:eastAsia="宋体" w:cs="宋体"/>
                <w:b/>
                <w:bCs/>
                <w:sz w:val="21"/>
                <w:szCs w:val="21"/>
                <w:highlight w:val="none"/>
                <w:lang w:eastAsia="zh-CN"/>
              </w:rPr>
              <w:br w:type="textWrapping"/>
            </w:r>
            <w:r>
              <w:rPr>
                <w:rFonts w:hint="eastAsia" w:ascii="宋体" w:hAnsi="宋体" w:eastAsia="宋体" w:cs="宋体"/>
                <w:sz w:val="21"/>
                <w:szCs w:val="21"/>
                <w:highlight w:val="none"/>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w:t>
            </w:r>
            <w:r>
              <w:rPr>
                <w:rFonts w:hint="eastAsia" w:ascii="宋体" w:hAnsi="宋体" w:eastAsia="宋体" w:cs="宋体"/>
                <w:sz w:val="21"/>
                <w:szCs w:val="21"/>
                <w:highlight w:val="none"/>
                <w:lang w:eastAsia="zh-CN"/>
              </w:rPr>
              <w:t>（未提供或未按要求提供或提供的不清晰导致专家无法判断的，不得分）</w:t>
            </w:r>
          </w:p>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yellow"/>
                <w:lang w:eastAsia="zh-CN"/>
              </w:rPr>
              <w:t>投标人的“技术规格响应情况”“技术规格偏离情况”等必须与客观实际保持一致，响应不实且情节严重的，经查实，将依法记入供应商诚信档案或受到行政处罚。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检测报告</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numPr>
                <w:ilvl w:val="0"/>
                <w:numId w:val="3"/>
              </w:numPr>
              <w:kinsoku/>
              <w:wordWrap/>
              <w:overflowPunct/>
              <w:topLinePunct w:val="0"/>
              <w:bidi w:val="0"/>
              <w:snapToGrid w:val="0"/>
              <w:spacing w:line="36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评审内容：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评审小组根据投标人提供的检测报告材料进行打分，按要求合格的产品检测报告得 </w:t>
            </w:r>
            <w:r>
              <w:rPr>
                <w:rFonts w:hint="eastAsia" w:ascii="宋体" w:hAnsi="宋体" w:eastAsia="宋体" w:cs="宋体"/>
                <w:sz w:val="21"/>
                <w:szCs w:val="21"/>
                <w:lang w:val="en-US" w:eastAsia="zh-CN"/>
              </w:rPr>
              <w:t>100</w:t>
            </w:r>
            <w:r>
              <w:rPr>
                <w:rFonts w:hint="eastAsia" w:ascii="宋体" w:hAnsi="宋体" w:eastAsia="宋体" w:cs="宋体"/>
                <w:sz w:val="21"/>
                <w:szCs w:val="21"/>
              </w:rPr>
              <w:t>分，未按要求提供的不得分。投标人所投产品需通过由市场监督管理部门资质认定的第三方检测机构出具的检测报告。</w:t>
            </w:r>
          </w:p>
          <w:p>
            <w:pPr>
              <w:pStyle w:val="8"/>
              <w:numPr>
                <w:ilvl w:val="0"/>
                <w:numId w:val="4"/>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攀爬钻笼</w:t>
            </w:r>
            <w:r>
              <w:rPr>
                <w:rFonts w:hint="eastAsia" w:ascii="宋体" w:hAnsi="宋体" w:eastAsia="宋体" w:cs="宋体"/>
                <w:sz w:val="21"/>
                <w:szCs w:val="21"/>
              </w:rPr>
              <w:t>的缆绳符合GB 6675.4-2014《玩具安全 第1部分：基本规范》的</w:t>
            </w:r>
            <w:r>
              <w:rPr>
                <w:rFonts w:hint="eastAsia" w:ascii="宋体" w:hAnsi="宋体" w:eastAsia="宋体" w:cs="宋体"/>
                <w:sz w:val="21"/>
                <w:szCs w:val="21"/>
                <w:lang w:val="en-US" w:eastAsia="zh-CN"/>
              </w:rPr>
              <w:t>要求</w:t>
            </w:r>
            <w:r>
              <w:rPr>
                <w:rFonts w:hint="eastAsia" w:ascii="宋体" w:hAnsi="宋体" w:eastAsia="宋体" w:cs="宋体"/>
                <w:sz w:val="21"/>
                <w:szCs w:val="21"/>
              </w:rPr>
              <w:t>；依据GB/T 22408-2022的标准进行检测，邻苯二甲酸二丁酯（DBP)、邻苯二甲酸丁苄酯（BBP)、邻苯二甲酸二(2-乙基）己酯（DEHP)的检测结果均低于定量限；可迁移元素锑、砷、钡、镉、铬、汞、和硒的最大限量要求符合GB 6675.4-2014的要求；</w:t>
            </w:r>
          </w:p>
          <w:p>
            <w:pPr>
              <w:pStyle w:val="8"/>
              <w:numPr>
                <w:ilvl w:val="0"/>
                <w:numId w:val="0"/>
              </w:numPr>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（二）证明文件：</w:t>
            </w:r>
          </w:p>
          <w:p>
            <w:pPr>
              <w:pStyle w:val="8"/>
              <w:numPr>
                <w:ilvl w:val="0"/>
                <w:numId w:val="0"/>
              </w:num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需同时提供</w:t>
            </w:r>
            <w:r>
              <w:rPr>
                <w:rFonts w:hint="eastAsia" w:ascii="宋体" w:hAnsi="宋体" w:eastAsia="宋体" w:cs="宋体"/>
                <w:color w:val="000000"/>
                <w:sz w:val="21"/>
                <w:szCs w:val="21"/>
                <w:lang w:eastAsia="zh-CN"/>
              </w:rPr>
              <w:t>：</w:t>
            </w:r>
          </w:p>
          <w:p>
            <w:pPr>
              <w:pStyle w:val="8"/>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标注CMA或CNAS标识的检测报告</w:t>
            </w:r>
            <w:r>
              <w:rPr>
                <w:rFonts w:hint="eastAsia" w:ascii="宋体" w:hAnsi="宋体" w:eastAsia="宋体" w:cs="宋体"/>
                <w:sz w:val="21"/>
                <w:szCs w:val="21"/>
              </w:rPr>
              <w:t>关键信息扫描件</w:t>
            </w:r>
            <w:r>
              <w:rPr>
                <w:rFonts w:hint="eastAsia" w:ascii="宋体" w:hAnsi="宋体" w:eastAsia="宋体" w:cs="宋体"/>
                <w:sz w:val="21"/>
                <w:szCs w:val="21"/>
                <w:lang w:eastAsia="zh-CN"/>
              </w:rPr>
              <w:t>；</w:t>
            </w:r>
          </w:p>
          <w:p>
            <w:pPr>
              <w:pStyle w:val="8"/>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2、体</w:t>
            </w:r>
            <w:r>
              <w:rPr>
                <w:rFonts w:hint="eastAsia" w:ascii="宋体" w:hAnsi="宋体" w:eastAsia="宋体" w:cs="宋体"/>
                <w:color w:val="000000"/>
                <w:sz w:val="21"/>
                <w:szCs w:val="21"/>
              </w:rPr>
              <w:t>现产品检测能力的检验检测机构资质</w:t>
            </w:r>
            <w:r>
              <w:rPr>
                <w:rFonts w:hint="eastAsia" w:ascii="宋体" w:hAnsi="宋体" w:eastAsia="宋体" w:cs="宋体"/>
                <w:sz w:val="21"/>
                <w:szCs w:val="21"/>
              </w:rPr>
              <w:t>认定证书扫描件；</w:t>
            </w:r>
          </w:p>
          <w:p>
            <w:pPr>
              <w:pStyle w:val="8"/>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检测报告在全国认证认可信息公共服务平台网站（http://cx.cnca.cn/CertECloud/qts/qts/qtsPage）查询截图扫描件，</w:t>
            </w:r>
          </w:p>
          <w:p>
            <w:pPr>
              <w:pStyle w:val="8"/>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yellow"/>
              </w:rPr>
              <w:t>检测报告</w:t>
            </w:r>
            <w:r>
              <w:rPr>
                <w:rFonts w:hint="eastAsia" w:ascii="宋体" w:hAnsi="宋体" w:eastAsia="宋体" w:cs="宋体"/>
                <w:color w:val="FF0000"/>
                <w:sz w:val="21"/>
                <w:szCs w:val="21"/>
                <w:highlight w:val="yellow"/>
                <w:lang w:val="en-US" w:eastAsia="zh-CN"/>
              </w:rPr>
              <w:t>需</w:t>
            </w:r>
            <w:r>
              <w:rPr>
                <w:rFonts w:hint="eastAsia" w:ascii="宋体" w:hAnsi="宋体" w:eastAsia="宋体" w:cs="宋体"/>
                <w:color w:val="FF0000"/>
                <w:sz w:val="21"/>
                <w:szCs w:val="21"/>
                <w:highlight w:val="yellow"/>
              </w:rPr>
              <w:t>加盖委托单位公章或提供委托单位的授权使用证明文件。所有提供的证明资料都需加盖投标人公章,原件备查。</w:t>
            </w:r>
            <w:r>
              <w:rPr>
                <w:rFonts w:hint="eastAsia" w:ascii="宋体" w:hAnsi="宋体" w:eastAsia="宋体" w:cs="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设计方案及效果图</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5"/>
              </w:numPr>
              <w:spacing w:line="360" w:lineRule="auto"/>
              <w:rPr>
                <w:rFonts w:hint="eastAsia" w:ascii="宋体" w:hAnsi="宋体" w:eastAsia="宋体" w:cs="宋体"/>
                <w:sz w:val="21"/>
                <w:szCs w:val="21"/>
              </w:rPr>
            </w:pPr>
            <w:r>
              <w:rPr>
                <w:rFonts w:hint="eastAsia" w:ascii="宋体" w:hAnsi="宋体" w:eastAsia="宋体" w:cs="宋体"/>
                <w:sz w:val="21"/>
                <w:szCs w:val="21"/>
              </w:rPr>
              <w:t>考察内容：</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根据平面图及采购人实际需求，投标人</w:t>
            </w:r>
            <w:r>
              <w:rPr>
                <w:rFonts w:hint="eastAsia" w:ascii="宋体" w:hAnsi="宋体" w:eastAsia="宋体" w:cs="宋体"/>
                <w:sz w:val="21"/>
                <w:szCs w:val="21"/>
                <w:lang w:val="en-US" w:eastAsia="zh-CN"/>
              </w:rPr>
              <w:t>需</w:t>
            </w:r>
            <w:r>
              <w:rPr>
                <w:rFonts w:hint="eastAsia" w:ascii="宋体" w:hAnsi="宋体" w:eastAsia="宋体" w:cs="宋体"/>
                <w:sz w:val="21"/>
                <w:szCs w:val="21"/>
              </w:rPr>
              <w:t>提供设计项目方案和效果图。评审小组根据设计方案及效果图评价，分档评分进行打分。要求布局合理，符合当代幼儿园建设趋势，符合园内办学理念。设计方案及效果图能清晰展现户外大型玩具的各个角度情况。设计方案及效果理念符合幼儿园建设规划及审美要求，契合儿童的成长规律，培养方向极具创意，</w:t>
            </w:r>
            <w:r>
              <w:rPr>
                <w:rFonts w:hint="eastAsia" w:ascii="宋体" w:hAnsi="宋体" w:eastAsia="宋体" w:cs="宋体"/>
                <w:sz w:val="21"/>
                <w:szCs w:val="21"/>
                <w:lang w:val="en-US" w:eastAsia="zh-CN"/>
              </w:rPr>
              <w:t>需</w:t>
            </w:r>
            <w:r>
              <w:rPr>
                <w:rFonts w:hint="eastAsia" w:ascii="宋体" w:hAnsi="宋体" w:eastAsia="宋体" w:cs="宋体"/>
                <w:sz w:val="21"/>
                <w:szCs w:val="21"/>
              </w:rPr>
              <w:t>满足安全要求。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（二）评分标准：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1．设计方案及效果图理念符合幼儿园建设规划及审美要求，契合儿童的成长规律，培养方向极具创意，满足安全要求，实施性强的评价为优，得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pPr>
              <w:spacing w:line="360" w:lineRule="auto"/>
              <w:rPr>
                <w:rFonts w:hint="eastAsia" w:ascii="宋体" w:hAnsi="宋体" w:eastAsia="宋体" w:cs="宋体"/>
                <w:sz w:val="21"/>
                <w:szCs w:val="21"/>
              </w:rPr>
            </w:pPr>
            <w:r>
              <w:rPr>
                <w:rFonts w:hint="eastAsia" w:ascii="宋体" w:hAnsi="宋体" w:eastAsia="宋体" w:cs="宋体"/>
                <w:sz w:val="21"/>
                <w:szCs w:val="21"/>
              </w:rPr>
              <w:t>2．设计方案及效果图理念符合幼儿园建设规划及审美要求，契合儿童的成长规律，培养方向极具创意，满足安全要求，实施性一般的评价为良，得7</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pPr>
              <w:spacing w:line="360" w:lineRule="auto"/>
              <w:rPr>
                <w:rFonts w:hint="eastAsia" w:ascii="宋体" w:hAnsi="宋体" w:eastAsia="宋体" w:cs="宋体"/>
                <w:sz w:val="21"/>
                <w:szCs w:val="21"/>
              </w:rPr>
            </w:pPr>
            <w:r>
              <w:rPr>
                <w:rFonts w:hint="eastAsia" w:ascii="宋体" w:hAnsi="宋体" w:eastAsia="宋体" w:cs="宋体"/>
                <w:sz w:val="21"/>
                <w:szCs w:val="21"/>
              </w:rPr>
              <w:t>3．设计方案及效果图理念符合幼儿园建设规划及审美要求，契合儿童的成长规律，培养方向极具创意，满足安全要求，实施性一般的评价为中，得4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pPr>
              <w:spacing w:line="360" w:lineRule="auto"/>
              <w:rPr>
                <w:rFonts w:hint="eastAsia" w:ascii="宋体" w:hAnsi="宋体" w:eastAsia="宋体" w:cs="宋体"/>
                <w:sz w:val="21"/>
                <w:szCs w:val="21"/>
              </w:rPr>
            </w:pPr>
            <w:r>
              <w:rPr>
                <w:rFonts w:hint="eastAsia" w:ascii="宋体" w:hAnsi="宋体" w:eastAsia="宋体" w:cs="宋体"/>
                <w:sz w:val="21"/>
                <w:szCs w:val="21"/>
              </w:rPr>
              <w:t>4．设计方案及效果图理念符合幼儿园建设规划及审美要求，契合儿童的成长规律，培养方向极具创意，满足安全要求，实施性差的评价为差，得0分。</w:t>
            </w:r>
          </w:p>
          <w:p>
            <w:pPr>
              <w:widowControl/>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（三）证明文件：</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1.设计方案包含平面图，荷载简图，配筋简图，抗倾覆和稳定验算，图纸各项数据需与平面图相符，如和平面图不一致，不匹配，或随意拼凑或用其他项目图纸顶替，设计方案及效果图得0分。</w:t>
            </w:r>
          </w:p>
          <w:p>
            <w:pPr>
              <w:widowControl/>
              <w:numPr>
                <w:ilvl w:val="0"/>
                <w:numId w:val="4"/>
              </w:numPr>
              <w:spacing w:line="36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不同区域、不同视角效果图总数量低于20张，设计方案及效果图得0分。</w:t>
            </w:r>
          </w:p>
          <w:p>
            <w:pPr>
              <w:widowControl/>
              <w:numPr>
                <w:ilvl w:val="0"/>
                <w:numId w:val="4"/>
              </w:numPr>
              <w:spacing w:line="360" w:lineRule="auto"/>
              <w:ind w:left="0" w:leftChars="0" w:firstLine="0" w:firstLineChars="0"/>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未按要求提供材料或提供的材料不能证明相关情况的或提供不清晰导致专家无法判断的不得分。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商务</w:t>
            </w:r>
            <w:r>
              <w:rPr>
                <w:rFonts w:hint="eastAsia" w:ascii="宋体" w:hAnsi="宋体" w:eastAsia="宋体" w:cs="宋体"/>
                <w:b/>
                <w:bCs/>
                <w:sz w:val="21"/>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投标人应如实填写《商务条款偏离情况》，评审小组根据响应情况进行打分，全部满足要求的得分，每负偏离一项扣</w:t>
            </w:r>
            <w:r>
              <w:rPr>
                <w:rFonts w:hint="eastAsia" w:ascii="宋体" w:hAnsi="宋体" w:eastAsia="宋体" w:cs="宋体"/>
                <w:sz w:val="21"/>
                <w:szCs w:val="21"/>
                <w:highlight w:val="none"/>
                <w:lang w:val="en-US" w:eastAsia="zh-CN"/>
              </w:rPr>
              <w:t>8.4</w:t>
            </w:r>
            <w:r>
              <w:rPr>
                <w:rFonts w:hint="eastAsia" w:ascii="宋体" w:hAnsi="宋体" w:eastAsia="宋体"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一、评审内容：</w:t>
            </w:r>
          </w:p>
          <w:p>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rPr>
              <w:t>2020年1月1日至本项目投标截止之日</w:t>
            </w:r>
            <w:r>
              <w:rPr>
                <w:rFonts w:hint="eastAsia" w:ascii="宋体" w:hAnsi="宋体" w:eastAsia="宋体" w:cs="宋体"/>
                <w:sz w:val="21"/>
                <w:szCs w:val="21"/>
                <w:highlight w:val="none"/>
              </w:rPr>
              <w:t>（以合同签订时间为准）</w:t>
            </w:r>
            <w:r>
              <w:rPr>
                <w:rFonts w:hint="eastAsia" w:ascii="宋体" w:hAnsi="宋体" w:eastAsia="宋体" w:cs="宋体"/>
                <w:sz w:val="21"/>
                <w:szCs w:val="21"/>
              </w:rPr>
              <w:t>，具有户外</w:t>
            </w:r>
            <w:r>
              <w:rPr>
                <w:rFonts w:hint="eastAsia" w:ascii="宋体" w:hAnsi="宋体" w:eastAsia="宋体" w:cs="宋体"/>
                <w:sz w:val="21"/>
                <w:szCs w:val="21"/>
                <w:lang w:val="en-US" w:eastAsia="zh-CN"/>
              </w:rPr>
              <w:t>大型玩具采</w:t>
            </w:r>
            <w:r>
              <w:rPr>
                <w:rFonts w:hint="eastAsia" w:ascii="宋体" w:hAnsi="宋体" w:eastAsia="宋体" w:cs="宋体"/>
                <w:sz w:val="21"/>
                <w:szCs w:val="21"/>
              </w:rPr>
              <w:t>购及安装项目经验,每提供1个该类经验的得</w:t>
            </w:r>
            <w:r>
              <w:rPr>
                <w:rFonts w:hint="eastAsia" w:ascii="宋体" w:hAnsi="宋体" w:eastAsia="宋体" w:cs="宋体"/>
                <w:sz w:val="21"/>
                <w:szCs w:val="21"/>
                <w:lang w:val="en-US" w:eastAsia="zh-CN"/>
              </w:rPr>
              <w:t>50</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二、评审依据：</w:t>
            </w:r>
          </w:p>
          <w:p>
            <w:pPr>
              <w:autoSpaceDE w:val="0"/>
              <w:autoSpaceDN w:val="0"/>
              <w:adjustRightInd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提供合同关键页(需体现甲乙双方名称、</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内容、合同签订时间和盖章页等关键内容)扫描件</w:t>
            </w:r>
            <w:r>
              <w:rPr>
                <w:rFonts w:hint="eastAsia" w:ascii="宋体" w:hAnsi="宋体" w:eastAsia="宋体" w:cs="宋体"/>
                <w:sz w:val="21"/>
                <w:szCs w:val="21"/>
                <w:highlight w:val="none"/>
                <w:lang w:eastAsia="zh-CN"/>
              </w:rPr>
              <w:t>。（未提供或未按要求提供或提供的不清晰导致专家无法判断的，不得分）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left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履约评价情况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一、评审内容：</w:t>
            </w:r>
          </w:p>
          <w:p>
            <w:pPr>
              <w:autoSpaceDE w:val="0"/>
              <w:autoSpaceDN w:val="0"/>
              <w:adjustRightInd w:val="0"/>
              <w:spacing w:line="360" w:lineRule="auto"/>
              <w:jc w:val="both"/>
              <w:rPr>
                <w:rFonts w:hint="eastAsia" w:ascii="宋体" w:hAnsi="宋体" w:eastAsia="宋体" w:cs="宋体"/>
                <w:sz w:val="21"/>
                <w:szCs w:val="21"/>
              </w:rPr>
            </w:pPr>
            <w:r>
              <w:rPr>
                <w:rFonts w:hint="eastAsia" w:ascii="宋体" w:hAnsi="宋体" w:eastAsia="宋体" w:cs="宋体"/>
                <w:sz w:val="21"/>
                <w:szCs w:val="21"/>
              </w:rPr>
              <w:t>2020 年 1 月 1 日至本项目投标截止之日，具有上述同类项目经验并经用户单位考核评价为优或满意的每提供1项得</w:t>
            </w:r>
            <w:r>
              <w:rPr>
                <w:rFonts w:hint="eastAsia" w:ascii="宋体" w:hAnsi="宋体" w:eastAsia="宋体" w:cs="宋体"/>
                <w:sz w:val="21"/>
                <w:szCs w:val="21"/>
                <w:lang w:val="en-US" w:eastAsia="zh-CN"/>
              </w:rPr>
              <w:t>50</w:t>
            </w:r>
            <w:r>
              <w:rPr>
                <w:rFonts w:hint="eastAsia" w:ascii="宋体" w:hAnsi="宋体" w:eastAsia="宋体" w:cs="宋体"/>
                <w:sz w:val="21"/>
                <w:szCs w:val="21"/>
              </w:rPr>
              <w:t>分，满分</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二、评审依据：</w:t>
            </w:r>
          </w:p>
          <w:p>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lang w:val="en-US" w:eastAsia="zh-CN"/>
              </w:rPr>
              <w:t>需</w:t>
            </w:r>
            <w:r>
              <w:rPr>
                <w:rFonts w:hint="eastAsia" w:ascii="宋体" w:hAnsi="宋体" w:eastAsia="宋体" w:cs="宋体"/>
                <w:sz w:val="21"/>
                <w:szCs w:val="21"/>
              </w:rPr>
              <w:t>提供以上项目合同关键页及盖有用户单位公章的履约评价扫描件，原件备查。不提供或提供的不符合要求或提供不清晰导致专家无法判断的均不得分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bCs/>
                <w:sz w:val="21"/>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rPr>
                <w:rFonts w:hint="eastAsia" w:ascii="宋体" w:hAnsi="宋体" w:eastAsia="宋体" w:cs="宋体"/>
                <w:b/>
                <w:bCs/>
                <w:sz w:val="21"/>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9"/>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投标人存在</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1"/>
                <w:szCs w:val="21"/>
                <w:highlight w:val="none"/>
                <w:lang w:val="en-US" w:eastAsia="zh-CN"/>
              </w:rPr>
              <w:t>有关</w:t>
            </w:r>
            <w:r>
              <w:rPr>
                <w:rFonts w:hint="eastAsia" w:ascii="宋体" w:hAnsi="宋体" w:eastAsia="宋体" w:cs="宋体"/>
                <w:b w:val="0"/>
                <w:bCs w:val="0"/>
                <w:sz w:val="21"/>
                <w:szCs w:val="21"/>
                <w:highlight w:val="none"/>
              </w:rPr>
              <w:t>供应商诚信查询结果。</w:t>
            </w:r>
            <w:r>
              <w:rPr>
                <w:rFonts w:hint="eastAsia" w:ascii="宋体" w:hAnsi="宋体" w:eastAsia="宋体" w:cs="宋体"/>
                <w:b w:val="0"/>
                <w:bCs w:val="0"/>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84"/>
          <w:szCs w:val="84"/>
        </w:rPr>
      </w:pPr>
    </w:p>
    <w:p>
      <w:pPr>
        <w:jc w:val="both"/>
        <w:rPr>
          <w:b/>
          <w:sz w:val="84"/>
          <w:szCs w:val="84"/>
        </w:rPr>
      </w:pPr>
    </w:p>
    <w:p>
      <w:pPr>
        <w:rPr>
          <w:b/>
          <w:sz w:val="84"/>
          <w:szCs w:val="84"/>
        </w:rPr>
      </w:pPr>
      <w:r>
        <w:rPr>
          <w:b/>
          <w:sz w:val="84"/>
          <w:szCs w:val="84"/>
        </w:rPr>
        <w:br w:type="page"/>
      </w:r>
    </w:p>
    <w:p>
      <w:pPr>
        <w:jc w:val="center"/>
        <w:rPr>
          <w:b/>
          <w:sz w:val="84"/>
          <w:szCs w:val="84"/>
        </w:rPr>
      </w:pPr>
    </w:p>
    <w:p>
      <w:pPr>
        <w:jc w:val="center"/>
        <w:rPr>
          <w:b/>
          <w:sz w:val="84"/>
          <w:szCs w:val="84"/>
        </w:rPr>
      </w:pPr>
    </w:p>
    <w:p>
      <w:pPr>
        <w:jc w:val="center"/>
        <w:rPr>
          <w:b/>
          <w:sz w:val="120"/>
          <w:szCs w:val="120"/>
        </w:rPr>
      </w:pPr>
      <w:r>
        <w:rPr>
          <w:rFonts w:hint="eastAsia"/>
          <w:b/>
          <w:sz w:val="120"/>
          <w:szCs w:val="120"/>
          <w:lang w:eastAsia="zh-CN"/>
        </w:rPr>
        <w:t>自行</w:t>
      </w:r>
      <w:r>
        <w:rPr>
          <w:rFonts w:hint="eastAsia"/>
          <w:b/>
          <w:sz w:val="120"/>
          <w:szCs w:val="120"/>
        </w:rPr>
        <w:t>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snapToGrid/>
        <w:spacing w:line="240" w:lineRule="auto"/>
        <w:ind w:firstLine="402" w:firstLineChars="200"/>
        <w:jc w:val="left"/>
        <w:rPr>
          <w:rFonts w:hint="eastAsia" w:ascii="宋体" w:hAnsi="宋体" w:eastAsiaTheme="minorEastAsia" w:cstheme="minorBidi"/>
          <w:color w:val="FF0000"/>
          <w:kern w:val="2"/>
          <w:sz w:val="20"/>
          <w:szCs w:val="20"/>
        </w:rPr>
      </w:pPr>
      <w:r>
        <w:rPr>
          <w:rFonts w:hint="eastAsia" w:ascii="宋体" w:hAnsi="宋体" w:eastAsiaTheme="minorEastAsia" w:cstheme="minorBidi"/>
          <w:b/>
          <w:bCs/>
          <w:color w:val="FF0000"/>
          <w:kern w:val="2"/>
          <w:sz w:val="20"/>
          <w:szCs w:val="20"/>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yellow"/>
          <w:lang w:val="en-US" w:eastAsia="zh-CN"/>
        </w:rPr>
      </w:pPr>
      <w:r>
        <w:rPr>
          <w:rFonts w:hint="eastAsia" w:ascii="宋体" w:hAnsi="宋体" w:cs="宋体"/>
          <w:color w:val="FF0000"/>
          <w:kern w:val="0"/>
          <w:szCs w:val="21"/>
          <w:highlight w:val="yellow"/>
        </w:rPr>
        <w:t>2.本项目</w:t>
      </w:r>
      <w:r>
        <w:rPr>
          <w:rFonts w:hint="eastAsia" w:ascii="宋体" w:hAnsi="宋体" w:cs="宋体"/>
          <w:color w:val="FF0000"/>
          <w:kern w:val="0"/>
          <w:szCs w:val="21"/>
          <w:highlight w:val="yellow"/>
          <w:lang w:eastAsia="zh-CN"/>
        </w:rPr>
        <w:t>不</w:t>
      </w:r>
      <w:r>
        <w:rPr>
          <w:rFonts w:hint="eastAsia" w:ascii="宋体" w:hAnsi="宋体" w:cs="宋体"/>
          <w:color w:val="FF0000"/>
          <w:kern w:val="0"/>
          <w:szCs w:val="21"/>
          <w:highlight w:val="yellow"/>
        </w:rPr>
        <w:t>接受联合体投标</w:t>
      </w:r>
      <w:r>
        <w:rPr>
          <w:rFonts w:hint="eastAsia" w:ascii="宋体" w:hAnsi="宋体" w:cs="宋体"/>
          <w:color w:val="FF0000"/>
          <w:kern w:val="0"/>
          <w:szCs w:val="21"/>
          <w:highlight w:val="yellow"/>
          <w:lang w:val="en-US" w:eastAsia="zh-CN"/>
        </w:rPr>
        <w:t>，</w:t>
      </w:r>
      <w:r>
        <w:rPr>
          <w:rFonts w:hint="eastAsia" w:ascii="宋体" w:hAnsi="宋体" w:cs="宋体"/>
          <w:color w:val="FF0000"/>
          <w:kern w:val="0"/>
          <w:szCs w:val="21"/>
          <w:highlight w:val="yellow"/>
        </w:rPr>
        <w:t>不接受投标人选用进口产品参与投标；</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kern w:val="0"/>
          <w:szCs w:val="21"/>
          <w:highlight w:val="yellow"/>
          <w:lang w:eastAsia="zh-CN"/>
        </w:rPr>
      </w:pPr>
      <w:r>
        <w:rPr>
          <w:rFonts w:hint="eastAsia" w:ascii="宋体" w:hAnsi="宋体" w:cs="宋体"/>
          <w:kern w:val="0"/>
          <w:szCs w:val="21"/>
          <w:highlight w:val="yellow"/>
          <w:lang w:val="en-US" w:eastAsia="zh-CN"/>
        </w:rPr>
        <w:t>8</w:t>
      </w:r>
      <w:r>
        <w:rPr>
          <w:rFonts w:hint="eastAsia" w:ascii="宋体" w:hAnsi="宋体" w:cs="宋体"/>
          <w:kern w:val="0"/>
          <w:szCs w:val="21"/>
          <w:highlight w:val="yellow"/>
        </w:rPr>
        <w:t>.本项目是（否）专门面向中小企业采购：</w:t>
      </w:r>
      <w:r>
        <w:rPr>
          <w:rFonts w:hint="eastAsia" w:ascii="宋体" w:hAnsi="宋体" w:cs="宋体"/>
          <w:kern w:val="0"/>
          <w:szCs w:val="21"/>
          <w:highlight w:val="yellow"/>
          <w:lang w:val="en-US" w:eastAsia="zh-CN"/>
        </w:rPr>
        <w:t>否。</w:t>
      </w:r>
      <w:r>
        <w:rPr>
          <w:rFonts w:hint="eastAsia" w:ascii="宋体" w:hAnsi="宋体" w:cs="宋体"/>
          <w:kern w:val="0"/>
          <w:szCs w:val="21"/>
          <w:highlight w:val="yellow"/>
        </w:rPr>
        <w:t>供应商提供的货物全部由符合政策要求的中小微企业、残疾人福利性</w:t>
      </w:r>
      <w:r>
        <w:rPr>
          <w:rFonts w:hint="eastAsia" w:ascii="宋体" w:hAnsi="宋体" w:cs="宋体"/>
          <w:kern w:val="0"/>
          <w:szCs w:val="21"/>
          <w:highlight w:val="yellow"/>
          <w:lang w:val="en-US" w:eastAsia="zh-CN"/>
        </w:rPr>
        <w:t>单位或</w:t>
      </w:r>
      <w:r>
        <w:rPr>
          <w:rFonts w:hint="eastAsia" w:ascii="宋体" w:hAnsi="宋体" w:cs="宋体"/>
          <w:kern w:val="0"/>
          <w:szCs w:val="21"/>
          <w:highlight w:val="yellow"/>
        </w:rPr>
        <w:t>监狱企业制造（由供应商在《中小企业声明函、残疾人福利性单位声明函及监狱企业声明函》中作出声明</w:t>
      </w:r>
      <w:r>
        <w:rPr>
          <w:rFonts w:hint="eastAsia" w:ascii="宋体" w:hAnsi="宋体" w:cs="宋体"/>
          <w:kern w:val="0"/>
          <w:szCs w:val="21"/>
          <w:highlight w:val="yellow"/>
          <w:lang w:eastAsia="zh-CN"/>
        </w:rPr>
        <w:t>；</w:t>
      </w:r>
      <w:r>
        <w:rPr>
          <w:rFonts w:hint="eastAsia" w:ascii="宋体" w:hAnsi="宋体" w:cs="宋体"/>
          <w:kern w:val="0"/>
          <w:szCs w:val="21"/>
          <w:highlight w:val="yellow"/>
          <w:lang w:val="en-US" w:eastAsia="zh-CN"/>
        </w:rPr>
        <w:t>未提供声明函或声明函不符合“填写指引”的，按资格审查不通过处理</w:t>
      </w:r>
      <w:r>
        <w:rPr>
          <w:rFonts w:hint="eastAsia" w:ascii="宋体" w:hAnsi="宋体" w:cs="宋体"/>
          <w:kern w:val="0"/>
          <w:szCs w:val="21"/>
          <w:highlight w:val="yellow"/>
        </w:rPr>
        <w:t>）</w:t>
      </w:r>
      <w:r>
        <w:rPr>
          <w:rFonts w:hint="eastAsia" w:ascii="宋体" w:hAnsi="宋体" w:cs="宋体"/>
          <w:kern w:val="0"/>
          <w:szCs w:val="21"/>
          <w:highlight w:val="yellow"/>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73518117"/>
      <w:bookmarkStart w:id="4" w:name="_Toc73517639"/>
      <w:bookmarkStart w:id="5" w:name="_Toc100052364"/>
      <w:bookmarkStart w:id="6" w:name="_Toc73521547"/>
      <w:bookmarkStart w:id="7" w:name="_Toc60631620"/>
      <w:bookmarkStart w:id="8" w:name="_Toc73521635"/>
      <w:bookmarkStart w:id="9" w:name="_Toc101074876"/>
      <w:bookmarkStart w:id="10" w:name="_Toc60560625"/>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eastAsia" w:ascii="宋体" w:hAnsi="宋体" w:eastAsiaTheme="minorEastAsia"/>
                <w:lang w:eastAsia="zh-CN"/>
              </w:rPr>
            </w:pPr>
            <w:r>
              <w:rPr>
                <w:rFonts w:hint="eastAsia" w:ascii="宋体" w:hAnsi="宋体"/>
                <w:lang w:eastAsia="zh-CN"/>
              </w:rPr>
              <w:t>深圳市龙华区创新实验学校附属桦润馨居幼儿园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w:t>
            </w:r>
            <w:r>
              <w:rPr>
                <w:rFonts w:hint="eastAsia" w:ascii="Arial" w:hAnsi="Arial" w:eastAsia="宋体" w:cs="Times New Roman"/>
                <w:szCs w:val="24"/>
                <w:lang w:eastAsia="zh-CN"/>
              </w:rPr>
              <w:t>龙华</w:t>
            </w:r>
            <w:r>
              <w:rPr>
                <w:rFonts w:hint="eastAsia" w:ascii="Arial" w:hAnsi="Arial" w:eastAsia="宋体" w:cs="Times New Roman"/>
                <w:szCs w:val="24"/>
              </w:rPr>
              <w:t>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Arial" w:hAnsi="Arial" w:eastAsia="宋体" w:cs="Times New Roman"/>
                <w:szCs w:val="24"/>
                <w:highlight w:val="yellow"/>
                <w:lang w:val="en-US" w:eastAsia="zh-CN"/>
              </w:rPr>
            </w:pPr>
            <w:r>
              <w:rPr>
                <w:rFonts w:hint="eastAsia" w:ascii="Arial" w:hAnsi="Arial" w:eastAsia="宋体" w:cs="Times New Roman"/>
                <w:szCs w:val="24"/>
                <w:highlight w:val="yellow"/>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jc w:val="left"/>
              <w:rPr>
                <w:rFonts w:hint="eastAsia" w:ascii="Arial" w:hAnsi="Arial" w:eastAsia="宋体" w:cs="Times New Roman"/>
                <w:szCs w:val="24"/>
                <w:highlight w:val="yellow"/>
              </w:rPr>
            </w:pPr>
            <w:r>
              <w:rPr>
                <w:rFonts w:hint="eastAsia" w:ascii="Arial" w:hAnsi="Arial" w:eastAsia="宋体" w:cs="Times New Roman"/>
                <w:szCs w:val="24"/>
                <w:highlight w:val="yellow"/>
                <w:lang w:eastAsia="zh-CN"/>
              </w:rPr>
              <w:t>组织，详见踏勘要求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hint="eastAsia" w:ascii="Arial" w:hAnsi="Arial" w:eastAsia="宋体" w:cs="Times New Roman"/>
                <w:szCs w:val="24"/>
                <w:highlight w:val="yellow"/>
              </w:rPr>
            </w:pPr>
            <w:r>
              <w:rPr>
                <w:rFonts w:hint="eastAsia" w:ascii="Arial" w:hAnsi="Arial" w:eastAsia="宋体" w:cs="Times New Roman"/>
                <w:szCs w:val="24"/>
                <w:highlight w:val="yellow"/>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lang w:eastAsia="zh-CN"/>
              </w:rPr>
            </w:pPr>
            <w:r>
              <w:rPr>
                <w:rFonts w:hint="eastAsia" w:ascii="宋体" w:hAnsi="宋体"/>
                <w:lang w:eastAsia="zh-CN"/>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lang w:eastAsia="zh-CN"/>
              </w:rPr>
              <w:t>投标文件大小不得超过</w:t>
            </w:r>
            <w:r>
              <w:rPr>
                <w:rFonts w:hint="eastAsia" w:ascii="宋体" w:hAnsi="宋体"/>
                <w:lang w:val="en-US" w:eastAsia="zh-CN"/>
              </w:rPr>
              <w:t>1</w:t>
            </w:r>
            <w:r>
              <w:rPr>
                <w:rFonts w:hint="eastAsia" w:ascii="宋体" w:hAnsi="宋体"/>
                <w:lang w:eastAsia="zh-CN"/>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ascii="宋体" w:hAnsi="宋体"/>
              </w:rPr>
            </w:pPr>
            <w:r>
              <w:rPr>
                <w:rFonts w:hint="eastAsia" w:ascii="Arial" w:hAnsi="Arial" w:eastAsia="宋体" w:cs="Times New Roman"/>
                <w:szCs w:val="24"/>
                <w:highlight w:val="yellow"/>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eastAsia" w:eastAsia="宋体"/>
                <w:lang w:val="en-US" w:eastAsia="zh-CN"/>
              </w:rPr>
            </w:pPr>
            <w:r>
              <w:rPr>
                <w:rFonts w:hint="eastAsia" w:eastAsia="宋体"/>
                <w:lang w:val="en-US" w:eastAsia="zh-CN"/>
              </w:rPr>
              <w:t>3</w:t>
            </w:r>
          </w:p>
        </w:tc>
        <w:tc>
          <w:tcPr>
            <w:tcW w:w="2450" w:type="dxa"/>
          </w:tcPr>
          <w:p>
            <w:pPr>
              <w:jc w:val="center"/>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keepNext w:val="0"/>
        <w:keepLines w:val="0"/>
        <w:pageBreakBefore w:val="0"/>
        <w:tabs>
          <w:tab w:val="left" w:pos="720"/>
        </w:tabs>
        <w:kinsoku/>
        <w:wordWrap/>
        <w:overflowPunct/>
        <w:topLinePunct w:val="0"/>
        <w:autoSpaceDE/>
        <w:autoSpaceDN/>
        <w:bidi w:val="0"/>
        <w:adjustRightInd/>
        <w:snapToGrid/>
        <w:spacing w:line="240" w:lineRule="atLeast"/>
        <w:textAlignment w:val="auto"/>
        <w:rPr>
          <w:rFonts w:hint="eastAsia" w:ascii="宋体" w:hAnsi="宋体" w:eastAsia="宋体" w:cs="宋体"/>
          <w:bCs/>
          <w:sz w:val="21"/>
          <w:szCs w:val="21"/>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tLeast"/>
        <w:ind w:left="0" w:leftChars="0" w:right="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踏勘现场</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建议投标人到采购人单位进行现场勘察，以明确施工场地情况并准确了解相关工程量等。</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有应标意向的投标人可自行踏勘或联系采购人（联系人：</w:t>
      </w:r>
      <w:r>
        <w:rPr>
          <w:rFonts w:hint="eastAsia" w:ascii="宋体" w:hAnsi="宋体" w:eastAsia="宋体" w:cs="宋体"/>
          <w:sz w:val="21"/>
          <w:szCs w:val="21"/>
          <w:highlight w:val="none"/>
          <w:lang w:val="en-US" w:eastAsia="zh-CN"/>
        </w:rPr>
        <w:t xml:space="preserve">吴老师 </w:t>
      </w:r>
      <w:r>
        <w:rPr>
          <w:rFonts w:hint="eastAsia" w:ascii="宋体" w:hAnsi="宋体" w:eastAsia="宋体" w:cs="宋体"/>
          <w:sz w:val="21"/>
          <w:szCs w:val="21"/>
          <w:highlight w:val="none"/>
        </w:rPr>
        <w:t>电话：15994950453），按采购人规定的集合时间和地点进行踏勘。</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right="0" w:firstLine="0" w:firstLineChars="0"/>
        <w:textAlignment w:val="auto"/>
        <w:rPr>
          <w:rFonts w:hint="default" w:ascii="宋体" w:hAnsi="宋体" w:cs="宋体" w:eastAsiaTheme="minorEastAsia"/>
          <w:sz w:val="21"/>
          <w:szCs w:val="21"/>
          <w:highlight w:val="none"/>
          <w:lang w:val="en-US" w:eastAsia="zh-CN"/>
        </w:rPr>
      </w:pPr>
      <w:r>
        <w:rPr>
          <w:rFonts w:hint="eastAsia" w:ascii="宋体" w:hAnsi="宋体" w:eastAsia="宋体" w:cs="宋体"/>
          <w:sz w:val="21"/>
          <w:szCs w:val="21"/>
          <w:highlight w:val="none"/>
        </w:rPr>
        <w:t>采购人将于</w:t>
      </w:r>
      <w:r>
        <w:rPr>
          <w:rFonts w:hint="eastAsia" w:ascii="宋体" w:hAnsi="宋体" w:eastAsia="宋体" w:cs="宋体"/>
          <w:sz w:val="21"/>
          <w:szCs w:val="21"/>
          <w:highlight w:val="yellow"/>
          <w:lang w:val="en-US" w:eastAsia="zh-CN"/>
        </w:rPr>
        <w:t>2024</w:t>
      </w:r>
      <w:r>
        <w:rPr>
          <w:rFonts w:hint="eastAsia" w:ascii="宋体" w:hAnsi="宋体" w:eastAsia="宋体" w:cs="宋体"/>
          <w:sz w:val="21"/>
          <w:szCs w:val="21"/>
          <w:highlight w:val="yellow"/>
        </w:rPr>
        <w:t>年</w:t>
      </w:r>
      <w:r>
        <w:rPr>
          <w:rFonts w:hint="eastAsia" w:ascii="宋体" w:hAnsi="宋体" w:eastAsia="宋体" w:cs="宋体"/>
          <w:sz w:val="21"/>
          <w:szCs w:val="21"/>
          <w:highlight w:val="yellow"/>
          <w:lang w:val="en-US" w:eastAsia="zh-CN"/>
        </w:rPr>
        <w:t>7</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22</w:t>
      </w:r>
      <w:r>
        <w:rPr>
          <w:rFonts w:hint="eastAsia" w:ascii="宋体" w:hAnsi="宋体" w:eastAsia="宋体" w:cs="宋体"/>
          <w:sz w:val="21"/>
          <w:szCs w:val="21"/>
          <w:highlight w:val="yellow"/>
        </w:rPr>
        <w:t>日</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点</w:t>
      </w:r>
      <w:r>
        <w:rPr>
          <w:rFonts w:hint="eastAsia" w:ascii="宋体" w:hAnsi="宋体" w:eastAsia="宋体" w:cs="宋体"/>
          <w:sz w:val="21"/>
          <w:szCs w:val="21"/>
          <w:highlight w:val="none"/>
          <w:lang w:val="en-US" w:eastAsia="zh-CN"/>
        </w:rPr>
        <w:t>30分</w:t>
      </w:r>
      <w:r>
        <w:rPr>
          <w:rFonts w:hint="eastAsia" w:ascii="宋体" w:hAnsi="宋体" w:eastAsia="宋体" w:cs="宋体"/>
          <w:sz w:val="21"/>
          <w:szCs w:val="21"/>
          <w:highlight w:val="none"/>
        </w:rPr>
        <w:t>组织统一踏勘。</w:t>
      </w:r>
      <w:r>
        <w:rPr>
          <w:rFonts w:hint="eastAsia"/>
          <w:lang w:val="en-US" w:eastAsia="zh-CN"/>
        </w:rPr>
        <w:t>有应标意向的投标人可联系</w:t>
      </w:r>
      <w:r>
        <w:rPr>
          <w:rFonts w:hint="eastAsia" w:ascii="宋体" w:hAnsi="宋体" w:eastAsia="宋体" w:cs="宋体"/>
          <w:sz w:val="21"/>
          <w:szCs w:val="21"/>
          <w:highlight w:val="none"/>
          <w:lang w:val="en-US" w:eastAsia="zh-CN"/>
        </w:rPr>
        <w:t xml:space="preserve">吴老师 </w:t>
      </w:r>
      <w:r>
        <w:rPr>
          <w:rFonts w:hint="eastAsia" w:ascii="宋体" w:hAnsi="宋体" w:eastAsia="宋体" w:cs="宋体"/>
          <w:sz w:val="21"/>
          <w:szCs w:val="21"/>
          <w:highlight w:val="none"/>
        </w:rPr>
        <w:t>电话：15994950453</w:t>
      </w:r>
      <w:r>
        <w:rPr>
          <w:rFonts w:hint="eastAsia"/>
          <w:lang w:val="en-US" w:eastAsia="zh-CN"/>
        </w:rPr>
        <w:t>获取幼儿园平面图和立面图。</w:t>
      </w:r>
    </w:p>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hAnsi="宋体" w:eastAsia="宋体" w:cs="宋体"/>
          <w:b/>
          <w:sz w:val="21"/>
          <w:szCs w:val="21"/>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ascii="Arial" w:hAnsi="Arial" w:eastAsia="宋体" w:cs="Times New Roman"/>
          <w:b/>
          <w:color w:val="0000FF"/>
          <w:szCs w:val="21"/>
        </w:rPr>
      </w:pP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w:t>
      </w:r>
      <w:r>
        <w:rPr>
          <w:rFonts w:hint="eastAsia" w:ascii="宋体" w:hAnsi="宋体"/>
          <w:highlight w:val="none"/>
        </w:rPr>
        <w:t>投标人提供的货物（以招标文件用户需求书“货物</w:t>
      </w:r>
      <w:r>
        <w:rPr>
          <w:rFonts w:hint="eastAsia" w:ascii="宋体" w:hAnsi="宋体"/>
          <w:highlight w:val="none"/>
          <w:lang w:val="en-US" w:eastAsia="zh-CN"/>
        </w:rPr>
        <w:t>需求</w:t>
      </w:r>
      <w:r>
        <w:rPr>
          <w:rFonts w:hint="eastAsia" w:ascii="宋体" w:hAnsi="宋体"/>
          <w:highlight w:val="none"/>
        </w:rPr>
        <w:t>明细”的“货物名称”一栏为准）全部均由优惠主体制造的，对其投标总价给予</w:t>
      </w:r>
      <w:r>
        <w:rPr>
          <w:rFonts w:hint="eastAsia" w:ascii="宋体" w:hAnsi="宋体" w:eastAsia="宋体" w:cs="Times New Roman"/>
          <w:b/>
          <w:sz w:val="24"/>
          <w:szCs w:val="24"/>
          <w:highlight w:val="none"/>
          <w:u w:val="single"/>
          <w:lang w:val="en-US" w:eastAsia="zh-CN"/>
        </w:rPr>
        <w:t>/</w:t>
      </w:r>
      <w:r>
        <w:rPr>
          <w:rFonts w:hint="eastAsia" w:ascii="宋体" w:hAnsi="宋体"/>
          <w:highlight w:val="none"/>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cstheme="minorEastAsia"/>
          <w:b/>
          <w:bCs/>
          <w:color w:val="FF0000"/>
          <w:sz w:val="24"/>
          <w:szCs w:val="24"/>
          <w:highlight w:val="yellow"/>
          <w:u w:val="single"/>
          <w:lang w:val="en-US" w:eastAsia="zh-CN"/>
        </w:rPr>
        <w:t>工</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sz w:val="21"/>
          <w:szCs w:val="21"/>
        </w:rPr>
        <w:t>业。</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龙华</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lang w:eastAsia="zh-CN"/>
              </w:rPr>
              <w:t>项目</w:t>
            </w:r>
            <w:r>
              <w:rPr>
                <w:rFonts w:hint="eastAsia"/>
                <w:b w:val="0"/>
                <w:bCs w:val="0"/>
              </w:rPr>
              <w:t>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lang w:eastAsia="zh-CN"/>
              </w:rPr>
              <w:t>LHAZXCG-2024-00019</w:t>
            </w:r>
          </w:p>
        </w:tc>
        <w:tc>
          <w:tcPr>
            <w:tcW w:w="2906" w:type="dxa"/>
            <w:tcBorders>
              <w:top w:val="single" w:color="000000" w:sz="4" w:space="0"/>
              <w:left w:val="single" w:color="000000" w:sz="4" w:space="0"/>
              <w:right w:val="single" w:color="000000" w:sz="4" w:space="0"/>
            </w:tcBorders>
            <w:vAlign w:val="center"/>
          </w:tcPr>
          <w:p>
            <w:pPr>
              <w:jc w:val="center"/>
              <w:rPr>
                <w:rFonts w:hint="eastAsia" w:eastAsiaTheme="minorEastAsia"/>
                <w:b w:val="0"/>
                <w:bCs w:val="0"/>
                <w:highlight w:val="none"/>
                <w:lang w:eastAsia="zh-CN"/>
              </w:rPr>
            </w:pPr>
            <w:r>
              <w:rPr>
                <w:rFonts w:hint="eastAsia"/>
                <w:b w:val="0"/>
                <w:bCs w:val="0"/>
                <w:highlight w:val="none"/>
                <w:lang w:eastAsia="zh-CN"/>
              </w:rPr>
              <w:t>操场大型玩具</w:t>
            </w:r>
          </w:p>
        </w:tc>
        <w:tc>
          <w:tcPr>
            <w:tcW w:w="2622" w:type="dxa"/>
            <w:vMerge w:val="restart"/>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840,000.00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vMerge w:val="continue"/>
            <w:tcBorders>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840,000.00元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圆形大平台 </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green"/>
              </w:rPr>
            </w:pPr>
            <w:r>
              <w:rPr>
                <w:rFonts w:hint="eastAsia"/>
                <w:b w:val="0"/>
                <w:bCs w:val="0"/>
                <w:lang w:val="en-US" w:eastAsia="zh-CN"/>
              </w:rPr>
              <w:t>货物</w:t>
            </w:r>
            <w:r>
              <w:rPr>
                <w:rFonts w:hint="eastAsia"/>
                <w:b w:val="0"/>
                <w:bCs w:val="0"/>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eastAsiaTheme="minorEastAsia"/>
                <w:b w:val="0"/>
                <w:bCs w:val="0"/>
                <w:highlight w:val="yellow"/>
                <w:lang w:eastAsia="zh-CN"/>
              </w:rPr>
            </w:pPr>
            <w:r>
              <w:rPr>
                <w:rFonts w:hint="eastAsia"/>
                <w:b w:val="0"/>
                <w:bCs w:val="0"/>
                <w:color w:val="FF0000"/>
                <w:highlight w:val="yellow"/>
              </w:rPr>
              <w:t>单价控制金额</w:t>
            </w:r>
            <w:r>
              <w:rPr>
                <w:rFonts w:hint="eastAsia"/>
                <w:b w:val="0"/>
                <w:bCs w:val="0"/>
                <w:color w:val="FF0000"/>
                <w:highlight w:val="yellow"/>
                <w:lang w:eastAsia="zh-CN"/>
              </w:rPr>
              <w:t>（</w:t>
            </w:r>
            <w:r>
              <w:rPr>
                <w:rFonts w:hint="eastAsia"/>
                <w:b w:val="0"/>
                <w:bCs w:val="0"/>
                <w:color w:val="FF0000"/>
                <w:highlight w:val="yellow"/>
                <w:lang w:val="en-US" w:eastAsia="zh-CN"/>
              </w:rPr>
              <w:t>元</w:t>
            </w:r>
            <w:r>
              <w:rPr>
                <w:rFonts w:hint="eastAsia"/>
                <w:b w:val="0"/>
                <w:bCs w:val="0"/>
                <w:color w:val="FF0000"/>
                <w:highlight w:val="yellow"/>
                <w:lang w:eastAsia="zh-CN"/>
              </w:rPr>
              <w:t>）</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备注</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拱门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攀爬钻笼</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36,000.00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耐力防护板</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53.5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垂直落地攀爬钻笼</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5</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连桥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26,300.00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6</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连桥护栏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9.5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7</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轮胎荡桥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7,950.00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8</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圆形大平台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11.04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cs="宋体"/>
                <w:b/>
                <w:bCs/>
                <w:color w:val="FF0000"/>
                <w:kern w:val="0"/>
                <w:sz w:val="20"/>
                <w:szCs w:val="20"/>
                <w:highlight w:val="yellow"/>
              </w:rPr>
            </w:pPr>
            <w:r>
              <w:rPr>
                <w:rFonts w:hint="eastAsia" w:ascii="宋体" w:hAnsi="宋体" w:cs="宋体"/>
                <w:b/>
                <w:bCs/>
                <w:color w:val="FF0000"/>
                <w:kern w:val="0"/>
                <w:sz w:val="20"/>
                <w:szCs w:val="20"/>
                <w:highlight w:val="yellow"/>
              </w:rPr>
              <w:t>核心产品</w:t>
            </w:r>
          </w:p>
          <w:p>
            <w:pPr>
              <w:jc w:val="center"/>
              <w:rPr>
                <w:rFonts w:hint="default" w:ascii="Times New Roman" w:hAnsi="Times New Roman" w:cs="Times New Roman" w:eastAsiaTheme="minorEastAsia"/>
                <w:bCs/>
                <w:szCs w:val="21"/>
                <w:lang w:val="en-US" w:eastAsia="zh-CN"/>
              </w:rPr>
            </w:pPr>
            <w:r>
              <w:rPr>
                <w:rFonts w:hint="eastAsia" w:ascii="宋体" w:hAnsi="宋体" w:cs="宋体"/>
                <w:b/>
                <w:bCs/>
                <w:color w:val="FF0000"/>
                <w:kern w:val="0"/>
                <w:sz w:val="20"/>
                <w:szCs w:val="20"/>
                <w:highlight w:val="yellow"/>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9</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圆形平台护栏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11.8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吊板</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11</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传声筒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4,960.00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12</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圆平台垂直钻笼</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18,000.00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13</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爬网长廊</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38,600.00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14</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爬网长廊护栏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15</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木质条板荡桥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11,800.00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16</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高低组合攀爬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9,800.00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17</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大平台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18</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大平台护栏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27.8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19</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操作游戏墙面</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20</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操作材料</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21</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建构游戏墙面</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22</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建构玩具</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1,250.00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23</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躲藏木屋</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28,500.00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24</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储物柜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2,150.00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25</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上下攀爬网桶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23,500.00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26</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楼梯</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13,600.00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27</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楼梯扶手</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7.8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28</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展示台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6.44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2,800.00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29</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收纳柜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8,659.00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30</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科技探索墙面</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31</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探索玩具</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32</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格栅景观墙</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6,500.00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33</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检修暗门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34</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小连廊</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7,650.00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35</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小连廊护栏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4.1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36</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双层观察屋</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37</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设备间暗门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38</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休息凳</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4,100.00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39</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s型滑桶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7,860.00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40</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直行攀爬网桶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12,000.00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41</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异型双层木屋平台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31,500.00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42</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坡度连桥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32,000.00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43</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坡度连桥护栏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12.2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44</w:t>
            </w: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异型收纳柜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18,600.00 </w:t>
            </w:r>
          </w:p>
        </w:tc>
        <w:tc>
          <w:tcPr>
            <w:tcW w:w="141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拒绝进口</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b w:val="0"/>
                <w:bCs w:val="0"/>
                <w:highlight w:val="none"/>
                <w:lang w:val="en-US" w:eastAsia="zh-CN"/>
              </w:rPr>
            </w:pPr>
            <w:r>
              <w:rPr>
                <w:rFonts w:hint="eastAsia"/>
                <w:bCs/>
                <w:szCs w:val="21"/>
                <w:lang w:eastAsia="zh-CN"/>
              </w:rPr>
              <w:t>合计</w:t>
            </w:r>
          </w:p>
        </w:tc>
        <w:tc>
          <w:tcPr>
            <w:tcW w:w="7866"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hint="default"/>
                <w:b w:val="0"/>
                <w:bCs w:val="0"/>
                <w:lang w:val="en-US"/>
              </w:rPr>
            </w:pPr>
            <w:r>
              <w:rPr>
                <w:rFonts w:hint="eastAsia" w:asciiTheme="minorEastAsia" w:hAnsiTheme="minorEastAsia"/>
                <w:b w:val="0"/>
                <w:bCs w:val="0"/>
                <w:sz w:val="24"/>
                <w:szCs w:val="24"/>
                <w:highlight w:val="none"/>
                <w:lang w:val="en-US" w:eastAsia="zh-CN"/>
              </w:rPr>
              <w:t>840,000.00元</w:t>
            </w: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pStyle w:val="3"/>
        <w:jc w:val="center"/>
      </w:pPr>
      <w:bookmarkStart w:id="14"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numPr>
          <w:ilvl w:val="0"/>
          <w:numId w:val="6"/>
        </w:numPr>
        <w:ind w:firstLine="422" w:firstLineChars="200"/>
        <w:rPr>
          <w:rFonts w:hint="eastAsia"/>
          <w:b/>
          <w:szCs w:val="21"/>
        </w:rPr>
      </w:pPr>
      <w:r>
        <w:rPr>
          <w:rFonts w:hint="eastAsia"/>
          <w:b/>
          <w:szCs w:val="21"/>
        </w:rPr>
        <w:t>带★号条款为不可偏离条款，不作为评分准则中的评分内容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”指标项为重要参数，负偏离时依相关评分准则内容作重点扣分处理。</w:t>
      </w:r>
    </w:p>
    <w:tbl>
      <w:tblPr>
        <w:tblStyle w:val="16"/>
        <w:tblW w:w="84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目录</w:t>
            </w:r>
          </w:p>
        </w:tc>
        <w:tc>
          <w:tcPr>
            <w:tcW w:w="5594"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采购商务需求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免费保修期</w:t>
            </w:r>
          </w:p>
        </w:tc>
        <w:tc>
          <w:tcPr>
            <w:tcW w:w="5594"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color w:val="FF0000"/>
                <w:sz w:val="21"/>
                <w:szCs w:val="21"/>
                <w:highlight w:val="yellow"/>
              </w:rPr>
              <w:t>★</w:t>
            </w:r>
            <w:r>
              <w:rPr>
                <w:rFonts w:hint="eastAsia" w:ascii="宋体" w:hAnsi="宋体" w:eastAsia="宋体" w:cs="宋体"/>
                <w:bCs/>
                <w:color w:val="FF0000"/>
                <w:sz w:val="21"/>
                <w:szCs w:val="21"/>
                <w:highlight w:val="yellow"/>
              </w:rPr>
              <w:t>货物免费保修期至少___3__年，时间自最终验收合格并交付使用之日起计算。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维修响应及故障解决时间</w:t>
            </w:r>
          </w:p>
        </w:tc>
        <w:tc>
          <w:tcPr>
            <w:tcW w:w="5594"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投标人承诺中标后，在保修期内，一旦发生质量问题，投标人保证在接到通知24小时内赶到现场进行修理或更换。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620" w:type="dxa"/>
            <w:noWrap w:val="0"/>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其他</w:t>
            </w:r>
          </w:p>
        </w:tc>
        <w:tc>
          <w:tcPr>
            <w:tcW w:w="5594" w:type="dxa"/>
            <w:noWrap w:val="0"/>
            <w:vAlign w:val="center"/>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投标人中标后，应按其投标文件中的承诺，进行其他售后服务工作。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4" w:type="dxa"/>
            <w:gridSpan w:val="3"/>
            <w:noWrap w:val="0"/>
            <w:vAlign w:val="top"/>
          </w:tcPr>
          <w:p>
            <w:pPr>
              <w:spacing w:line="360" w:lineRule="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二</w:t>
            </w:r>
            <w:r>
              <w:rPr>
                <w:rFonts w:hint="eastAsia" w:ascii="宋体" w:hAnsi="宋体" w:eastAsia="宋体" w:cs="宋体"/>
                <w:b/>
                <w:sz w:val="21"/>
                <w:szCs w:val="21"/>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关于交货</w:t>
            </w:r>
          </w:p>
        </w:tc>
        <w:tc>
          <w:tcPr>
            <w:tcW w:w="5594"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color w:val="FF0000"/>
                <w:sz w:val="21"/>
                <w:szCs w:val="21"/>
                <w:highlight w:val="yellow"/>
              </w:rPr>
              <w:t>1.1</w:t>
            </w:r>
            <w:r>
              <w:rPr>
                <w:rFonts w:hint="eastAsia" w:ascii="宋体" w:hAnsi="宋体" w:eastAsia="宋体" w:cs="宋体"/>
                <w:color w:val="FF0000"/>
                <w:sz w:val="21"/>
                <w:szCs w:val="21"/>
                <w:highlight w:val="yellow"/>
              </w:rPr>
              <w:t>★</w:t>
            </w:r>
            <w:r>
              <w:rPr>
                <w:rFonts w:hint="eastAsia" w:ascii="宋体" w:hAnsi="宋体" w:eastAsia="宋体" w:cs="宋体"/>
                <w:bCs/>
                <w:color w:val="FF0000"/>
                <w:sz w:val="21"/>
                <w:szCs w:val="21"/>
                <w:highlight w:val="yellow"/>
              </w:rPr>
              <w:t>签订合同后_____30___天（日历日）内。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pPr>
              <w:spacing w:line="360" w:lineRule="auto"/>
              <w:jc w:val="center"/>
              <w:rPr>
                <w:rFonts w:hint="eastAsia" w:ascii="宋体" w:hAnsi="宋体" w:eastAsia="宋体" w:cs="宋体"/>
                <w:b/>
                <w:sz w:val="21"/>
                <w:szCs w:val="21"/>
              </w:rPr>
            </w:pPr>
          </w:p>
        </w:tc>
        <w:tc>
          <w:tcPr>
            <w:tcW w:w="1620" w:type="dxa"/>
            <w:vMerge w:val="continue"/>
            <w:noWrap w:val="0"/>
            <w:vAlign w:val="center"/>
          </w:tcPr>
          <w:p>
            <w:pPr>
              <w:spacing w:line="360" w:lineRule="auto"/>
              <w:jc w:val="center"/>
              <w:rPr>
                <w:rFonts w:hint="eastAsia" w:ascii="宋体" w:hAnsi="宋体" w:eastAsia="宋体" w:cs="宋体"/>
                <w:sz w:val="21"/>
                <w:szCs w:val="21"/>
              </w:rPr>
            </w:pP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1.2投标人中标后，必须承担设备运输、安装调试、验收检测和提供设备操作说明书、图纸等其他类似的义务。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关于验收</w:t>
            </w: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2.1投标人中标后，其货物经过双方检验认可后，签署验收报告，产品保修期自验收合格之日起算，由投标人提供产品保修文件。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
                <w:sz w:val="21"/>
                <w:szCs w:val="21"/>
              </w:rPr>
            </w:pPr>
          </w:p>
        </w:tc>
        <w:tc>
          <w:tcPr>
            <w:tcW w:w="1620" w:type="dxa"/>
            <w:vMerge w:val="continue"/>
            <w:noWrap w:val="0"/>
            <w:vAlign w:val="top"/>
          </w:tcPr>
          <w:p>
            <w:pPr>
              <w:spacing w:line="360" w:lineRule="auto"/>
              <w:rPr>
                <w:rFonts w:hint="eastAsia" w:ascii="宋体" w:hAnsi="宋体" w:eastAsia="宋体" w:cs="宋体"/>
                <w:b/>
                <w:sz w:val="21"/>
                <w:szCs w:val="21"/>
              </w:rPr>
            </w:pP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2.2投标人中标后，当满足以下条件时，采购人才向投标人签发货物验收报告：</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a、投标人已按照合同规定提供了全部产品及完整的技术资料。</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b、货物符合采购文件技术规格书的要求，性能满足要求。</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620" w:type="dxa"/>
            <w:vMerge w:val="restart"/>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违约责任</w:t>
            </w: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sz w:val="21"/>
                <w:szCs w:val="21"/>
              </w:rPr>
              <w:t>3.1如</w:t>
            </w:r>
            <w:r>
              <w:rPr>
                <w:rFonts w:hint="eastAsia" w:ascii="宋体" w:hAnsi="宋体" w:eastAsia="宋体" w:cs="宋体"/>
                <w:bCs/>
                <w:sz w:val="21"/>
                <w:szCs w:val="21"/>
              </w:rPr>
              <w:t>投标人中标后</w:t>
            </w:r>
            <w:r>
              <w:rPr>
                <w:rFonts w:hint="eastAsia" w:ascii="宋体" w:hAnsi="宋体" w:eastAsia="宋体" w:cs="宋体"/>
                <w:sz w:val="21"/>
                <w:szCs w:val="21"/>
              </w:rPr>
              <w:t>未按照投标文件中承诺的时间交货或提供服务，</w:t>
            </w:r>
            <w:r>
              <w:rPr>
                <w:rFonts w:hint="eastAsia" w:ascii="宋体" w:hAnsi="宋体" w:eastAsia="宋体" w:cs="宋体"/>
                <w:bCs/>
                <w:sz w:val="21"/>
                <w:szCs w:val="21"/>
              </w:rPr>
              <w:t>投标人</w:t>
            </w:r>
            <w:r>
              <w:rPr>
                <w:rFonts w:hint="eastAsia" w:ascii="宋体" w:hAnsi="宋体" w:eastAsia="宋体" w:cs="宋体"/>
                <w:sz w:val="21"/>
                <w:szCs w:val="21"/>
              </w:rPr>
              <w:t>应承担延期交货和延期服务的违约责任，并赔偿采购人因此造成的实际经济损失，采购人有权终止合同。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center"/>
          </w:tcPr>
          <w:p>
            <w:pPr>
              <w:spacing w:line="360" w:lineRule="auto"/>
              <w:jc w:val="center"/>
              <w:rPr>
                <w:rFonts w:hint="eastAsia" w:ascii="宋体" w:hAnsi="宋体" w:eastAsia="宋体" w:cs="宋体"/>
                <w:bCs/>
                <w:sz w:val="21"/>
                <w:szCs w:val="21"/>
              </w:rPr>
            </w:pP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3.2投标人中标后所交设备的品种、型号、规格、质量、功能、技术参数等方面不能实质性满足采购文件要求的，采购人有权拒绝收货，投标人向采购人偿付项目采购金额</w:t>
            </w:r>
            <w:r>
              <w:rPr>
                <w:rFonts w:hint="eastAsia" w:ascii="宋体" w:hAnsi="宋体" w:eastAsia="宋体" w:cs="宋体"/>
                <w:bCs/>
                <w:sz w:val="21"/>
                <w:szCs w:val="21"/>
                <w:highlight w:val="yellow"/>
              </w:rPr>
              <w:t xml:space="preserve">【20】% </w:t>
            </w:r>
            <w:r>
              <w:rPr>
                <w:rFonts w:hint="eastAsia" w:ascii="宋体" w:hAnsi="宋体" w:eastAsia="宋体" w:cs="宋体"/>
                <w:bCs/>
                <w:sz w:val="21"/>
                <w:szCs w:val="21"/>
              </w:rPr>
              <w:t xml:space="preserve">的违约金并采取更换、补足等补救措施，致使逾期交付的，还应承担逾期交付的违约责任。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center"/>
          </w:tcPr>
          <w:p>
            <w:pPr>
              <w:spacing w:line="360" w:lineRule="auto"/>
              <w:jc w:val="center"/>
              <w:rPr>
                <w:rFonts w:hint="eastAsia" w:ascii="宋体" w:hAnsi="宋体" w:eastAsia="宋体" w:cs="宋体"/>
                <w:bCs/>
                <w:sz w:val="21"/>
                <w:szCs w:val="21"/>
              </w:rPr>
            </w:pP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3.3投标人中标后不能交付设备的，投标人向采购人偿付项目采购金额</w:t>
            </w:r>
            <w:r>
              <w:rPr>
                <w:rFonts w:hint="eastAsia" w:ascii="宋体" w:hAnsi="宋体" w:eastAsia="宋体" w:cs="宋体"/>
                <w:bCs/>
                <w:sz w:val="21"/>
                <w:szCs w:val="21"/>
                <w:highlight w:val="yellow"/>
              </w:rPr>
              <w:t>【20】%</w:t>
            </w:r>
            <w:r>
              <w:rPr>
                <w:rFonts w:hint="eastAsia" w:ascii="宋体" w:hAnsi="宋体" w:eastAsia="宋体" w:cs="宋体"/>
                <w:bCs/>
                <w:sz w:val="21"/>
                <w:szCs w:val="21"/>
              </w:rPr>
              <w:t>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3.4投标人中标后逾期交付货物的，每逾期1天，投标人向采购人偿付项目采购金额的</w:t>
            </w:r>
            <w:r>
              <w:rPr>
                <w:rFonts w:hint="eastAsia" w:ascii="宋体" w:hAnsi="宋体" w:eastAsia="宋体" w:cs="宋体"/>
                <w:bCs/>
                <w:sz w:val="21"/>
                <w:szCs w:val="21"/>
                <w:highlight w:val="yellow"/>
              </w:rPr>
              <w:t>【5】‰</w:t>
            </w:r>
            <w:r>
              <w:rPr>
                <w:rFonts w:hint="eastAsia" w:ascii="宋体" w:hAnsi="宋体" w:eastAsia="宋体" w:cs="宋体"/>
                <w:bCs/>
                <w:sz w:val="21"/>
                <w:szCs w:val="21"/>
              </w:rPr>
              <w:t>的违约金。如投标人逾期交货达</w:t>
            </w:r>
            <w:r>
              <w:rPr>
                <w:rFonts w:hint="eastAsia" w:ascii="宋体" w:hAnsi="宋体" w:eastAsia="宋体" w:cs="宋体"/>
                <w:bCs/>
                <w:sz w:val="21"/>
                <w:szCs w:val="21"/>
                <w:highlight w:val="yellow"/>
                <w:u w:val="single"/>
              </w:rPr>
              <w:t xml:space="preserve">  10  </w:t>
            </w:r>
            <w:r>
              <w:rPr>
                <w:rFonts w:hint="eastAsia" w:ascii="宋体" w:hAnsi="宋体" w:eastAsia="宋体" w:cs="宋体"/>
                <w:bCs/>
                <w:sz w:val="21"/>
                <w:szCs w:val="21"/>
              </w:rPr>
              <w:t>天，采购人有权解除合同。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5594"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5594"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620"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其他</w:t>
            </w:r>
          </w:p>
        </w:tc>
        <w:tc>
          <w:tcPr>
            <w:tcW w:w="5594"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投标人中标后应按其投标文件中的承诺，进行其他售后服务工作。</w:t>
            </w:r>
          </w:p>
        </w:tc>
      </w:tr>
    </w:tbl>
    <w:p>
      <w:pPr>
        <w:numPr>
          <w:ilvl w:val="0"/>
          <w:numId w:val="0"/>
        </w:numPr>
        <w:rPr>
          <w:rFonts w:hint="eastAsia"/>
          <w:b/>
          <w:szCs w:val="21"/>
        </w:rPr>
      </w:pPr>
    </w:p>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eastAsia" w:ascii="黑体" w:eastAsia="黑体"/>
          <w:b w:val="0"/>
          <w:sz w:val="24"/>
          <w:szCs w:val="24"/>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104" w:type="dxa"/>
        <w:tblInd w:w="103" w:type="dxa"/>
        <w:tblLayout w:type="fixed"/>
        <w:tblCellMar>
          <w:top w:w="0" w:type="dxa"/>
          <w:left w:w="108" w:type="dxa"/>
          <w:bottom w:w="0" w:type="dxa"/>
          <w:right w:w="108" w:type="dxa"/>
        </w:tblCellMar>
      </w:tblPr>
      <w:tblGrid>
        <w:gridCol w:w="638"/>
        <w:gridCol w:w="883"/>
        <w:gridCol w:w="6583"/>
      </w:tblGrid>
      <w:tr>
        <w:tblPrEx>
          <w:tblCellMar>
            <w:top w:w="0" w:type="dxa"/>
            <w:left w:w="108" w:type="dxa"/>
            <w:bottom w:w="0" w:type="dxa"/>
            <w:right w:w="108" w:type="dxa"/>
          </w:tblCellMar>
        </w:tblPrEx>
        <w:trPr>
          <w:trHeight w:val="540"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8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658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招标技术要求</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拱门</w:t>
            </w:r>
          </w:p>
        </w:tc>
        <w:tc>
          <w:tcPr>
            <w:tcW w:w="65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1.规格：宽1240mm，高1560mm，深度360mm（尺寸偏差在±5%以内）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left"/>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left"/>
            </w:pPr>
          </w:p>
        </w:tc>
        <w:tc>
          <w:tcPr>
            <w:tcW w:w="65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2.钢结构框架：Ø48mm厚2.0mm 镀锌钢管，（尺寸偏差在±5%以内）制件均经除锈、磷化等金属表面处理后喷塑，长期使用不锈蚀；工艺要求：表面粉末喷涂材料 采用低金属含量材质，烤漆工艺，通过重金属含量标准；防止褪色:粉末喷涂材料添加抗紫外线稳定剂,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65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五金紧固件：采用半圆头内六角安全螺丝（M8-M12）、T型平头内六角螺丝（M8-M10）、圆球头盖帽螺丝帽（M8-M12）规格不等；表面处理：机械抛光亮光。螺丝要求一般工具无法松动，可预防任意调整功能满足本项目所有设备零件安装固定需要.螺丝：螺丝为304不锈钢材质， 无锐边锐角等，无安全隐患。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65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4.配安全门及配套锁具；</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攀爬钻笼</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1.规格：长3860*宽1300*高1700mm（尺寸偏差在±5%以内）</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2.钢结构框架：Ø48mm厚2.0mm 镀锌钢管，（尺寸偏差在±5%以内）制件均经除锈、磷化等金属表面处理喷塑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工艺要求：表面粉末喷涂材料 采用低金属含量材质，烤漆工艺，通过重金属含量标准；防止褪色</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3.采用直径16mm航海船用高强度缆绳，中芯6股钢丝绳外套胶管，外层再覆以变色锦纶编织绳。网绳之间的宽间距150mm；覆盖加密网间距40mm。（尺寸偏差在±5%以内）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5.内扶手采用Ø32mm的镀锌钢管（壁厚≥2.0m）表面经除锈、抛光后经静电喷塑进行喷涂处理。喷涂后经电脑烤房高温固化。  6.五金紧固件：采用半圆头内六角安全螺丝（M8-M12）、T型平头内六角螺丝（M8-M10）、圆球头盖帽螺丝帽（M8-M12）规格不等；表面处理：机械抛光亮光。螺丝要求一般工具无法松动，可预防任意调整功能满足本项目所有设备零件安装固定需要。（尺寸偏差在±5%以内）</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防护板</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1.规格：长35700*高1500mm（尺寸偏差在±5%以内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采用厚度≥5mm，冲击力最大可达到3kg/cm3的PC耐力板，倒R角，圆滑修边处理。冲击强度是普通玻璃的250-300倍，是亚克力板材的20-30倍，是钢化玻璃的2倍，几乎没有断裂的危险性。在－40℃至130℃范围保持各项物理指标的稳定性。（尺寸偏差在±5%以内）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3.螺丝：螺丝为304不锈钢材质， 产品整体牢固，表面光洁，无锐边锐角等，无安全隐患。</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垂直落地攀爬钻笼</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1.规格：直径800mm，高度2100mm（尺寸偏差在±5%以内）</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2.钢结构框架：Ø38mm厚2.0mm 镀锌钢管，制件均经除锈、磷化等金属表面处理后喷塑，长期使用不锈蚀；工艺要求：表面粉末喷涂材料 采用低金属含量材质，烤漆工艺，粉末喷涂材料添加抗紫外线稳定剂,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3.采用直径16mm航海船用高强度缆绳，中芯6股钢丝绳外套胶管，网绳之间的宽间距150mm；  </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连桥</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1.规格：尺寸：4700*1720*1500mm，（尺寸偏差在±5%以内）中间跨度带两根支撑柱。</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2.钢结构框架：外框架采用截面70*40mm， 壁厚2.0mm的镀锌管；里框架采用截面 40*40mm，壁厚2.0mm的镀锌管，满焊整体打磨。（尺寸偏差在±5%以内） </w:t>
            </w:r>
          </w:p>
        </w:tc>
      </w:tr>
      <w:tr>
        <w:tblPrEx>
          <w:tblCellMar>
            <w:top w:w="0" w:type="dxa"/>
            <w:left w:w="108" w:type="dxa"/>
            <w:bottom w:w="0" w:type="dxa"/>
            <w:right w:w="108" w:type="dxa"/>
          </w:tblCellMar>
        </w:tblPrEx>
        <w:trPr>
          <w:trHeight w:val="181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3.平台面板：材质梨花木，截面厚度≥28mm，无刺激性气味，成品表面以及儿童手指可触及处无毛刺及尖锐的棱角；</w:t>
            </w: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64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连桥护栏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1.规格：尺寸：9400*1720*1500mm   （尺寸偏差在±5%以内）                                            </w:t>
            </w:r>
          </w:p>
        </w:tc>
      </w:tr>
      <w:tr>
        <w:tblPrEx>
          <w:tblCellMar>
            <w:top w:w="0" w:type="dxa"/>
            <w:left w:w="108" w:type="dxa"/>
            <w:bottom w:w="0" w:type="dxa"/>
            <w:right w:w="108" w:type="dxa"/>
          </w:tblCellMar>
        </w:tblPrEx>
        <w:trPr>
          <w:trHeight w:val="119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r>
      <w:tr>
        <w:tblPrEx>
          <w:tblCellMar>
            <w:top w:w="0" w:type="dxa"/>
            <w:left w:w="108" w:type="dxa"/>
            <w:bottom w:w="0" w:type="dxa"/>
            <w:right w:w="108" w:type="dxa"/>
          </w:tblCellMar>
        </w:tblPrEx>
        <w:trPr>
          <w:trHeight w:val="24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17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轮胎荡桥</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1.规格：尺寸：直径600mm，宽度300mm，绳长1600mm （尺寸偏差在±5%以内）中间跨度带两根支撑柱。</w:t>
            </w:r>
          </w:p>
        </w:tc>
      </w:tr>
      <w:tr>
        <w:tblPrEx>
          <w:tblCellMar>
            <w:top w:w="0" w:type="dxa"/>
            <w:left w:w="108" w:type="dxa"/>
            <w:bottom w:w="0" w:type="dxa"/>
            <w:right w:w="108" w:type="dxa"/>
          </w:tblCellMar>
        </w:tblPrEx>
        <w:trPr>
          <w:trHeight w:val="6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2.材质：轮胎+缆绳</w:t>
            </w:r>
          </w:p>
        </w:tc>
      </w:tr>
      <w:tr>
        <w:tblPrEx>
          <w:tblCellMar>
            <w:top w:w="0" w:type="dxa"/>
            <w:left w:w="108" w:type="dxa"/>
            <w:bottom w:w="0" w:type="dxa"/>
            <w:right w:w="108" w:type="dxa"/>
          </w:tblCellMar>
        </w:tblPrEx>
        <w:trPr>
          <w:trHeight w:val="24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 （尺寸偏差在±5%以内） .</w:t>
            </w:r>
          </w:p>
        </w:tc>
      </w:tr>
      <w:tr>
        <w:tblPrEx>
          <w:tblCellMar>
            <w:top w:w="0" w:type="dxa"/>
            <w:left w:w="108" w:type="dxa"/>
            <w:bottom w:w="0" w:type="dxa"/>
            <w:right w:w="108" w:type="dxa"/>
          </w:tblCellMar>
        </w:tblPrEx>
        <w:trPr>
          <w:trHeight w:val="100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圆形大平台</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1.规格：直径3750mm；高度2100mm；（尺寸偏差在±5%以内）                                                                                                            </w:t>
            </w:r>
            <w:r>
              <w:rPr>
                <w:rFonts w:hint="eastAsia" w:ascii="宋体" w:hAnsi="宋体" w:eastAsia="宋体" w:cs="宋体"/>
                <w:color w:val="FF0000"/>
                <w:sz w:val="21"/>
                <w:szCs w:val="21"/>
                <w:highlight w:val="yellow"/>
                <w:lang w:val="en-US" w:eastAsia="zh-CN"/>
              </w:rPr>
              <w:t xml:space="preserve">               </w:t>
            </w:r>
            <w:r>
              <w:rPr>
                <w:rFonts w:hint="eastAsia" w:ascii="宋体" w:hAnsi="宋体" w:eastAsia="宋体" w:cs="宋体"/>
                <w:sz w:val="21"/>
                <w:szCs w:val="21"/>
                <w:lang w:val="en-US" w:eastAsia="zh-CN"/>
              </w:rPr>
              <w:t xml:space="preserve">                    </w:t>
            </w: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2.主体立柱：采用Φ140mm，壁厚</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.0mm热浸锌管，表面经除锈、抛光后经静电喷塑进行喷涂处理。工艺要求：表面粉末喷涂材料 采用低金属含量材质，烤漆工艺；满焊整体打磨。 （尺寸偏差在±5%以内）         </w:t>
            </w:r>
          </w:p>
        </w:tc>
      </w:tr>
      <w:tr>
        <w:tblPrEx>
          <w:tblCellMar>
            <w:top w:w="0" w:type="dxa"/>
            <w:left w:w="108" w:type="dxa"/>
            <w:bottom w:w="0" w:type="dxa"/>
            <w:right w:w="108" w:type="dxa"/>
          </w:tblCellMar>
        </w:tblPrEx>
        <w:trPr>
          <w:trHeight w:val="198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3.钢结构框架：镀锌管截面100*60mm， 壁厚</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.0mm；镀锌方管截面 40*40mm，壁厚2.0mm，满焊整体打磨。 （尺寸偏差在±5%以内）              </w:t>
            </w:r>
          </w:p>
        </w:tc>
      </w:tr>
      <w:tr>
        <w:tblPrEx>
          <w:tblCellMar>
            <w:top w:w="0" w:type="dxa"/>
            <w:left w:w="108" w:type="dxa"/>
            <w:bottom w:w="0" w:type="dxa"/>
            <w:right w:w="108" w:type="dxa"/>
          </w:tblCellMar>
        </w:tblPrEx>
        <w:trPr>
          <w:trHeight w:val="128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numPr>
                <w:ilvl w:val="0"/>
                <w:numId w:val="4"/>
              </w:numPr>
              <w:spacing w:line="36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平台面板：材质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xml:space="preserve">mm，产品无刺激性气味，成品表面以及儿童手指可触及处无毛刺及尖锐的棱角；   （尺寸偏差在±5%以内）                                          </w:t>
            </w:r>
          </w:p>
          <w:p>
            <w:pPr>
              <w:widowControl/>
              <w:numPr>
                <w:ilvl w:val="0"/>
                <w:numId w:val="0"/>
              </w:numPr>
              <w:spacing w:line="36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color w:val="FF0000"/>
                <w:kern w:val="0"/>
                <w:sz w:val="21"/>
                <w:szCs w:val="21"/>
                <w:highlight w:val="yellow"/>
              </w:rPr>
              <w:t>▲提供</w:t>
            </w:r>
            <w:r>
              <w:rPr>
                <w:rFonts w:hint="eastAsia" w:ascii="宋体" w:hAnsi="宋体" w:eastAsia="宋体" w:cs="宋体"/>
                <w:color w:val="FF0000"/>
                <w:kern w:val="0"/>
                <w:sz w:val="21"/>
                <w:szCs w:val="21"/>
                <w:highlight w:val="yellow"/>
                <w:lang w:val="en-US" w:eastAsia="zh-CN"/>
              </w:rPr>
              <w:t>的</w:t>
            </w:r>
            <w:r>
              <w:rPr>
                <w:rFonts w:hint="eastAsia" w:ascii="宋体" w:hAnsi="宋体" w:eastAsia="宋体" w:cs="宋体"/>
                <w:color w:val="FF0000"/>
                <w:kern w:val="0"/>
                <w:sz w:val="21"/>
                <w:szCs w:val="21"/>
                <w:highlight w:val="yellow"/>
              </w:rPr>
              <w:t>梨花木符合GB 6675.</w:t>
            </w:r>
            <w:r>
              <w:rPr>
                <w:rFonts w:hint="eastAsia" w:ascii="宋体" w:hAnsi="宋体" w:eastAsia="宋体" w:cs="宋体"/>
                <w:color w:val="FF0000"/>
                <w:kern w:val="0"/>
                <w:sz w:val="21"/>
                <w:szCs w:val="21"/>
                <w:highlight w:val="yellow"/>
                <w:lang w:val="en-US" w:eastAsia="zh-CN"/>
              </w:rPr>
              <w:t>1</w:t>
            </w:r>
            <w:r>
              <w:rPr>
                <w:rFonts w:hint="eastAsia" w:ascii="宋体" w:hAnsi="宋体" w:eastAsia="宋体" w:cs="宋体"/>
                <w:color w:val="FF0000"/>
                <w:kern w:val="0"/>
                <w:sz w:val="21"/>
                <w:szCs w:val="21"/>
                <w:highlight w:val="yellow"/>
              </w:rPr>
              <w:t>-2014《玩具安全 第1部分：基本规范》的</w:t>
            </w:r>
            <w:r>
              <w:rPr>
                <w:rFonts w:hint="eastAsia" w:ascii="宋体" w:hAnsi="宋体" w:eastAsia="宋体" w:cs="宋体"/>
                <w:color w:val="FF0000"/>
                <w:kern w:val="0"/>
                <w:sz w:val="21"/>
                <w:szCs w:val="21"/>
                <w:highlight w:val="yellow"/>
                <w:lang w:val="en-US" w:eastAsia="zh-CN"/>
              </w:rPr>
              <w:t>要求</w:t>
            </w:r>
            <w:r>
              <w:rPr>
                <w:rFonts w:hint="eastAsia" w:ascii="宋体" w:hAnsi="宋体" w:eastAsia="宋体" w:cs="宋体"/>
                <w:color w:val="FF0000"/>
                <w:kern w:val="0"/>
                <w:sz w:val="21"/>
                <w:szCs w:val="21"/>
                <w:highlight w:val="yellow"/>
              </w:rPr>
              <w:t>；可迁移元素锑、砷、钡、镉、铬、汞、和硒的最大限量要求符合GB 6675-2014的要求；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sz w:val="21"/>
                <w:szCs w:val="21"/>
                <w:highlight w:val="yellow"/>
                <w:lang w:val="en-US" w:eastAsia="zh-CN"/>
              </w:rPr>
              <w:t xml:space="preserve">     </w:t>
            </w:r>
          </w:p>
        </w:tc>
      </w:tr>
      <w:tr>
        <w:tblPrEx>
          <w:tblCellMar>
            <w:top w:w="0" w:type="dxa"/>
            <w:left w:w="108" w:type="dxa"/>
            <w:bottom w:w="0" w:type="dxa"/>
            <w:right w:w="108" w:type="dxa"/>
          </w:tblCellMar>
        </w:tblPrEx>
        <w:trPr>
          <w:trHeight w:val="376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五金紧固件：采用半圆头内六角安全螺丝（M8-M12）、T型平头内六角螺丝（M8-M10）、圆球头盖帽螺丝帽（M8-M12）规格不等；表面处理：机械抛光亮光。螺丝要求一般工具无法松动，可预防任意调整功能满足本项目所有设备零件安装固定需要.</w:t>
            </w:r>
          </w:p>
        </w:tc>
      </w:tr>
      <w:tr>
        <w:tblPrEx>
          <w:tblCellMar>
            <w:top w:w="0" w:type="dxa"/>
            <w:left w:w="108" w:type="dxa"/>
            <w:bottom w:w="0" w:type="dxa"/>
            <w:right w:w="108" w:type="dxa"/>
          </w:tblCellMar>
        </w:tblPrEx>
        <w:trPr>
          <w:trHeight w:val="134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圆形大平台护栏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1.规格：尺寸：11800mm*1500mm   （尺寸偏差在±5%以内）                                               </w:t>
            </w: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采用低金属含量材质，烤漆工艺，通过重金属含量标准；外观要求：满焊整体打磨. （尺寸偏差在±5%以内）</w:t>
            </w: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1455"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吊板</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1.规格：高2100mm，吊板壁厚≥1.5mm，（尺寸偏差在±5%以内）</w:t>
            </w:r>
          </w:p>
        </w:tc>
      </w:tr>
      <w:tr>
        <w:tblPrEx>
          <w:tblCellMar>
            <w:top w:w="0" w:type="dxa"/>
            <w:left w:w="108" w:type="dxa"/>
            <w:bottom w:w="0" w:type="dxa"/>
            <w:right w:w="108" w:type="dxa"/>
          </w:tblCellMar>
        </w:tblPrEx>
        <w:trPr>
          <w:trHeight w:val="145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2.材质：PE板+缆绳，采用直径16mm航海船用高强度缆绳，中芯6股钢丝绳外套胶管。（尺寸偏差在±5%以内）</w:t>
            </w:r>
          </w:p>
        </w:tc>
      </w:tr>
      <w:tr>
        <w:tblPrEx>
          <w:tblCellMar>
            <w:top w:w="0" w:type="dxa"/>
            <w:left w:w="108" w:type="dxa"/>
            <w:bottom w:w="0" w:type="dxa"/>
            <w:right w:w="108" w:type="dxa"/>
          </w:tblCellMar>
        </w:tblPrEx>
        <w:trPr>
          <w:trHeight w:val="123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传声筒</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1.规格：管径Ø48mm厚2.0mm（尺寸偏差在±5%以内）</w:t>
            </w:r>
          </w:p>
        </w:tc>
      </w:tr>
      <w:tr>
        <w:tblPrEx>
          <w:tblCellMar>
            <w:top w:w="0" w:type="dxa"/>
            <w:left w:w="108" w:type="dxa"/>
            <w:bottom w:w="0" w:type="dxa"/>
            <w:right w:w="108" w:type="dxa"/>
          </w:tblCellMar>
        </w:tblPrEx>
        <w:trPr>
          <w:trHeight w:val="123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2.材质：金属；表面经除锈、抛光后经静电喷塑进行喷涂处理。喷涂后经电脑烤房高温固化</w:t>
            </w:r>
          </w:p>
        </w:tc>
      </w:tr>
      <w:tr>
        <w:tblPrEx>
          <w:tblCellMar>
            <w:top w:w="0" w:type="dxa"/>
            <w:left w:w="108" w:type="dxa"/>
            <w:bottom w:w="0" w:type="dxa"/>
            <w:right w:w="108" w:type="dxa"/>
          </w:tblCellMar>
        </w:tblPrEx>
        <w:trPr>
          <w:trHeight w:val="123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圆平台垂直钻笼</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1.规格：最大直径1100mm；入口直径800mm，高2100（尺寸偏差在±5%以内）                                                        </w:t>
            </w:r>
          </w:p>
        </w:tc>
      </w:tr>
      <w:tr>
        <w:tblPrEx>
          <w:tblCellMar>
            <w:top w:w="0" w:type="dxa"/>
            <w:left w:w="108" w:type="dxa"/>
            <w:bottom w:w="0" w:type="dxa"/>
            <w:right w:w="108" w:type="dxa"/>
          </w:tblCellMar>
        </w:tblPrEx>
        <w:trPr>
          <w:trHeight w:val="19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2.钢结构框架：Ø38mm厚2.0mm 镀锌钢管，制件均经除锈、磷化等金属表面处理后喷塑；工艺要求：表面粉末喷涂材料 采用低金属含量材质，烤漆工艺,外观要求：满焊整体打磨   （尺寸偏差在±5%以内）  </w:t>
            </w:r>
          </w:p>
        </w:tc>
      </w:tr>
      <w:tr>
        <w:tblPrEx>
          <w:tblCellMar>
            <w:top w:w="0" w:type="dxa"/>
            <w:left w:w="108" w:type="dxa"/>
            <w:bottom w:w="0" w:type="dxa"/>
            <w:right w:w="108" w:type="dxa"/>
          </w:tblCellMar>
        </w:tblPrEx>
        <w:trPr>
          <w:trHeight w:val="9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3.采用直径16mm航海船用高强度缆绳，中芯6股钢丝绳外套胶管，网绳之间的宽间距150mm；</w:t>
            </w:r>
          </w:p>
        </w:tc>
      </w:tr>
      <w:tr>
        <w:tblPrEx>
          <w:tblCellMar>
            <w:top w:w="0" w:type="dxa"/>
            <w:left w:w="108" w:type="dxa"/>
            <w:bottom w:w="0" w:type="dxa"/>
            <w:right w:w="108" w:type="dxa"/>
          </w:tblCellMar>
        </w:tblPrEx>
        <w:trPr>
          <w:trHeight w:val="122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112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爬网长廊</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1.规格：长5000mm*1300mm（尺寸偏差在±5%以内）                                                         </w:t>
            </w:r>
          </w:p>
        </w:tc>
      </w:tr>
      <w:tr>
        <w:tblPrEx>
          <w:tblCellMar>
            <w:top w:w="0" w:type="dxa"/>
            <w:left w:w="108" w:type="dxa"/>
            <w:bottom w:w="0" w:type="dxa"/>
            <w:right w:w="108" w:type="dxa"/>
          </w:tblCellMar>
        </w:tblPrEx>
        <w:trPr>
          <w:trHeight w:val="27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2.钢结构框架：Ø48mm厚2.0mm 镀锌钢管，制件均经除锈、磷化等金属表面处理后喷塑，长期使用不锈蚀；工艺要求：表面粉末喷涂材料 采用低金属含量材质，烤漆工艺；外观要求：满焊整体打磨 </w:t>
            </w:r>
          </w:p>
        </w:tc>
      </w:tr>
      <w:tr>
        <w:tblPrEx>
          <w:tblCellMar>
            <w:top w:w="0" w:type="dxa"/>
            <w:left w:w="108" w:type="dxa"/>
            <w:bottom w:w="0" w:type="dxa"/>
            <w:right w:w="108" w:type="dxa"/>
          </w:tblCellMar>
        </w:tblPrEx>
        <w:trPr>
          <w:trHeight w:val="26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val="0"/>
                <w:bCs w:val="0"/>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val="0"/>
                <w:bCs w:val="0"/>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b w:val="0"/>
                <w:bCs w:val="0"/>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3.采用直径16mm航海船用高强度缆绳，中芯6股钢丝绳外套胶管，外层再覆以变色锦纶编织绳。网绳之间的宽间距150mm；覆盖加密网间距40mm。（尺寸偏差在±5%以内）</w:t>
            </w:r>
          </w:p>
        </w:tc>
      </w:tr>
      <w:tr>
        <w:tblPrEx>
          <w:tblCellMar>
            <w:top w:w="0" w:type="dxa"/>
            <w:left w:w="108" w:type="dxa"/>
            <w:bottom w:w="0" w:type="dxa"/>
            <w:right w:w="108" w:type="dxa"/>
          </w:tblCellMar>
        </w:tblPrEx>
        <w:trPr>
          <w:trHeight w:val="103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val="0"/>
                <w:bCs w:val="0"/>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val="0"/>
                <w:bCs w:val="0"/>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b w:val="0"/>
                <w:bCs w:val="0"/>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93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爬网长廊护栏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1.规格：长10000mm*高1500mm （尺寸偏差在±5%以内）                                                      </w:t>
            </w:r>
          </w:p>
        </w:tc>
      </w:tr>
      <w:tr>
        <w:tblPrEx>
          <w:tblCellMar>
            <w:top w:w="0" w:type="dxa"/>
            <w:left w:w="108" w:type="dxa"/>
            <w:bottom w:w="0" w:type="dxa"/>
            <w:right w:w="108" w:type="dxa"/>
          </w:tblCellMar>
        </w:tblPrEx>
        <w:trPr>
          <w:trHeight w:val="28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r>
      <w:tr>
        <w:tblPrEx>
          <w:tblCellMar>
            <w:top w:w="0" w:type="dxa"/>
            <w:left w:w="108" w:type="dxa"/>
            <w:bottom w:w="0" w:type="dxa"/>
            <w:right w:w="108" w:type="dxa"/>
          </w:tblCellMar>
        </w:tblPrEx>
        <w:trPr>
          <w:trHeight w:val="24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木质条板荡桥</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 xml:space="preserve">规格：长2000mm，高200mm（离地面）  （尺寸偏差在±5%以内）      </w:t>
            </w: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 xml:space="preserve">2.材质：缆绳+桥板； </w:t>
            </w: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 （尺寸偏差在±5%以内）</w:t>
            </w: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4.桥板采用梨花木，截面厚度≥30mm，产品无刺激性气味，成品表面以及儿童手指可触及处无毛刺及尖锐的棱角； （尺寸偏差在±5%以内）  </w:t>
            </w:r>
          </w:p>
        </w:tc>
      </w:tr>
      <w:tr>
        <w:tblPrEx>
          <w:tblCellMar>
            <w:top w:w="0" w:type="dxa"/>
            <w:left w:w="108" w:type="dxa"/>
            <w:bottom w:w="0" w:type="dxa"/>
            <w:right w:w="108" w:type="dxa"/>
          </w:tblCellMar>
        </w:tblPrEx>
        <w:trPr>
          <w:trHeight w:val="40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5.把口：不锈钢制品，采用高强度不锈钢（金属）一次性铸造成形。                                  </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w:t>
            </w:r>
            <w:r>
              <w:rPr>
                <w:rFonts w:hint="eastAsia" w:ascii="宋体" w:hAnsi="宋体" w:eastAsia="宋体" w:cs="宋体"/>
                <w:color w:val="FF0000"/>
                <w:kern w:val="0"/>
                <w:sz w:val="21"/>
                <w:szCs w:val="21"/>
                <w:highlight w:val="yellow"/>
                <w:lang w:eastAsia="zh-CN"/>
              </w:rPr>
              <w:t>“</w:t>
            </w:r>
            <w:r>
              <w:rPr>
                <w:rFonts w:hint="eastAsia" w:ascii="宋体" w:hAnsi="宋体" w:eastAsia="宋体" w:cs="宋体"/>
                <w:color w:val="FF0000"/>
                <w:kern w:val="0"/>
                <w:sz w:val="21"/>
                <w:szCs w:val="21"/>
                <w:highlight w:val="yellow"/>
              </w:rPr>
              <w:t>把</w:t>
            </w:r>
            <w:r>
              <w:rPr>
                <w:rFonts w:hint="eastAsia" w:ascii="宋体" w:hAnsi="宋体" w:eastAsia="宋体" w:cs="宋体"/>
                <w:color w:val="FF0000"/>
                <w:kern w:val="0"/>
                <w:sz w:val="21"/>
                <w:szCs w:val="21"/>
                <w:highlight w:val="yellow"/>
                <w:lang w:val="en-US" w:eastAsia="zh-CN"/>
              </w:rPr>
              <w:t>口”符合</w:t>
            </w:r>
            <w:r>
              <w:rPr>
                <w:rFonts w:hint="eastAsia" w:ascii="宋体" w:hAnsi="宋体" w:eastAsia="宋体" w:cs="宋体"/>
                <w:color w:val="FF0000"/>
                <w:kern w:val="0"/>
                <w:sz w:val="21"/>
                <w:szCs w:val="21"/>
                <w:highlight w:val="yellow"/>
              </w:rPr>
              <w:t>GB/T 20878-2007《不锈钢和耐热钢 牌号及化学成分》、QB/T 3832-1999《轻工产品金属镀层腐蚀试验结果的评价》 （10级）</w:t>
            </w:r>
            <w:r>
              <w:rPr>
                <w:rFonts w:hint="eastAsia" w:ascii="宋体" w:hAnsi="宋体" w:eastAsia="宋体" w:cs="宋体"/>
                <w:color w:val="FF0000"/>
                <w:kern w:val="0"/>
                <w:sz w:val="21"/>
                <w:szCs w:val="21"/>
                <w:highlight w:val="yellow"/>
                <w:lang w:val="en-US" w:eastAsia="zh-CN"/>
              </w:rPr>
              <w:t>或</w:t>
            </w:r>
            <w:r>
              <w:rPr>
                <w:rFonts w:hint="default" w:ascii="宋体" w:hAnsi="宋体" w:eastAsia="宋体" w:cs="宋体"/>
                <w:color w:val="FF0000"/>
                <w:kern w:val="0"/>
                <w:sz w:val="21"/>
                <w:szCs w:val="21"/>
                <w:highlight w:val="yellow"/>
                <w:lang w:val="en-US" w:eastAsia="zh-CN"/>
              </w:rPr>
              <w:t>GB/T10125-2021</w:t>
            </w:r>
            <w:r>
              <w:rPr>
                <w:rFonts w:hint="eastAsia" w:ascii="宋体" w:hAnsi="宋体" w:eastAsia="宋体" w:cs="宋体"/>
                <w:color w:val="FF0000"/>
                <w:kern w:val="0"/>
                <w:sz w:val="21"/>
                <w:szCs w:val="21"/>
                <w:highlight w:val="yellow"/>
                <w:lang w:val="en-US" w:eastAsia="zh-CN"/>
              </w:rPr>
              <w:t>《人造气氛腐蚀试验 盐雾试验》</w:t>
            </w:r>
            <w:r>
              <w:rPr>
                <w:rFonts w:hint="eastAsia" w:ascii="宋体" w:hAnsi="宋体" w:eastAsia="宋体" w:cs="宋体"/>
                <w:color w:val="FF0000"/>
                <w:kern w:val="0"/>
                <w:sz w:val="21"/>
                <w:szCs w:val="21"/>
                <w:highlight w:val="yellow"/>
              </w:rPr>
              <w:t>、GB/T222-200</w:t>
            </w:r>
            <w:r>
              <w:rPr>
                <w:rFonts w:hint="eastAsia" w:ascii="宋体" w:hAnsi="宋体" w:eastAsia="宋体" w:cs="宋体"/>
                <w:color w:val="FF0000"/>
                <w:kern w:val="0"/>
                <w:sz w:val="21"/>
                <w:szCs w:val="21"/>
                <w:highlight w:val="yellow"/>
                <w:lang w:val="en-US" w:eastAsia="zh-CN"/>
              </w:rPr>
              <w:t>6</w:t>
            </w:r>
            <w:r>
              <w:rPr>
                <w:rFonts w:hint="eastAsia" w:ascii="宋体" w:hAnsi="宋体" w:eastAsia="宋体" w:cs="宋体"/>
                <w:color w:val="FF0000"/>
                <w:kern w:val="0"/>
                <w:sz w:val="21"/>
                <w:szCs w:val="21"/>
                <w:highlight w:val="yellow"/>
              </w:rPr>
              <w:t>《&lt;钢的成品化学成分允许偏差》的</w:t>
            </w:r>
            <w:r>
              <w:rPr>
                <w:rFonts w:hint="eastAsia" w:ascii="宋体" w:hAnsi="宋体" w:eastAsia="宋体" w:cs="宋体"/>
                <w:color w:val="FF0000"/>
                <w:kern w:val="0"/>
                <w:sz w:val="21"/>
                <w:szCs w:val="21"/>
                <w:highlight w:val="yellow"/>
                <w:lang w:val="en-US" w:eastAsia="zh-CN"/>
              </w:rPr>
              <w:t>要求</w:t>
            </w:r>
            <w:r>
              <w:rPr>
                <w:rFonts w:hint="eastAsia" w:ascii="宋体" w:hAnsi="宋体" w:eastAsia="宋体" w:cs="宋体"/>
                <w:color w:val="FF0000"/>
                <w:kern w:val="0"/>
                <w:sz w:val="21"/>
                <w:szCs w:val="21"/>
                <w:highlight w:val="yellow"/>
              </w:rPr>
              <w:t>。</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r>
      <w:tr>
        <w:tblPrEx>
          <w:tblCellMar>
            <w:top w:w="0" w:type="dxa"/>
            <w:left w:w="108" w:type="dxa"/>
            <w:bottom w:w="0" w:type="dxa"/>
            <w:right w:w="108" w:type="dxa"/>
          </w:tblCellMar>
        </w:tblPrEx>
        <w:trPr>
          <w:trHeight w:val="83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高低组合攀爬</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1.规格：长2000*1000*1100mm ±10mm（尺寸偏差在±5%以内）                                                                </w:t>
            </w:r>
          </w:p>
        </w:tc>
      </w:tr>
      <w:tr>
        <w:tblPrEx>
          <w:tblCellMar>
            <w:top w:w="0" w:type="dxa"/>
            <w:left w:w="108" w:type="dxa"/>
            <w:bottom w:w="0" w:type="dxa"/>
            <w:right w:w="108" w:type="dxa"/>
          </w:tblCellMar>
        </w:tblPrEx>
        <w:trPr>
          <w:trHeight w:val="7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2.材质：缆绳+原木</w:t>
            </w:r>
          </w:p>
        </w:tc>
      </w:tr>
      <w:tr>
        <w:tblPrEx>
          <w:tblCellMar>
            <w:top w:w="0" w:type="dxa"/>
            <w:left w:w="108" w:type="dxa"/>
            <w:bottom w:w="0" w:type="dxa"/>
            <w:right w:w="108" w:type="dxa"/>
          </w:tblCellMar>
        </w:tblPrEx>
        <w:trPr>
          <w:trHeight w:val="149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3.采用直径16mm航海船用高强度缆绳，中芯6股钢丝绳外套胶管； （尺寸偏差在±5%以内） </w:t>
            </w:r>
          </w:p>
        </w:tc>
      </w:tr>
      <w:tr>
        <w:tblPrEx>
          <w:tblCellMar>
            <w:top w:w="0" w:type="dxa"/>
            <w:left w:w="108" w:type="dxa"/>
            <w:bottom w:w="0" w:type="dxa"/>
            <w:right w:w="108" w:type="dxa"/>
          </w:tblCellMar>
        </w:tblPrEx>
        <w:trPr>
          <w:trHeight w:val="21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木，直径≥10mm，产品无刺激性气味，成品表面以及儿童手指可触及处无毛刺及尖锐的棱角；（尺寸偏差在±5%以内）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80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大平台</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1.规格：13900*3600*2480±10mm</w:t>
            </w:r>
          </w:p>
        </w:tc>
      </w:tr>
      <w:tr>
        <w:tblPrEx>
          <w:tblCellMar>
            <w:top w:w="0" w:type="dxa"/>
            <w:left w:w="108" w:type="dxa"/>
            <w:bottom w:w="0" w:type="dxa"/>
            <w:right w:w="108" w:type="dxa"/>
          </w:tblCellMar>
        </w:tblPrEx>
        <w:trPr>
          <w:trHeight w:val="322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2.主体立柱：采用120mm*120mm，壁厚2.75mm热浸锌管，表面经除锈、抛光后经静电喷塑进行喷涂处理。工艺要求：表面粉末喷涂材料 采用低金属含量材质，烤漆工艺；满焊整体打磨。  （尺寸偏差在±5%以内）                                                                                                                             </w:t>
            </w:r>
          </w:p>
        </w:tc>
      </w:tr>
      <w:tr>
        <w:tblPrEx>
          <w:tblCellMar>
            <w:top w:w="0" w:type="dxa"/>
            <w:left w:w="108" w:type="dxa"/>
            <w:bottom w:w="0" w:type="dxa"/>
            <w:right w:w="108" w:type="dxa"/>
          </w:tblCellMar>
        </w:tblPrEx>
        <w:trPr>
          <w:trHeight w:val="25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3.钢结构框架：镀锌管截面100*60mm， 壁厚2.0mm；镀锌方管截面 40*40mm，壁厚2.0mm，满焊整体打磨。（尺寸偏差在±5%以内）       </w:t>
            </w:r>
          </w:p>
        </w:tc>
      </w:tr>
      <w:tr>
        <w:tblPrEx>
          <w:tblCellMar>
            <w:top w:w="0" w:type="dxa"/>
            <w:left w:w="108" w:type="dxa"/>
            <w:bottom w:w="0" w:type="dxa"/>
            <w:right w:w="108" w:type="dxa"/>
          </w:tblCellMar>
        </w:tblPrEx>
        <w:trPr>
          <w:trHeight w:val="21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2136"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r>
      <w:tr>
        <w:tblPrEx>
          <w:tblCellMar>
            <w:top w:w="0" w:type="dxa"/>
            <w:left w:w="108" w:type="dxa"/>
            <w:bottom w:w="0" w:type="dxa"/>
            <w:right w:w="108" w:type="dxa"/>
          </w:tblCellMar>
        </w:tblPrEx>
        <w:trPr>
          <w:trHeight w:val="77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大平台护栏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1.规格：尺寸：34000mm*1500mm （尺寸偏差在±5%以内）  </w:t>
            </w:r>
          </w:p>
        </w:tc>
      </w:tr>
      <w:tr>
        <w:tblPrEx>
          <w:tblCellMar>
            <w:top w:w="0" w:type="dxa"/>
            <w:left w:w="108" w:type="dxa"/>
            <w:bottom w:w="0" w:type="dxa"/>
            <w:right w:w="108" w:type="dxa"/>
          </w:tblCellMar>
        </w:tblPrEx>
        <w:trPr>
          <w:trHeight w:val="300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采用低金属含量材质，烤漆工艺，外观要求：满焊整体打磨. （尺寸偏差在±5%以内）</w:t>
            </w:r>
          </w:p>
        </w:tc>
      </w:tr>
      <w:tr>
        <w:tblPrEx>
          <w:tblCellMar>
            <w:top w:w="0" w:type="dxa"/>
            <w:left w:w="108" w:type="dxa"/>
            <w:bottom w:w="0" w:type="dxa"/>
            <w:right w:w="108" w:type="dxa"/>
          </w:tblCellMar>
        </w:tblPrEx>
        <w:trPr>
          <w:trHeight w:val="359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五金紧固件：采用半圆头内六角安全螺丝（M8-M12）、T型平头内六角螺丝（M8-M10）、圆球头盖帽螺丝帽（M8-M12）规格不等；表面处理：机械抛光亮光。螺丝要求一般工具无法松动，可预防任意调整功能满足本项目所有设备零件安装固定需要.</w:t>
            </w:r>
          </w:p>
        </w:tc>
      </w:tr>
      <w:tr>
        <w:tblPrEx>
          <w:tblCellMar>
            <w:top w:w="0" w:type="dxa"/>
            <w:left w:w="108" w:type="dxa"/>
            <w:bottom w:w="0" w:type="dxa"/>
            <w:right w:w="108" w:type="dxa"/>
          </w:tblCellMar>
        </w:tblPrEx>
        <w:trPr>
          <w:trHeight w:val="81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操作游戏墙面</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1.规格：3300*220*2100mm（尺寸偏差在±5%以内）</w:t>
            </w:r>
          </w:p>
        </w:tc>
      </w:tr>
      <w:tr>
        <w:tblPrEx>
          <w:tblCellMar>
            <w:top w:w="0" w:type="dxa"/>
            <w:left w:w="108" w:type="dxa"/>
            <w:bottom w:w="0" w:type="dxa"/>
            <w:right w:w="108" w:type="dxa"/>
          </w:tblCellMar>
        </w:tblPrEx>
        <w:trPr>
          <w:trHeight w:val="121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 40*40mm，壁厚2.0mm，满焊整体打磨。 （尺寸偏差在±5%以内）</w:t>
            </w:r>
          </w:p>
        </w:tc>
      </w:tr>
      <w:tr>
        <w:tblPrEx>
          <w:tblCellMar>
            <w:top w:w="0" w:type="dxa"/>
            <w:left w:w="108" w:type="dxa"/>
            <w:bottom w:w="0" w:type="dxa"/>
            <w:right w:w="108" w:type="dxa"/>
          </w:tblCellMar>
        </w:tblPrEx>
        <w:trPr>
          <w:trHeight w:val="297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厚度≥15mm）经手工打磨后，用腻子灰填补木材原生裂纹处，用室外专用漆，经过两底一面刷漆处理，总共三道刷漆工艺后加热烘干，成品表面以及儿童手指可触及处无毛刺及尖锐的棱角。（尺寸偏差在±5%以内）</w:t>
            </w:r>
          </w:p>
        </w:tc>
      </w:tr>
      <w:tr>
        <w:tblPrEx>
          <w:tblCellMar>
            <w:top w:w="0" w:type="dxa"/>
            <w:left w:w="108" w:type="dxa"/>
            <w:bottom w:w="0" w:type="dxa"/>
            <w:right w:w="108" w:type="dxa"/>
          </w:tblCellMar>
        </w:tblPrEx>
        <w:trPr>
          <w:trHeight w:val="13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4.螺丝：螺丝为304不锈钢材质， 产品整体牢固，表面光洁，无锐边锐角等，无安全隐患。 </w:t>
            </w:r>
          </w:p>
        </w:tc>
      </w:tr>
      <w:tr>
        <w:tblPrEx>
          <w:tblCellMar>
            <w:top w:w="0" w:type="dxa"/>
            <w:left w:w="108" w:type="dxa"/>
            <w:bottom w:w="0" w:type="dxa"/>
            <w:right w:w="108" w:type="dxa"/>
          </w:tblCellMar>
        </w:tblPrEx>
        <w:trPr>
          <w:trHeight w:val="194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p>
        </w:tc>
      </w:tr>
      <w:tr>
        <w:tblPrEx>
          <w:tblCellMar>
            <w:top w:w="0" w:type="dxa"/>
            <w:left w:w="108" w:type="dxa"/>
            <w:bottom w:w="0" w:type="dxa"/>
            <w:right w:w="108" w:type="dxa"/>
          </w:tblCellMar>
        </w:tblPrEx>
        <w:trPr>
          <w:trHeight w:val="86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操作材料</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r>
      <w:tr>
        <w:tblPrEx>
          <w:tblCellMar>
            <w:top w:w="0" w:type="dxa"/>
            <w:left w:w="108" w:type="dxa"/>
            <w:bottom w:w="0" w:type="dxa"/>
            <w:right w:w="108" w:type="dxa"/>
          </w:tblCellMar>
        </w:tblPrEx>
        <w:trPr>
          <w:trHeight w:val="6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2.材质：ABS塑料</w:t>
            </w:r>
          </w:p>
        </w:tc>
      </w:tr>
      <w:tr>
        <w:tblPrEx>
          <w:tblCellMar>
            <w:top w:w="0" w:type="dxa"/>
            <w:left w:w="108" w:type="dxa"/>
            <w:bottom w:w="0" w:type="dxa"/>
            <w:right w:w="108" w:type="dxa"/>
          </w:tblCellMar>
        </w:tblPrEx>
        <w:trPr>
          <w:trHeight w:val="442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3.产品是由443个部件组成，部件清单如下：</w:t>
            </w:r>
          </w:p>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乔治仔3个；露西仔3个，厚四钉砖134个；厚八钉砖110个，薄八钉砖56个，16钉砖10个，星星20个，弧度4个，四钉坡度32个，八钉2个，胖四钉4个，眼睛四钉4个，八钉长方框6个，跨栏24个，四方形框4个，笔拧6个，大星星2个，大方块4个，货车3个，管子4个，长方形四眼4个，正方形四眼4个。</w:t>
            </w:r>
            <w:r>
              <w:rPr>
                <w:rFonts w:hint="eastAsia" w:ascii="宋体" w:hAnsi="宋体" w:eastAsia="宋体" w:cs="宋体"/>
                <w:kern w:val="0"/>
                <w:sz w:val="21"/>
                <w:szCs w:val="21"/>
                <w:lang w:val="en-US" w:eastAsia="zh-CN"/>
              </w:rPr>
              <w:t xml:space="preserve">                 </w:t>
            </w:r>
          </w:p>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lang w:val="en-US" w:eastAsia="zh-CN"/>
              </w:rPr>
              <w:t xml:space="preserve"> </w:t>
            </w:r>
            <w:r>
              <w:rPr>
                <w:rFonts w:hint="eastAsia" w:ascii="宋体" w:hAnsi="宋体" w:eastAsia="宋体" w:cs="宋体"/>
                <w:color w:val="C00000"/>
                <w:sz w:val="21"/>
                <w:szCs w:val="21"/>
                <w:highlight w:val="yellow"/>
              </w:rPr>
              <w:t>▲</w:t>
            </w:r>
            <w:r>
              <w:rPr>
                <w:rFonts w:hint="eastAsia" w:ascii="宋体" w:hAnsi="宋体" w:eastAsia="宋体" w:cs="宋体"/>
                <w:color w:val="FF0000"/>
                <w:sz w:val="21"/>
                <w:szCs w:val="21"/>
                <w:highlight w:val="yellow"/>
              </w:rPr>
              <w:t>操作材料符合GB6675.1-2014 《玩具安全第1部分：基本规范》、GB6675.2-2014 《玩具安全第2部分：机械与物理性能》、GB6675.3-2014 《玩具安全第3部分：易燃性能》、GB6675.4-2014 《玩具安全第4部分：特定元素的迁徙》的要求；需同时提供标注CMA或CNAS标识的检测报告关键信息扫描件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p>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49"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建构游戏墙面</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1.规格：3300*220*2100</w:t>
            </w:r>
            <w:r>
              <w:rPr>
                <w:rFonts w:hint="eastAsia" w:ascii="宋体" w:hAnsi="宋体" w:eastAsia="宋体" w:cs="宋体"/>
                <w:sz w:val="21"/>
                <w:szCs w:val="21"/>
                <w:lang w:val="en-US" w:eastAsia="zh-CN"/>
              </w:rPr>
              <w:t>mm</w:t>
            </w:r>
            <w:r>
              <w:rPr>
                <w:rFonts w:hint="eastAsia" w:ascii="宋体" w:hAnsi="宋体" w:eastAsia="宋体" w:cs="宋体"/>
                <w:kern w:val="0"/>
                <w:sz w:val="21"/>
                <w:szCs w:val="21"/>
              </w:rPr>
              <w:t xml:space="preserve">（尺寸偏差在±5%以内）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33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 40*40mm，壁厚2.0mm，满焊整体打磨。  </w:t>
            </w:r>
          </w:p>
        </w:tc>
      </w:tr>
      <w:tr>
        <w:tblPrEx>
          <w:tblCellMar>
            <w:top w:w="0" w:type="dxa"/>
            <w:left w:w="108" w:type="dxa"/>
            <w:bottom w:w="0" w:type="dxa"/>
            <w:right w:w="108" w:type="dxa"/>
          </w:tblCellMar>
        </w:tblPrEx>
        <w:trPr>
          <w:trHeight w:val="283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梨花</w:t>
            </w:r>
            <w:r>
              <w:rPr>
                <w:rFonts w:hint="eastAsia" w:ascii="宋体" w:hAnsi="宋体" w:eastAsia="宋体" w:cs="宋体"/>
                <w:kern w:val="0"/>
                <w:sz w:val="21"/>
                <w:szCs w:val="21"/>
              </w:rPr>
              <w:t>木（厚度≥15mm）经手工打磨后，用腻子灰填补木材原生裂纹处，用室外专用漆，经过两底一面刷漆处理，总共三道刷漆工艺后加热烘干，成品表面以及儿童手指可触及处无毛刺及尖锐的棱角。（尺寸偏差在±5%以内）</w:t>
            </w:r>
          </w:p>
        </w:tc>
      </w:tr>
      <w:tr>
        <w:tblPrEx>
          <w:tblCellMar>
            <w:top w:w="0" w:type="dxa"/>
            <w:left w:w="108" w:type="dxa"/>
            <w:bottom w:w="0" w:type="dxa"/>
            <w:right w:w="108" w:type="dxa"/>
          </w:tblCellMar>
        </w:tblPrEx>
        <w:trPr>
          <w:trHeight w:val="93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4.螺丝：螺丝为304不锈钢材质， 无锐边锐角等，无安全隐患。   </w:t>
            </w:r>
          </w:p>
        </w:tc>
      </w:tr>
      <w:tr>
        <w:tblPrEx>
          <w:tblCellMar>
            <w:top w:w="0" w:type="dxa"/>
            <w:left w:w="108" w:type="dxa"/>
            <w:bottom w:w="0" w:type="dxa"/>
            <w:right w:w="108" w:type="dxa"/>
          </w:tblCellMar>
        </w:tblPrEx>
        <w:trPr>
          <w:trHeight w:val="21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建构玩具</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2.材质：ABS塑料</w:t>
            </w: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建构玩具</w:t>
            </w:r>
            <w:r>
              <w:rPr>
                <w:rFonts w:hint="eastAsia" w:ascii="宋体" w:hAnsi="宋体" w:eastAsia="宋体" w:cs="宋体"/>
                <w:kern w:val="0"/>
                <w:sz w:val="21"/>
                <w:szCs w:val="21"/>
              </w:rPr>
              <w:t>是由127个部件组成，具体部件清单如下：</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连接器3个；涡轮架1个；胶圈2个；笔拧2个；红色固定4个；红色齿3个；眼睛四盯2个；眼睛圆1个；灰色棒4个；绿色棒4个；蓝色长棒2个；蓝色短棒4个；轮子芯4；轮皮4个；短T8个；短工6个，长工6个；中工4个；轴承3个；秃轴承6个；黄色齿2个；转轴6个；钩子轴承2个；蓝色齿3个；管子1个；地板块2个；中间链接2个；土字盯4个；左耳朵块2个；右耳朵块2个；拐弯固定4个；遥控1个；主机1个；左拐3个；右拐3个；8盯砖8个；24盯砖6个；扇子2个；</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▲建构玩具符合GB6675.1-2014 《玩具安全第1部分：基本规范》、GB6675.2-2014 《玩具安全第2部分：机械与物理性能》、GB6675.3-2014 《玩具安全第3部分：易燃性能》、GB6675.4-2014 《玩具安全第4部分：特定元素的迁徙》的要求；</w:t>
            </w:r>
          </w:p>
        </w:tc>
      </w:tr>
      <w:tr>
        <w:tblPrEx>
          <w:tblCellMar>
            <w:top w:w="0" w:type="dxa"/>
            <w:left w:w="108" w:type="dxa"/>
            <w:bottom w:w="0" w:type="dxa"/>
            <w:right w:w="108" w:type="dxa"/>
          </w:tblCellMar>
        </w:tblPrEx>
        <w:trPr>
          <w:trHeight w:val="87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躲藏木屋</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1.规格：长1850*宽1230*高2300mm（尺寸偏差在±5%以内）</w:t>
            </w: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 40*40mm，壁厚2.0mm，满焊整体打磨。 （尺寸偏差在±5%以内）</w:t>
            </w:r>
          </w:p>
        </w:tc>
      </w:tr>
      <w:tr>
        <w:tblPrEx>
          <w:tblCellMar>
            <w:top w:w="0" w:type="dxa"/>
            <w:left w:w="108" w:type="dxa"/>
            <w:bottom w:w="0" w:type="dxa"/>
            <w:right w:w="108" w:type="dxa"/>
          </w:tblCellMar>
        </w:tblPrEx>
        <w:trPr>
          <w:trHeight w:val="261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木（厚度≥15mm）经手工打磨后，用腻子灰填补木材原生裂纹处，用室外专用漆，经过两底一面刷漆处理，总共三道刷漆工艺后加热烘干，成品表面以及儿童手指可触及处无毛刺及尖锐的棱角。        </w:t>
            </w:r>
          </w:p>
        </w:tc>
      </w:tr>
      <w:tr>
        <w:tblPrEx>
          <w:tblCellMar>
            <w:top w:w="0" w:type="dxa"/>
            <w:left w:w="108" w:type="dxa"/>
            <w:bottom w:w="0" w:type="dxa"/>
            <w:right w:w="108" w:type="dxa"/>
          </w:tblCellMar>
        </w:tblPrEx>
        <w:trPr>
          <w:trHeight w:val="105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 xml:space="preserve">4.螺丝：螺丝为304不锈钢材质， 无锐边锐角等，无安全隐患。 </w:t>
            </w:r>
          </w:p>
        </w:tc>
      </w:tr>
      <w:tr>
        <w:tblPrEx>
          <w:tblCellMar>
            <w:top w:w="0" w:type="dxa"/>
            <w:left w:w="108" w:type="dxa"/>
            <w:bottom w:w="0" w:type="dxa"/>
            <w:right w:w="108" w:type="dxa"/>
          </w:tblCellMar>
        </w:tblPrEx>
        <w:trPr>
          <w:trHeight w:val="1749"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lang w:eastAsia="zh-CN"/>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103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储物柜</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1.材质：实木（松木），厚度≥</w:t>
            </w:r>
            <w:r>
              <w:rPr>
                <w:rFonts w:hint="eastAsia" w:ascii="宋体" w:hAnsi="宋体" w:eastAsia="宋体" w:cs="宋体"/>
                <w:kern w:val="0"/>
                <w:sz w:val="21"/>
                <w:szCs w:val="21"/>
                <w:lang w:val="en-US" w:eastAsia="zh-CN"/>
              </w:rPr>
              <w:t>10mm</w:t>
            </w:r>
            <w:r>
              <w:rPr>
                <w:rFonts w:hint="eastAsia" w:ascii="宋体" w:hAnsi="宋体" w:eastAsia="宋体" w:cs="宋体"/>
                <w:kern w:val="0"/>
                <w:sz w:val="21"/>
                <w:szCs w:val="21"/>
              </w:rPr>
              <w:t>（尺寸偏差在±5%以内）</w:t>
            </w:r>
          </w:p>
        </w:tc>
      </w:tr>
      <w:tr>
        <w:tblPrEx>
          <w:tblCellMar>
            <w:top w:w="0" w:type="dxa"/>
            <w:left w:w="108" w:type="dxa"/>
            <w:bottom w:w="0" w:type="dxa"/>
            <w:right w:w="108" w:type="dxa"/>
          </w:tblCellMar>
        </w:tblPrEx>
        <w:trPr>
          <w:trHeight w:val="77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2.尺寸：宽 52</w:t>
            </w:r>
            <w:r>
              <w:rPr>
                <w:rFonts w:hint="eastAsia" w:ascii="宋体" w:hAnsi="宋体" w:eastAsia="宋体" w:cs="宋体"/>
                <w:kern w:val="0"/>
                <w:sz w:val="21"/>
                <w:szCs w:val="21"/>
                <w:lang w:val="en-US" w:eastAsia="zh-CN"/>
              </w:rPr>
              <w:t>0mm</w:t>
            </w:r>
            <w:r>
              <w:rPr>
                <w:rFonts w:hint="eastAsia" w:ascii="宋体" w:hAnsi="宋体" w:eastAsia="宋体" w:cs="宋体"/>
                <w:kern w:val="0"/>
                <w:sz w:val="21"/>
                <w:szCs w:val="21"/>
              </w:rPr>
              <w:t xml:space="preserve"> *深 18</w:t>
            </w:r>
            <w:r>
              <w:rPr>
                <w:rFonts w:hint="eastAsia" w:ascii="宋体" w:hAnsi="宋体" w:eastAsia="宋体" w:cs="宋体"/>
                <w:kern w:val="0"/>
                <w:sz w:val="21"/>
                <w:szCs w:val="21"/>
                <w:lang w:val="en-US" w:eastAsia="zh-CN"/>
              </w:rPr>
              <w:t>0m</w:t>
            </w:r>
            <w:r>
              <w:rPr>
                <w:rFonts w:hint="eastAsia" w:ascii="宋体" w:hAnsi="宋体" w:eastAsia="宋体" w:cs="宋体"/>
                <w:kern w:val="0"/>
                <w:sz w:val="21"/>
                <w:szCs w:val="21"/>
              </w:rPr>
              <w:t>m *高 60</w:t>
            </w:r>
            <w:r>
              <w:rPr>
                <w:rFonts w:hint="eastAsia" w:ascii="宋体" w:hAnsi="宋体" w:eastAsia="宋体" w:cs="宋体"/>
                <w:kern w:val="0"/>
                <w:sz w:val="21"/>
                <w:szCs w:val="21"/>
                <w:lang w:val="en-US" w:eastAsia="zh-CN"/>
              </w:rPr>
              <w:t>m</w:t>
            </w:r>
            <w:r>
              <w:rPr>
                <w:rFonts w:hint="eastAsia" w:ascii="宋体" w:hAnsi="宋体" w:eastAsia="宋体" w:cs="宋体"/>
                <w:kern w:val="0"/>
                <w:sz w:val="21"/>
                <w:szCs w:val="21"/>
              </w:rPr>
              <w:t>m ；板材厚度10</w:t>
            </w:r>
            <w:r>
              <w:rPr>
                <w:rFonts w:hint="eastAsia" w:ascii="宋体" w:hAnsi="宋体" w:eastAsia="宋体" w:cs="宋体"/>
                <w:kern w:val="0"/>
                <w:sz w:val="21"/>
                <w:szCs w:val="21"/>
                <w:lang w:val="en-US" w:eastAsia="zh-CN"/>
              </w:rPr>
              <w:t>m</w:t>
            </w:r>
            <w:r>
              <w:rPr>
                <w:rFonts w:hint="eastAsia" w:ascii="宋体" w:hAnsi="宋体" w:eastAsia="宋体" w:cs="宋体"/>
                <w:kern w:val="0"/>
                <w:sz w:val="21"/>
                <w:szCs w:val="21"/>
              </w:rPr>
              <w:t>m（±5%）</w:t>
            </w:r>
          </w:p>
        </w:tc>
      </w:tr>
      <w:tr>
        <w:tblPrEx>
          <w:tblCellMar>
            <w:top w:w="0" w:type="dxa"/>
            <w:left w:w="108" w:type="dxa"/>
            <w:bottom w:w="0" w:type="dxa"/>
            <w:right w:w="108" w:type="dxa"/>
          </w:tblCellMar>
        </w:tblPrEx>
        <w:trPr>
          <w:trHeight w:val="14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3.工艺要求：共计1个，纯榫卯结构工艺，方便拆和安装；表面纹理清晰、无结疤、无黑疤。</w:t>
            </w:r>
          </w:p>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color w:val="FF0000"/>
                <w:kern w:val="0"/>
                <w:sz w:val="21"/>
                <w:szCs w:val="21"/>
                <w:highlight w:val="yellow"/>
              </w:rPr>
              <w:t>▲储物柜的外观、外型尺寸、边缘及尖端、突出物、孔及间隙、甲醛释放量应符合GB28007-2011儿童家具通用技术条件的要求；可接触的实木部件中五氯苯酚（PCP）含量应符合GB/T 35607-2017绿色产品评价家具的要求；机械装置中的可触及性、边缘、尖端、突出部件应符合GB6675.1-2014、GB6675.2-2014的要求；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r>
      <w:tr>
        <w:tblPrEx>
          <w:tblCellMar>
            <w:top w:w="0" w:type="dxa"/>
            <w:left w:w="108" w:type="dxa"/>
            <w:bottom w:w="0" w:type="dxa"/>
            <w:right w:w="108" w:type="dxa"/>
          </w:tblCellMar>
        </w:tblPrEx>
        <w:trPr>
          <w:trHeight w:val="109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上下攀爬网桶</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1.规格：直径800mm；高度2480mm；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283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2.钢结构框架：Ø38mm厚2.0mm 镀锌钢管，制件均经除锈、磷化等金属表面处理后喷塑；工艺要求：表面粉末喷涂材料 采用低金属含量材质，烤漆工艺，通过重金属含量标准；防止褪色:粉末喷涂材料添加抗紫外线稳定剂,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（尺寸偏差在±5%以内）       </w:t>
            </w:r>
          </w:p>
        </w:tc>
      </w:tr>
      <w:tr>
        <w:tblPrEx>
          <w:tblCellMar>
            <w:top w:w="0" w:type="dxa"/>
            <w:left w:w="108" w:type="dxa"/>
            <w:bottom w:w="0" w:type="dxa"/>
            <w:right w:w="108" w:type="dxa"/>
          </w:tblCellMar>
        </w:tblPrEx>
        <w:trPr>
          <w:trHeight w:val="128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3.采用直径16mm航海船用高强度缆绳，中芯6股钢丝绳外套胶管，网绳之间的宽间距150mm；</w:t>
            </w:r>
          </w:p>
        </w:tc>
      </w:tr>
      <w:tr>
        <w:tblPrEx>
          <w:tblCellMar>
            <w:top w:w="0" w:type="dxa"/>
            <w:left w:w="108" w:type="dxa"/>
            <w:bottom w:w="0" w:type="dxa"/>
            <w:right w:w="108" w:type="dxa"/>
          </w:tblCellMar>
        </w:tblPrEx>
        <w:trPr>
          <w:trHeight w:val="2061"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楼梯</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1.规格：3400mm*850mm*2480mm；步高150mm，10mm   （尺寸偏差在±5%以内）                                                                                                                     </w:t>
            </w:r>
          </w:p>
        </w:tc>
      </w:tr>
      <w:tr>
        <w:tblPrEx>
          <w:tblCellMar>
            <w:top w:w="0" w:type="dxa"/>
            <w:left w:w="108" w:type="dxa"/>
            <w:bottom w:w="0" w:type="dxa"/>
            <w:right w:w="108" w:type="dxa"/>
          </w:tblCellMar>
        </w:tblPrEx>
        <w:trPr>
          <w:trHeight w:val="38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.钢结构框架：镀锌方管截面60mm*40mm、 40mm*40mm，壁厚2.0mm，满焊整体打磨。  （尺寸偏差在±5%以内）                                                                </w:t>
            </w:r>
          </w:p>
        </w:tc>
      </w:tr>
      <w:tr>
        <w:tblPrEx>
          <w:tblCellMar>
            <w:top w:w="0" w:type="dxa"/>
            <w:left w:w="108" w:type="dxa"/>
            <w:bottom w:w="0" w:type="dxa"/>
            <w:right w:w="108" w:type="dxa"/>
          </w:tblCellMar>
        </w:tblPrEx>
        <w:trPr>
          <w:trHeight w:val="158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.楼板：材质梨花木，截面厚度≥2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w:t>
            </w: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752"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楼梯扶手</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1.规格：尺寸：7800mm，高1100mm  （尺寸偏差在±5%以内）                                                </w:t>
            </w: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采用低金属含量材质，烤漆工艺，外观要求：满焊整体打磨. （尺寸偏差在±5%以内）</w:t>
            </w: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143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展示台</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1.规格：2800*300*2300mm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51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2.钢结构框架：镀锌方管截面40mm*40mm，壁厚2.0mm，满焊整体打磨。 （尺寸偏差在±5%以内） </w:t>
            </w:r>
          </w:p>
        </w:tc>
      </w:tr>
      <w:tr>
        <w:tblPrEx>
          <w:tblCellMar>
            <w:top w:w="0" w:type="dxa"/>
            <w:left w:w="108" w:type="dxa"/>
            <w:bottom w:w="0" w:type="dxa"/>
            <w:right w:w="108" w:type="dxa"/>
          </w:tblCellMar>
        </w:tblPrEx>
        <w:trPr>
          <w:trHeight w:val="188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木，截面厚度≥15mm，产品无刺激性气味，成品表面以及儿童手指可触及处无毛刺及尖锐的棱角；  （尺寸偏差在±5%以内）</w:t>
            </w:r>
          </w:p>
        </w:tc>
      </w:tr>
      <w:tr>
        <w:tblPrEx>
          <w:tblCellMar>
            <w:top w:w="0" w:type="dxa"/>
            <w:left w:w="108" w:type="dxa"/>
            <w:bottom w:w="0" w:type="dxa"/>
            <w:right w:w="108" w:type="dxa"/>
          </w:tblCellMar>
        </w:tblPrEx>
        <w:trPr>
          <w:trHeight w:val="15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4.采用厚度≥5mm，冲击力最大可达到3kg/cm3的PC耐力板，倒R角，圆滑修边处理。（尺寸偏差在±5%以内）</w:t>
            </w:r>
          </w:p>
        </w:tc>
      </w:tr>
      <w:tr>
        <w:tblPrEx>
          <w:tblCellMar>
            <w:top w:w="0" w:type="dxa"/>
            <w:left w:w="108" w:type="dxa"/>
            <w:bottom w:w="0" w:type="dxa"/>
            <w:right w:w="108" w:type="dxa"/>
          </w:tblCellMar>
        </w:tblPrEx>
        <w:trPr>
          <w:trHeight w:val="222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r>
      <w:tr>
        <w:tblPrEx>
          <w:tblCellMar>
            <w:top w:w="0" w:type="dxa"/>
            <w:left w:w="108" w:type="dxa"/>
            <w:bottom w:w="0" w:type="dxa"/>
            <w:right w:w="108" w:type="dxa"/>
          </w:tblCellMar>
        </w:tblPrEx>
        <w:trPr>
          <w:trHeight w:val="10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收纳柜</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1.规格：1900*300*2300mm   （尺寸偏差在±5%以内）                                                                                                                                               </w:t>
            </w:r>
          </w:p>
        </w:tc>
      </w:tr>
      <w:tr>
        <w:tblPrEx>
          <w:tblCellMar>
            <w:top w:w="0" w:type="dxa"/>
            <w:left w:w="108" w:type="dxa"/>
            <w:bottom w:w="0" w:type="dxa"/>
            <w:right w:w="108" w:type="dxa"/>
          </w:tblCellMar>
        </w:tblPrEx>
        <w:trPr>
          <w:trHeight w:val="158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2.钢结构框架：镀锌方管截面40mm*40mm，壁厚2.0mm，满焊整体打磨。  （尺寸偏差在±5%以内）</w:t>
            </w:r>
          </w:p>
        </w:tc>
      </w:tr>
      <w:tr>
        <w:tblPrEx>
          <w:tblCellMar>
            <w:top w:w="0" w:type="dxa"/>
            <w:left w:w="108" w:type="dxa"/>
            <w:bottom w:w="0" w:type="dxa"/>
            <w:right w:w="108" w:type="dxa"/>
          </w:tblCellMar>
        </w:tblPrEx>
        <w:trPr>
          <w:trHeight w:val="143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木，截面厚度≥15mm，产品外观有光泽，颜色鲜艳，无刺激性气味，成品表面以及儿童手指可触及处无毛刺及尖锐的棱角； （尺寸偏差在±5%以</w:t>
            </w:r>
            <w:r>
              <w:rPr>
                <w:rFonts w:hint="eastAsia" w:ascii="宋体" w:hAnsi="宋体" w:eastAsia="宋体" w:cs="宋体"/>
                <w:kern w:val="0"/>
                <w:sz w:val="21"/>
                <w:szCs w:val="21"/>
                <w:lang w:val="en-US" w:eastAsia="zh-CN"/>
              </w:rPr>
              <w:t>内）</w:t>
            </w:r>
            <w:r>
              <w:rPr>
                <w:rFonts w:hint="eastAsia" w:ascii="宋体" w:hAnsi="宋体" w:eastAsia="宋体" w:cs="宋体"/>
                <w:kern w:val="0"/>
                <w:sz w:val="21"/>
                <w:szCs w:val="21"/>
              </w:rPr>
              <w:t xml:space="preserve">    </w:t>
            </w:r>
          </w:p>
        </w:tc>
      </w:tr>
      <w:tr>
        <w:tblPrEx>
          <w:tblCellMar>
            <w:top w:w="0" w:type="dxa"/>
            <w:left w:w="108" w:type="dxa"/>
            <w:bottom w:w="0" w:type="dxa"/>
            <w:right w:w="108" w:type="dxa"/>
          </w:tblCellMar>
        </w:tblPrEx>
        <w:trPr>
          <w:trHeight w:val="104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科技探索墙面</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1.规格：2900*300*2400mm （尺寸偏差在±5%以内）                                                                                                                                                  </w:t>
            </w:r>
          </w:p>
        </w:tc>
      </w:tr>
      <w:tr>
        <w:tblPrEx>
          <w:tblCellMar>
            <w:top w:w="0" w:type="dxa"/>
            <w:left w:w="108" w:type="dxa"/>
            <w:bottom w:w="0" w:type="dxa"/>
            <w:right w:w="108" w:type="dxa"/>
          </w:tblCellMar>
        </w:tblPrEx>
        <w:trPr>
          <w:trHeight w:val="217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2.钢结构框架：镀锌方管截面40mm*40mm，壁厚2.0mm，满焊整体打磨。   （尺寸偏差在±5%以内）   </w:t>
            </w:r>
          </w:p>
        </w:tc>
      </w:tr>
      <w:tr>
        <w:tblPrEx>
          <w:tblCellMar>
            <w:top w:w="0" w:type="dxa"/>
            <w:left w:w="108" w:type="dxa"/>
            <w:bottom w:w="0" w:type="dxa"/>
            <w:right w:w="108" w:type="dxa"/>
          </w:tblCellMar>
        </w:tblPrEx>
        <w:trPr>
          <w:trHeight w:val="22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木，截面厚度≥15mm，产品外观有光泽，颜色鲜艳，无刺激性气味，成品表面以及儿童手指可触及处无毛刺及尖锐的棱角；  （尺寸偏差在±5%以内）   </w:t>
            </w:r>
          </w:p>
        </w:tc>
      </w:tr>
      <w:tr>
        <w:tblPrEx>
          <w:tblCellMar>
            <w:top w:w="0" w:type="dxa"/>
            <w:left w:w="108" w:type="dxa"/>
            <w:bottom w:w="0" w:type="dxa"/>
            <w:right w:w="108" w:type="dxa"/>
          </w:tblCellMar>
        </w:tblPrEx>
        <w:trPr>
          <w:trHeight w:val="85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4.采用厚度≥5mm的PE板； （尺寸偏差在±5%以内）</w:t>
            </w:r>
          </w:p>
        </w:tc>
      </w:tr>
      <w:tr>
        <w:tblPrEx>
          <w:tblCellMar>
            <w:top w:w="0" w:type="dxa"/>
            <w:left w:w="108" w:type="dxa"/>
            <w:bottom w:w="0" w:type="dxa"/>
            <w:right w:w="108" w:type="dxa"/>
          </w:tblCellMar>
        </w:tblPrEx>
        <w:trPr>
          <w:trHeight w:val="111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探索玩具</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r>
      <w:tr>
        <w:tblPrEx>
          <w:tblCellMar>
            <w:top w:w="0" w:type="dxa"/>
            <w:left w:w="108" w:type="dxa"/>
            <w:bottom w:w="0" w:type="dxa"/>
            <w:right w:w="108" w:type="dxa"/>
          </w:tblCellMar>
        </w:tblPrEx>
        <w:trPr>
          <w:trHeight w:val="9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2.材质：ABS塑料</w:t>
            </w:r>
          </w:p>
        </w:tc>
      </w:tr>
      <w:tr>
        <w:tblPrEx>
          <w:tblCellMar>
            <w:top w:w="0" w:type="dxa"/>
            <w:left w:w="108" w:type="dxa"/>
            <w:bottom w:w="0" w:type="dxa"/>
            <w:right w:w="108" w:type="dxa"/>
          </w:tblCellMar>
        </w:tblPrEx>
        <w:trPr>
          <w:trHeight w:val="22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3.产品是由138个部件组成，部件清单如下：</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乔治仔1个，露西仔1个，涡轮架1个，灰色棒7个，钩子轴承2个，长链接4个，半孔半槽1个，短链接2个，厚八钉砖16个，薄八钉砖2个，胖4钉1个，厚四钉砖10个，黄色齿3个，转轴6个，轴承15个，二钉砖10个，扇子2个，数字圆片1个，眼睛圆片2个，长方形片1个，正方形片1个，特大板1个，大板2个，绿色长棒5个，带孔20钉砖2个，带孔16钉砖3个，带孔8钉砖10个，胶圈2个，四钉坡4个，红色齿3个，管子5个，蓝色长棒2个，蓝色短棒4个，蓝色齿2个，轮子皮4个。</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▲探索玩具符合GB6675.1-2014 《玩具安全第1部分：基本规范》、GB6675.2-2014 《玩具安全第2部分：机械与物理性能》、GB6675.3-2014 《玩具安全第3部分：易燃性能》、GB6675.4-2014 《玩具安全第4部分：特定元素的迁徙》的要求；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r>
      <w:tr>
        <w:tblPrEx>
          <w:tblCellMar>
            <w:top w:w="0" w:type="dxa"/>
            <w:left w:w="108" w:type="dxa"/>
            <w:bottom w:w="0" w:type="dxa"/>
            <w:right w:w="108" w:type="dxa"/>
          </w:tblCellMar>
        </w:tblPrEx>
        <w:trPr>
          <w:trHeight w:val="110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格栅景观墙</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1.规格：2200*100*2400mm  （尺寸偏差在±5%以内）                                                                                                             </w:t>
            </w:r>
          </w:p>
        </w:tc>
      </w:tr>
      <w:tr>
        <w:tblPrEx>
          <w:tblCellMar>
            <w:top w:w="0" w:type="dxa"/>
            <w:left w:w="108" w:type="dxa"/>
            <w:bottom w:w="0" w:type="dxa"/>
            <w:right w:w="108" w:type="dxa"/>
          </w:tblCellMar>
        </w:tblPrEx>
        <w:trPr>
          <w:trHeight w:val="13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2.钢结构框架：镀锌方管截面40mm*40mm，壁厚2.0mm，满焊整体打磨。 （尺寸偏差在±5%以内）</w:t>
            </w:r>
          </w:p>
        </w:tc>
      </w:tr>
      <w:tr>
        <w:tblPrEx>
          <w:tblCellMar>
            <w:top w:w="0" w:type="dxa"/>
            <w:left w:w="108" w:type="dxa"/>
            <w:bottom w:w="0" w:type="dxa"/>
            <w:right w:w="108" w:type="dxa"/>
          </w:tblCellMar>
        </w:tblPrEx>
        <w:trPr>
          <w:trHeight w:val="177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木，截面厚度≥15mm，产品无刺激性气味，成品表面以及儿童手指可触及处无毛刺及尖锐的棱角； </w:t>
            </w:r>
          </w:p>
        </w:tc>
      </w:tr>
      <w:tr>
        <w:tblPrEx>
          <w:tblCellMar>
            <w:top w:w="0" w:type="dxa"/>
            <w:left w:w="108" w:type="dxa"/>
            <w:bottom w:w="0" w:type="dxa"/>
            <w:right w:w="108" w:type="dxa"/>
          </w:tblCellMar>
        </w:tblPrEx>
        <w:trPr>
          <w:trHeight w:val="81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检修暗门</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1.规格：650*2000    （尺寸偏差在±5%以内）                                                           </w:t>
            </w:r>
          </w:p>
        </w:tc>
      </w:tr>
      <w:tr>
        <w:tblPrEx>
          <w:tblCellMar>
            <w:top w:w="0" w:type="dxa"/>
            <w:left w:w="108" w:type="dxa"/>
            <w:bottom w:w="0" w:type="dxa"/>
            <w:right w:w="108" w:type="dxa"/>
          </w:tblCellMar>
        </w:tblPrEx>
        <w:trPr>
          <w:trHeight w:val="177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292"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小连廊</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1.规格：2060*950*      （尺寸偏差在±5%以内）                                                                                                          </w:t>
            </w:r>
          </w:p>
        </w:tc>
      </w:tr>
      <w:tr>
        <w:tblPrEx>
          <w:tblCellMar>
            <w:top w:w="0" w:type="dxa"/>
            <w:left w:w="108" w:type="dxa"/>
            <w:bottom w:w="0" w:type="dxa"/>
            <w:right w:w="108" w:type="dxa"/>
          </w:tblCellMar>
        </w:tblPrEx>
        <w:trPr>
          <w:trHeight w:val="181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2.钢结构框架：镀锌方管截面60mm*40mm、40mm*40m 壁厚2.0mm，满焊整体打磨。（尺寸偏差在±5%以内）      </w:t>
            </w:r>
          </w:p>
        </w:tc>
      </w:tr>
      <w:tr>
        <w:tblPrEx>
          <w:tblCellMar>
            <w:top w:w="0" w:type="dxa"/>
            <w:left w:w="108" w:type="dxa"/>
            <w:bottom w:w="0" w:type="dxa"/>
            <w:right w:w="108" w:type="dxa"/>
          </w:tblCellMar>
        </w:tblPrEx>
        <w:trPr>
          <w:trHeight w:val="18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699"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小连廊护栏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1.规格：长4120 </w:t>
            </w:r>
            <w:r>
              <w:rPr>
                <w:rFonts w:hint="eastAsia" w:ascii="宋体" w:hAnsi="宋体" w:eastAsia="宋体" w:cs="宋体"/>
                <w:kern w:val="0"/>
                <w:sz w:val="21"/>
                <w:szCs w:val="21"/>
                <w:lang w:val="en-US" w:eastAsia="zh-CN"/>
              </w:rPr>
              <w:t>高</w:t>
            </w:r>
            <w:r>
              <w:rPr>
                <w:rFonts w:hint="eastAsia" w:ascii="宋体" w:hAnsi="宋体" w:eastAsia="宋体" w:cs="宋体"/>
                <w:kern w:val="0"/>
                <w:sz w:val="21"/>
                <w:szCs w:val="21"/>
              </w:rPr>
              <w:t xml:space="preserve"> 1400mm    （尺寸偏差在±5%以内）                                           </w:t>
            </w:r>
          </w:p>
        </w:tc>
      </w:tr>
      <w:tr>
        <w:tblPrEx>
          <w:tblCellMar>
            <w:top w:w="0" w:type="dxa"/>
            <w:left w:w="108" w:type="dxa"/>
            <w:bottom w:w="0" w:type="dxa"/>
            <w:right w:w="108" w:type="dxa"/>
          </w:tblCellMar>
        </w:tblPrEx>
        <w:trPr>
          <w:trHeight w:val="43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采用低金属含量材质，烤漆工艺；外观要求：满焊整体打磨. （尺寸偏差在±5%以内）</w:t>
            </w: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9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双层观察屋</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1.规格：长3500*宽3200*高4900mm （尺寸偏差在±5%以内）                                                                                                </w:t>
            </w: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2.主体立柱：采用120mm*120mm，壁厚2.75mm热浸锌管，表面经除锈、抛光后经静电喷塑进行喷涂处理。工艺要求：表面粉末喷涂材料 采用低金属含量材质，烤漆工艺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（尺寸偏差在±5%以内）</w:t>
            </w: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4.五金紧固件：采用半圆头内六角安全螺丝（M8-M12）、T型平头内六角螺丝（M8-M10）、圆球头盖帽螺丝帽（M8-M12）规格不等；表面处理：机械抛光亮光。 </w:t>
            </w:r>
          </w:p>
        </w:tc>
      </w:tr>
      <w:tr>
        <w:tblPrEx>
          <w:tblCellMar>
            <w:top w:w="0" w:type="dxa"/>
            <w:left w:w="108" w:type="dxa"/>
            <w:bottom w:w="0" w:type="dxa"/>
            <w:right w:w="108" w:type="dxa"/>
          </w:tblCellMar>
        </w:tblPrEx>
        <w:trPr>
          <w:trHeight w:val="9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设备间暗门</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1.规格：650*2000   （尺寸偏差在±5%以内）    </w:t>
            </w:r>
          </w:p>
        </w:tc>
      </w:tr>
      <w:tr>
        <w:tblPrEx>
          <w:tblCellMar>
            <w:top w:w="0" w:type="dxa"/>
            <w:left w:w="108" w:type="dxa"/>
            <w:bottom w:w="0" w:type="dxa"/>
            <w:right w:w="108" w:type="dxa"/>
          </w:tblCellMar>
        </w:tblPrEx>
        <w:trPr>
          <w:trHeight w:val="886"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，截面厚度≥15mm，产品无刺激性气味，成品表面以及儿童手指可触及处无毛刺及尖锐的棱角；（尺寸偏差在±5%以内）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90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休息凳</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1.规格：2500*1100*800；     （尺寸偏差在±5%以内）                                                                                                         </w:t>
            </w:r>
          </w:p>
        </w:tc>
      </w:tr>
      <w:tr>
        <w:tblPrEx>
          <w:tblCellMar>
            <w:top w:w="0" w:type="dxa"/>
            <w:left w:w="108" w:type="dxa"/>
            <w:bottom w:w="0" w:type="dxa"/>
            <w:right w:w="108" w:type="dxa"/>
          </w:tblCellMar>
        </w:tblPrEx>
        <w:trPr>
          <w:trHeight w:val="115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 壁厚2.0mm，满焊整体打磨。    （尺寸偏差在±5%以内）</w:t>
            </w:r>
          </w:p>
        </w:tc>
      </w:tr>
      <w:tr>
        <w:tblPrEx>
          <w:tblCellMar>
            <w:top w:w="0" w:type="dxa"/>
            <w:left w:w="108" w:type="dxa"/>
            <w:bottom w:w="0" w:type="dxa"/>
            <w:right w:w="108" w:type="dxa"/>
          </w:tblCellMar>
        </w:tblPrEx>
        <w:trPr>
          <w:trHeight w:val="205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114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s型滑桶</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1.规格尺寸：内圈直径700mm，高度2480mm；（尺寸偏差在±5%以内）；</w:t>
            </w:r>
          </w:p>
        </w:tc>
      </w:tr>
      <w:tr>
        <w:tblPrEx>
          <w:tblCellMar>
            <w:top w:w="0" w:type="dxa"/>
            <w:left w:w="108" w:type="dxa"/>
            <w:bottom w:w="0" w:type="dxa"/>
            <w:right w:w="108" w:type="dxa"/>
          </w:tblCellMar>
        </w:tblPrEx>
        <w:trPr>
          <w:trHeight w:val="217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2.材质：ABS工程塑料，厚6mm.抗紫外线色牢度达8级。外观说明：弯曲造型，外包ABS工程塑料造型装饰包边。沟通二层平台与地面连通，配有三处独立支撑钢管保障稳固；（尺寸偏差在±5%以内）</w:t>
            </w:r>
          </w:p>
        </w:tc>
      </w:tr>
      <w:tr>
        <w:tblPrEx>
          <w:tblCellMar>
            <w:top w:w="0" w:type="dxa"/>
            <w:left w:w="108" w:type="dxa"/>
            <w:bottom w:w="0" w:type="dxa"/>
            <w:right w:w="108" w:type="dxa"/>
          </w:tblCellMar>
        </w:tblPrEx>
        <w:trPr>
          <w:trHeight w:val="96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直行攀爬网桶</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1.规格尺寸：直径800mm；长4300mm；（尺寸偏差在±5%以内）                                                         </w:t>
            </w:r>
          </w:p>
        </w:tc>
      </w:tr>
      <w:tr>
        <w:tblPrEx>
          <w:tblCellMar>
            <w:top w:w="0" w:type="dxa"/>
            <w:left w:w="108" w:type="dxa"/>
            <w:bottom w:w="0" w:type="dxa"/>
            <w:right w:w="108" w:type="dxa"/>
          </w:tblCellMar>
        </w:tblPrEx>
        <w:trPr>
          <w:trHeight w:val="196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2.钢结构框架：Ø38mm厚2.0mm 镀锌钢管，制件均经除锈、磷化等金属表面处理后，烤漆工艺；外观要求：满焊整体打磨  （尺寸偏差在±5%以内）     </w:t>
            </w:r>
          </w:p>
        </w:tc>
      </w:tr>
      <w:tr>
        <w:tblPrEx>
          <w:tblCellMar>
            <w:top w:w="0" w:type="dxa"/>
            <w:left w:w="108" w:type="dxa"/>
            <w:bottom w:w="0" w:type="dxa"/>
            <w:right w:w="108" w:type="dxa"/>
          </w:tblCellMar>
        </w:tblPrEx>
        <w:trPr>
          <w:trHeight w:val="252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3.采用直径16mm航海船用高强度缆绳，中芯6股钢丝绳外套胶管，外层再覆以变色锦纶编织绳。网绳之间的宽间距150mm；覆盖加密网间距40mm。（尺寸偏差在±5%以内）</w:t>
            </w:r>
          </w:p>
        </w:tc>
      </w:tr>
      <w:tr>
        <w:tblPrEx>
          <w:tblCellMar>
            <w:top w:w="0" w:type="dxa"/>
            <w:left w:w="108" w:type="dxa"/>
            <w:bottom w:w="0" w:type="dxa"/>
            <w:right w:w="108" w:type="dxa"/>
          </w:tblCellMar>
        </w:tblPrEx>
        <w:trPr>
          <w:trHeight w:val="8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4.绳网扣采用铝合金材质，进行除锈处理   </w:t>
            </w:r>
          </w:p>
        </w:tc>
      </w:tr>
      <w:tr>
        <w:tblPrEx>
          <w:tblCellMar>
            <w:top w:w="0" w:type="dxa"/>
            <w:left w:w="108" w:type="dxa"/>
            <w:bottom w:w="0" w:type="dxa"/>
            <w:right w:w="108" w:type="dxa"/>
          </w:tblCellMar>
        </w:tblPrEx>
        <w:trPr>
          <w:trHeight w:val="2591"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5.主体立柱：采用直径114mm，壁厚2.75mm热浸锌管，表面经除锈、抛光后经静电喷塑进行喷涂处理。工艺要求：表面粉末喷涂材料 采用低金属含量材质，烤漆工艺。 （尺寸偏差在±5%以内）</w:t>
            </w:r>
          </w:p>
        </w:tc>
      </w:tr>
      <w:tr>
        <w:tblPrEx>
          <w:tblCellMar>
            <w:top w:w="0" w:type="dxa"/>
            <w:left w:w="108" w:type="dxa"/>
            <w:bottom w:w="0" w:type="dxa"/>
            <w:right w:w="108" w:type="dxa"/>
          </w:tblCellMar>
        </w:tblPrEx>
        <w:trPr>
          <w:trHeight w:val="165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异型双层木屋平台</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1.规格尺寸：长2300*宽2300mm，4390mm（离地面）； （尺寸偏差在±5%以内）                                                                                                                                                                             </w:t>
            </w:r>
          </w:p>
        </w:tc>
      </w:tr>
      <w:tr>
        <w:tblPrEx>
          <w:tblCellMar>
            <w:top w:w="0" w:type="dxa"/>
            <w:left w:w="108" w:type="dxa"/>
            <w:bottom w:w="0" w:type="dxa"/>
            <w:right w:w="108" w:type="dxa"/>
          </w:tblCellMar>
        </w:tblPrEx>
        <w:trPr>
          <w:trHeight w:val="285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2.主体立柱：采用120mm*120mm，壁厚2.75mm热浸锌管，表面经除锈、抛光后经静电喷塑进行喷涂处理。工艺要求：表面粉末喷涂材料 采用低金属含量材质，烤漆工艺；满焊整体打磨。（尺寸偏差在±5%以内）       </w:t>
            </w:r>
          </w:p>
        </w:tc>
      </w:tr>
      <w:tr>
        <w:tblPrEx>
          <w:tblCellMar>
            <w:top w:w="0" w:type="dxa"/>
            <w:left w:w="108" w:type="dxa"/>
            <w:bottom w:w="0" w:type="dxa"/>
            <w:right w:w="108" w:type="dxa"/>
          </w:tblCellMar>
        </w:tblPrEx>
        <w:trPr>
          <w:trHeight w:val="20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3.钢结构框架：镀锌管截面120mm*120mm壁厚2.75mm；100mm*60mm壁厚2.0mm；截面 40*40mm，壁厚2.0mm；满焊整体打磨。（尺寸偏差在±5%以内） </w:t>
            </w:r>
          </w:p>
        </w:tc>
      </w:tr>
      <w:tr>
        <w:tblPrEx>
          <w:tblCellMar>
            <w:top w:w="0" w:type="dxa"/>
            <w:left w:w="108" w:type="dxa"/>
            <w:bottom w:w="0" w:type="dxa"/>
            <w:right w:w="108" w:type="dxa"/>
          </w:tblCellMar>
        </w:tblPrEx>
        <w:trPr>
          <w:trHeight w:val="20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r>
      <w:tr>
        <w:tblPrEx>
          <w:tblCellMar>
            <w:top w:w="0" w:type="dxa"/>
            <w:left w:w="108" w:type="dxa"/>
            <w:bottom w:w="0" w:type="dxa"/>
            <w:right w:w="108" w:type="dxa"/>
          </w:tblCellMar>
        </w:tblPrEx>
        <w:trPr>
          <w:trHeight w:val="210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r>
      <w:tr>
        <w:tblPrEx>
          <w:tblCellMar>
            <w:top w:w="0" w:type="dxa"/>
            <w:left w:w="108" w:type="dxa"/>
            <w:bottom w:w="0" w:type="dxa"/>
            <w:right w:w="108" w:type="dxa"/>
          </w:tblCellMar>
        </w:tblPrEx>
        <w:trPr>
          <w:trHeight w:val="112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坡度连桥</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 xml:space="preserve">规格尺寸：6100mm*1200mm，高3770mm（离地面）（尺寸偏差在±5%以内）                                                                                                                                                                                           </w:t>
            </w: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2.主体立柱：采用100mm*100mm，壁厚2.75mm热浸锌管，表面经除锈、抛光后经静电喷塑进行喷涂处理。工艺要求：表面粉末喷涂材料 采用低金属含量材质，烤漆工艺；满焊整体打磨。（尺寸偏差在±5%以内）    </w:t>
            </w: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3.钢结构框架：镀锌管截面100*60mm， 壁厚2.0mm；镀锌方管截面 40*40mm，壁厚2.0mm，满焊整体打磨。  （尺寸偏差在±5%以内）      </w:t>
            </w: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xml:space="preserve">mm，产品无刺激性气味，成品表面以及儿童手指可触及处无毛刺及尖锐的棱角；   （尺寸偏差在±5%以内）  </w:t>
            </w: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5.采用直径16mm航海船用高强度缆绳，中芯6股钢丝绳外套胶管，外层再覆以变色锦纶编织绳。网绳之间的宽间距150mm；覆盖加密网间距40mm。（尺寸偏差在±5%以内）</w:t>
            </w:r>
          </w:p>
        </w:tc>
      </w:tr>
      <w:tr>
        <w:tblPrEx>
          <w:tblCellMar>
            <w:top w:w="0" w:type="dxa"/>
            <w:left w:w="108" w:type="dxa"/>
            <w:bottom w:w="0" w:type="dxa"/>
            <w:right w:w="108" w:type="dxa"/>
          </w:tblCellMar>
        </w:tblPrEx>
        <w:trPr>
          <w:trHeight w:val="92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6.绳网扣采用铝合金材质，进行除锈处理</w:t>
            </w: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7.五金紧固件：采用半圆头内六角安全螺丝（M8-M12）、T型平头内六角螺丝（M8-M10）、圆球头盖帽螺丝帽（M8-M12）规格不等；表面处理：机械抛光亮光。</w:t>
            </w:r>
          </w:p>
        </w:tc>
      </w:tr>
      <w:tr>
        <w:tblPrEx>
          <w:tblCellMar>
            <w:top w:w="0" w:type="dxa"/>
            <w:left w:w="108" w:type="dxa"/>
            <w:bottom w:w="0" w:type="dxa"/>
            <w:right w:w="108" w:type="dxa"/>
          </w:tblCellMar>
        </w:tblPrEx>
        <w:trPr>
          <w:trHeight w:val="97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坡度连桥护栏</w:t>
            </w: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1.规格：长12200mm  高 1500mm    （尺寸偏差在±5%以内）   </w:t>
            </w:r>
          </w:p>
        </w:tc>
      </w:tr>
      <w:tr>
        <w:tblPrEx>
          <w:tblCellMar>
            <w:top w:w="0" w:type="dxa"/>
            <w:left w:w="108" w:type="dxa"/>
            <w:bottom w:w="0" w:type="dxa"/>
            <w:right w:w="108" w:type="dxa"/>
          </w:tblCellMar>
        </w:tblPrEx>
        <w:trPr>
          <w:trHeight w:val="363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r>
      <w:tr>
        <w:tblPrEx>
          <w:tblCellMar>
            <w:top w:w="0" w:type="dxa"/>
            <w:left w:w="108" w:type="dxa"/>
            <w:bottom w:w="0" w:type="dxa"/>
            <w:right w:w="108" w:type="dxa"/>
          </w:tblCellMar>
        </w:tblPrEx>
        <w:trPr>
          <w:trHeight w:val="2479"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螺丝要求一般工具无法松动，可预防任意调整功能满足本项目所有设备零件安装固定需要</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5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异型收纳柜</w:t>
            </w:r>
          </w:p>
        </w:tc>
        <w:tc>
          <w:tcPr>
            <w:tcW w:w="65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1.规格尺寸：9400*550*2400mm  （尺寸偏差在±5%以内）                                                                                               </w:t>
            </w:r>
          </w:p>
        </w:tc>
      </w:tr>
      <w:tr>
        <w:tblPrEx>
          <w:tblCellMar>
            <w:top w:w="0" w:type="dxa"/>
            <w:left w:w="108" w:type="dxa"/>
            <w:bottom w:w="0" w:type="dxa"/>
            <w:right w:w="108" w:type="dxa"/>
          </w:tblCellMar>
        </w:tblPrEx>
        <w:trPr>
          <w:trHeight w:val="5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 壁厚2.0mm，满焊整体打磨。 （尺寸偏差在±5%以内）</w:t>
            </w:r>
          </w:p>
        </w:tc>
      </w:tr>
      <w:tr>
        <w:tblPrEx>
          <w:tblCellMar>
            <w:top w:w="0" w:type="dxa"/>
            <w:left w:w="108" w:type="dxa"/>
            <w:bottom w:w="0" w:type="dxa"/>
            <w:right w:w="108" w:type="dxa"/>
          </w:tblCellMar>
        </w:tblPrEx>
        <w:trPr>
          <w:trHeight w:val="57"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65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r>
              <w:rPr>
                <w:rFonts w:hint="eastAsia" w:ascii="宋体" w:hAnsi="宋体" w:eastAsia="宋体" w:cs="宋体"/>
                <w:kern w:val="0"/>
                <w:sz w:val="21"/>
                <w:szCs w:val="21"/>
                <w:lang w:eastAsia="zh-CN"/>
              </w:rPr>
              <w:t>）</w:t>
            </w:r>
          </w:p>
        </w:tc>
      </w:tr>
    </w:tbl>
    <w:p>
      <w:pPr>
        <w:numPr>
          <w:ilvl w:val="0"/>
          <w:numId w:val="0"/>
        </w:numPr>
      </w:pPr>
    </w:p>
    <w:p>
      <w:pPr>
        <w:rPr>
          <w:sz w:val="24"/>
        </w:rPr>
      </w:pPr>
    </w:p>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both"/>
        <w:textAlignment w:val="auto"/>
        <w:outlineLvl w:val="2"/>
        <w:rPr>
          <w:sz w:val="28"/>
          <w:szCs w:val="28"/>
        </w:rPr>
      </w:pP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pStyle w:val="9"/>
        <w:rPr>
          <w:rFonts w:hint="eastAsia"/>
        </w:rPr>
      </w:pPr>
      <w:bookmarkStart w:id="15" w:name="_Hlk72257167"/>
    </w:p>
    <w:bookmarkEnd w:id="15"/>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ind w:firstLine="1200" w:firstLineChars="500"/>
        <w:outlineLvl w:val="0"/>
        <w:rPr>
          <w:rFonts w:ascii="宋体" w:hAnsi="宋体"/>
          <w:sz w:val="24"/>
        </w:rPr>
      </w:pPr>
      <w:bookmarkStart w:id="16" w:name="_Hlk72257771"/>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szCs w:val="21"/>
        </w:rPr>
      </w:pPr>
      <w:bookmarkStart w:id="19" w:name="_Hlk72257201"/>
      <w:r>
        <w:rPr>
          <w:rFonts w:hint="eastAsia"/>
          <w:szCs w:val="21"/>
        </w:rPr>
        <w:t>（</w:t>
      </w:r>
      <w:r>
        <w:rPr>
          <w:szCs w:val="21"/>
        </w:rPr>
        <w:t>4</w:t>
      </w:r>
      <w:r>
        <w:rPr>
          <w:rFonts w:hint="eastAsia"/>
          <w:szCs w:val="21"/>
        </w:rPr>
        <w:t>）项目详细报价</w:t>
      </w:r>
    </w:p>
    <w:bookmarkEnd w:id="19"/>
    <w:p>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）股东构成审查表</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6</w:t>
      </w:r>
      <w:r>
        <w:rPr>
          <w:rFonts w:hint="eastAsia"/>
          <w:szCs w:val="21"/>
          <w:lang w:eastAsia="zh-CN"/>
        </w:rPr>
        <w:t>）同类项目业绩</w:t>
      </w:r>
    </w:p>
    <w:p>
      <w:pPr>
        <w:ind w:left="718" w:leftChars="342" w:firstLine="1417" w:firstLineChars="675"/>
        <w:rPr>
          <w:rFonts w:hint="default"/>
          <w:szCs w:val="21"/>
          <w:lang w:val="en-US" w:eastAsia="zh-CN"/>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lang w:val="en-US" w:eastAsia="zh-CN"/>
        </w:rPr>
        <w:t>履约评价情况</w:t>
      </w:r>
    </w:p>
    <w:p>
      <w:pPr>
        <w:ind w:firstLine="1200" w:firstLineChars="500"/>
        <w:outlineLvl w:val="0"/>
        <w:rPr>
          <w:rFonts w:ascii="宋体" w:hAnsi="宋体"/>
          <w:sz w:val="24"/>
        </w:rPr>
      </w:pPr>
      <w:r>
        <w:rPr>
          <w:rFonts w:hint="eastAsia" w:ascii="宋体" w:hAnsi="宋体"/>
          <w:sz w:val="24"/>
        </w:rPr>
        <w:t>2.投标文件附件：主要包括以下内容：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rFonts w:hint="eastAsia" w:eastAsiaTheme="minorEastAsia"/>
          <w:szCs w:val="21"/>
          <w:lang w:eastAsia="zh-CN"/>
        </w:rPr>
      </w:pPr>
      <w:r>
        <w:rPr>
          <w:rFonts w:hint="eastAsia"/>
          <w:szCs w:val="21"/>
        </w:rPr>
        <w:t>（</w:t>
      </w:r>
      <w:r>
        <w:rPr>
          <w:rFonts w:hint="eastAsia"/>
          <w:szCs w:val="21"/>
          <w:lang w:val="en-US" w:eastAsia="zh-CN"/>
        </w:rPr>
        <w:t>6</w:t>
      </w:r>
      <w:r>
        <w:rPr>
          <w:rFonts w:hint="eastAsia"/>
          <w:szCs w:val="21"/>
        </w:rPr>
        <w:t>）</w:t>
      </w:r>
      <w:r>
        <w:rPr>
          <w:rFonts w:hint="eastAsia"/>
          <w:szCs w:val="21"/>
          <w:lang w:eastAsia="zh-CN"/>
        </w:rPr>
        <w:t>检测报告</w:t>
      </w:r>
    </w:p>
    <w:p>
      <w:pPr>
        <w:ind w:left="718" w:leftChars="342" w:firstLine="1417" w:firstLineChars="675"/>
        <w:rPr>
          <w:rFonts w:hint="eastAsia" w:eastAsiaTheme="minorEastAsia"/>
          <w:szCs w:val="21"/>
          <w:lang w:eastAsia="zh-CN"/>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投标人认为需要加以说明的其他内容</w:t>
      </w:r>
    </w:p>
    <w:p>
      <w:pPr>
        <w:pageBreakBefore w:val="0"/>
        <w:kinsoku/>
        <w:wordWrap/>
        <w:overflowPunct/>
        <w:topLinePunct w:val="0"/>
        <w:autoSpaceDE/>
        <w:autoSpaceDN/>
        <w:bidi w:val="0"/>
        <w:spacing w:line="320" w:lineRule="atLeast"/>
        <w:rPr>
          <w:rFonts w:ascii="宋体" w:hAnsi="宋体"/>
          <w:b/>
          <w:sz w:val="24"/>
          <w:szCs w:val="24"/>
        </w:rPr>
      </w:pPr>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4"/>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lang w:eastAsia="zh-CN"/>
        </w:rPr>
        <w:t>（</w:t>
      </w:r>
      <w:r>
        <w:rPr>
          <w:rFonts w:hint="eastAsia"/>
          <w:szCs w:val="21"/>
          <w:u w:val="thick"/>
        </w:rPr>
        <w:t>项目</w:t>
      </w:r>
      <w:r>
        <w:rPr>
          <w:rFonts w:hint="eastAsia"/>
          <w:szCs w:val="21"/>
          <w:u w:val="thick"/>
          <w:lang w:val="en-US" w:eastAsia="zh-CN"/>
        </w:rPr>
        <w:t>名称</w:t>
      </w:r>
      <w:r>
        <w:rPr>
          <w:rFonts w:hint="eastAsia"/>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firstLine="0" w:firstLineChars="0"/>
        <w:rPr>
          <w:rFonts w:ascii="宋体" w:hAnsi="宋体"/>
          <w:b/>
          <w:szCs w:val="21"/>
        </w:rPr>
      </w:pPr>
      <w:r>
        <w:rPr>
          <w:rFonts w:hint="eastAsia" w:ascii="宋体" w:hAnsi="宋体"/>
          <w:szCs w:val="21"/>
        </w:rPr>
        <w:t>6、我单位理解贵单位将不受必须接受所收到的最低报价或其它任何投标文件的约束。</w:t>
      </w:r>
      <w:bookmarkEnd w:id="22"/>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rPr>
      </w:pPr>
    </w:p>
    <w:p>
      <w:pPr>
        <w:ind w:left="420" w:leftChars="200" w:firstLine="210" w:firstLineChars="100"/>
        <w:rPr>
          <w:rFonts w:hint="eastAsia"/>
          <w:szCs w:val="21"/>
        </w:rPr>
      </w:pPr>
      <w:r>
        <w:rPr>
          <w:rFonts w:hint="eastAsia"/>
          <w:szCs w:val="21"/>
        </w:rPr>
        <w:t>投标人：</w:t>
      </w:r>
      <w:r>
        <w:rPr>
          <w:rFonts w:hint="eastAsia"/>
          <w:szCs w:val="21"/>
          <w:u w:val="thick"/>
        </w:rPr>
        <w:t xml:space="preserve">                   </w:t>
      </w:r>
      <w:r>
        <w:rPr>
          <w:rFonts w:hint="eastAsia"/>
          <w:szCs w:val="21"/>
        </w:rPr>
        <w:t xml:space="preserve">  </w:t>
      </w:r>
      <w:r>
        <w:rPr>
          <w:rFonts w:hint="eastAsia"/>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rPr>
        <w:t>单位地址：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bookmarkEnd w:id="21"/>
    <w:p>
      <w:pPr>
        <w:pStyle w:val="4"/>
        <w:jc w:val="center"/>
        <w:rPr>
          <w:rFonts w:ascii="黑体" w:eastAsia="黑体"/>
          <w:b w:val="0"/>
          <w:sz w:val="24"/>
        </w:rPr>
      </w:pPr>
      <w:r>
        <w:rPr>
          <w:rFonts w:hint="eastAsia" w:ascii="黑体" w:eastAsia="黑体"/>
          <w:b w:val="0"/>
          <w:sz w:val="24"/>
        </w:rPr>
        <w:t>二、政府采购投标及履约承诺函</w:t>
      </w:r>
    </w:p>
    <w:p>
      <w:pPr>
        <w:rPr>
          <w:rFonts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 w:val="0"/>
          <w:bCs/>
          <w:szCs w:val="21"/>
        </w:rPr>
        <w:t>1.我单位参与本项目所投标（响应）的货物、工程或服务，不存在侵犯知识产权的情况。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eastAsia="宋体"/>
          <w:lang w:val="en-US"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val="en-US" w:eastAsia="zh-CN"/>
        </w:rPr>
        <w:t xml:space="preserve"> </w:t>
      </w:r>
    </w:p>
    <w:p>
      <w:pPr>
        <w:ind w:firstLine="420" w:firstLineChars="200"/>
        <w:rPr>
          <w:rFonts w:hint="default" w:eastAsia="宋体"/>
          <w:color w:val="FF0000"/>
          <w:lang w:val="en-US" w:eastAsia="zh-CN"/>
        </w:rPr>
      </w:pPr>
      <w:r>
        <w:rPr>
          <w:rFonts w:hint="eastAsia"/>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bookmarkStart w:id="26" w:name="_Hlk72587269"/>
      <w:bookmarkStart w:id="27"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6"/>
      <w:r>
        <w:rPr>
          <w:rFonts w:hint="eastAsia" w:ascii="宋体" w:hAnsi="宋体"/>
          <w:szCs w:val="21"/>
        </w:rPr>
        <w:t>。</w:t>
      </w:r>
    </w:p>
    <w:bookmarkEnd w:id="27"/>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lang w:eastAsia="zh-CN"/>
        </w:rPr>
        <w:t>（</w:t>
      </w:r>
      <w:r>
        <w:rPr>
          <w:rFonts w:hint="eastAsia"/>
        </w:rPr>
        <w:t>财库〔2023〕7号）</w:t>
      </w:r>
      <w:r>
        <w:rPr>
          <w:rFonts w:hint="eastAsia"/>
          <w:lang w:val="en-US" w:eastAsia="zh-CN"/>
        </w:rPr>
        <w:t>要求。若所投产品涉及国家强制性标准的，所投产品应符合国家强制性标准相关要求。</w:t>
      </w:r>
    </w:p>
    <w:p>
      <w:pPr>
        <w:ind w:firstLine="420" w:firstLineChars="200"/>
        <w:rPr>
          <w:rFonts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eastAsia="宋体" w:cs="宋体"/>
          <w:b/>
          <w:color w:val="FF0000"/>
          <w:kern w:val="0"/>
          <w:szCs w:val="21"/>
          <w:lang w:eastAsia="zh-CN"/>
        </w:rPr>
      </w:pPr>
      <w:r>
        <w:rPr>
          <w:rFonts w:hint="eastAsia" w:ascii="宋体" w:hAnsi="宋体"/>
          <w:b w:val="0"/>
          <w:bCs/>
        </w:rPr>
        <w:t>1</w:t>
      </w:r>
      <w:r>
        <w:rPr>
          <w:rFonts w:hint="eastAsia" w:ascii="宋体" w:hAnsi="宋体"/>
          <w:b w:val="0"/>
          <w:bCs/>
          <w:lang w:val="en-US" w:eastAsia="zh-CN"/>
        </w:rPr>
        <w:t>3</w:t>
      </w:r>
      <w:r>
        <w:rPr>
          <w:rFonts w:ascii="宋体" w:hAnsi="宋体"/>
          <w:b w:val="0"/>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hint="default" w:ascii="宋体" w:hAnsi="宋体"/>
          <w:b/>
          <w:szCs w:val="21"/>
          <w:lang w:val="en-US"/>
        </w:rPr>
      </w:pPr>
      <w:r>
        <w:rPr>
          <w:rFonts w:hint="eastAsia" w:ascii="宋体" w:hAnsi="宋体"/>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bookmarkEnd w:id="25"/>
    <w:p>
      <w:pPr>
        <w:spacing w:before="60" w:beforeLines="25" w:after="60" w:afterLines="25"/>
        <w:jc w:val="right"/>
        <w:rPr>
          <w:rFonts w:hint="eastAsia" w:eastAsia="宋体"/>
          <w:color w:val="FF0000"/>
          <w:u w:val="none"/>
          <w:lang w:eastAsia="zh-CN"/>
        </w:rPr>
      </w:pPr>
      <w:r>
        <w:rPr>
          <w:rFonts w:hint="eastAsia"/>
          <w:color w:val="FF0000"/>
          <w:szCs w:val="21"/>
        </w:rPr>
        <w:t>投标人</w:t>
      </w:r>
      <w:r>
        <w:rPr>
          <w:rFonts w:hint="eastAsia"/>
          <w:color w:val="FF0000"/>
          <w:szCs w:val="21"/>
          <w:u w:val="none"/>
        </w:rPr>
        <w:t>：</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color w:val="FF0000"/>
          <w:szCs w:val="21"/>
          <w:u w:val="none"/>
          <w:lang w:val="en-US" w:eastAsia="zh-CN"/>
        </w:rPr>
        <w:t>.</w:t>
      </w:r>
    </w:p>
    <w:p>
      <w:pPr>
        <w:jc w:val="right"/>
        <w:rPr>
          <w:rFonts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日</w:t>
      </w:r>
    </w:p>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pStyle w:val="4"/>
        <w:jc w:val="center"/>
        <w:rPr>
          <w:rFonts w:ascii="黑体" w:eastAsia="黑体"/>
          <w:b w:val="0"/>
          <w:sz w:val="24"/>
          <w:szCs w:val="24"/>
        </w:rPr>
      </w:pPr>
      <w:r>
        <w:rPr>
          <w:rFonts w:hint="eastAsia" w:ascii="黑体" w:eastAsia="黑体"/>
          <w:b w:val="0"/>
          <w:sz w:val="24"/>
          <w:szCs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其中要求提供《政府采购投标及履约承诺函》且已在“二、政府采购投标及履约承诺函”章节中提供了，此处可不重复提供</w:t>
      </w:r>
      <w:r>
        <w:rPr>
          <w:rFonts w:hint="eastAsia"/>
          <w:b/>
          <w:bCs/>
          <w:color w:val="FF0000"/>
        </w:rPr>
        <w:t>。）</w:t>
      </w:r>
    </w:p>
    <w:p>
      <w:pPr>
        <w:rPr>
          <w:b/>
          <w:bCs/>
          <w:sz w:val="24"/>
        </w:rPr>
      </w:pPr>
    </w:p>
    <w:p>
      <w:pPr>
        <w:ind w:firstLine="480" w:firstLineChars="200"/>
        <w:outlineLvl w:val="3"/>
        <w:rPr>
          <w:rFonts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p>
    <w:bookmarkEnd w:id="28"/>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r>
        <w:rPr>
          <w:rFonts w:hint="eastAsia" w:ascii="黑体" w:hAnsi="黑体" w:eastAsia="黑体"/>
          <w:color w:val="FF0000"/>
          <w:szCs w:val="21"/>
          <w:lang w:eastAsia="zh-CN"/>
        </w:rPr>
        <w:t>；</w:t>
      </w:r>
    </w:p>
    <w:p>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(3)《统计上大中小微型企业划分办法(2017)》（国统字〔2017〕213 号）</w:t>
      </w:r>
      <w:r>
        <w:rPr>
          <w:rFonts w:hint="eastAsia" w:ascii="黑体" w:hAnsi="黑体" w:eastAsia="黑体"/>
          <w:color w:val="FF0000"/>
          <w:szCs w:val="21"/>
          <w:lang w:eastAsia="zh-CN"/>
        </w:rPr>
        <w:t>；</w:t>
      </w:r>
    </w:p>
    <w:p>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(4)《关于促进残疾人就业政府采购政策的通知》（财库〔2017〕141号）</w:t>
      </w:r>
      <w:r>
        <w:rPr>
          <w:rFonts w:hint="eastAsia" w:ascii="黑体" w:hAnsi="黑体" w:eastAsia="黑体"/>
          <w:color w:val="FF0000"/>
          <w:szCs w:val="21"/>
          <w:lang w:eastAsia="zh-CN"/>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p>
      <w:pPr>
        <w:numPr>
          <w:ilvl w:val="0"/>
          <w:numId w:val="7"/>
        </w:numPr>
        <w:jc w:val="center"/>
        <w:outlineLvl w:val="3"/>
        <w:rPr>
          <w:b/>
          <w:sz w:val="24"/>
        </w:rPr>
      </w:pPr>
      <w:r>
        <w:rPr>
          <w:b/>
          <w:sz w:val="24"/>
        </w:rPr>
        <w:t>中小企业声明函（货物）</w:t>
      </w:r>
    </w:p>
    <w:p>
      <w:pPr>
        <w:pStyle w:val="9"/>
        <w:widowControl w:val="0"/>
        <w:numPr>
          <w:ilvl w:val="0"/>
          <w:numId w:val="0"/>
        </w:numPr>
        <w:spacing w:line="360" w:lineRule="auto"/>
        <w:jc w:val="both"/>
      </w:pPr>
    </w:p>
    <w:p>
      <w:pPr>
        <w:pStyle w:val="1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pPr>
        <w:pStyle w:val="1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1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13"/>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pStyle w:val="13"/>
        <w:ind w:firstLine="420" w:firstLineChars="20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30" w:name="_Hlk73562203"/>
      <w:r>
        <w:rPr>
          <w:rFonts w:hint="eastAsia" w:asciiTheme="minorEastAsia" w:hAnsiTheme="minorEastAsia" w:eastAsiaTheme="minorEastAsia" w:cstheme="minorEastAsia"/>
          <w:kern w:val="2"/>
          <w:sz w:val="21"/>
          <w:szCs w:val="21"/>
          <w:lang w:val="en-US" w:eastAsia="zh-CN" w:bidi="ar-SA"/>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pPr>
        <w:ind w:firstLine="420" w:firstLineChars="200"/>
        <w:outlineLvl w:val="3"/>
        <w:rPr>
          <w:rFonts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31" w:name="_Hlk73562331"/>
      <w:bookmarkStart w:id="32" w:name="_Hlk73562245"/>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31"/>
    </w:p>
    <w:bookmarkEnd w:id="32"/>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heme="minorBidi"/>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1.</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2.</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hAnsi="宋体"/>
          <w:sz w:val="21"/>
          <w:szCs w:val="21"/>
        </w:rPr>
      </w:pP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cstheme="minorBidi"/>
          <w:sz w:val="21"/>
          <w:szCs w:val="21"/>
        </w:rPr>
        <w:t>本</w:t>
      </w:r>
      <w:r>
        <w:rPr>
          <w:rFonts w:hint="eastAsia" w:ascii="宋体" w:hAnsi="宋体" w:cstheme="minorBidi"/>
          <w:sz w:val="21"/>
          <w:szCs w:val="21"/>
        </w:rPr>
        <w:t>投标人</w:t>
      </w:r>
      <w:r>
        <w:rPr>
          <w:rFonts w:ascii="宋体" w:hAnsi="宋体"/>
          <w:sz w:val="21"/>
          <w:szCs w:val="21"/>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color w:val="FF0000"/>
          <w:sz w:val="21"/>
          <w:szCs w:val="21"/>
        </w:rPr>
      </w:pPr>
      <w:r>
        <w:rPr>
          <w:rFonts w:hint="eastAsia" w:ascii="宋体" w:hAnsi="宋体"/>
          <w:sz w:val="21"/>
          <w:szCs w:val="21"/>
        </w:rPr>
        <w:t>附：省级以上监狱管理局、戒毒管理局（含新疆生产建设兵团）出具的监狱企业证明文件。</w:t>
      </w:r>
      <w:bookmarkEnd w:id="29"/>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黑体" w:eastAsia="黑体"/>
          <w:b w:val="0"/>
          <w:sz w:val="24"/>
          <w:szCs w:val="24"/>
          <w:lang w:eastAsia="zh-CN"/>
        </w:rPr>
        <w:t>四</w:t>
      </w:r>
      <w:r>
        <w:rPr>
          <w:rFonts w:hint="eastAsia" w:ascii="黑体" w:eastAsia="黑体"/>
          <w:b w:val="0"/>
          <w:sz w:val="24"/>
          <w:szCs w:val="24"/>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374"/>
        <w:gridCol w:w="537"/>
        <w:gridCol w:w="653"/>
        <w:gridCol w:w="741"/>
        <w:gridCol w:w="526"/>
        <w:gridCol w:w="716"/>
        <w:gridCol w:w="426"/>
        <w:gridCol w:w="1206"/>
        <w:gridCol w:w="63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389"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27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2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385"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c>
          <w:tcPr>
            <w:tcW w:w="519"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rPr>
            </w:pPr>
            <w:r>
              <w:rPr>
                <w:rFonts w:hint="eastAsia" w:ascii="Times New Roman" w:hAnsi="Times New Roman" w:eastAsia="宋体" w:cs="Times New Roman"/>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拱门</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7,600.00 </w:t>
            </w:r>
          </w:p>
        </w:tc>
        <w:tc>
          <w:tcPr>
            <w:tcW w:w="516" w:type="pct"/>
          </w:tcPr>
          <w:p>
            <w:pPr>
              <w:spacing w:afterLines="25" w:line="300" w:lineRule="auto"/>
              <w:rPr>
                <w:rFonts w:ascii="Arial" w:hAnsi="Arial" w:eastAsia="宋体" w:cs="Times New Roman"/>
                <w:szCs w:val="24"/>
              </w:rPr>
            </w:pPr>
          </w:p>
        </w:tc>
        <w:tc>
          <w:tcPr>
            <w:tcW w:w="519" w:type="pct"/>
            <w:vMerge w:val="restart"/>
          </w:tcPr>
          <w:p>
            <w:pPr>
              <w:spacing w:afterLines="25" w:line="300" w:lineRule="auto"/>
              <w:rPr>
                <w:rFonts w:hint="default" w:ascii="Arial" w:hAnsi="Arial" w:eastAsia="宋体" w:cs="Times New Roman"/>
                <w:szCs w:val="24"/>
                <w:lang w:val="en-US" w:eastAsia="zh-CN"/>
              </w:rPr>
            </w:pPr>
            <w:r>
              <w:rPr>
                <w:rFonts w:hint="eastAsia" w:ascii="Arial" w:hAnsi="Arial" w:eastAsia="宋体" w:cs="Times New Roman"/>
                <w:szCs w:val="24"/>
                <w:lang w:val="en-US" w:eastAsia="zh-CN"/>
              </w:rPr>
              <w:t>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攀爬钻笼</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36,000.00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耐力防护板</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53.5</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垂直落地攀爬钻笼</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5</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连桥</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26,300.00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6</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连桥护栏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9.5</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7</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轮胎荡桥</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7,950.00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8</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圆形大平台</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11.04</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9</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圆形平台护栏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11.8</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吊板</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11</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传声筒</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4,960.00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12</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圆平台垂直钻笼</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18,000.00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13</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爬网长廊</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38,600.00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14</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爬网长廊护栏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15</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木质条板荡桥</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11,800.00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16</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高低组合攀爬</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9,800.00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17</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大平台</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51.5</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18</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大平台护栏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27.8</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19</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操作游戏墙面</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20</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操作材料</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21</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建构游戏墙面</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22</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建构玩具</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1,250.00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23</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躲藏木屋</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28,500.00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24</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储物柜</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2,150.00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25</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上下攀爬网桶</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23,500.00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26</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楼梯</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13,600.00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27</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楼梯扶手</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7.8</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28</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展示台</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6.44</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2,800.00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29</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收纳柜</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8,659.00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30</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科技探索墙面</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6.9</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平方米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31</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探索玩具</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10</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1,100.00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32</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格栅景观墙</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6,500.00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33</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检修暗门</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2</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34</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小连廊</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7,650.00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35</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小连廊护栏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4.1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36</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双层观察屋</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30,500.00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37</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设备间暗门</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个</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2,600.00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38</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休息凳</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4,100.00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39</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s型滑桶</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7,860.00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40</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直行攀爬网桶</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12,000.00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41</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异型双层木屋平台</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31,500.00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42</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坡度连桥</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套</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32,000.00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43</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坡度连桥护栏</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12.2</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米</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960.00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2" w:type="pct"/>
            <w:vAlign w:val="center"/>
          </w:tcPr>
          <w:p>
            <w:pPr>
              <w:widowControl/>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rPr>
              <w:t>44</w:t>
            </w:r>
          </w:p>
        </w:tc>
        <w:tc>
          <w:tcPr>
            <w:tcW w:w="890"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异型收纳柜</w:t>
            </w:r>
          </w:p>
        </w:tc>
        <w:tc>
          <w:tcPr>
            <w:tcW w:w="398" w:type="pct"/>
          </w:tcPr>
          <w:p>
            <w:pPr>
              <w:spacing w:afterLines="25" w:line="300" w:lineRule="auto"/>
              <w:rPr>
                <w:rFonts w:ascii="Arial" w:hAnsi="Arial" w:eastAsia="宋体" w:cs="Times New Roman"/>
                <w:szCs w:val="24"/>
              </w:rPr>
            </w:pPr>
          </w:p>
        </w:tc>
        <w:tc>
          <w:tcPr>
            <w:tcW w:w="466" w:type="pct"/>
          </w:tcPr>
          <w:p>
            <w:pPr>
              <w:spacing w:afterLines="25" w:line="300" w:lineRule="auto"/>
              <w:rPr>
                <w:rFonts w:ascii="Arial" w:hAnsi="Arial" w:eastAsia="宋体" w:cs="Times New Roman"/>
                <w:szCs w:val="24"/>
              </w:rPr>
            </w:pPr>
          </w:p>
        </w:tc>
        <w:tc>
          <w:tcPr>
            <w:tcW w:w="518" w:type="pct"/>
          </w:tcPr>
          <w:p>
            <w:pPr>
              <w:spacing w:afterLines="25" w:line="300" w:lineRule="auto"/>
              <w:rPr>
                <w:rFonts w:ascii="Arial" w:hAnsi="Arial" w:eastAsia="宋体" w:cs="Times New Roman"/>
                <w:szCs w:val="24"/>
              </w:rPr>
            </w:pPr>
          </w:p>
        </w:tc>
        <w:tc>
          <w:tcPr>
            <w:tcW w:w="389" w:type="pct"/>
          </w:tcPr>
          <w:p>
            <w:pPr>
              <w:spacing w:afterLines="25" w:line="300" w:lineRule="auto"/>
              <w:rPr>
                <w:rFonts w:ascii="Arial" w:hAnsi="Arial" w:eastAsia="宋体" w:cs="Times New Roman"/>
                <w:szCs w:val="24"/>
              </w:rPr>
            </w:pP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1</w:t>
            </w:r>
          </w:p>
        </w:tc>
        <w:tc>
          <w:tcPr>
            <w:tcW w:w="271" w:type="pct"/>
            <w:vAlign w:val="center"/>
          </w:tcPr>
          <w:p>
            <w:pPr>
              <w:widowControl/>
              <w:jc w:val="center"/>
              <w:rPr>
                <w:rFonts w:ascii="宋体" w:hAnsi="宋体" w:cs="宋体" w:eastAsiaTheme="minorEastAsia"/>
                <w:kern w:val="0"/>
                <w:sz w:val="20"/>
                <w:szCs w:val="20"/>
                <w:lang w:val="en-US" w:eastAsia="zh-CN" w:bidi="ar-SA"/>
              </w:rPr>
            </w:pPr>
            <w:r>
              <w:rPr>
                <w:rFonts w:hint="eastAsia" w:ascii="宋体" w:hAnsi="宋体" w:cs="宋体"/>
                <w:kern w:val="0"/>
                <w:sz w:val="20"/>
                <w:szCs w:val="20"/>
              </w:rPr>
              <w:t>组</w:t>
            </w:r>
          </w:p>
        </w:tc>
        <w:tc>
          <w:tcPr>
            <w:tcW w:w="385" w:type="pct"/>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rPr>
              <w:t xml:space="preserve">18,600.00 </w:t>
            </w:r>
          </w:p>
        </w:tc>
        <w:tc>
          <w:tcPr>
            <w:tcW w:w="516" w:type="pct"/>
          </w:tcPr>
          <w:p>
            <w:pPr>
              <w:spacing w:afterLines="25" w:line="300" w:lineRule="auto"/>
              <w:rPr>
                <w:rFonts w:ascii="Arial" w:hAnsi="Arial" w:eastAsia="宋体" w:cs="Times New Roman"/>
                <w:szCs w:val="24"/>
              </w:rPr>
            </w:pPr>
          </w:p>
        </w:tc>
        <w:tc>
          <w:tcPr>
            <w:tcW w:w="519"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36" w:type="pct"/>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1963" w:type="pct"/>
            <w:gridSpan w:val="5"/>
          </w:tcPr>
          <w:p>
            <w:pPr>
              <w:spacing w:afterLines="25" w:line="300" w:lineRule="auto"/>
              <w:rPr>
                <w:rFonts w:ascii="Arial" w:hAnsi="Arial" w:eastAsia="宋体" w:cs="Times New Roman"/>
                <w:szCs w:val="24"/>
              </w:rPr>
            </w:pPr>
            <w:r>
              <w:rPr>
                <w:rFonts w:hint="eastAsia" w:ascii="Arial" w:hAnsi="Arial" w:eastAsia="宋体" w:cs="Times New Roman"/>
                <w:szCs w:val="24"/>
                <w:lang w:val="en-US" w:eastAsia="zh-CN"/>
              </w:rPr>
              <w:t>840000.00</w:t>
            </w: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33"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33"/>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34" w:name="_Hlk72074795"/>
      <w:r>
        <w:rPr>
          <w:rFonts w:hint="eastAsia" w:cs="Times New Roman" w:asciiTheme="minorEastAsia" w:hAnsiTheme="minorEastAsia"/>
          <w:b/>
          <w:szCs w:val="24"/>
        </w:rPr>
        <w:t>“原产地”是指该货物的实际生产加工地，而非品牌所在地</w:t>
      </w:r>
      <w:bookmarkEnd w:id="34"/>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b/>
          <w:bCs/>
          <w:color w:val="FF0000"/>
          <w:sz w:val="24"/>
        </w:rPr>
        <w:t>★</w:t>
      </w:r>
      <w:r>
        <w:rPr>
          <w:rFonts w:hint="eastAsia" w:ascii="黑体" w:eastAsia="黑体"/>
          <w:sz w:val="24"/>
          <w:szCs w:val="24"/>
        </w:rPr>
        <w:t>五、股东构成审查表</w:t>
      </w:r>
    </w:p>
    <w:p>
      <w:pPr>
        <w:pStyle w:val="4"/>
        <w:numPr>
          <w:ilvl w:val="0"/>
          <w:numId w:val="8"/>
        </w:numPr>
        <w:spacing w:before="0" w:after="0" w:line="360" w:lineRule="auto"/>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提供投标人所在地的市场监督管理部门“商事登记簿查询（商事主体登记及备案信息查询）”查询截图；参考示例“深圳市市场监督管理局——商事登记簿查询（商事主体登记及备案信息查询）：</w:t>
      </w:r>
      <w:r>
        <w:rPr>
          <w:rFonts w:hint="eastAsia" w:ascii="Times New Roman" w:hAnsi="Times New Roman" w:cs="Times New Roman"/>
          <w:b w:val="0"/>
          <w:bCs w:val="0"/>
          <w:sz w:val="21"/>
          <w:szCs w:val="24"/>
          <w:lang w:val="en-US" w:eastAsia="zh-CN"/>
        </w:rPr>
        <w:fldChar w:fldCharType="begin"/>
      </w:r>
      <w:r>
        <w:rPr>
          <w:rFonts w:hint="eastAsia" w:ascii="Times New Roman" w:hAnsi="Times New Roman" w:cs="Times New Roman"/>
          <w:b w:val="0"/>
          <w:bCs w:val="0"/>
          <w:sz w:val="21"/>
          <w:szCs w:val="24"/>
          <w:lang w:val="en-US" w:eastAsia="zh-CN"/>
        </w:rPr>
        <w:instrText xml:space="preserve"> HYPERLINK "https://amr.sz.gov.cn/outer/entSelect/gs.html\”。" </w:instrText>
      </w:r>
      <w:r>
        <w:rPr>
          <w:rFonts w:hint="eastAsia" w:ascii="Times New Roman" w:hAnsi="Times New Roman" w:cs="Times New Roman"/>
          <w:b w:val="0"/>
          <w:bCs w:val="0"/>
          <w:sz w:val="21"/>
          <w:szCs w:val="24"/>
          <w:lang w:val="en-US" w:eastAsia="zh-CN"/>
        </w:rPr>
        <w:fldChar w:fldCharType="separate"/>
      </w:r>
      <w:r>
        <w:rPr>
          <w:rStyle w:val="21"/>
          <w:rFonts w:hint="eastAsia" w:ascii="Times New Roman" w:hAnsi="Times New Roman" w:cs="Times New Roman"/>
          <w:b w:val="0"/>
          <w:bCs w:val="0"/>
          <w:sz w:val="21"/>
          <w:szCs w:val="24"/>
          <w:lang w:val="en-US" w:eastAsia="zh-CN"/>
        </w:rPr>
        <w:t>https://amr.sz.gov.cn/outer/entSelect/gs.html”。</w:t>
      </w:r>
      <w:r>
        <w:rPr>
          <w:rFonts w:hint="eastAsia" w:ascii="Times New Roman" w:hAnsi="Times New Roman" w:cs="Times New Roman"/>
          <w:b w:val="0"/>
          <w:bCs w:val="0"/>
          <w:sz w:val="21"/>
          <w:szCs w:val="24"/>
          <w:lang w:val="en-US" w:eastAsia="zh-CN"/>
        </w:rPr>
        <w:fldChar w:fldCharType="end"/>
      </w:r>
    </w:p>
    <w:p>
      <w:pPr>
        <w:numPr>
          <w:ilvl w:val="0"/>
          <w:numId w:val="0"/>
        </w:numPr>
        <w:rPr>
          <w:rFonts w:hint="eastAsia" w:eastAsiaTheme="minorEastAsia"/>
          <w:b/>
          <w:bCs/>
          <w:color w:val="FF0000"/>
          <w:highlight w:val="yellow"/>
          <w:lang w:val="en-US" w:eastAsia="zh-CN"/>
        </w:rPr>
      </w:pPr>
      <w:r>
        <w:rPr>
          <w:rFonts w:hint="eastAsia"/>
          <w:b/>
          <w:bCs/>
          <w:color w:val="FF0000"/>
          <w:highlight w:val="yellow"/>
          <w:lang w:val="en-US" w:eastAsia="zh-CN"/>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lang w:eastAsia="zh-CN"/>
        </w:rPr>
        <w:t>，</w:t>
      </w:r>
      <w:r>
        <w:rPr>
          <w:rFonts w:ascii="宋体" w:hAnsi="宋体"/>
          <w:b/>
          <w:bCs/>
          <w:color w:val="FF0000"/>
          <w:highlight w:val="yellow"/>
        </w:rPr>
        <w:t>或者存在直接控股、</w:t>
      </w:r>
      <w:r>
        <w:rPr>
          <w:rFonts w:hint="eastAsia" w:ascii="宋体" w:hAnsi="宋体"/>
          <w:b/>
          <w:bCs/>
          <w:color w:val="FF0000"/>
          <w:highlight w:val="yellow"/>
          <w:lang w:eastAsia="zh-CN"/>
        </w:rPr>
        <w:t>间接控股、</w:t>
      </w:r>
      <w:r>
        <w:rPr>
          <w:rFonts w:ascii="宋体" w:hAnsi="宋体"/>
          <w:b/>
          <w:bCs/>
          <w:color w:val="FF0000"/>
          <w:highlight w:val="yellow"/>
        </w:rPr>
        <w:t>管理关系</w:t>
      </w:r>
      <w:r>
        <w:rPr>
          <w:rFonts w:hint="eastAsia" w:ascii="宋体" w:hAnsi="宋体"/>
          <w:b/>
          <w:bCs/>
          <w:color w:val="FF0000"/>
          <w:highlight w:val="yellow"/>
          <w:lang w:eastAsia="zh-CN"/>
        </w:rPr>
        <w:t>等情形，将被纳入交易监管平台产生示警信息，由此产生的负面影响，由投标人自行承担。</w:t>
      </w:r>
    </w:p>
    <w:p>
      <w:pPr>
        <w:rPr>
          <w:rFonts w:hint="default"/>
          <w:lang w:val="en-US" w:eastAsia="zh-CN"/>
        </w:rPr>
      </w:pPr>
    </w:p>
    <w:p>
      <w:pPr>
        <w:pStyle w:val="4"/>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lang w:val="en-US" w:eastAsia="zh-CN"/>
        </w:rPr>
        <w:t>2、股东构成审查表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ascii="宋体" w:hAnsi="宋体" w:cs="Segoe UI Symbol"/>
                <w:color w:val="000000"/>
                <w:kern w:val="0"/>
                <w:szCs w:val="21"/>
              </w:rPr>
            </w:pPr>
            <w:r>
              <w:rPr>
                <w:rFonts w:hint="eastAsia" w:ascii="宋体" w:hAnsi="宋体" w:cs="Segoe UI Symbol"/>
                <w:color w:val="000000"/>
                <w:kern w:val="0"/>
                <w:szCs w:val="21"/>
              </w:rPr>
              <w:t>□否</w:t>
            </w:r>
          </w:p>
        </w:tc>
      </w:tr>
    </w:tbl>
    <w:p>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注：</w:t>
      </w:r>
    </w:p>
    <w:p>
      <w:pPr>
        <w:autoSpaceDE w:val="0"/>
        <w:autoSpaceDN w:val="0"/>
        <w:adjustRightInd w:val="0"/>
        <w:snapToGrid w:val="0"/>
        <w:jc w:val="left"/>
        <w:rPr>
          <w:rFonts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jc w:val="left"/>
        <w:rPr>
          <w:rFonts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pPr>
        <w:widowControl/>
        <w:jc w:val="left"/>
        <w:rPr>
          <w:rFonts w:hint="eastAsia" w:ascii="Arial" w:hAnsi="Arial" w:eastAsia="宋体" w:cs="Times New Roman"/>
          <w:b/>
          <w:sz w:val="24"/>
          <w:szCs w:val="24"/>
        </w:rPr>
      </w:pPr>
    </w:p>
    <w:p>
      <w:pPr>
        <w:rPr>
          <w:rFonts w:hint="eastAsia" w:ascii="宋体" w:hAnsi="宋体"/>
        </w:rPr>
      </w:pPr>
      <w:r>
        <w:t xml:space="preserve">     </w:t>
      </w:r>
    </w:p>
    <w:p>
      <w:pPr>
        <w:rPr>
          <w:rFonts w:hint="eastAsia" w:ascii="宋体" w:hAnsi="宋体"/>
        </w:rPr>
      </w:pPr>
    </w:p>
    <w:p>
      <w:pPr>
        <w:rPr>
          <w:rFonts w:hint="eastAsia" w:ascii="宋体" w:hAnsi="宋体"/>
        </w:rPr>
      </w:pPr>
    </w:p>
    <w:p>
      <w:pPr>
        <w:jc w:val="center"/>
        <w:rPr>
          <w:rFonts w:hint="eastAsia" w:ascii="宋体" w:hAnsi="宋体" w:eastAsia="黑体" w:cs="Times New Roman"/>
          <w:b/>
          <w:bCs/>
          <w:kern w:val="0"/>
          <w:sz w:val="24"/>
          <w:szCs w:val="20"/>
          <w:lang w:eastAsia="zh-CN"/>
        </w:rPr>
      </w:pPr>
      <w:r>
        <w:rPr>
          <w:rFonts w:hint="eastAsia" w:ascii="黑体" w:eastAsia="黑体"/>
          <w:b w:val="0"/>
          <w:sz w:val="24"/>
          <w:szCs w:val="24"/>
          <w:lang w:val="en-US" w:eastAsia="zh-CN"/>
        </w:rPr>
        <w:t>六</w:t>
      </w:r>
      <w:r>
        <w:rPr>
          <w:rFonts w:hint="eastAsia" w:ascii="黑体" w:eastAsia="黑体"/>
          <w:b w:val="0"/>
          <w:sz w:val="24"/>
          <w:szCs w:val="24"/>
        </w:rPr>
        <w:t>、</w:t>
      </w:r>
      <w:r>
        <w:rPr>
          <w:rFonts w:hint="eastAsia" w:ascii="宋体" w:hAnsi="宋体" w:eastAsia="宋体" w:cs="Times New Roman"/>
          <w:b/>
          <w:bCs/>
          <w:kern w:val="0"/>
          <w:sz w:val="24"/>
          <w:szCs w:val="20"/>
          <w:lang w:eastAsia="zh-CN"/>
        </w:rPr>
        <w:t>同类项目业绩</w:t>
      </w:r>
    </w:p>
    <w:p/>
    <w:p>
      <w:pPr>
        <w:widowControl/>
        <w:jc w:val="center"/>
        <w:rPr>
          <w:rFonts w:hint="eastAsia" w:ascii="Arial" w:hAnsi="Arial" w:eastAsia="宋体" w:cs="Times New Roman"/>
          <w:b/>
          <w:sz w:val="24"/>
          <w:szCs w:val="24"/>
        </w:rPr>
      </w:pPr>
    </w:p>
    <w:p>
      <w:pPr>
        <w:widowControl/>
        <w:jc w:val="center"/>
        <w:rPr>
          <w:rFonts w:hint="eastAsia" w:ascii="Arial" w:hAnsi="Arial" w:eastAsia="宋体" w:cs="Times New Roman"/>
          <w:b/>
          <w:sz w:val="24"/>
          <w:szCs w:val="24"/>
        </w:rPr>
      </w:pPr>
    </w:p>
    <w:p>
      <w:pPr>
        <w:widowControl/>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widowControl/>
        <w:jc w:val="center"/>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4"/>
        <w:jc w:val="center"/>
        <w:rPr>
          <w:rFonts w:ascii="黑体" w:eastAsia="黑体"/>
          <w:b w:val="0"/>
          <w:sz w:val="24"/>
        </w:rPr>
      </w:pPr>
      <w:r>
        <w:rPr>
          <w:rFonts w:hint="eastAsia" w:ascii="黑体" w:eastAsia="黑体"/>
          <w:b w:val="0"/>
          <w:sz w:val="24"/>
        </w:rPr>
        <w:t>一、</w:t>
      </w:r>
      <w:bookmarkStart w:id="35" w:name="_Hlk72092499"/>
      <w:r>
        <w:rPr>
          <w:rFonts w:hint="eastAsia" w:ascii="黑体" w:eastAsia="黑体"/>
          <w:b w:val="0"/>
          <w:sz w:val="24"/>
        </w:rPr>
        <w:t>法定代表人（负责人）证明书</w:t>
      </w:r>
      <w:bookmarkEnd w:id="35"/>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9"/>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9"/>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3"/>
              <w:jc w:val="center"/>
              <w:rPr>
                <w:rFonts w:hint="eastAsia"/>
                <w:sz w:val="24"/>
                <w:vertAlign w:val="baseline"/>
                <w:lang w:val="en-US" w:eastAsia="zh-CN"/>
              </w:rPr>
            </w:pPr>
          </w:p>
        </w:tc>
      </w:tr>
    </w:tbl>
    <w:p>
      <w:pPr>
        <w:rPr>
          <w:sz w:val="24"/>
        </w:rPr>
      </w:pPr>
    </w:p>
    <w:p>
      <w:pPr>
        <w:pStyle w:val="4"/>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3"/>
              <w:jc w:val="center"/>
              <w:rPr>
                <w:rFonts w:hint="eastAsia"/>
                <w:sz w:val="24"/>
                <w:vertAlign w:val="baseline"/>
                <w:lang w:val="en-US" w:eastAsia="zh-CN"/>
              </w:rPr>
            </w:pPr>
          </w:p>
        </w:tc>
      </w:tr>
    </w:tbl>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tabs>
          <w:tab w:val="left" w:pos="651"/>
        </w:tabs>
        <w:snapToGrid w:val="0"/>
        <w:jc w:val="center"/>
        <w:rPr>
          <w:rFonts w:ascii="宋体" w:hAnsi="宋体" w:eastAsia="宋体" w:cs="Times New Roman"/>
          <w:b/>
          <w:bCs/>
          <w:kern w:val="0"/>
          <w:sz w:val="24"/>
          <w:szCs w:val="20"/>
        </w:rPr>
      </w:pPr>
      <w:r>
        <w:rPr>
          <w:rFonts w:hint="eastAsia" w:ascii="黑体" w:eastAsia="黑体"/>
          <w:b w:val="0"/>
          <w:kern w:val="0"/>
          <w:sz w:val="24"/>
          <w:szCs w:val="24"/>
        </w:rPr>
        <w:t>三、</w:t>
      </w:r>
      <w:bookmarkStart w:id="36" w:name="_Hlk72092634"/>
      <w:r>
        <w:rPr>
          <w:rFonts w:hint="eastAsia" w:ascii="黑体" w:eastAsia="黑体"/>
          <w:b w:val="0"/>
          <w:kern w:val="0"/>
          <w:sz w:val="24"/>
          <w:szCs w:val="24"/>
        </w:rPr>
        <w:t>实质性条款响应情况表</w:t>
      </w:r>
      <w:bookmarkEnd w:id="36"/>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pStyle w:val="4"/>
        <w:numPr>
          <w:ilvl w:val="0"/>
          <w:numId w:val="10"/>
        </w:numPr>
        <w:jc w:val="center"/>
        <w:rPr>
          <w:rFonts w:hint="eastAsia" w:ascii="黑体" w:eastAsia="黑体"/>
          <w:b w:val="0"/>
          <w:bCs w:val="0"/>
          <w:sz w:val="24"/>
          <w:szCs w:val="20"/>
        </w:rPr>
      </w:pPr>
      <w:r>
        <w:rPr>
          <w:rFonts w:hint="eastAsia" w:ascii="黑体" w:eastAsia="黑体"/>
          <w:b w:val="0"/>
          <w:bCs w:val="0"/>
          <w:sz w:val="24"/>
          <w:szCs w:val="20"/>
        </w:rPr>
        <w:t>商务要求偏离表</w:t>
      </w:r>
    </w:p>
    <w:tbl>
      <w:tblPr>
        <w:tblStyle w:val="16"/>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2076"/>
        <w:gridCol w:w="988"/>
        <w:gridCol w:w="9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目录</w:t>
            </w:r>
          </w:p>
        </w:tc>
        <w:tc>
          <w:tcPr>
            <w:tcW w:w="2076"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采购商务需求</w:t>
            </w:r>
          </w:p>
        </w:tc>
        <w:tc>
          <w:tcPr>
            <w:tcW w:w="988" w:type="dxa"/>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投标</w:t>
            </w:r>
            <w:r>
              <w:rPr>
                <w:rFonts w:hint="eastAsia" w:ascii="宋体" w:hAnsi="宋体" w:eastAsia="宋体" w:cs="宋体"/>
                <w:b/>
                <w:bCs/>
                <w:kern w:val="0"/>
                <w:sz w:val="21"/>
                <w:szCs w:val="21"/>
                <w:lang w:val="en-US" w:eastAsia="zh-CN"/>
              </w:rPr>
              <w:t>商务</w:t>
            </w:r>
            <w:r>
              <w:rPr>
                <w:rFonts w:hint="eastAsia" w:ascii="宋体" w:hAnsi="宋体" w:eastAsia="宋体" w:cs="宋体"/>
                <w:b/>
                <w:bCs/>
                <w:kern w:val="0"/>
                <w:sz w:val="21"/>
                <w:szCs w:val="21"/>
              </w:rPr>
              <w:t>响应</w:t>
            </w:r>
          </w:p>
        </w:tc>
        <w:tc>
          <w:tcPr>
            <w:tcW w:w="988" w:type="dxa"/>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偏离情况</w:t>
            </w:r>
          </w:p>
        </w:tc>
        <w:tc>
          <w:tcPr>
            <w:tcW w:w="988" w:type="dxa"/>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56" w:type="dxa"/>
            <w:gridSpan w:val="3"/>
            <w:noWrap w:val="0"/>
            <w:vAlign w:val="top"/>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（一）免费保修期内售后服务要求</w:t>
            </w:r>
          </w:p>
        </w:tc>
        <w:tc>
          <w:tcPr>
            <w:tcW w:w="988" w:type="dxa"/>
            <w:noWrap w:val="0"/>
            <w:vAlign w:val="top"/>
          </w:tcPr>
          <w:p>
            <w:pPr>
              <w:spacing w:line="360" w:lineRule="auto"/>
              <w:rPr>
                <w:rFonts w:hint="eastAsia" w:ascii="宋体" w:hAnsi="宋体" w:eastAsia="宋体" w:cs="宋体"/>
                <w:b/>
                <w:sz w:val="21"/>
                <w:szCs w:val="21"/>
              </w:rPr>
            </w:pPr>
          </w:p>
        </w:tc>
        <w:tc>
          <w:tcPr>
            <w:tcW w:w="988" w:type="dxa"/>
            <w:noWrap w:val="0"/>
            <w:vAlign w:val="top"/>
          </w:tcPr>
          <w:p>
            <w:pPr>
              <w:spacing w:line="360" w:lineRule="auto"/>
              <w:rPr>
                <w:rFonts w:hint="eastAsia" w:ascii="宋体" w:hAnsi="宋体" w:eastAsia="宋体" w:cs="宋体"/>
                <w:b/>
                <w:sz w:val="21"/>
                <w:szCs w:val="21"/>
              </w:rPr>
            </w:pPr>
          </w:p>
        </w:tc>
        <w:tc>
          <w:tcPr>
            <w:tcW w:w="988" w:type="dxa"/>
            <w:noWrap w:val="0"/>
            <w:vAlign w:val="top"/>
          </w:tcPr>
          <w:p>
            <w:pPr>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免费保修期</w:t>
            </w:r>
          </w:p>
        </w:tc>
        <w:tc>
          <w:tcPr>
            <w:tcW w:w="2076"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color w:val="FF0000"/>
                <w:sz w:val="21"/>
                <w:szCs w:val="21"/>
                <w:highlight w:val="yellow"/>
              </w:rPr>
              <w:t>★</w:t>
            </w:r>
            <w:r>
              <w:rPr>
                <w:rFonts w:hint="eastAsia" w:ascii="宋体" w:hAnsi="宋体" w:eastAsia="宋体" w:cs="宋体"/>
                <w:bCs/>
                <w:color w:val="FF0000"/>
                <w:sz w:val="21"/>
                <w:szCs w:val="21"/>
                <w:highlight w:val="yellow"/>
              </w:rPr>
              <w:t>货物免费保修期至少___3__年，时间自最终验收合格并交付使用之日起计算。</w:t>
            </w:r>
          </w:p>
        </w:tc>
        <w:tc>
          <w:tcPr>
            <w:tcW w:w="988" w:type="dxa"/>
            <w:noWrap w:val="0"/>
            <w:vAlign w:val="top"/>
          </w:tcPr>
          <w:p>
            <w:pPr>
              <w:spacing w:line="360" w:lineRule="auto"/>
              <w:rPr>
                <w:rFonts w:hint="eastAsia" w:ascii="宋体" w:hAnsi="宋体" w:eastAsia="宋体" w:cs="宋体"/>
                <w:color w:val="FF0000"/>
                <w:sz w:val="21"/>
                <w:szCs w:val="21"/>
                <w:highlight w:val="yellow"/>
              </w:rPr>
            </w:pPr>
          </w:p>
        </w:tc>
        <w:tc>
          <w:tcPr>
            <w:tcW w:w="988" w:type="dxa"/>
            <w:noWrap w:val="0"/>
            <w:vAlign w:val="top"/>
          </w:tcPr>
          <w:p>
            <w:pPr>
              <w:spacing w:line="360" w:lineRule="auto"/>
              <w:rPr>
                <w:rFonts w:hint="eastAsia" w:ascii="宋体" w:hAnsi="宋体" w:eastAsia="宋体" w:cs="宋体"/>
                <w:color w:val="FF0000"/>
                <w:sz w:val="21"/>
                <w:szCs w:val="21"/>
                <w:highlight w:val="yellow"/>
              </w:rPr>
            </w:pPr>
          </w:p>
        </w:tc>
        <w:tc>
          <w:tcPr>
            <w:tcW w:w="988" w:type="dxa"/>
            <w:noWrap w:val="0"/>
            <w:vAlign w:val="top"/>
          </w:tcPr>
          <w:p>
            <w:pPr>
              <w:spacing w:line="360" w:lineRule="auto"/>
              <w:rPr>
                <w:rFonts w:hint="eastAsia" w:ascii="宋体" w:hAnsi="宋体" w:eastAsia="宋体" w:cs="宋体"/>
                <w:color w:val="FF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维修响应及故障解决时间</w:t>
            </w:r>
          </w:p>
        </w:tc>
        <w:tc>
          <w:tcPr>
            <w:tcW w:w="2076"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投标人承诺中标后，在保修期内，一旦发生质量问题，投标人保证在接到通知24小时内赶到现场进行修理或更换。</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620" w:type="dxa"/>
            <w:noWrap w:val="0"/>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其他</w:t>
            </w:r>
          </w:p>
        </w:tc>
        <w:tc>
          <w:tcPr>
            <w:tcW w:w="2076" w:type="dxa"/>
            <w:noWrap w:val="0"/>
            <w:vAlign w:val="center"/>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投标人中标后，应按其投标文件中的承诺，进行其他售后服务工作。</w:t>
            </w:r>
          </w:p>
        </w:tc>
        <w:tc>
          <w:tcPr>
            <w:tcW w:w="988" w:type="dxa"/>
            <w:noWrap w:val="0"/>
            <w:vAlign w:val="center"/>
          </w:tcPr>
          <w:p>
            <w:pPr>
              <w:spacing w:line="360" w:lineRule="auto"/>
              <w:rPr>
                <w:rFonts w:hint="eastAsia" w:ascii="宋体" w:hAnsi="宋体" w:eastAsia="宋体" w:cs="宋体"/>
                <w:bCs/>
                <w:sz w:val="21"/>
                <w:szCs w:val="21"/>
              </w:rPr>
            </w:pPr>
          </w:p>
        </w:tc>
        <w:tc>
          <w:tcPr>
            <w:tcW w:w="988" w:type="dxa"/>
            <w:noWrap w:val="0"/>
            <w:vAlign w:val="center"/>
          </w:tcPr>
          <w:p>
            <w:pPr>
              <w:spacing w:line="360" w:lineRule="auto"/>
              <w:rPr>
                <w:rFonts w:hint="eastAsia" w:ascii="宋体" w:hAnsi="宋体" w:eastAsia="宋体" w:cs="宋体"/>
                <w:bCs/>
                <w:sz w:val="21"/>
                <w:szCs w:val="21"/>
              </w:rPr>
            </w:pPr>
          </w:p>
        </w:tc>
        <w:tc>
          <w:tcPr>
            <w:tcW w:w="988" w:type="dxa"/>
            <w:noWrap w:val="0"/>
            <w:vAlign w:val="center"/>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6" w:type="dxa"/>
            <w:gridSpan w:val="3"/>
            <w:noWrap w:val="0"/>
            <w:vAlign w:val="top"/>
          </w:tcPr>
          <w:p>
            <w:pPr>
              <w:spacing w:line="360" w:lineRule="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二</w:t>
            </w:r>
            <w:r>
              <w:rPr>
                <w:rFonts w:hint="eastAsia" w:ascii="宋体" w:hAnsi="宋体" w:eastAsia="宋体" w:cs="宋体"/>
                <w:b/>
                <w:sz w:val="21"/>
                <w:szCs w:val="21"/>
              </w:rPr>
              <w:t>）其他商务要求</w:t>
            </w:r>
          </w:p>
        </w:tc>
        <w:tc>
          <w:tcPr>
            <w:tcW w:w="988" w:type="dxa"/>
            <w:noWrap w:val="0"/>
            <w:vAlign w:val="top"/>
          </w:tcPr>
          <w:p>
            <w:pPr>
              <w:spacing w:line="360" w:lineRule="auto"/>
              <w:rPr>
                <w:rFonts w:hint="eastAsia" w:ascii="宋体" w:hAnsi="宋体" w:eastAsia="宋体" w:cs="宋体"/>
                <w:b/>
                <w:sz w:val="21"/>
                <w:szCs w:val="21"/>
              </w:rPr>
            </w:pPr>
          </w:p>
        </w:tc>
        <w:tc>
          <w:tcPr>
            <w:tcW w:w="988" w:type="dxa"/>
            <w:noWrap w:val="0"/>
            <w:vAlign w:val="top"/>
          </w:tcPr>
          <w:p>
            <w:pPr>
              <w:spacing w:line="360" w:lineRule="auto"/>
              <w:rPr>
                <w:rFonts w:hint="eastAsia" w:ascii="宋体" w:hAnsi="宋体" w:eastAsia="宋体" w:cs="宋体"/>
                <w:b/>
                <w:sz w:val="21"/>
                <w:szCs w:val="21"/>
              </w:rPr>
            </w:pPr>
          </w:p>
        </w:tc>
        <w:tc>
          <w:tcPr>
            <w:tcW w:w="988" w:type="dxa"/>
            <w:noWrap w:val="0"/>
            <w:vAlign w:val="top"/>
          </w:tcPr>
          <w:p>
            <w:pPr>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关于交货</w:t>
            </w:r>
          </w:p>
        </w:tc>
        <w:tc>
          <w:tcPr>
            <w:tcW w:w="2076"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color w:val="FF0000"/>
                <w:sz w:val="21"/>
                <w:szCs w:val="21"/>
                <w:highlight w:val="yellow"/>
              </w:rPr>
              <w:t>1.1</w:t>
            </w:r>
            <w:r>
              <w:rPr>
                <w:rFonts w:hint="eastAsia" w:ascii="宋体" w:hAnsi="宋体" w:eastAsia="宋体" w:cs="宋体"/>
                <w:color w:val="FF0000"/>
                <w:sz w:val="21"/>
                <w:szCs w:val="21"/>
                <w:highlight w:val="yellow"/>
              </w:rPr>
              <w:t>★</w:t>
            </w:r>
            <w:r>
              <w:rPr>
                <w:rFonts w:hint="eastAsia" w:ascii="宋体" w:hAnsi="宋体" w:eastAsia="宋体" w:cs="宋体"/>
                <w:bCs/>
                <w:color w:val="FF0000"/>
                <w:sz w:val="21"/>
                <w:szCs w:val="21"/>
                <w:highlight w:val="yellow"/>
              </w:rPr>
              <w:t>签订合同后_____30___天（日历日）内。</w:t>
            </w:r>
          </w:p>
        </w:tc>
        <w:tc>
          <w:tcPr>
            <w:tcW w:w="988" w:type="dxa"/>
            <w:noWrap w:val="0"/>
            <w:vAlign w:val="top"/>
          </w:tcPr>
          <w:p>
            <w:pPr>
              <w:spacing w:line="360" w:lineRule="auto"/>
              <w:rPr>
                <w:rFonts w:hint="eastAsia" w:ascii="宋体" w:hAnsi="宋体" w:eastAsia="宋体" w:cs="宋体"/>
                <w:bCs/>
                <w:color w:val="FF0000"/>
                <w:sz w:val="21"/>
                <w:szCs w:val="21"/>
                <w:highlight w:val="yellow"/>
              </w:rPr>
            </w:pPr>
          </w:p>
        </w:tc>
        <w:tc>
          <w:tcPr>
            <w:tcW w:w="988" w:type="dxa"/>
            <w:noWrap w:val="0"/>
            <w:vAlign w:val="top"/>
          </w:tcPr>
          <w:p>
            <w:pPr>
              <w:spacing w:line="360" w:lineRule="auto"/>
              <w:rPr>
                <w:rFonts w:hint="eastAsia" w:ascii="宋体" w:hAnsi="宋体" w:eastAsia="宋体" w:cs="宋体"/>
                <w:bCs/>
                <w:color w:val="FF0000"/>
                <w:sz w:val="21"/>
                <w:szCs w:val="21"/>
                <w:highlight w:val="yellow"/>
              </w:rPr>
            </w:pPr>
          </w:p>
        </w:tc>
        <w:tc>
          <w:tcPr>
            <w:tcW w:w="988" w:type="dxa"/>
            <w:noWrap w:val="0"/>
            <w:vAlign w:val="top"/>
          </w:tcPr>
          <w:p>
            <w:pPr>
              <w:spacing w:line="360" w:lineRule="auto"/>
              <w:rPr>
                <w:rFonts w:hint="eastAsia" w:ascii="宋体" w:hAnsi="宋体" w:eastAsia="宋体" w:cs="宋体"/>
                <w:bCs/>
                <w:color w:val="FF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pPr>
              <w:spacing w:line="360" w:lineRule="auto"/>
              <w:jc w:val="center"/>
              <w:rPr>
                <w:rFonts w:hint="eastAsia" w:ascii="宋体" w:hAnsi="宋体" w:eastAsia="宋体" w:cs="宋体"/>
                <w:b/>
                <w:sz w:val="21"/>
                <w:szCs w:val="21"/>
              </w:rPr>
            </w:pPr>
          </w:p>
        </w:tc>
        <w:tc>
          <w:tcPr>
            <w:tcW w:w="1620" w:type="dxa"/>
            <w:vMerge w:val="continue"/>
            <w:noWrap w:val="0"/>
            <w:vAlign w:val="center"/>
          </w:tcPr>
          <w:p>
            <w:pPr>
              <w:spacing w:line="360" w:lineRule="auto"/>
              <w:jc w:val="center"/>
              <w:rPr>
                <w:rFonts w:hint="eastAsia" w:ascii="宋体" w:hAnsi="宋体" w:eastAsia="宋体" w:cs="宋体"/>
                <w:sz w:val="21"/>
                <w:szCs w:val="21"/>
              </w:rPr>
            </w:pP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1.2投标人中标后，必须承担设备运输、安装调试、验收检测和提供设备操作说明书、图纸等其他类似的义务。</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关于验收</w:t>
            </w: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2.1投标人中标后，其货物经过双方检验认可后，签署验收报告，产品保修期自验收合格之日起算，由投标人提供产品保修文件。</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
                <w:sz w:val="21"/>
                <w:szCs w:val="21"/>
              </w:rPr>
            </w:pPr>
          </w:p>
        </w:tc>
        <w:tc>
          <w:tcPr>
            <w:tcW w:w="1620" w:type="dxa"/>
            <w:vMerge w:val="continue"/>
            <w:noWrap w:val="0"/>
            <w:vAlign w:val="top"/>
          </w:tcPr>
          <w:p>
            <w:pPr>
              <w:spacing w:line="360" w:lineRule="auto"/>
              <w:rPr>
                <w:rFonts w:hint="eastAsia" w:ascii="宋体" w:hAnsi="宋体" w:eastAsia="宋体" w:cs="宋体"/>
                <w:b/>
                <w:sz w:val="21"/>
                <w:szCs w:val="21"/>
              </w:rPr>
            </w:pP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2.2投标人中标后，当满足以下条件时，采购人才向投标人签发货物验收报告：</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a、投标人已按照合同规定提供了全部产品及完整的技术资料。</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b、货物符合采购文件技术规格书的要求，性能满足要求。</w:t>
            </w:r>
          </w:p>
          <w:p>
            <w:pPr>
              <w:tabs>
                <w:tab w:val="left" w:pos="1260"/>
              </w:tabs>
              <w:spacing w:line="360" w:lineRule="auto"/>
              <w:rPr>
                <w:rFonts w:hint="eastAsia" w:ascii="宋体" w:hAnsi="宋体" w:eastAsia="宋体" w:cs="宋体"/>
                <w:bCs/>
                <w:sz w:val="21"/>
                <w:szCs w:val="21"/>
              </w:rPr>
            </w:pPr>
            <w:r>
              <w:rPr>
                <w:rFonts w:hint="eastAsia" w:ascii="宋体" w:hAnsi="宋体" w:eastAsia="宋体" w:cs="宋体"/>
                <w:bCs/>
                <w:sz w:val="21"/>
                <w:szCs w:val="21"/>
              </w:rPr>
              <w:t>c、货物具备产品合格证。</w:t>
            </w:r>
          </w:p>
        </w:tc>
        <w:tc>
          <w:tcPr>
            <w:tcW w:w="988" w:type="dxa"/>
            <w:noWrap w:val="0"/>
            <w:vAlign w:val="top"/>
          </w:tcPr>
          <w:p>
            <w:pPr>
              <w:tabs>
                <w:tab w:val="left" w:pos="1260"/>
              </w:tabs>
              <w:spacing w:line="360" w:lineRule="auto"/>
              <w:rPr>
                <w:rFonts w:hint="eastAsia" w:ascii="宋体" w:hAnsi="宋体" w:eastAsia="宋体" w:cs="宋体"/>
                <w:bCs/>
                <w:sz w:val="21"/>
                <w:szCs w:val="21"/>
              </w:rPr>
            </w:pPr>
          </w:p>
        </w:tc>
        <w:tc>
          <w:tcPr>
            <w:tcW w:w="988" w:type="dxa"/>
            <w:noWrap w:val="0"/>
            <w:vAlign w:val="top"/>
          </w:tcPr>
          <w:p>
            <w:pPr>
              <w:tabs>
                <w:tab w:val="left" w:pos="1260"/>
              </w:tabs>
              <w:spacing w:line="360" w:lineRule="auto"/>
              <w:rPr>
                <w:rFonts w:hint="eastAsia" w:ascii="宋体" w:hAnsi="宋体" w:eastAsia="宋体" w:cs="宋体"/>
                <w:bCs/>
                <w:sz w:val="21"/>
                <w:szCs w:val="21"/>
              </w:rPr>
            </w:pPr>
          </w:p>
        </w:tc>
        <w:tc>
          <w:tcPr>
            <w:tcW w:w="988" w:type="dxa"/>
            <w:noWrap w:val="0"/>
            <w:vAlign w:val="top"/>
          </w:tcPr>
          <w:p>
            <w:pPr>
              <w:tabs>
                <w:tab w:val="left" w:pos="1260"/>
              </w:tabs>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620" w:type="dxa"/>
            <w:vMerge w:val="restart"/>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违约责任</w:t>
            </w: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sz w:val="21"/>
                <w:szCs w:val="21"/>
              </w:rPr>
              <w:t>3.1如</w:t>
            </w:r>
            <w:r>
              <w:rPr>
                <w:rFonts w:hint="eastAsia" w:ascii="宋体" w:hAnsi="宋体" w:eastAsia="宋体" w:cs="宋体"/>
                <w:bCs/>
                <w:sz w:val="21"/>
                <w:szCs w:val="21"/>
              </w:rPr>
              <w:t>投标人中标后</w:t>
            </w:r>
            <w:r>
              <w:rPr>
                <w:rFonts w:hint="eastAsia" w:ascii="宋体" w:hAnsi="宋体" w:eastAsia="宋体" w:cs="宋体"/>
                <w:sz w:val="21"/>
                <w:szCs w:val="21"/>
              </w:rPr>
              <w:t>未按照投标文件中承诺的时间交货或提供服务，</w:t>
            </w:r>
            <w:r>
              <w:rPr>
                <w:rFonts w:hint="eastAsia" w:ascii="宋体" w:hAnsi="宋体" w:eastAsia="宋体" w:cs="宋体"/>
                <w:bCs/>
                <w:sz w:val="21"/>
                <w:szCs w:val="21"/>
              </w:rPr>
              <w:t>投标人</w:t>
            </w:r>
            <w:r>
              <w:rPr>
                <w:rFonts w:hint="eastAsia" w:ascii="宋体" w:hAnsi="宋体" w:eastAsia="宋体" w:cs="宋体"/>
                <w:sz w:val="21"/>
                <w:szCs w:val="21"/>
              </w:rPr>
              <w:t>应承担延期交货和延期服务的违约责任，并赔偿采购人因此造成的实际经济损失，采购人有权终止合同。</w:t>
            </w:r>
          </w:p>
        </w:tc>
        <w:tc>
          <w:tcPr>
            <w:tcW w:w="988" w:type="dxa"/>
            <w:noWrap w:val="0"/>
            <w:vAlign w:val="top"/>
          </w:tcPr>
          <w:p>
            <w:pPr>
              <w:spacing w:line="360" w:lineRule="auto"/>
              <w:rPr>
                <w:rFonts w:hint="eastAsia" w:ascii="宋体" w:hAnsi="宋体" w:eastAsia="宋体" w:cs="宋体"/>
                <w:sz w:val="21"/>
                <w:szCs w:val="21"/>
              </w:rPr>
            </w:pPr>
          </w:p>
        </w:tc>
        <w:tc>
          <w:tcPr>
            <w:tcW w:w="988" w:type="dxa"/>
            <w:noWrap w:val="0"/>
            <w:vAlign w:val="top"/>
          </w:tcPr>
          <w:p>
            <w:pPr>
              <w:spacing w:line="360" w:lineRule="auto"/>
              <w:rPr>
                <w:rFonts w:hint="eastAsia" w:ascii="宋体" w:hAnsi="宋体" w:eastAsia="宋体" w:cs="宋体"/>
                <w:sz w:val="21"/>
                <w:szCs w:val="21"/>
              </w:rPr>
            </w:pPr>
          </w:p>
        </w:tc>
        <w:tc>
          <w:tcPr>
            <w:tcW w:w="988" w:type="dxa"/>
            <w:noWrap w:val="0"/>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center"/>
          </w:tcPr>
          <w:p>
            <w:pPr>
              <w:spacing w:line="360" w:lineRule="auto"/>
              <w:jc w:val="center"/>
              <w:rPr>
                <w:rFonts w:hint="eastAsia" w:ascii="宋体" w:hAnsi="宋体" w:eastAsia="宋体" w:cs="宋体"/>
                <w:bCs/>
                <w:sz w:val="21"/>
                <w:szCs w:val="21"/>
              </w:rPr>
            </w:pP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3.2投标人中标后所交设备的品种、型号、规格、质量、功能、技术参数等方面不能实质性满足采购文件要求的，采购人有权拒绝收货，投标人向采购人偿付项目采购金额</w:t>
            </w:r>
            <w:r>
              <w:rPr>
                <w:rFonts w:hint="eastAsia" w:ascii="宋体" w:hAnsi="宋体" w:eastAsia="宋体" w:cs="宋体"/>
                <w:bCs/>
                <w:sz w:val="21"/>
                <w:szCs w:val="21"/>
                <w:highlight w:val="yellow"/>
              </w:rPr>
              <w:t xml:space="preserve">【20】% </w:t>
            </w:r>
            <w:r>
              <w:rPr>
                <w:rFonts w:hint="eastAsia" w:ascii="宋体" w:hAnsi="宋体" w:eastAsia="宋体" w:cs="宋体"/>
                <w:bCs/>
                <w:sz w:val="21"/>
                <w:szCs w:val="21"/>
              </w:rPr>
              <w:t xml:space="preserve">的违约金并采取更换、补足等补救措施，致使逾期交付的，还应承担逾期交付的违约责任。 </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center"/>
          </w:tcPr>
          <w:p>
            <w:pPr>
              <w:spacing w:line="360" w:lineRule="auto"/>
              <w:jc w:val="center"/>
              <w:rPr>
                <w:rFonts w:hint="eastAsia" w:ascii="宋体" w:hAnsi="宋体" w:eastAsia="宋体" w:cs="宋体"/>
                <w:bCs/>
                <w:sz w:val="21"/>
                <w:szCs w:val="21"/>
              </w:rPr>
            </w:pP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3.3投标人中标后不能交付设备的，投标人向采购人偿付项目采购金额</w:t>
            </w:r>
            <w:r>
              <w:rPr>
                <w:rFonts w:hint="eastAsia" w:ascii="宋体" w:hAnsi="宋体" w:eastAsia="宋体" w:cs="宋体"/>
                <w:bCs/>
                <w:sz w:val="21"/>
                <w:szCs w:val="21"/>
                <w:highlight w:val="yellow"/>
              </w:rPr>
              <w:t>【20】%</w:t>
            </w:r>
            <w:r>
              <w:rPr>
                <w:rFonts w:hint="eastAsia" w:ascii="宋体" w:hAnsi="宋体" w:eastAsia="宋体" w:cs="宋体"/>
                <w:bCs/>
                <w:sz w:val="21"/>
                <w:szCs w:val="21"/>
              </w:rPr>
              <w:t>的违约金。</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3.4投标人中标后逾期交付货物的，每逾期1天，投标人向采购人偿付项目采购金额的</w:t>
            </w:r>
            <w:r>
              <w:rPr>
                <w:rFonts w:hint="eastAsia" w:ascii="宋体" w:hAnsi="宋体" w:eastAsia="宋体" w:cs="宋体"/>
                <w:bCs/>
                <w:sz w:val="21"/>
                <w:szCs w:val="21"/>
                <w:highlight w:val="yellow"/>
              </w:rPr>
              <w:t>【5】‰</w:t>
            </w:r>
            <w:r>
              <w:rPr>
                <w:rFonts w:hint="eastAsia" w:ascii="宋体" w:hAnsi="宋体" w:eastAsia="宋体" w:cs="宋体"/>
                <w:bCs/>
                <w:sz w:val="21"/>
                <w:szCs w:val="21"/>
              </w:rPr>
              <w:t>的违约金。如投标人逾期交货达</w:t>
            </w:r>
            <w:r>
              <w:rPr>
                <w:rFonts w:hint="eastAsia" w:ascii="宋体" w:hAnsi="宋体" w:eastAsia="宋体" w:cs="宋体"/>
                <w:bCs/>
                <w:sz w:val="21"/>
                <w:szCs w:val="21"/>
                <w:highlight w:val="yellow"/>
                <w:u w:val="single"/>
              </w:rPr>
              <w:t xml:space="preserve">  10  </w:t>
            </w:r>
            <w:r>
              <w:rPr>
                <w:rFonts w:hint="eastAsia" w:ascii="宋体" w:hAnsi="宋体" w:eastAsia="宋体" w:cs="宋体"/>
                <w:bCs/>
                <w:sz w:val="21"/>
                <w:szCs w:val="21"/>
              </w:rPr>
              <w:t>天，采购人有权解除合同。</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2076"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spacing w:line="360" w:lineRule="auto"/>
              <w:jc w:val="center"/>
              <w:rPr>
                <w:rFonts w:hint="eastAsia" w:ascii="宋体" w:hAnsi="宋体" w:eastAsia="宋体" w:cs="宋体"/>
                <w:bCs/>
                <w:sz w:val="21"/>
                <w:szCs w:val="21"/>
              </w:rPr>
            </w:pPr>
          </w:p>
        </w:tc>
        <w:tc>
          <w:tcPr>
            <w:tcW w:w="1620" w:type="dxa"/>
            <w:vMerge w:val="continue"/>
            <w:noWrap w:val="0"/>
            <w:vAlign w:val="top"/>
          </w:tcPr>
          <w:p>
            <w:pPr>
              <w:spacing w:line="360" w:lineRule="auto"/>
              <w:rPr>
                <w:rFonts w:hint="eastAsia" w:ascii="宋体" w:hAnsi="宋体" w:eastAsia="宋体" w:cs="宋体"/>
                <w:bCs/>
                <w:sz w:val="21"/>
                <w:szCs w:val="21"/>
              </w:rPr>
            </w:pPr>
          </w:p>
        </w:tc>
        <w:tc>
          <w:tcPr>
            <w:tcW w:w="2076" w:type="dxa"/>
            <w:noWrap w:val="0"/>
            <w:vAlign w:val="top"/>
          </w:tcPr>
          <w:p>
            <w:pPr>
              <w:spacing w:line="360" w:lineRule="auto"/>
              <w:rPr>
                <w:rFonts w:hint="eastAsia" w:ascii="宋体" w:hAnsi="宋体" w:eastAsia="宋体" w:cs="宋体"/>
                <w:b/>
                <w:sz w:val="21"/>
                <w:szCs w:val="21"/>
              </w:rPr>
            </w:pPr>
            <w:r>
              <w:rPr>
                <w:rFonts w:hint="eastAsia" w:ascii="宋体" w:hAnsi="宋体" w:eastAsia="宋体" w:cs="宋体"/>
                <w:bCs/>
                <w:sz w:val="21"/>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620"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其他</w:t>
            </w:r>
          </w:p>
        </w:tc>
        <w:tc>
          <w:tcPr>
            <w:tcW w:w="2076" w:type="dxa"/>
            <w:noWrap w:val="0"/>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投标人中标后应按其投标文件中的承诺，进行其他售后服务工作。</w:t>
            </w: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c>
          <w:tcPr>
            <w:tcW w:w="988" w:type="dxa"/>
            <w:noWrap w:val="0"/>
            <w:vAlign w:val="top"/>
          </w:tcPr>
          <w:p>
            <w:pPr>
              <w:spacing w:line="360" w:lineRule="auto"/>
              <w:rPr>
                <w:rFonts w:hint="eastAsia" w:ascii="宋体" w:hAnsi="宋体" w:eastAsia="宋体" w:cs="宋体"/>
                <w:bCs/>
                <w:sz w:val="21"/>
                <w:szCs w:val="21"/>
              </w:rPr>
            </w:pPr>
          </w:p>
        </w:tc>
      </w:tr>
    </w:tbl>
    <w:p>
      <w:pPr>
        <w:rPr>
          <w:rFonts w:hint="eastAsia"/>
        </w:rPr>
      </w:pPr>
    </w:p>
    <w:p>
      <w:pPr>
        <w:numPr>
          <w:ilvl w:val="0"/>
          <w:numId w:val="0"/>
        </w:numPr>
      </w:pPr>
    </w:p>
    <w:p>
      <w:pPr>
        <w:ind w:firstLine="420" w:firstLineChars="200"/>
        <w:rPr>
          <w:b w:val="0"/>
          <w:bCs/>
          <w:sz w:val="21"/>
          <w:szCs w:val="21"/>
        </w:rPr>
      </w:pPr>
      <w:r>
        <w:rPr>
          <w:rFonts w:hint="eastAsia"/>
          <w:b w:val="0"/>
          <w:bCs/>
          <w:sz w:val="21"/>
          <w:szCs w:val="21"/>
        </w:rPr>
        <w:t>《商务要求偏离表》编制指引：</w:t>
      </w:r>
    </w:p>
    <w:p>
      <w:pPr>
        <w:ind w:firstLine="420" w:firstLineChars="200"/>
        <w:rPr>
          <w:b w:val="0"/>
          <w:bCs/>
          <w:sz w:val="21"/>
          <w:szCs w:val="21"/>
        </w:rPr>
      </w:pPr>
      <w:r>
        <w:rPr>
          <w:rFonts w:hint="eastAsia"/>
          <w:b w:val="0"/>
          <w:bCs/>
          <w:sz w:val="21"/>
          <w:szCs w:val="21"/>
        </w:rPr>
        <w:t>1、商务要求偏离表的序号、商务需求项、招标商务要求等栏目对应“用户需求书”中的“商务要求”章节相关内容。</w:t>
      </w:r>
    </w:p>
    <w:p>
      <w:pPr>
        <w:ind w:firstLine="420" w:firstLineChars="200"/>
        <w:rPr>
          <w:b w:val="0"/>
          <w:bCs/>
          <w:sz w:val="21"/>
          <w:szCs w:val="21"/>
        </w:rPr>
      </w:pPr>
      <w:r>
        <w:rPr>
          <w:b w:val="0"/>
          <w:bCs/>
          <w:sz w:val="21"/>
          <w:szCs w:val="21"/>
        </w:rPr>
        <w:t>2</w:t>
      </w:r>
      <w:r>
        <w:rPr>
          <w:rFonts w:hint="eastAsia"/>
          <w:b w:val="0"/>
          <w:bCs/>
          <w:sz w:val="21"/>
          <w:szCs w:val="21"/>
        </w:rPr>
        <w:t>、“投标商务响应”一栏必须一一对照“招标商务要求”，详细填写自身响应情况，而不能不合理照搬照抄招标文件的商务要求，以体现具体响应情况。</w:t>
      </w:r>
    </w:p>
    <w:p>
      <w:pPr>
        <w:ind w:firstLine="420" w:firstLineChars="200"/>
        <w:rPr>
          <w:b w:val="0"/>
          <w:bCs/>
          <w:color w:val="FF0000"/>
          <w:sz w:val="21"/>
          <w:szCs w:val="21"/>
        </w:rPr>
      </w:pPr>
      <w:r>
        <w:rPr>
          <w:b w:val="0"/>
          <w:bCs/>
          <w:sz w:val="21"/>
          <w:szCs w:val="21"/>
        </w:rPr>
        <w:t>3</w:t>
      </w:r>
      <w:r>
        <w:rPr>
          <w:rFonts w:hint="eastAsia"/>
          <w:b w:val="0"/>
          <w:bCs/>
          <w:sz w:val="21"/>
          <w:szCs w:val="21"/>
        </w:rPr>
        <w:t>、“偏离情况”一栏填写如实填写“正偏离”、“负偏离”或“无偏离”，其中：“正偏离”表示“投标响应优于招标商务要求”，“负偏离”表示“投标响应不满足招标商务要求”，“无偏离”表示“投标响应与招标商务要求一致”。</w:t>
      </w:r>
    </w:p>
    <w:p>
      <w:pPr>
        <w:rPr>
          <w:rFonts w:hint="eastAsia"/>
          <w:b w:val="0"/>
          <w:bCs/>
          <w:sz w:val="21"/>
          <w:szCs w:val="21"/>
          <w:lang w:eastAsia="zh-CN"/>
        </w:rPr>
      </w:pPr>
      <w:r>
        <w:rPr>
          <w:rFonts w:hint="eastAsia"/>
          <w:b w:val="0"/>
          <w:bCs/>
          <w:sz w:val="21"/>
          <w:szCs w:val="21"/>
        </w:rPr>
        <w:t>“投标商务响应”对比“招标商务要求”存在响应不全（包括未响应整项招标商务要求或者未响应一项招标商务要求的部分内容），均视为“负偏离”</w:t>
      </w:r>
      <w:r>
        <w:rPr>
          <w:rFonts w:hint="eastAsia"/>
          <w:b w:val="0"/>
          <w:bCs/>
          <w:sz w:val="21"/>
          <w:szCs w:val="21"/>
          <w:lang w:eastAsia="zh-CN"/>
        </w:rPr>
        <w:t>。</w:t>
      </w:r>
    </w:p>
    <w:p>
      <w:pPr>
        <w:ind w:firstLine="420" w:firstLineChars="200"/>
        <w:rPr>
          <w:b w:val="0"/>
          <w:bCs/>
          <w:sz w:val="21"/>
          <w:szCs w:val="21"/>
        </w:rPr>
      </w:pPr>
      <w:r>
        <w:rPr>
          <w:rFonts w:hint="eastAsia"/>
          <w:b w:val="0"/>
          <w:bCs/>
          <w:sz w:val="21"/>
          <w:szCs w:val="21"/>
        </w:rPr>
        <w:t>4、带★号条款为不可偏离条款，如未响应或出现负偏离的，将作投标无效处理。</w:t>
      </w:r>
    </w:p>
    <w:p>
      <w:pPr>
        <w:widowControl/>
        <w:jc w:val="left"/>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pStyle w:val="4"/>
        <w:numPr>
          <w:ilvl w:val="0"/>
          <w:numId w:val="11"/>
        </w:numPr>
        <w:jc w:val="center"/>
        <w:rPr>
          <w:rFonts w:hint="eastAsia" w:ascii="黑体" w:eastAsia="黑体"/>
          <w:b w:val="0"/>
          <w:sz w:val="24"/>
          <w:szCs w:val="24"/>
        </w:rPr>
      </w:pPr>
      <w:r>
        <w:rPr>
          <w:rFonts w:hint="eastAsia" w:ascii="黑体" w:eastAsia="黑体"/>
          <w:b w:val="0"/>
          <w:sz w:val="24"/>
          <w:szCs w:val="24"/>
        </w:rPr>
        <w:t>技术要求偏离表</w:t>
      </w:r>
    </w:p>
    <w:tbl>
      <w:tblPr>
        <w:tblStyle w:val="16"/>
        <w:tblW w:w="8349" w:type="dxa"/>
        <w:tblInd w:w="103" w:type="dxa"/>
        <w:tblLayout w:type="fixed"/>
        <w:tblCellMar>
          <w:top w:w="0" w:type="dxa"/>
          <w:left w:w="108" w:type="dxa"/>
          <w:bottom w:w="0" w:type="dxa"/>
          <w:right w:w="108" w:type="dxa"/>
        </w:tblCellMar>
      </w:tblPr>
      <w:tblGrid>
        <w:gridCol w:w="638"/>
        <w:gridCol w:w="883"/>
        <w:gridCol w:w="2804"/>
        <w:gridCol w:w="1368"/>
        <w:gridCol w:w="1604"/>
        <w:gridCol w:w="1052"/>
      </w:tblGrid>
      <w:tr>
        <w:tblPrEx>
          <w:tblCellMar>
            <w:top w:w="0" w:type="dxa"/>
            <w:left w:w="108" w:type="dxa"/>
            <w:bottom w:w="0" w:type="dxa"/>
            <w:right w:w="108" w:type="dxa"/>
          </w:tblCellMar>
        </w:tblPrEx>
        <w:trPr>
          <w:trHeight w:val="540"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8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280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招标技术要求</w:t>
            </w:r>
          </w:p>
        </w:tc>
        <w:tc>
          <w:tcPr>
            <w:tcW w:w="136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投标</w:t>
            </w:r>
            <w:r>
              <w:rPr>
                <w:rFonts w:hint="eastAsia" w:ascii="宋体" w:hAnsi="宋体" w:eastAsia="宋体" w:cs="宋体"/>
                <w:b/>
                <w:bCs/>
                <w:kern w:val="0"/>
                <w:sz w:val="21"/>
                <w:szCs w:val="21"/>
                <w:lang w:val="en-US" w:eastAsia="zh-CN"/>
              </w:rPr>
              <w:t>商务</w:t>
            </w:r>
            <w:r>
              <w:rPr>
                <w:rFonts w:hint="eastAsia" w:ascii="宋体" w:hAnsi="宋体" w:eastAsia="宋体" w:cs="宋体"/>
                <w:b/>
                <w:bCs/>
                <w:kern w:val="0"/>
                <w:sz w:val="21"/>
                <w:szCs w:val="21"/>
              </w:rPr>
              <w:t>响应</w:t>
            </w:r>
          </w:p>
        </w:tc>
        <w:tc>
          <w:tcPr>
            <w:tcW w:w="160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偏离情况</w:t>
            </w:r>
          </w:p>
        </w:tc>
        <w:tc>
          <w:tcPr>
            <w:tcW w:w="105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说明</w:t>
            </w: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拱门</w:t>
            </w:r>
          </w:p>
        </w:tc>
        <w:tc>
          <w:tcPr>
            <w:tcW w:w="28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1.规格：宽1240mm，高1560mm，深度360mm（尺寸偏差在±5%以内）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c>
          <w:tcPr>
            <w:tcW w:w="136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left"/>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left"/>
            </w:pPr>
          </w:p>
        </w:tc>
        <w:tc>
          <w:tcPr>
            <w:tcW w:w="28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2.钢结构框架：Ø48mm厚2.0mm 镀锌钢管，（尺寸偏差在±5%以内）制件均经除锈、磷化等金属表面处理后喷塑，长期使用不锈蚀；工艺要求：表面粉末喷涂材料 采用低金属含量材质，烤漆工艺，通过重金属含量标准；防止褪色:粉末喷涂材料添加抗紫外线稳定剂,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tc>
        <w:tc>
          <w:tcPr>
            <w:tcW w:w="136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28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五金紧固件：采用半圆头内六角安全螺丝（M8-M12）、T型平头内六角螺丝（M8-M10）、圆球头盖帽螺丝帽（M8-M12）规格不等；表面处理：机械抛光亮光。螺丝要求一般工具无法松动，可预防任意调整功能满足本项目所有设备零件安装固定需要.螺丝：螺丝为304不锈钢材质， 无锐边锐角等，无安全隐患。  </w:t>
            </w:r>
          </w:p>
        </w:tc>
        <w:tc>
          <w:tcPr>
            <w:tcW w:w="136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28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4.配安全门及配套锁具；</w:t>
            </w:r>
          </w:p>
        </w:tc>
        <w:tc>
          <w:tcPr>
            <w:tcW w:w="136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攀爬钻笼</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1.规格：长3860*宽1300*高1700mm（尺寸偏差在±5%以内）</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2.钢结构框架：Ø48mm厚2.0mm 镀锌钢管，（尺寸偏差在±5%以内）制件均经除锈、磷化等金属表面处理喷塑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工艺要求：表面粉末喷涂材料 采用低金属含量材质，烤漆工艺，通过重金属含量标准；防止褪色</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w:t>
            </w:r>
            <w:r>
              <w:rPr>
                <w:rFonts w:hint="eastAsia" w:ascii="宋体" w:hAnsi="宋体" w:eastAsia="宋体" w:cs="宋体"/>
                <w:kern w:val="0"/>
                <w:sz w:val="21"/>
                <w:szCs w:val="21"/>
                <w:lang w:eastAsia="zh-CN"/>
              </w:rPr>
              <w:t>。</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3.采用直径16mm航海船用高强度缆绳，中芯6股钢丝绳外套胶管，外层再覆以变色锦纶编织绳。网绳之间的宽间距150mm；覆盖加密网间距40mm。（尺寸偏差在±5%以内）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5.内扶手采用Ø32mm的镀锌钢管（壁厚≥2.0m）表面经除锈、抛光后经静电喷塑进行喷涂处理。喷涂后经电脑烤房高温固化。  6.五金紧固件：采用半圆头内六角安全螺丝（M8-M12）、T型平头内六角螺丝（M8-M10）、圆球头盖帽螺丝帽（M8-M12）规格不等；表面处理：机械抛光亮光。螺丝要求一般工具无法松动，可预防任意调整功能满足本项目所有设备零件安装固定需要。（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防护板</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1.规格：长35700*高1500mm（尺寸偏差在±5%以内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采用厚度≥5mm，冲击力最大可达到3kg/cm3的PC耐力板，倒R角，圆滑修边处理。冲击强度是普通玻璃的250-300倍，是亚克力板材的20-30倍，是钢化玻璃的2倍，几乎没有断裂的危险性。在－40℃至130℃范围保持各项物理指标的稳定性。（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3.螺丝：螺丝为304不锈钢材质， 产品整体牢固，表面光洁，无锐边锐角等，无安全隐患。</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垂直落地攀爬钻笼</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1.规格：直径800mm，高度2100mm（尺寸偏差在±5%以内）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2.钢结构框架：Ø38mm厚2.0mm 镀锌钢管，制件均经除锈、磷化等金属表面处理后喷塑，长期使用不锈蚀；工艺要求：表面粉末喷涂材料 采用低金属含量材质，烤漆工艺，粉末喷涂材料添加抗紫外线稳定剂,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3.采用直径16mm航海船用高强度缆绳，中芯6股钢丝绳外套胶管，网绳之间的宽间距150mm；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1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连桥</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1.规格：尺寸：4700*1720*1500mm，（尺寸偏差在±5%以内）中间跨度带两根支撑柱。</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2.钢结构框架：外框架采用截面70*40mm， 壁厚2.0mm的镀锌管；里框架采用截面 40*40mm，壁厚2.0mm的镀锌管，满焊整体打磨。（尺寸偏差在±5%以内）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81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3.平台面板：材质梨花木，截面厚度≥28mm，无刺激性气味，成品表面以及儿童手指可触及处无毛刺及尖锐的棱角；</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3"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64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连桥护栏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1.规格：尺寸：9400*1720*1500mm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9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7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轮胎荡桥</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1.规格：尺寸：直径600mm，宽度300mm，绳长1600mm （尺寸偏差在±5%以内）中间跨度带两根支撑柱。</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2.材质：轮胎+缆绳</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0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圆形大平台</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1.规格：直径3750mm；高度2100mm；（尺寸偏差在±5%以内）                                                                                                            </w:t>
            </w:r>
            <w:r>
              <w:rPr>
                <w:rFonts w:hint="eastAsia" w:ascii="宋体" w:hAnsi="宋体" w:eastAsia="宋体" w:cs="宋体"/>
                <w:color w:val="FF0000"/>
                <w:sz w:val="21"/>
                <w:szCs w:val="21"/>
                <w:highlight w:val="yellow"/>
                <w:lang w:val="en-US" w:eastAsia="zh-CN"/>
              </w:rPr>
              <w:t xml:space="preserve">               </w:t>
            </w:r>
            <w:r>
              <w:rPr>
                <w:rFonts w:hint="eastAsia" w:ascii="宋体" w:hAnsi="宋体" w:eastAsia="宋体" w:cs="宋体"/>
                <w:sz w:val="21"/>
                <w:szCs w:val="21"/>
                <w:lang w:val="en-US" w:eastAsia="zh-CN"/>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2.主体立柱：采用Φ140mm，壁厚</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.0mm热浸锌管，表面经除锈、抛光后经静电喷塑进行喷涂处理。工艺要求：表面粉末喷涂材料 采用低金属含量材质，烤漆工艺；满焊整体打磨。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98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3.钢结构框架：镀锌管截面100*60mm， 壁厚</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.0mm；镀锌方管截面 40*40mm，壁厚2.0mm，满焊整体打磨。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8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numPr>
                <w:ilvl w:val="0"/>
                <w:numId w:val="4"/>
              </w:numPr>
              <w:spacing w:line="36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平台面板：材质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xml:space="preserve">mm，产品无刺激性气味，成品表面以及儿童手指可触及处无毛刺及尖锐的棱角；   （尺寸偏差在±5%以内）                                          </w:t>
            </w:r>
          </w:p>
          <w:p>
            <w:pPr>
              <w:widowControl/>
              <w:numPr>
                <w:ilvl w:val="0"/>
                <w:numId w:val="0"/>
              </w:numPr>
              <w:spacing w:line="36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color w:val="FF0000"/>
                <w:kern w:val="0"/>
                <w:sz w:val="21"/>
                <w:szCs w:val="21"/>
                <w:highlight w:val="yellow"/>
              </w:rPr>
              <w:t>▲提供</w:t>
            </w:r>
            <w:r>
              <w:rPr>
                <w:rFonts w:hint="eastAsia" w:ascii="宋体" w:hAnsi="宋体" w:eastAsia="宋体" w:cs="宋体"/>
                <w:color w:val="FF0000"/>
                <w:kern w:val="0"/>
                <w:sz w:val="21"/>
                <w:szCs w:val="21"/>
                <w:highlight w:val="yellow"/>
                <w:lang w:val="en-US" w:eastAsia="zh-CN"/>
              </w:rPr>
              <w:t>的</w:t>
            </w:r>
            <w:r>
              <w:rPr>
                <w:rFonts w:hint="eastAsia" w:ascii="宋体" w:hAnsi="宋体" w:eastAsia="宋体" w:cs="宋体"/>
                <w:color w:val="FF0000"/>
                <w:kern w:val="0"/>
                <w:sz w:val="21"/>
                <w:szCs w:val="21"/>
                <w:highlight w:val="yellow"/>
              </w:rPr>
              <w:t>梨花木符合GB 6675.</w:t>
            </w:r>
            <w:r>
              <w:rPr>
                <w:rFonts w:hint="eastAsia" w:ascii="宋体" w:hAnsi="宋体" w:eastAsia="宋体" w:cs="宋体"/>
                <w:color w:val="FF0000"/>
                <w:kern w:val="0"/>
                <w:sz w:val="21"/>
                <w:szCs w:val="21"/>
                <w:highlight w:val="yellow"/>
                <w:lang w:val="en-US" w:eastAsia="zh-CN"/>
              </w:rPr>
              <w:t>1</w:t>
            </w:r>
            <w:r>
              <w:rPr>
                <w:rFonts w:hint="eastAsia" w:ascii="宋体" w:hAnsi="宋体" w:eastAsia="宋体" w:cs="宋体"/>
                <w:color w:val="FF0000"/>
                <w:kern w:val="0"/>
                <w:sz w:val="21"/>
                <w:szCs w:val="21"/>
                <w:highlight w:val="yellow"/>
              </w:rPr>
              <w:t>-2014《玩具安全 第1部分：基本规范》的</w:t>
            </w:r>
            <w:r>
              <w:rPr>
                <w:rFonts w:hint="eastAsia" w:ascii="宋体" w:hAnsi="宋体" w:eastAsia="宋体" w:cs="宋体"/>
                <w:color w:val="FF0000"/>
                <w:kern w:val="0"/>
                <w:sz w:val="21"/>
                <w:szCs w:val="21"/>
                <w:highlight w:val="yellow"/>
                <w:lang w:val="en-US" w:eastAsia="zh-CN"/>
              </w:rPr>
              <w:t>要求</w:t>
            </w:r>
            <w:r>
              <w:rPr>
                <w:rFonts w:hint="eastAsia" w:ascii="宋体" w:hAnsi="宋体" w:eastAsia="宋体" w:cs="宋体"/>
                <w:color w:val="FF0000"/>
                <w:kern w:val="0"/>
                <w:sz w:val="21"/>
                <w:szCs w:val="21"/>
                <w:highlight w:val="yellow"/>
              </w:rPr>
              <w:t>；可迁移元素锑、砷、钡、镉、铬、汞、和硒的最大限量要求符合GB 6675</w:t>
            </w:r>
            <w:bookmarkStart w:id="111" w:name="_GoBack"/>
            <w:bookmarkEnd w:id="111"/>
            <w:r>
              <w:rPr>
                <w:rFonts w:hint="eastAsia" w:ascii="宋体" w:hAnsi="宋体" w:eastAsia="宋体" w:cs="宋体"/>
                <w:color w:val="FF0000"/>
                <w:kern w:val="0"/>
                <w:sz w:val="21"/>
                <w:szCs w:val="21"/>
                <w:highlight w:val="yellow"/>
              </w:rPr>
              <w:t>-2014的要求；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sz w:val="21"/>
                <w:szCs w:val="21"/>
                <w:highlight w:val="yellow"/>
                <w:lang w:val="en-US" w:eastAsia="zh-CN"/>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ind w:leftChars="0"/>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ind w:leftChars="0"/>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ind w:left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76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五金紧固件：采用半圆头内六角安全螺丝（M8-M12）、T型平头内六角螺丝（M8-M10）、圆球头盖帽螺丝帽（M8-M12）规格不等；表面处理：机械抛光亮光。螺丝要求一般工具无法松动，可预防任意调整功能满足本项目所有设备零件安装固定需要.</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34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圆形大平台护栏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1.规格：尺寸：11800mm*1500mm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采用低金属含量材质，烤漆工艺，通过重金属含量标准；外观要求：满焊整体打磨.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55"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吊板</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1.规格：高2100mm，吊板壁厚≥1.5mm，（尺寸偏差在±5%以内）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5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2.材质：PE板+缆绳，采用直径16mm航海船用高强度缆绳，中芯6股钢丝绳外套胶管。（尺寸偏差在±5%以内）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3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传声筒</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1.规格：管径Ø48mm厚2.0mm（尺寸偏差在±5%以内）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3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2.材质：金属；表面经除锈、抛光后经静电喷塑进行喷涂处理。喷涂后经电脑烤房高温固化</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3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圆平台垂直钻笼</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1.规格：最大直径1100mm；入口直径800mm，高2100（尺寸偏差在±5%以内）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9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2.钢结构框架：Ø38mm厚2.0mm 镀锌钢管，制件均经除锈、磷化等金属表面处理后喷塑；工艺要求：表面粉末喷涂材料 采用低金属含量材质，烤漆工艺,外观要求：满焊整体打磨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3.采用直径16mm航海船用高强度缆绳，中芯6股钢丝绳外套胶管，网绳之间的宽间距150mm；</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2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2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爬网长廊</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1.规格：长5000mm*1300mm（尺寸偏差在±5%以内）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2.钢结构框架：Ø48mm厚2.0mm 镀锌钢管，制件均经除锈、磷化等金属表面处理后喷塑，长期使用不锈蚀；工艺要求：表面粉末喷涂材料 采用低金属含量材质，烤漆工艺；外观要求：满焊整体打磨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val="0"/>
                <w:bCs w:val="0"/>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val="0"/>
                <w:bCs w:val="0"/>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b w:val="0"/>
                <w:bCs w:val="0"/>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3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b w:val="0"/>
                <w:bCs w:val="0"/>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b w:val="0"/>
                <w:bCs w:val="0"/>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b w:val="0"/>
                <w:bCs w:val="0"/>
                <w:kern w:val="0"/>
                <w:sz w:val="21"/>
                <w:szCs w:val="21"/>
              </w:rPr>
            </w:pPr>
            <w:r>
              <w:rPr>
                <w:rFonts w:hint="eastAsia" w:ascii="宋体" w:hAnsi="宋体" w:eastAsia="宋体" w:cs="宋体"/>
                <w:kern w:val="0"/>
                <w:sz w:val="21"/>
                <w:szCs w:val="21"/>
              </w:rPr>
              <w:t>4.绳网扣采用铝合金材质，进行除锈处理</w:t>
            </w:r>
            <w:r>
              <w:rPr>
                <w:rFonts w:hint="eastAsia" w:ascii="宋体" w:hAnsi="宋体" w:eastAsia="宋体" w:cs="宋体"/>
                <w:kern w:val="0"/>
                <w:sz w:val="21"/>
                <w:szCs w:val="21"/>
                <w:lang w:eastAsia="zh-CN"/>
              </w:rPr>
              <w:t>。</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after="24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3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爬网长廊护栏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1.规格：长10000mm*高1500mm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木质条板荡桥</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 xml:space="preserve">规格：长2000mm，高200mm（离地面）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 xml:space="preserve">2.材质：缆绳+桥板；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4.桥板采用梨花木，截面厚度≥30mm，产品无刺激性气味，成品表面以及儿童手指可触及处无毛刺及尖锐的棱角；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0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5.把口：不锈钢制品，采用高强度不锈钢（金属）一次性铸造成形。                                  </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w:t>
            </w:r>
            <w:r>
              <w:rPr>
                <w:rFonts w:hint="eastAsia" w:ascii="宋体" w:hAnsi="宋体" w:eastAsia="宋体" w:cs="宋体"/>
                <w:color w:val="FF0000"/>
                <w:kern w:val="0"/>
                <w:sz w:val="21"/>
                <w:szCs w:val="21"/>
                <w:highlight w:val="yellow"/>
                <w:lang w:eastAsia="zh-CN"/>
              </w:rPr>
              <w:t>“</w:t>
            </w:r>
            <w:r>
              <w:rPr>
                <w:rFonts w:hint="eastAsia" w:ascii="宋体" w:hAnsi="宋体" w:eastAsia="宋体" w:cs="宋体"/>
                <w:color w:val="FF0000"/>
                <w:kern w:val="0"/>
                <w:sz w:val="21"/>
                <w:szCs w:val="21"/>
                <w:highlight w:val="yellow"/>
              </w:rPr>
              <w:t>把</w:t>
            </w:r>
            <w:r>
              <w:rPr>
                <w:rFonts w:hint="eastAsia" w:ascii="宋体" w:hAnsi="宋体" w:eastAsia="宋体" w:cs="宋体"/>
                <w:color w:val="FF0000"/>
                <w:kern w:val="0"/>
                <w:sz w:val="21"/>
                <w:szCs w:val="21"/>
                <w:highlight w:val="yellow"/>
                <w:lang w:val="en-US" w:eastAsia="zh-CN"/>
              </w:rPr>
              <w:t>口”符合</w:t>
            </w:r>
            <w:r>
              <w:rPr>
                <w:rFonts w:hint="eastAsia" w:ascii="宋体" w:hAnsi="宋体" w:eastAsia="宋体" w:cs="宋体"/>
                <w:color w:val="FF0000"/>
                <w:kern w:val="0"/>
                <w:sz w:val="21"/>
                <w:szCs w:val="21"/>
                <w:highlight w:val="yellow"/>
              </w:rPr>
              <w:t>GB/T 20878-2007《不锈钢和耐热钢 牌号及化学成分》、QB/T 3832-1999《轻工产品金属镀层腐蚀试验结果的评价》 （10级）</w:t>
            </w:r>
            <w:r>
              <w:rPr>
                <w:rFonts w:hint="eastAsia" w:ascii="宋体" w:hAnsi="宋体" w:eastAsia="宋体" w:cs="宋体"/>
                <w:color w:val="FF0000"/>
                <w:kern w:val="0"/>
                <w:sz w:val="21"/>
                <w:szCs w:val="21"/>
                <w:highlight w:val="yellow"/>
                <w:lang w:val="en-US" w:eastAsia="zh-CN"/>
              </w:rPr>
              <w:t>或</w:t>
            </w:r>
            <w:r>
              <w:rPr>
                <w:rFonts w:hint="default" w:ascii="宋体" w:hAnsi="宋体" w:eastAsia="宋体" w:cs="宋体"/>
                <w:color w:val="FF0000"/>
                <w:kern w:val="0"/>
                <w:sz w:val="21"/>
                <w:szCs w:val="21"/>
                <w:highlight w:val="yellow"/>
                <w:lang w:val="en-US" w:eastAsia="zh-CN"/>
              </w:rPr>
              <w:t>GB/T10125-2021</w:t>
            </w:r>
            <w:r>
              <w:rPr>
                <w:rFonts w:hint="eastAsia" w:ascii="宋体" w:hAnsi="宋体" w:eastAsia="宋体" w:cs="宋体"/>
                <w:color w:val="FF0000"/>
                <w:kern w:val="0"/>
                <w:sz w:val="21"/>
                <w:szCs w:val="21"/>
                <w:highlight w:val="yellow"/>
                <w:lang w:val="en-US" w:eastAsia="zh-CN"/>
              </w:rPr>
              <w:t>《人造气氛腐蚀试验 盐雾试验》</w:t>
            </w:r>
            <w:r>
              <w:rPr>
                <w:rFonts w:hint="eastAsia" w:ascii="宋体" w:hAnsi="宋体" w:eastAsia="宋体" w:cs="宋体"/>
                <w:color w:val="FF0000"/>
                <w:kern w:val="0"/>
                <w:sz w:val="21"/>
                <w:szCs w:val="21"/>
                <w:highlight w:val="yellow"/>
              </w:rPr>
              <w:t>、GB/T222-200</w:t>
            </w:r>
            <w:r>
              <w:rPr>
                <w:rFonts w:hint="eastAsia" w:ascii="宋体" w:hAnsi="宋体" w:eastAsia="宋体" w:cs="宋体"/>
                <w:color w:val="FF0000"/>
                <w:kern w:val="0"/>
                <w:sz w:val="21"/>
                <w:szCs w:val="21"/>
                <w:highlight w:val="yellow"/>
                <w:lang w:val="en-US" w:eastAsia="zh-CN"/>
              </w:rPr>
              <w:t>6</w:t>
            </w:r>
            <w:r>
              <w:rPr>
                <w:rFonts w:hint="eastAsia" w:ascii="宋体" w:hAnsi="宋体" w:eastAsia="宋体" w:cs="宋体"/>
                <w:color w:val="FF0000"/>
                <w:kern w:val="0"/>
                <w:sz w:val="21"/>
                <w:szCs w:val="21"/>
                <w:highlight w:val="yellow"/>
              </w:rPr>
              <w:t>《&lt;钢的成品化学成分允许偏差》的</w:t>
            </w:r>
            <w:r>
              <w:rPr>
                <w:rFonts w:hint="eastAsia" w:ascii="宋体" w:hAnsi="宋体" w:eastAsia="宋体" w:cs="宋体"/>
                <w:color w:val="FF0000"/>
                <w:kern w:val="0"/>
                <w:sz w:val="21"/>
                <w:szCs w:val="21"/>
                <w:highlight w:val="yellow"/>
                <w:lang w:val="en-US" w:eastAsia="zh-CN"/>
              </w:rPr>
              <w:t>要求</w:t>
            </w:r>
            <w:r>
              <w:rPr>
                <w:rFonts w:hint="eastAsia" w:ascii="宋体" w:hAnsi="宋体" w:eastAsia="宋体" w:cs="宋体"/>
                <w:color w:val="FF0000"/>
                <w:kern w:val="0"/>
                <w:sz w:val="21"/>
                <w:szCs w:val="21"/>
                <w:highlight w:val="yellow"/>
              </w:rPr>
              <w:t>。</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r>
      <w:tr>
        <w:tblPrEx>
          <w:tblCellMar>
            <w:top w:w="0" w:type="dxa"/>
            <w:left w:w="108" w:type="dxa"/>
            <w:bottom w:w="0" w:type="dxa"/>
            <w:right w:w="108" w:type="dxa"/>
          </w:tblCellMar>
        </w:tblPrEx>
        <w:trPr>
          <w:trHeight w:val="83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高低组合攀爬</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1.规格：长2000*1000*1100mm ±10mm（尺寸偏差在±5%以内）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73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2.材质：缆绳+原木</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9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3.采用直径16mm航海船用高强度缆绳，中芯6股钢丝绳外套胶管；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木，直径≥10mm，产品无刺激性气味，成品表面以及儿童手指可触及处无毛刺及尖锐的棱角；（尺寸偏差在±5%以内）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0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大平台</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1.规格：13900*3600*2480±10mm</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22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2.主体立柱：采用120mm*120mm，壁厚2.75mm热浸锌管，表面经除锈、抛光后经静电喷塑进行喷涂处理。工艺要求：表面粉末喷涂材料 采用低金属含量材质，烤漆工艺；满焊整体打磨。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5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3.钢结构框架：镀锌管截面100*60mm， 壁厚2.0mm；镀锌方管截面 40*40mm，壁厚2.0mm，满焊整体打磨。（尺寸偏差在±5%以内）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0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36"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77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大平台护栏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1.规格：尺寸：34000mm*1500mm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；横杆Ø48mm厚2.0mm 镀锌钢管，制件均经除锈、磷化等金属表面处理后喷塑，长期使用不锈蚀；工艺要求：表面粉末喷涂材料 采用低金属含量材质，烤漆工艺，外观要求：满焊整体打磨.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59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五金紧固件：采用半圆头内六角安全螺丝（M8-M12）、T型平头内六角螺丝（M8-M10）、圆球头盖帽螺丝帽（M8-M12）规格不等；表面处理：机械抛光亮光。螺丝要求一般工具无法松动，可预防任意调整功能满足本项目所有设备零件安装固定需要.</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1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操作游戏墙面</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1.规格：3300*220*2100mm（尺寸偏差在±5%以内）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1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 40*40mm，壁厚2.0mm，满焊整体打磨。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7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厚度≥15mm）经手工打磨后，用腻子灰填补木材原生裂纹处，用室外专用漆，经过两底一面刷漆处理，总共三道刷漆工艺后加热烘干，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34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4.螺丝：螺丝为304不锈钢材质， 产品整体牢固，表面光洁，无锐边锐角等，无安全隐患。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94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6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操作材料</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2.材质：ABS塑料</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42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3.产品是由443个部件组成，部件清单如下：</w:t>
            </w:r>
          </w:p>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乔治仔3个；露西仔3个，厚四钉砖134个；厚八钉砖110个，薄八钉砖56个，16钉砖10个，星星20个，弧度4个，四钉坡度32个，八钉2个，胖四钉4个，眼睛四钉4个，八钉长方框6个，跨栏24个，四方形框4个，笔拧6个，大星星2个，大方块4个，货车3个，管子4个，长方形四眼4个，正方形四眼4个。</w:t>
            </w:r>
            <w:r>
              <w:rPr>
                <w:rFonts w:hint="eastAsia" w:ascii="宋体" w:hAnsi="宋体" w:eastAsia="宋体" w:cs="宋体"/>
                <w:kern w:val="0"/>
                <w:sz w:val="21"/>
                <w:szCs w:val="21"/>
                <w:lang w:val="en-US" w:eastAsia="zh-CN"/>
              </w:rPr>
              <w:t xml:space="preserve">                 </w:t>
            </w:r>
          </w:p>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lang w:val="en-US" w:eastAsia="zh-CN"/>
              </w:rPr>
              <w:t xml:space="preserve"> </w:t>
            </w:r>
            <w:r>
              <w:rPr>
                <w:rFonts w:hint="eastAsia" w:ascii="宋体" w:hAnsi="宋体" w:eastAsia="宋体" w:cs="宋体"/>
                <w:color w:val="C00000"/>
                <w:sz w:val="21"/>
                <w:szCs w:val="21"/>
                <w:highlight w:val="yellow"/>
              </w:rPr>
              <w:t>▲</w:t>
            </w:r>
            <w:r>
              <w:rPr>
                <w:rFonts w:hint="eastAsia" w:ascii="宋体" w:hAnsi="宋体" w:eastAsia="宋体" w:cs="宋体"/>
                <w:color w:val="FF0000"/>
                <w:sz w:val="21"/>
                <w:szCs w:val="21"/>
                <w:highlight w:val="yellow"/>
              </w:rPr>
              <w:t>操作材料符合GB6675.1-2014 《玩具安全第1部分：基本规范》、GB6675.2-2014 《玩具安全第2部分：机械与物理性能》、GB6675.3-2014 《玩具安全第3部分：易燃性能》、GB6675.4-2014 《玩具安全第4部分：特定元素的迁徙》的要求；需同时提供标注CMA或CNAS标识的检测报告关键信息扫描件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p>
          <w:p>
            <w:pPr>
              <w:widowControl/>
              <w:spacing w:line="360" w:lineRule="auto"/>
              <w:jc w:val="left"/>
              <w:rPr>
                <w:rFonts w:hint="eastAsia" w:ascii="宋体" w:hAnsi="宋体" w:eastAsia="宋体" w:cs="宋体"/>
                <w:kern w:val="0"/>
                <w:sz w:val="21"/>
                <w:szCs w:val="21"/>
              </w:rPr>
            </w:pP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49"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建构游戏墙面</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1.规格：3300*220*2100</w:t>
            </w:r>
            <w:r>
              <w:rPr>
                <w:rFonts w:hint="eastAsia" w:ascii="宋体" w:hAnsi="宋体" w:eastAsia="宋体" w:cs="宋体"/>
                <w:sz w:val="21"/>
                <w:szCs w:val="21"/>
                <w:lang w:val="en-US" w:eastAsia="zh-CN"/>
              </w:rPr>
              <w:t>mm</w:t>
            </w:r>
            <w:r>
              <w:rPr>
                <w:rFonts w:hint="eastAsia" w:ascii="宋体" w:hAnsi="宋体" w:eastAsia="宋体" w:cs="宋体"/>
                <w:kern w:val="0"/>
                <w:sz w:val="21"/>
                <w:szCs w:val="21"/>
              </w:rPr>
              <w:t xml:space="preserve">（尺寸偏差在±5%以内）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336"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 40*40mm，壁厚2.0mm，满焊整体打磨。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3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梨花</w:t>
            </w:r>
            <w:r>
              <w:rPr>
                <w:rFonts w:hint="eastAsia" w:ascii="宋体" w:hAnsi="宋体" w:eastAsia="宋体" w:cs="宋体"/>
                <w:kern w:val="0"/>
                <w:sz w:val="21"/>
                <w:szCs w:val="21"/>
              </w:rPr>
              <w:t>木（厚度≥15mm）经手工打磨后，用腻子灰填补木材原生裂纹处，用室外专用漆，经过两底一面刷漆处理，总共三道刷漆工艺后加热烘干，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3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4.螺丝：螺丝为304不锈钢材质， 无锐边锐角等，无安全隐患。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建构玩具</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2.材质：ABS塑料</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建构玩具</w:t>
            </w:r>
            <w:r>
              <w:rPr>
                <w:rFonts w:hint="eastAsia" w:ascii="宋体" w:hAnsi="宋体" w:eastAsia="宋体" w:cs="宋体"/>
                <w:kern w:val="0"/>
                <w:sz w:val="21"/>
                <w:szCs w:val="21"/>
              </w:rPr>
              <w:t>是由127个部件组成，具体部件清单如下：</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连接器3个；涡轮架1个；胶圈2个；笔拧2个；红色固定4个；红色齿3个；眼睛四盯2个；眼睛圆1个；灰色棒4个；绿色棒4个；蓝色长棒2个；蓝色短棒4个；轮子芯4；轮皮4个；短T8个；短工6个，长工6个；中工4个；轴承3个；秃轴承6个；黄色齿2个；转轴6个；钩子轴承2个；蓝色齿3个；管子1个；地板块2个；中间链接2个；土字盯4个；左耳朵块2个；右耳朵块2个；拐弯固定4个；遥控1个；主机1个；左拐3个；右拐3个；8盯砖8个；24盯砖6个；扇子2个；</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▲建构玩具符合GB6675.1-2014 《玩具安全第1部分：基本规范》、GB6675.2-2014 《玩具安全第2部分：机械与物理性能》、GB6675.3-2014 《玩具安全第3部分：易燃性能》、GB6675.4-2014 《玩具安全第4部分：特定元素的迁徙》的要求；</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r>
      <w:tr>
        <w:tblPrEx>
          <w:tblCellMar>
            <w:top w:w="0" w:type="dxa"/>
            <w:left w:w="108" w:type="dxa"/>
            <w:bottom w:w="0" w:type="dxa"/>
            <w:right w:w="108" w:type="dxa"/>
          </w:tblCellMar>
        </w:tblPrEx>
        <w:trPr>
          <w:trHeight w:val="87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躲藏木屋</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1.规格：长1850*宽1230*高2300mm（尺寸偏差在±5%以内）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 40*40mm，壁厚2.0mm，满焊整体打磨。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1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木（厚度≥15mm）经手工打磨后，用腻子灰填补木材原生裂纹处，用室外专用漆，经过两底一面刷漆处理，总共三道刷漆工艺后加热烘干，成品表面以及儿童手指可触及处无毛刺及尖锐的棱角。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 xml:space="preserve">4.螺丝：螺丝为304不锈钢材质， 无锐边锐角等，无安全隐患。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749"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lang w:eastAsia="zh-CN"/>
              </w:rPr>
            </w:pPr>
            <w:r>
              <w:rPr>
                <w:rFonts w:hint="eastAsia" w:ascii="宋体" w:hAnsi="宋体" w:eastAsia="宋体" w:cs="宋体"/>
                <w:kern w:val="0"/>
                <w:sz w:val="21"/>
                <w:szCs w:val="21"/>
              </w:rPr>
              <w:t>5.油漆：用室外专用漆，经过两底一面刷漆处理，总共三道刷漆工艺后加热烘干，成品表面以及儿童手指可触及处无毛刺及尖锐的棱角</w:t>
            </w:r>
            <w:r>
              <w:rPr>
                <w:rFonts w:hint="eastAsia" w:ascii="宋体" w:hAnsi="宋体" w:eastAsia="宋体" w:cs="宋体"/>
                <w:kern w:val="0"/>
                <w:sz w:val="21"/>
                <w:szCs w:val="21"/>
                <w:lang w:eastAsia="zh-CN"/>
              </w:rPr>
              <w:t>；</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3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储物柜</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1.材质：实木（松木），厚度≥</w:t>
            </w:r>
            <w:r>
              <w:rPr>
                <w:rFonts w:hint="eastAsia" w:ascii="宋体" w:hAnsi="宋体" w:eastAsia="宋体" w:cs="宋体"/>
                <w:kern w:val="0"/>
                <w:sz w:val="21"/>
                <w:szCs w:val="21"/>
                <w:lang w:val="en-US" w:eastAsia="zh-CN"/>
              </w:rPr>
              <w:t>10mm</w:t>
            </w:r>
            <w:r>
              <w:rPr>
                <w:rFonts w:hint="eastAsia" w:ascii="宋体" w:hAnsi="宋体" w:eastAsia="宋体" w:cs="宋体"/>
                <w:kern w:val="0"/>
                <w:sz w:val="21"/>
                <w:szCs w:val="21"/>
              </w:rPr>
              <w:t>（尺寸偏差在±5%以内）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77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kern w:val="0"/>
                <w:sz w:val="21"/>
                <w:szCs w:val="21"/>
              </w:rPr>
              <w:t>2.尺寸：宽 52</w:t>
            </w:r>
            <w:r>
              <w:rPr>
                <w:rFonts w:hint="eastAsia" w:ascii="宋体" w:hAnsi="宋体" w:eastAsia="宋体" w:cs="宋体"/>
                <w:kern w:val="0"/>
                <w:sz w:val="21"/>
                <w:szCs w:val="21"/>
                <w:lang w:val="en-US" w:eastAsia="zh-CN"/>
              </w:rPr>
              <w:t>0mm</w:t>
            </w:r>
            <w:r>
              <w:rPr>
                <w:rFonts w:hint="eastAsia" w:ascii="宋体" w:hAnsi="宋体" w:eastAsia="宋体" w:cs="宋体"/>
                <w:kern w:val="0"/>
                <w:sz w:val="21"/>
                <w:szCs w:val="21"/>
              </w:rPr>
              <w:t xml:space="preserve"> *深 18</w:t>
            </w:r>
            <w:r>
              <w:rPr>
                <w:rFonts w:hint="eastAsia" w:ascii="宋体" w:hAnsi="宋体" w:eastAsia="宋体" w:cs="宋体"/>
                <w:kern w:val="0"/>
                <w:sz w:val="21"/>
                <w:szCs w:val="21"/>
                <w:lang w:val="en-US" w:eastAsia="zh-CN"/>
              </w:rPr>
              <w:t>0m</w:t>
            </w:r>
            <w:r>
              <w:rPr>
                <w:rFonts w:hint="eastAsia" w:ascii="宋体" w:hAnsi="宋体" w:eastAsia="宋体" w:cs="宋体"/>
                <w:kern w:val="0"/>
                <w:sz w:val="21"/>
                <w:szCs w:val="21"/>
              </w:rPr>
              <w:t>m *高 60</w:t>
            </w:r>
            <w:r>
              <w:rPr>
                <w:rFonts w:hint="eastAsia" w:ascii="宋体" w:hAnsi="宋体" w:eastAsia="宋体" w:cs="宋体"/>
                <w:kern w:val="0"/>
                <w:sz w:val="21"/>
                <w:szCs w:val="21"/>
                <w:lang w:val="en-US" w:eastAsia="zh-CN"/>
              </w:rPr>
              <w:t>m</w:t>
            </w:r>
            <w:r>
              <w:rPr>
                <w:rFonts w:hint="eastAsia" w:ascii="宋体" w:hAnsi="宋体" w:eastAsia="宋体" w:cs="宋体"/>
                <w:kern w:val="0"/>
                <w:sz w:val="21"/>
                <w:szCs w:val="21"/>
              </w:rPr>
              <w:t>m ；板材厚度10</w:t>
            </w:r>
            <w:r>
              <w:rPr>
                <w:rFonts w:hint="eastAsia" w:ascii="宋体" w:hAnsi="宋体" w:eastAsia="宋体" w:cs="宋体"/>
                <w:kern w:val="0"/>
                <w:sz w:val="21"/>
                <w:szCs w:val="21"/>
                <w:lang w:val="en-US" w:eastAsia="zh-CN"/>
              </w:rPr>
              <w:t>m</w:t>
            </w:r>
            <w:r>
              <w:rPr>
                <w:rFonts w:hint="eastAsia" w:ascii="宋体" w:hAnsi="宋体" w:eastAsia="宋体" w:cs="宋体"/>
                <w:kern w:val="0"/>
                <w:sz w:val="21"/>
                <w:szCs w:val="21"/>
              </w:rPr>
              <w:t>m（±5%）</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5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3.工艺要求：共计1个，纯榫卯结构工艺，方便拆和安装；表面纹理清晰、无结疤、无黑疤。</w:t>
            </w:r>
          </w:p>
          <w:p>
            <w:pPr>
              <w:widowControl/>
              <w:spacing w:line="360" w:lineRule="auto"/>
              <w:jc w:val="left"/>
              <w:rPr>
                <w:rFonts w:hint="eastAsia" w:ascii="宋体" w:hAnsi="宋体" w:eastAsia="宋体" w:cs="宋体"/>
                <w:color w:val="FF0000"/>
                <w:kern w:val="0"/>
                <w:sz w:val="21"/>
                <w:szCs w:val="21"/>
                <w:highlight w:val="yellow"/>
              </w:rPr>
            </w:pPr>
            <w:r>
              <w:rPr>
                <w:rFonts w:hint="eastAsia" w:ascii="宋体" w:hAnsi="宋体" w:eastAsia="宋体" w:cs="宋体"/>
                <w:color w:val="FF0000"/>
                <w:kern w:val="0"/>
                <w:sz w:val="21"/>
                <w:szCs w:val="21"/>
                <w:highlight w:val="yellow"/>
              </w:rPr>
              <w:t>▲储物柜的外观、外型尺寸、边缘及尖端、突出物、孔及间隙、甲醛释放量应符合GB28007-2011儿童家具通用技术条件的要求；可接触的实木部件中五氯苯酚（PCP）含量应符合GB/T 35607-2017绿色产品评价家具的要求；机械装置中的可触及性、边缘、尖端、突出部件应符合GB6675.1-2014、GB6675.2-2014的要求；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r>
      <w:tr>
        <w:tblPrEx>
          <w:tblCellMar>
            <w:top w:w="0" w:type="dxa"/>
            <w:left w:w="108" w:type="dxa"/>
            <w:bottom w:w="0" w:type="dxa"/>
            <w:right w:w="108" w:type="dxa"/>
          </w:tblCellMar>
        </w:tblPrEx>
        <w:trPr>
          <w:trHeight w:val="109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上下攀爬网桶</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1.规格：直径800mm；高度2480mm；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3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2.钢结构框架：Ø38mm厚2.0mm 镀锌钢管，制件均经除锈、磷化等金属表面处理后喷塑；工艺要求：表面粉末喷涂材料 采用低金属含量材质，烤漆工艺，通过重金属含量标准；防止褪色:粉末喷涂材料添加抗紫外线稳定剂,</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 xml:space="preserve">；外观要求：满焊整体打磨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28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3.采用直径16mm航海船用高强度缆绳，中芯6股钢丝绳外套胶管，网绳之间的宽间距150mm；</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061"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楼梯</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1.规格：3400mm*850mm*2480mm；步高150mm，10mm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8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.钢结构框架：镀锌方管截面60mm*40mm、 40mm*40mm，壁厚2.0mm，满焊整体打磨。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158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.楼板：材质梨花木，截面厚度≥2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752"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楼梯扶手</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1.规格：尺寸：7800mm，高1100mm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52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38"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展示台</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1.规格：2800*300*2300mm    （尺寸偏差在±5%以内）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51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2.钢结构框架：镀锌方管截面40mm*40mm，壁厚2.0mm，满焊整体打磨。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88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木，截面厚度≥15mm，产品无刺激性气味，成品表面以及儿童手指可触及处无毛刺及尖锐的棱角；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57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4.采用厚度≥5mm，冲击力最大可达到3kg/cm3的PC耐力板，倒R角，圆滑修边处理。（尺寸偏差在±5%以内）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2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13"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收纳柜</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1.规格：1900*300*2300mm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581"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2.钢结构框架：镀锌方管截面40mm*40mm，壁厚2.0mm，满焊整体打磨。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3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木，截面厚度≥15mm，产品外观有光泽，颜色鲜艳，无刺激性气味，成品表面以及儿童手指可触及处无毛刺及尖锐的棱角； （尺寸偏差在±5%以</w:t>
            </w:r>
            <w:r>
              <w:rPr>
                <w:rFonts w:hint="eastAsia" w:ascii="宋体" w:hAnsi="宋体" w:eastAsia="宋体" w:cs="宋体"/>
                <w:kern w:val="0"/>
                <w:sz w:val="21"/>
                <w:szCs w:val="21"/>
                <w:lang w:val="en-US" w:eastAsia="zh-CN"/>
              </w:rPr>
              <w:t>内）</w:t>
            </w:r>
            <w:r>
              <w:rPr>
                <w:rFonts w:hint="eastAsia" w:ascii="宋体" w:hAnsi="宋体" w:eastAsia="宋体" w:cs="宋体"/>
                <w:kern w:val="0"/>
                <w:sz w:val="21"/>
                <w:szCs w:val="21"/>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4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科技探索墙面</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1.规格：2900*300*2400mm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7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2.钢结构框架：镀锌方管截面40mm*40mm，壁厚2.0mm，满焊整体打磨。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木，截面厚度≥15mm，产品外观有光泽，颜色鲜艳，无刺激性气味，成品表面以及儿童手指可触及处无毛刺及尖锐的棱角；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58"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4.采用厚度≥5mm的PE板；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16"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探索玩具</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1.产品尺寸;480*360*580mm；（尺寸偏差在±5%以内）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2.材质：ABS塑料</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3.产品是由138个部件组成，部件清单如下：</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乔治仔1个，露西仔1个，涡轮架1个，灰色棒7个，钩子轴承2个，长链接4个，半孔半槽1个，短链接2个，厚八钉砖16个，薄八钉砖2个，胖4钉1个，厚四钉砖10个，黄色齿3个，转轴6个，轴承15个，二钉砖10个，扇子2个，数字圆片1个，眼睛圆片2个，长方形片1个，正方形片1个，特大板1个，大板2个，绿色长棒5个，带孔20钉砖2个，带孔16钉砖3个，带孔8钉砖10个，胶圈2个，四钉坡4个，红色齿3个，管子5个，蓝色长棒2个，蓝色短棒4个，蓝色齿2个，轮子皮4个。</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FF0000"/>
                <w:kern w:val="0"/>
                <w:sz w:val="21"/>
                <w:szCs w:val="21"/>
                <w:highlight w:val="yellow"/>
              </w:rPr>
              <w:t>▲探索玩具符合GB6675.1-2014 《玩具安全第1部分：基本规范》、GB6675.2-2014 《玩具安全第2部分：机械与物理性能》、GB6675.3-2014 《玩具安全第3部分：易燃性能》、GB6675.4-2014 《玩具安全第4部分：特定元素的迁徙》的要求；</w:t>
            </w:r>
            <w:r>
              <w:rPr>
                <w:rFonts w:hint="eastAsia" w:ascii="宋体" w:hAnsi="宋体" w:eastAsia="宋体" w:cs="宋体"/>
                <w:color w:val="FF0000"/>
                <w:sz w:val="21"/>
                <w:szCs w:val="21"/>
                <w:highlight w:val="yellow"/>
              </w:rPr>
              <w:t>需同时提供标注CMA或CNAS标识的检测报告关键信息扫描件</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体</w:t>
            </w:r>
            <w:r>
              <w:rPr>
                <w:rFonts w:hint="eastAsia" w:ascii="宋体" w:hAnsi="宋体" w:eastAsia="宋体" w:cs="宋体"/>
                <w:color w:val="FF0000"/>
                <w:sz w:val="21"/>
                <w:szCs w:val="21"/>
                <w:highlight w:val="yellow"/>
              </w:rPr>
              <w:t>现产品检测能力的检验检测机构资质认定证书扫描件；检测报告在全国认证认可信息公共服务平台网站（http://cx.cnca.cn/CertECloud/qts/qts/qtsPage）查询截图扫描件，检测报告须加盖委托单位公章或提供委托单位的授权使用证明文件。所有提供的证明资料都需加盖投标人公章,原件备查。</w:t>
            </w:r>
            <w:r>
              <w:rPr>
                <w:rFonts w:hint="eastAsia" w:ascii="宋体" w:hAnsi="宋体" w:eastAsia="宋体" w:cs="宋体"/>
                <w:color w:val="FF0000"/>
                <w:kern w:val="0"/>
                <w:sz w:val="21"/>
                <w:szCs w:val="21"/>
                <w:highlight w:val="yellow"/>
              </w:rPr>
              <w:t xml:space="preserve">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color w:val="FF0000"/>
                <w:kern w:val="0"/>
                <w:sz w:val="21"/>
                <w:szCs w:val="21"/>
                <w:highlight w:val="yellow"/>
              </w:rPr>
            </w:pPr>
          </w:p>
        </w:tc>
      </w:tr>
      <w:tr>
        <w:tblPrEx>
          <w:tblCellMar>
            <w:top w:w="0" w:type="dxa"/>
            <w:left w:w="108" w:type="dxa"/>
            <w:bottom w:w="0" w:type="dxa"/>
            <w:right w:w="108" w:type="dxa"/>
          </w:tblCellMar>
        </w:tblPrEx>
        <w:trPr>
          <w:trHeight w:val="110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格栅景观墙</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1.规格：2200*100*2400mm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313"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2.钢结构框架：镀锌方管截面40mm*40mm，壁厚2.0mm，满焊整体打磨。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77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 xml:space="preserve">木，截面厚度≥15mm，产品无刺激性气味，成品表面以及儿童手指可触及处无毛刺及尖锐的棱角；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1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检修暗门</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1.规格：650*2000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77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木，截面厚度≥15mm，产品无刺激性气味，成品表面以及儿童手指可触及处无毛刺及尖锐的棱角；（尺寸偏差在±5%以内）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2"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小连廊</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1.规格：2060*950*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815"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2.钢结构框架：镀锌方管截面60mm*40mm、40mm*40m 壁厚2.0mm，满焊整体打磨。（尺寸偏差在±5%以内）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81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99"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小连廊护栏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1.规格：长4120 </w:t>
            </w:r>
            <w:r>
              <w:rPr>
                <w:rFonts w:hint="eastAsia" w:ascii="宋体" w:hAnsi="宋体" w:eastAsia="宋体" w:cs="宋体"/>
                <w:kern w:val="0"/>
                <w:sz w:val="21"/>
                <w:szCs w:val="21"/>
                <w:lang w:val="en-US" w:eastAsia="zh-CN"/>
              </w:rPr>
              <w:t>高</w:t>
            </w:r>
            <w:r>
              <w:rPr>
                <w:rFonts w:hint="eastAsia" w:ascii="宋体" w:hAnsi="宋体" w:eastAsia="宋体" w:cs="宋体"/>
                <w:kern w:val="0"/>
                <w:sz w:val="21"/>
                <w:szCs w:val="21"/>
              </w:rPr>
              <w:t xml:space="preserve"> 1400mm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3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双层观察屋</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1.规格：长3500*宽3200*高4900mm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2.主体立柱：采用120mm*120mm，壁厚2.75mm热浸锌管，表面经除锈、抛光后经静电喷塑进行喷涂处理。工艺要求：表面粉末喷涂材料 采用低金属含量材质，烤漆工艺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4.五金紧固件：采用半圆头内六角安全螺丝（M8-M12）、T型平头内六角螺丝（M8-M10）、圆球头盖帽螺丝帽（M8-M12）规格不等；表面处理：机械抛光亮光。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设备间暗门</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1.规格：650*2000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86"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，截面厚度≥15mm，产品无刺激性气味，成品表面以及儿童手指可触及处无毛刺及尖锐的棱角；（尺寸偏差在±5%以内）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休息凳</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1.规格：2500*1100*800；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5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 壁厚2.0mm，满焊整体打磨。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05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40"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s型滑桶</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1.规格尺寸：内圈直径700mm，高度2480mm；（尺寸偏差在±5%以内）；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75"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2.材质：ABS工程塑料，厚6mm.抗紫外线色牢度达8级。外观说明：弯曲造型，外包ABS工程塑料造型装饰包边。沟通二层平台与地面连通，配有三处独立支撑钢管保障稳固；（尺寸偏差在±5%以内）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61"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直行攀爬网桶</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1.规格尺寸：直径800mm；长4300mm；（尺寸偏差在±5%以内）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969"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2.钢结构框架：Ø38mm厚2.0mm 镀锌钢管，制件均经除锈、磷化等金属表面处理后，烤漆工艺；外观要求：满焊整体打磨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52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3.采用直径16mm航海船用高强度缆绳，中芯6股钢丝绳外套胶管，外层再覆以变色锦纶编织绳。网绳之间的宽间距150mm；覆盖加密网间距40mm。（尺寸偏差在±5%以内）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8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4.绳网扣采用铝合金材质，进行除锈处理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591"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5.主体立柱：采用直径114mm，壁厚2.75mm热浸锌管，表面经除锈、抛光后经静电喷塑进行喷涂处理。工艺要求：表面粉末喷涂材料 采用低金属含量材质，烤漆工艺。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65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异型双层木屋平台</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1.规格尺寸：长2300*宽2300mm，4390mm（离地面）；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8"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2.主体立柱：采用120mm*120mm，壁厚2.75mm热浸锌管，表面经除锈、抛光后经静电喷塑进行喷涂处理。工艺要求：表面粉末喷涂材料 采用低金属含量材质，烤漆工艺；满焊整体打磨。（尺寸偏差在±5%以内）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0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3.钢结构框架：镀锌管截面120mm*120mm壁厚2.75mm；100mm*60mm壁厚2.0mm；截面 40*40mm，壁厚2.0mm；满焊整体打磨。（尺寸偏差在±5%以内）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014"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02"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5.五金紧固件：采用半圆头内六角安全螺丝（M8-M12）、T型平头内六角螺丝（M8-M10）、圆球头盖帽螺丝帽（M8-M12）规格不等；表面处理：机械抛光亮光。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2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坡度连桥</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 xml:space="preserve">规格尺寸：6100mm*1200mm，高3770mm（离地面）（尺寸偏差在±5%以内）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lang w:val="en-US" w:eastAsia="zh-CN"/>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lang w:val="en-US" w:eastAsia="zh-CN"/>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2.主体立柱：采用100mm*100mm，壁厚2.75mm热浸锌管，表面经除锈、抛光后经静电喷塑进行喷涂处理。工艺要求：表面粉末喷涂材料 采用低金属含量材质，烤漆工艺；满焊整体打磨。（尺寸偏差在±5%以内）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3.钢结构框架：镀锌管截面100*60mm， 壁厚2.0mm；镀锌方管截面 40*40mm，壁厚2.0mm，满焊整体打磨。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4.平台面板：材质梨花木，截面厚度≥2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xml:space="preserve">mm，产品无刺激性气味，成品表面以及儿童手指可触及处无毛刺及尖锐的棱角；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5.采用直径16mm航海船用高强度缆绳，中芯6股钢丝绳外套胶管，外层再覆以变色锦纶编织绳。网绳之间的宽间距150mm；覆盖加密网间距40mm。（尺寸偏差在±5%以内）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numPr>
                <w:ilvl w:val="0"/>
                <w:numId w:val="0"/>
              </w:numPr>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22"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6.绳网扣采用铝合金材质，进行除锈处理</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67"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7.五金紧固件：采用半圆头内六角安全螺丝（M8-M12）、T型平头内六角螺丝（M8-M10）、圆球头盖帽螺丝帽（M8-M12）规格不等；表面处理：机械抛光亮光。</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74"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坡度连桥护栏</w:t>
            </w: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1.规格：长12200mm  高 1500mm    （尺寸偏差在±5%以内）   </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630"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2.材质：竖杆为Ø25mm厚2.0mm 镀锌钢管 ；横杆Ø38mm厚2.0mm 镀锌钢管，制件均经除锈、磷化等金属表面处理后喷塑，长期使用不锈蚀；工艺要求：表面粉末喷涂材料 采用低金属含量材质，烤漆工艺</w:t>
            </w:r>
            <w:r>
              <w:rPr>
                <w:rFonts w:hint="eastAsia" w:ascii="宋体" w:hAnsi="宋体" w:eastAsia="宋体" w:cs="宋体"/>
                <w:kern w:val="0"/>
                <w:sz w:val="21"/>
                <w:szCs w:val="21"/>
                <w:lang w:eastAsia="zh-CN"/>
              </w:rPr>
              <w:t xml:space="preserve"> </w:t>
            </w:r>
            <w:r>
              <w:rPr>
                <w:rFonts w:hint="eastAsia" w:ascii="宋体" w:hAnsi="宋体" w:eastAsia="宋体" w:cs="宋体"/>
                <w:kern w:val="0"/>
                <w:sz w:val="21"/>
                <w:szCs w:val="21"/>
              </w:rPr>
              <w:t>；外观要求：满焊整体打磨. （尺寸偏差在±5%以内）</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79"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五金紧固件：采用半圆头内六角安全螺丝（M8-M12）、T型平头内六角螺丝（M8-M10）、圆球头盖帽螺丝帽（M8-M12）规格不等；表面处理：机械抛光亮光。螺丝要求一般工具无法松动，可预防任意调整功能满足本项目所有设备零件安装固定需要</w:t>
            </w:r>
            <w:r>
              <w:rPr>
                <w:rFonts w:hint="eastAsia" w:ascii="宋体" w:hAnsi="宋体" w:eastAsia="宋体" w:cs="宋体"/>
                <w:kern w:val="0"/>
                <w:sz w:val="21"/>
                <w:szCs w:val="21"/>
                <w:lang w:eastAsia="zh-CN"/>
              </w:rPr>
              <w:t>。</w:t>
            </w:r>
          </w:p>
        </w:tc>
        <w:tc>
          <w:tcPr>
            <w:tcW w:w="136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 w:hRule="atLeast"/>
        </w:trPr>
        <w:tc>
          <w:tcPr>
            <w:tcW w:w="638" w:type="dxa"/>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883" w:type="dxa"/>
            <w:vMerge w:val="restart"/>
            <w:tcBorders>
              <w:top w:val="nil"/>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异型收纳柜</w:t>
            </w:r>
          </w:p>
        </w:tc>
        <w:tc>
          <w:tcPr>
            <w:tcW w:w="2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1.规格尺寸：9400*550*2400mm  （尺寸偏差在±5%以内）                                                                                               </w:t>
            </w:r>
          </w:p>
        </w:tc>
        <w:tc>
          <w:tcPr>
            <w:tcW w:w="1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 w:hRule="atLeast"/>
        </w:trPr>
        <w:tc>
          <w:tcPr>
            <w:tcW w:w="638" w:type="dxa"/>
            <w:vMerge w:val="continue"/>
            <w:tcBorders>
              <w:left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2.钢结构框架：镀锌方管截面40mm*40m 壁厚2.0mm，满焊整体打磨。 （尺寸偏差在±5%以内）</w:t>
            </w:r>
          </w:p>
        </w:tc>
        <w:tc>
          <w:tcPr>
            <w:tcW w:w="1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 w:hRule="atLeast"/>
        </w:trPr>
        <w:tc>
          <w:tcPr>
            <w:tcW w:w="638" w:type="dxa"/>
            <w:vMerge w:val="continue"/>
            <w:tcBorders>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1"/>
                <w:szCs w:val="21"/>
              </w:rPr>
            </w:pPr>
          </w:p>
        </w:tc>
        <w:tc>
          <w:tcPr>
            <w:tcW w:w="883" w:type="dxa"/>
            <w:vMerge w:val="continue"/>
            <w:tcBorders>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1"/>
                <w:szCs w:val="21"/>
              </w:rPr>
            </w:pPr>
          </w:p>
        </w:tc>
        <w:tc>
          <w:tcPr>
            <w:tcW w:w="2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3.采用</w:t>
            </w:r>
            <w:r>
              <w:rPr>
                <w:rFonts w:hint="eastAsia" w:ascii="宋体" w:hAnsi="宋体" w:eastAsia="宋体" w:cs="宋体"/>
                <w:kern w:val="0"/>
                <w:sz w:val="21"/>
                <w:szCs w:val="21"/>
                <w:lang w:val="en-US" w:eastAsia="zh-CN"/>
              </w:rPr>
              <w:t>实</w:t>
            </w:r>
            <w:r>
              <w:rPr>
                <w:rFonts w:hint="eastAsia" w:ascii="宋体" w:hAnsi="宋体" w:eastAsia="宋体" w:cs="宋体"/>
                <w:kern w:val="0"/>
                <w:sz w:val="21"/>
                <w:szCs w:val="21"/>
              </w:rPr>
              <w:t>木，截面厚度≥2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mm，产品无刺激性气味，成品表面以及儿童手指可触及处无毛刺及尖锐的棱角；（尺寸偏差在±5%以内</w:t>
            </w:r>
            <w:r>
              <w:rPr>
                <w:rFonts w:hint="eastAsia" w:ascii="宋体" w:hAnsi="宋体" w:eastAsia="宋体" w:cs="宋体"/>
                <w:kern w:val="0"/>
                <w:sz w:val="21"/>
                <w:szCs w:val="21"/>
                <w:lang w:eastAsia="zh-CN"/>
              </w:rPr>
              <w:t>）</w:t>
            </w:r>
          </w:p>
        </w:tc>
        <w:tc>
          <w:tcPr>
            <w:tcW w:w="1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 w:val="21"/>
                <w:szCs w:val="21"/>
              </w:rPr>
            </w:pPr>
          </w:p>
        </w:tc>
      </w:tr>
    </w:tbl>
    <w:p>
      <w:pPr>
        <w:rPr>
          <w:rFonts w:hint="eastAsia"/>
        </w:rPr>
      </w:pPr>
    </w:p>
    <w:p>
      <w:pPr>
        <w:rPr>
          <w:rFonts w:hint="eastAsia"/>
        </w:rPr>
      </w:pPr>
    </w:p>
    <w:p>
      <w:pPr>
        <w:numPr>
          <w:ilvl w:val="0"/>
          <w:numId w:val="0"/>
        </w:numPr>
      </w:pPr>
    </w:p>
    <w:p>
      <w:pPr>
        <w:rPr>
          <w:sz w:val="24"/>
        </w:rPr>
      </w:pPr>
    </w:p>
    <w:p>
      <w:pPr>
        <w:keepNext w:val="0"/>
        <w:keepLines w:val="0"/>
        <w:pageBreakBefore w:val="0"/>
        <w:kinsoku/>
        <w:wordWrap/>
        <w:overflowPunct/>
        <w:topLinePunct w:val="0"/>
        <w:autoSpaceDE/>
        <w:autoSpaceDN/>
        <w:bidi w:val="0"/>
        <w:adjustRightInd/>
        <w:snapToGrid/>
        <w:spacing w:beforeAutospacing="0" w:afterAutospacing="0"/>
        <w:textAlignment w:val="auto"/>
        <w:rPr>
          <w:sz w:val="21"/>
          <w:szCs w:val="21"/>
        </w:rPr>
      </w:pPr>
      <w:bookmarkStart w:id="37" w:name="_Hlk72095977"/>
      <w:r>
        <w:rPr>
          <w:rFonts w:hint="eastAsia"/>
          <w:sz w:val="21"/>
          <w:szCs w:val="21"/>
        </w:rPr>
        <w:t>证明资料【如有的话，提供的证明资料应统一编号（排序），格式自定】</w:t>
      </w:r>
      <w:bookmarkEnd w:id="37"/>
      <w:r>
        <w:rPr>
          <w:rFonts w:hint="eastAsia"/>
          <w:sz w:val="21"/>
          <w:szCs w:val="21"/>
        </w:rPr>
        <w:t>：</w:t>
      </w:r>
    </w:p>
    <w:p>
      <w:pPr>
        <w:keepNext w:val="0"/>
        <w:keepLines w:val="0"/>
        <w:pageBreakBefore w:val="0"/>
        <w:kinsoku/>
        <w:wordWrap/>
        <w:overflowPunct/>
        <w:topLinePunct w:val="0"/>
        <w:autoSpaceDE/>
        <w:autoSpaceDN/>
        <w:bidi w:val="0"/>
        <w:adjustRightInd/>
        <w:snapToGrid/>
        <w:spacing w:beforeAutospacing="0" w:afterAutospacing="0"/>
        <w:textAlignment w:val="auto"/>
        <w:rPr>
          <w:b/>
          <w:sz w:val="21"/>
          <w:szCs w:val="21"/>
        </w:rPr>
      </w:pP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《技术要求偏离表》编制指引：</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1、技术要求偏离表的序号、货物名称、招标技术要求等栏目</w:t>
      </w:r>
      <w:bookmarkStart w:id="38" w:name="_Hlk72094407"/>
      <w:r>
        <w:rPr>
          <w:rFonts w:hint="eastAsia"/>
          <w:b w:val="0"/>
          <w:bCs/>
          <w:sz w:val="21"/>
          <w:szCs w:val="21"/>
        </w:rPr>
        <w:t>对应“用户需求书”中的“技术要求”章节</w:t>
      </w:r>
      <w:bookmarkEnd w:id="38"/>
      <w:r>
        <w:rPr>
          <w:rFonts w:hint="eastAsia"/>
          <w:b w:val="0"/>
          <w:bCs/>
          <w:sz w:val="21"/>
          <w:szCs w:val="21"/>
        </w:rPr>
        <w:t>相关内容。</w:t>
      </w:r>
    </w:p>
    <w:p>
      <w:pPr>
        <w:pStyle w:val="14"/>
        <w:keepNext w:val="0"/>
        <w:keepLines w:val="0"/>
        <w:pageBreakBefore w:val="0"/>
        <w:widowControl/>
        <w:kinsoku/>
        <w:wordWrap/>
        <w:overflowPunct/>
        <w:topLinePunct w:val="0"/>
        <w:autoSpaceDE/>
        <w:autoSpaceDN/>
        <w:bidi w:val="0"/>
        <w:adjustRightInd/>
        <w:snapToGrid/>
        <w:spacing w:beforeAutospacing="0" w:afterAutospacing="0"/>
        <w:ind w:firstLine="420" w:firstLineChars="200"/>
        <w:jc w:val="both"/>
        <w:textAlignment w:val="auto"/>
        <w:outlineLvl w:val="1"/>
        <w:rPr>
          <w:rFonts w:hint="eastAsia" w:ascii="Times New Roman" w:hAnsi="Times New Roman" w:eastAsia="宋体" w:cs="Times New Roman"/>
          <w:b w:val="0"/>
          <w:bCs/>
          <w:color w:val="FF0000"/>
          <w:kern w:val="2"/>
          <w:sz w:val="21"/>
          <w:szCs w:val="21"/>
          <w:lang w:val="en-US" w:eastAsia="zh-CN"/>
        </w:rPr>
      </w:pPr>
      <w:r>
        <w:rPr>
          <w:b w:val="0"/>
          <w:bCs/>
          <w:sz w:val="21"/>
          <w:szCs w:val="21"/>
        </w:rPr>
        <w:t>2</w:t>
      </w:r>
      <w:r>
        <w:rPr>
          <w:rFonts w:hint="eastAsia"/>
          <w:b w:val="0"/>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 w:val="0"/>
          <w:bCs/>
          <w:color w:val="FF0000"/>
          <w:kern w:val="2"/>
          <w:sz w:val="21"/>
          <w:szCs w:val="21"/>
          <w:u w:val="none"/>
          <w:lang w:val="en-US" w:eastAsia="zh-CN"/>
        </w:rPr>
        <w:t>“投标技术响应”必须与</w:t>
      </w:r>
      <w:r>
        <w:rPr>
          <w:rFonts w:hint="eastAsia" w:cs="Times New Roman"/>
          <w:b w:val="0"/>
          <w:bCs/>
          <w:color w:val="FF0000"/>
          <w:kern w:val="2"/>
          <w:sz w:val="21"/>
          <w:szCs w:val="21"/>
          <w:u w:val="none"/>
          <w:lang w:val="en-US" w:eastAsia="zh-CN"/>
        </w:rPr>
        <w:t>所投产品</w:t>
      </w:r>
      <w:r>
        <w:rPr>
          <w:rFonts w:hint="eastAsia" w:ascii="Times New Roman" w:hAnsi="Times New Roman" w:eastAsia="宋体" w:cs="Times New Roman"/>
          <w:b w:val="0"/>
          <w:bCs/>
          <w:color w:val="FF0000"/>
          <w:kern w:val="2"/>
          <w:sz w:val="21"/>
          <w:szCs w:val="21"/>
          <w:u w:val="none"/>
          <w:lang w:val="en-US" w:eastAsia="zh-CN"/>
        </w:rPr>
        <w:t>客观实际保持一致，响应不实且情节严重的，经查实，将依法记入供应商诚信档案或受到行政处罚。</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u w:val="none"/>
          <w:lang w:val="en-US" w:eastAsia="zh-CN" w:bidi="ar-SA"/>
        </w:rPr>
      </w:pPr>
      <w:r>
        <w:rPr>
          <w:b w:val="0"/>
          <w:bCs/>
          <w:sz w:val="21"/>
          <w:szCs w:val="21"/>
        </w:rPr>
        <w:t>3</w:t>
      </w:r>
      <w:r>
        <w:rPr>
          <w:rFonts w:hint="eastAsia"/>
          <w:b w:val="0"/>
          <w:bCs/>
          <w:sz w:val="21"/>
          <w:szCs w:val="21"/>
        </w:rPr>
        <w:t>、</w:t>
      </w:r>
      <w:bookmarkStart w:id="39" w:name="_Hlk72158270"/>
      <w:r>
        <w:rPr>
          <w:rFonts w:hint="eastAsia"/>
          <w:b w:val="0"/>
          <w:bCs/>
          <w:sz w:val="21"/>
          <w:szCs w:val="21"/>
        </w:rPr>
        <w:t>“偏离情况”</w:t>
      </w:r>
      <w:bookmarkEnd w:id="39"/>
      <w:r>
        <w:rPr>
          <w:rFonts w:hint="eastAsia"/>
          <w:b w:val="0"/>
          <w:bCs/>
          <w:sz w:val="21"/>
          <w:szCs w:val="21"/>
        </w:rPr>
        <w:t>一栏填写如实填写“正偏离”、“负偏离”或“无偏离”，其中：</w:t>
      </w:r>
      <w:bookmarkStart w:id="40" w:name="_Hlk72093866"/>
      <w:r>
        <w:rPr>
          <w:rFonts w:hint="eastAsia"/>
          <w:b w:val="0"/>
          <w:bCs/>
          <w:sz w:val="21"/>
          <w:szCs w:val="21"/>
        </w:rPr>
        <w:t>“正偏离”表示“投标响应优于招标技术要求”，“负偏离”表示“投标响应不满足招标技术要求”，“无偏离”表示“投标响应与招标技术要求一致”</w:t>
      </w:r>
      <w:bookmarkEnd w:id="40"/>
      <w:r>
        <w:rPr>
          <w:rFonts w:hint="eastAsia"/>
          <w:b w:val="0"/>
          <w:bCs/>
          <w:sz w:val="21"/>
          <w:szCs w:val="21"/>
        </w:rPr>
        <w:t>。“投标技术响应”对比“招标技术要求”存在响应不全（包括未响应整项招标技术要求或者未响应一项招标技术要求的部分内容），均视为“负偏离”。带★号条款为不可</w:t>
      </w:r>
      <w:r>
        <w:rPr>
          <w:rFonts w:hint="eastAsia"/>
          <w:b w:val="0"/>
          <w:bCs/>
          <w:sz w:val="21"/>
          <w:szCs w:val="21"/>
          <w:lang w:val="en-US" w:eastAsia="zh-CN"/>
        </w:rPr>
        <w:t>负</w:t>
      </w:r>
      <w:r>
        <w:rPr>
          <w:rFonts w:hint="eastAsia"/>
          <w:b w:val="0"/>
          <w:bCs/>
          <w:sz w:val="21"/>
          <w:szCs w:val="21"/>
        </w:rPr>
        <w:t>偏离条款，不作为评分准则中的评分内容</w:t>
      </w:r>
      <w:r>
        <w:rPr>
          <w:rFonts w:hint="eastAsia" w:eastAsia="宋体"/>
          <w:b w:val="0"/>
          <w:bCs/>
          <w:sz w:val="21"/>
          <w:szCs w:val="21"/>
          <w:lang w:eastAsia="zh-CN"/>
        </w:rPr>
        <w:t>，</w:t>
      </w:r>
      <w:r>
        <w:rPr>
          <w:rFonts w:hint="eastAsia"/>
          <w:b w:val="0"/>
          <w:bCs/>
          <w:sz w:val="21"/>
          <w:szCs w:val="21"/>
        </w:rPr>
        <w:t>如未响应或出现负偏离的，将</w:t>
      </w:r>
      <w:r>
        <w:rPr>
          <w:rFonts w:hint="eastAsia"/>
          <w:b w:val="0"/>
          <w:bCs/>
          <w:sz w:val="21"/>
          <w:szCs w:val="21"/>
          <w:lang w:val="en-US" w:eastAsia="zh-CN"/>
        </w:rPr>
        <w:t>做</w:t>
      </w:r>
      <w:r>
        <w:rPr>
          <w:rFonts w:hint="eastAsia"/>
          <w:b w:val="0"/>
          <w:bCs/>
          <w:sz w:val="21"/>
          <w:szCs w:val="21"/>
        </w:rPr>
        <w:t>投标无效处理</w:t>
      </w:r>
      <w:r>
        <w:rPr>
          <w:rFonts w:hint="eastAsia"/>
          <w:b w:val="0"/>
          <w:bCs/>
          <w:sz w:val="21"/>
          <w:szCs w:val="21"/>
          <w:lang w:val="en-US" w:eastAsia="zh-CN"/>
        </w:rPr>
        <w:t>。</w:t>
      </w:r>
      <w:r>
        <w:rPr>
          <w:rFonts w:hint="eastAsia" w:ascii="Times New Roman" w:hAnsi="Times New Roman" w:eastAsia="宋体" w:cs="Times New Roman"/>
          <w:b w:val="0"/>
          <w:bCs/>
          <w:color w:val="FF0000"/>
          <w:kern w:val="2"/>
          <w:sz w:val="21"/>
          <w:szCs w:val="21"/>
          <w:u w:val="none"/>
          <w:lang w:val="en-US" w:eastAsia="zh-CN" w:bidi="ar-SA"/>
        </w:rPr>
        <w:t>“偏离情况”必须与所投产品客观实际保持一致，响应不实且情节严重的，经查实，将依法记入供应商诚信档案或受到行政处罚。</w:t>
      </w:r>
    </w:p>
    <w:p>
      <w:pPr>
        <w:ind w:firstLine="420" w:firstLineChars="200"/>
        <w:rPr>
          <w:b w:val="0"/>
          <w:bCs/>
          <w:sz w:val="21"/>
          <w:szCs w:val="21"/>
        </w:rPr>
      </w:pPr>
      <w:r>
        <w:rPr>
          <w:b w:val="0"/>
          <w:bCs/>
          <w:sz w:val="21"/>
          <w:szCs w:val="21"/>
        </w:rPr>
        <w:t>4</w:t>
      </w:r>
      <w:r>
        <w:rPr>
          <w:rFonts w:hint="eastAsia"/>
          <w:b w:val="0"/>
          <w:bCs/>
          <w:sz w:val="21"/>
          <w:szCs w:val="21"/>
        </w:rPr>
        <w:t>、未要求提供证明资料的招标技术要求，可以不提供证明资料（如实响应即可）。</w:t>
      </w:r>
    </w:p>
    <w:p>
      <w:pPr>
        <w:ind w:firstLine="420" w:firstLineChars="200"/>
        <w:rPr>
          <w:b w:val="0"/>
          <w:bCs/>
          <w:sz w:val="21"/>
          <w:szCs w:val="21"/>
        </w:rPr>
      </w:pPr>
      <w:r>
        <w:rPr>
          <w:rFonts w:hint="eastAsia"/>
          <w:b w:val="0"/>
          <w:bCs/>
          <w:sz w:val="21"/>
          <w:szCs w:val="21"/>
        </w:rPr>
        <w:t>5、</w:t>
      </w:r>
      <w:bookmarkStart w:id="41" w:name="_Hlk72096106"/>
      <w:r>
        <w:rPr>
          <w:rFonts w:hint="eastAsia"/>
          <w:b w:val="0"/>
          <w:bCs/>
          <w:sz w:val="21"/>
          <w:szCs w:val="21"/>
        </w:rPr>
        <w:t>证明资料条款响应要求</w:t>
      </w:r>
      <w:bookmarkEnd w:id="41"/>
      <w:r>
        <w:rPr>
          <w:rFonts w:hint="eastAsia"/>
          <w:b w:val="0"/>
          <w:bCs/>
          <w:sz w:val="21"/>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2" w:name="_Hlk73558782"/>
      <w:r>
        <w:rPr>
          <w:rFonts w:hint="eastAsia"/>
          <w:b w:val="0"/>
          <w:bCs/>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b w:val="0"/>
          <w:bCs/>
          <w:sz w:val="21"/>
          <w:szCs w:val="21"/>
        </w:rPr>
        <w:t>且投标人在“偏离情况”一栏响应为“正偏离”或“无偏离”的，经评审委员会认定，将判定为负偏离。</w:t>
      </w:r>
      <w:bookmarkEnd w:id="42"/>
      <w:bookmarkEnd w:id="43"/>
    </w:p>
    <w:p>
      <w:pPr>
        <w:ind w:firstLine="420" w:firstLineChars="200"/>
        <w:rPr>
          <w:b w:val="0"/>
          <w:bCs/>
          <w:sz w:val="21"/>
          <w:szCs w:val="21"/>
        </w:rPr>
      </w:pPr>
      <w:r>
        <w:rPr>
          <w:rFonts w:hint="eastAsia"/>
          <w:b w:val="0"/>
          <w:bCs/>
          <w:sz w:val="21"/>
          <w:szCs w:val="21"/>
        </w:rPr>
        <w:t>6、</w:t>
      </w:r>
      <w:bookmarkStart w:id="44" w:name="_Hlk72096137"/>
      <w:r>
        <w:rPr>
          <w:rFonts w:hint="eastAsia"/>
          <w:b w:val="0"/>
          <w:bCs/>
          <w:sz w:val="21"/>
          <w:szCs w:val="21"/>
        </w:rPr>
        <w:t>表后“证明资料”部分内容的编制</w:t>
      </w:r>
      <w:bookmarkEnd w:id="44"/>
      <w:r>
        <w:rPr>
          <w:rFonts w:hint="eastAsia"/>
          <w:b w:val="0"/>
          <w:bCs/>
          <w:sz w:val="21"/>
          <w:szCs w:val="21"/>
        </w:rPr>
        <w:t>：提供的所有证明资料应当统一编号（排序），且证明资料的编号（顺序）、数量和名称（形式）均应与“说明”一栏所填内容保持一致（一一对应），以便评审委员会查看。</w:t>
      </w:r>
      <w:bookmarkStart w:id="45" w:name="_Hlk73558180"/>
      <w:r>
        <w:rPr>
          <w:rFonts w:hint="eastAsia"/>
          <w:b w:val="0"/>
          <w:bCs/>
          <w:sz w:val="21"/>
          <w:szCs w:val="21"/>
        </w:rPr>
        <w:t>未按照招标文件要求在表后放置证明材料的供应商将承担不利后果，经评审委员会认定，相关技术要求将判定为负偏离。</w:t>
      </w:r>
      <w:bookmarkEnd w:id="45"/>
    </w:p>
    <w:p>
      <w:pPr>
        <w:ind w:firstLine="420" w:firstLineChars="200"/>
        <w:rPr>
          <w:b w:val="0"/>
          <w:bCs/>
          <w:sz w:val="21"/>
          <w:szCs w:val="21"/>
        </w:rPr>
      </w:pPr>
      <w:r>
        <w:rPr>
          <w:rFonts w:hint="eastAsia"/>
          <w:b w:val="0"/>
          <w:bCs/>
          <w:sz w:val="21"/>
          <w:szCs w:val="21"/>
        </w:rPr>
        <w:t>7、</w:t>
      </w:r>
      <w:bookmarkStart w:id="46" w:name="_Hlk72096176"/>
      <w:r>
        <w:rPr>
          <w:rFonts w:hint="eastAsia"/>
          <w:b w:val="0"/>
          <w:bCs/>
          <w:sz w:val="21"/>
          <w:szCs w:val="21"/>
        </w:rPr>
        <w:t>证明资料的形式及其它具体要求</w:t>
      </w:r>
      <w:bookmarkEnd w:id="46"/>
      <w:r>
        <w:rPr>
          <w:rFonts w:hint="eastAsia"/>
          <w:b w:val="0"/>
          <w:bCs/>
          <w:sz w:val="21"/>
          <w:szCs w:val="21"/>
        </w:rPr>
        <w:t>：</w:t>
      </w:r>
    </w:p>
    <w:p>
      <w:pPr>
        <w:ind w:firstLine="420" w:firstLineChars="200"/>
        <w:rPr>
          <w:b w:val="0"/>
          <w:bCs/>
          <w:sz w:val="21"/>
          <w:szCs w:val="21"/>
        </w:rPr>
      </w:pPr>
      <w:r>
        <w:rPr>
          <w:rFonts w:hint="eastAsia"/>
          <w:b w:val="0"/>
          <w:bCs/>
          <w:sz w:val="21"/>
          <w:szCs w:val="21"/>
        </w:rPr>
        <w:t>（1）除照片、图片（截图）及不需加盖公章的文字说明（技术说明）外，其它证明资料均要求为原件扫描件；</w:t>
      </w:r>
    </w:p>
    <w:p>
      <w:pPr>
        <w:ind w:firstLine="420" w:firstLineChars="200"/>
        <w:rPr>
          <w:b w:val="0"/>
          <w:bCs/>
          <w:sz w:val="21"/>
          <w:szCs w:val="21"/>
        </w:rPr>
      </w:pPr>
      <w:r>
        <w:rPr>
          <w:rFonts w:hint="eastAsia"/>
          <w:b w:val="0"/>
          <w:bCs/>
          <w:sz w:val="21"/>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val="0"/>
          <w:bCs/>
          <w:sz w:val="21"/>
          <w:szCs w:val="21"/>
        </w:rPr>
      </w:pPr>
      <w:r>
        <w:rPr>
          <w:rFonts w:hint="eastAsia"/>
          <w:b w:val="0"/>
          <w:bCs/>
          <w:sz w:val="21"/>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val="0"/>
          <w:bCs/>
          <w:sz w:val="21"/>
          <w:szCs w:val="21"/>
        </w:rPr>
      </w:pPr>
      <w:r>
        <w:rPr>
          <w:rFonts w:hint="eastAsia"/>
          <w:b w:val="0"/>
          <w:bCs/>
          <w:sz w:val="21"/>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val="0"/>
          <w:bCs/>
          <w:sz w:val="21"/>
          <w:szCs w:val="21"/>
        </w:rPr>
      </w:pPr>
      <w:r>
        <w:rPr>
          <w:rFonts w:hint="eastAsia"/>
          <w:b w:val="0"/>
          <w:bCs/>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val="0"/>
          <w:bCs/>
          <w:sz w:val="21"/>
          <w:szCs w:val="21"/>
        </w:rPr>
      </w:pPr>
      <w:r>
        <w:rPr>
          <w:rFonts w:hint="eastAsia"/>
          <w:b w:val="0"/>
          <w:bCs/>
          <w:sz w:val="21"/>
          <w:szCs w:val="21"/>
        </w:rPr>
        <w:t>其它证明资料的形式要求参照以上要求执行；</w:t>
      </w:r>
    </w:p>
    <w:p>
      <w:pPr>
        <w:ind w:firstLine="420" w:firstLineChars="200"/>
        <w:rPr>
          <w:b w:val="0"/>
          <w:bCs/>
          <w:sz w:val="21"/>
          <w:szCs w:val="21"/>
        </w:rPr>
      </w:pPr>
      <w:r>
        <w:rPr>
          <w:rFonts w:hint="eastAsia"/>
          <w:b w:val="0"/>
          <w:bCs/>
          <w:sz w:val="21"/>
          <w:szCs w:val="21"/>
        </w:rPr>
        <w:t>（4）证明资料均要求原件备查。</w:t>
      </w:r>
    </w:p>
    <w:p>
      <w:pPr>
        <w:ind w:firstLine="420" w:firstLineChars="200"/>
        <w:rPr>
          <w:b w:val="0"/>
          <w:bCs/>
          <w:sz w:val="21"/>
          <w:szCs w:val="21"/>
        </w:rPr>
      </w:pPr>
      <w:r>
        <w:rPr>
          <w:rFonts w:hint="eastAsia"/>
          <w:b w:val="0"/>
          <w:bCs/>
          <w:sz w:val="21"/>
          <w:szCs w:val="21"/>
        </w:rPr>
        <w:t>8、其它注意事项：</w:t>
      </w:r>
    </w:p>
    <w:p>
      <w:pPr>
        <w:ind w:firstLine="420" w:firstLineChars="200"/>
        <w:rPr>
          <w:b w:val="0"/>
          <w:bCs/>
          <w:sz w:val="21"/>
          <w:szCs w:val="21"/>
        </w:rPr>
      </w:pPr>
      <w:r>
        <w:rPr>
          <w:rFonts w:hint="eastAsia"/>
          <w:b w:val="0"/>
          <w:bCs/>
          <w:sz w:val="21"/>
          <w:szCs w:val="21"/>
        </w:rPr>
        <w:t>（1）评审委员会有权对投标人的响应情况作出判断（评审结论）；</w:t>
      </w:r>
    </w:p>
    <w:p>
      <w:pPr>
        <w:ind w:firstLine="420" w:firstLineChars="200"/>
        <w:rPr>
          <w:b w:val="0"/>
          <w:bCs/>
          <w:sz w:val="21"/>
          <w:szCs w:val="21"/>
        </w:rPr>
      </w:pPr>
      <w:r>
        <w:rPr>
          <w:rFonts w:hint="eastAsia"/>
          <w:b w:val="0"/>
          <w:bCs/>
          <w:sz w:val="21"/>
          <w:szCs w:val="21"/>
        </w:rPr>
        <w:t>（2）</w:t>
      </w:r>
      <w:bookmarkStart w:id="47" w:name="_Hlk72158213"/>
      <w:r>
        <w:rPr>
          <w:rFonts w:hint="eastAsia"/>
          <w:b w:val="0"/>
          <w:bCs/>
          <w:sz w:val="21"/>
          <w:szCs w:val="21"/>
        </w:rPr>
        <w:t>评审委员会有权对以谋取中标为目的的技术规格模糊响应（如有意不合理照搬照抄招标文件的技术要求）或虚假响应予以认定，并视情况经政府集中采购机构报主管部门进行处理。</w:t>
      </w:r>
      <w:bookmarkEnd w:id="47"/>
    </w:p>
    <w:p>
      <w:pPr>
        <w:ind w:firstLine="482" w:firstLineChars="200"/>
        <w:rPr>
          <w:b/>
          <w:sz w:val="24"/>
        </w:rPr>
      </w:pPr>
    </w:p>
    <w:p>
      <w:pPr>
        <w:ind w:firstLine="482" w:firstLineChars="200"/>
        <w:rPr>
          <w:rFonts w:hint="eastAsia"/>
          <w:b/>
          <w:sz w:val="24"/>
        </w:rPr>
      </w:pPr>
    </w:p>
    <w:p>
      <w:pPr>
        <w:ind w:firstLine="482" w:firstLineChars="200"/>
        <w:rPr>
          <w:rFonts w:hint="eastAsia"/>
          <w:b/>
          <w:sz w:val="24"/>
        </w:rPr>
      </w:pPr>
    </w:p>
    <w:p>
      <w:pPr>
        <w:rPr>
          <w:rFonts w:ascii="宋体" w:hAnsi="宋体"/>
        </w:rPr>
      </w:pPr>
      <w:r>
        <w:rPr>
          <w:rFonts w:ascii="宋体" w:hAnsi="宋体" w:eastAsia="宋体" w:cs="Times New Roman"/>
          <w:color w:val="FF0000"/>
          <w:sz w:val="32"/>
          <w:szCs w:val="32"/>
        </w:rPr>
        <w:br w:type="page"/>
      </w:r>
      <w:r>
        <w:t xml:space="preserve"> </w:t>
      </w:r>
      <w:bookmarkStart w:id="48" w:name="_Hlk72588611"/>
      <w:bookmarkStart w:id="49" w:name="_Hlk72260843"/>
      <w:r>
        <w:rPr>
          <w:rFonts w:hint="eastAsia" w:ascii="宋体" w:hAnsi="宋体"/>
        </w:rPr>
        <w:t>………………</w:t>
      </w:r>
      <w:bookmarkEnd w:id="48"/>
      <w:r>
        <w:rPr>
          <w:rFonts w:hint="eastAsia" w:ascii="宋体" w:hAnsi="宋体"/>
        </w:rPr>
        <w:t>（根据项目具体情况增加与技术、商务评审相关的节点）</w:t>
      </w:r>
      <w:bookmarkEnd w:id="49"/>
      <w:r>
        <w:rPr>
          <w:rFonts w:hint="eastAsia" w:ascii="宋体" w:hAnsi="宋体"/>
        </w:rPr>
        <w:t>………………</w:t>
      </w:r>
    </w:p>
    <w:p>
      <w:pPr>
        <w:rPr>
          <w:sz w:val="24"/>
        </w:rPr>
      </w:pPr>
    </w:p>
    <w:p>
      <w:pPr>
        <w:pStyle w:val="4"/>
        <w:jc w:val="center"/>
        <w:rPr>
          <w:rFonts w:hint="eastAsia" w:ascii="黑体" w:eastAsia="黑体"/>
          <w:b w:val="0"/>
          <w:bCs w:val="0"/>
          <w:sz w:val="24"/>
          <w:szCs w:val="20"/>
          <w:lang w:eastAsia="zh-CN"/>
        </w:rPr>
      </w:pPr>
      <w:r>
        <w:rPr>
          <w:rFonts w:hint="eastAsia" w:ascii="黑体" w:eastAsia="黑体"/>
          <w:b w:val="0"/>
          <w:bCs w:val="0"/>
          <w:sz w:val="24"/>
          <w:szCs w:val="20"/>
          <w:lang w:val="en-US" w:eastAsia="zh-CN"/>
        </w:rPr>
        <w:t>六</w:t>
      </w:r>
      <w:r>
        <w:rPr>
          <w:rFonts w:hint="eastAsia" w:ascii="黑体" w:eastAsia="黑体"/>
          <w:b w:val="0"/>
          <w:bCs w:val="0"/>
          <w:sz w:val="24"/>
          <w:szCs w:val="20"/>
        </w:rPr>
        <w:t>、</w:t>
      </w:r>
      <w:bookmarkStart w:id="50" w:name="_Hlk72062872"/>
      <w:r>
        <w:rPr>
          <w:rFonts w:hint="eastAsia" w:ascii="黑体" w:eastAsia="黑体"/>
          <w:b w:val="0"/>
          <w:bCs w:val="0"/>
          <w:sz w:val="24"/>
          <w:szCs w:val="20"/>
          <w:lang w:eastAsia="zh-CN"/>
        </w:rPr>
        <w:t>技术保障措施</w:t>
      </w:r>
    </w:p>
    <w:p>
      <w:pPr>
        <w:pStyle w:val="4"/>
        <w:jc w:val="center"/>
        <w:rPr>
          <w:rFonts w:hint="eastAsia" w:ascii="黑体" w:eastAsia="黑体"/>
          <w:b w:val="0"/>
          <w:bCs w:val="0"/>
          <w:sz w:val="24"/>
          <w:szCs w:val="20"/>
        </w:rPr>
      </w:pPr>
      <w:r>
        <w:rPr>
          <w:rFonts w:hint="eastAsia" w:ascii="黑体" w:eastAsia="黑体"/>
          <w:b w:val="0"/>
          <w:bCs w:val="0"/>
          <w:sz w:val="24"/>
          <w:szCs w:val="20"/>
          <w:lang w:eastAsia="zh-CN"/>
        </w:rPr>
        <w:t>七</w:t>
      </w:r>
      <w:r>
        <w:rPr>
          <w:rFonts w:hint="eastAsia" w:ascii="黑体" w:eastAsia="黑体"/>
          <w:b w:val="0"/>
          <w:bCs w:val="0"/>
          <w:sz w:val="24"/>
          <w:szCs w:val="20"/>
        </w:rPr>
        <w:t>、</w:t>
      </w:r>
      <w:r>
        <w:rPr>
          <w:rFonts w:hint="eastAsia" w:ascii="黑体" w:eastAsia="黑体"/>
          <w:b w:val="0"/>
          <w:bCs w:val="0"/>
          <w:sz w:val="24"/>
          <w:szCs w:val="20"/>
          <w:lang w:eastAsia="zh-CN"/>
        </w:rPr>
        <w:t>检测报告</w:t>
      </w:r>
    </w:p>
    <w:p>
      <w:pPr>
        <w:pStyle w:val="4"/>
        <w:jc w:val="center"/>
        <w:rPr>
          <w:rFonts w:hint="eastAsia" w:ascii="黑体" w:eastAsia="黑体"/>
          <w:b w:val="0"/>
          <w:bCs w:val="0"/>
          <w:sz w:val="24"/>
          <w:szCs w:val="20"/>
        </w:rPr>
      </w:pPr>
    </w:p>
    <w:p>
      <w:pPr>
        <w:pStyle w:val="4"/>
        <w:jc w:val="center"/>
        <w:rPr>
          <w:rFonts w:ascii="黑体" w:eastAsia="黑体"/>
          <w:b w:val="0"/>
          <w:bCs w:val="0"/>
          <w:sz w:val="24"/>
          <w:szCs w:val="20"/>
        </w:rPr>
      </w:pPr>
      <w:r>
        <w:rPr>
          <w:rFonts w:hint="eastAsia" w:ascii="黑体" w:eastAsia="黑体"/>
          <w:b w:val="0"/>
          <w:bCs w:val="0"/>
          <w:sz w:val="24"/>
          <w:szCs w:val="20"/>
          <w:lang w:eastAsia="zh-CN"/>
        </w:rPr>
        <w:t>八、</w:t>
      </w:r>
      <w:r>
        <w:rPr>
          <w:rFonts w:hint="eastAsia" w:ascii="黑体" w:eastAsia="黑体"/>
          <w:b w:val="0"/>
          <w:bCs w:val="0"/>
          <w:sz w:val="24"/>
          <w:szCs w:val="20"/>
        </w:rPr>
        <w:t>投标人认为需要加以说明的其他内容</w:t>
      </w:r>
      <w:bookmarkEnd w:id="50"/>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wordWrap/>
        <w:autoSpaceDE w:val="0"/>
        <w:autoSpaceDN w:val="0"/>
        <w:spacing w:line="400" w:lineRule="exact"/>
        <w:ind w:right="1414" w:firstLine="480" w:firstLineChars="200"/>
        <w:jc w:val="right"/>
        <w:rPr>
          <w:rFonts w:eastAsiaTheme="minorEastAsia"/>
          <w:kern w:val="0"/>
          <w:sz w:val="24"/>
        </w:rPr>
      </w:pPr>
    </w:p>
    <w:p>
      <w:pPr>
        <w:widowControl/>
        <w:wordWrap/>
        <w:autoSpaceDE w:val="0"/>
        <w:autoSpaceDN w:val="0"/>
        <w:spacing w:line="400" w:lineRule="exact"/>
        <w:ind w:right="1414" w:firstLine="480" w:firstLineChars="200"/>
        <w:jc w:val="right"/>
        <w:rPr>
          <w:rFonts w:eastAsiaTheme="minorEastAsia"/>
          <w:kern w:val="0"/>
          <w:sz w:val="24"/>
        </w:rPr>
      </w:pPr>
    </w:p>
    <w:p>
      <w:pPr>
        <w:widowControl/>
        <w:wordWrap/>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51" w:name="_Hlk72574405"/>
      <w:r>
        <w:rPr>
          <w:rFonts w:hint="eastAsia"/>
          <w:b/>
          <w:sz w:val="24"/>
        </w:rPr>
        <w:t>（仅供参考，具体以项目需求及采购结果为准）</w:t>
      </w:r>
      <w:bookmarkEnd w:id="51"/>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52"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52"/>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12"/>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13"/>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2"/>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12"/>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12"/>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14"/>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12"/>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12"/>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12"/>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53" w:name="_Toc27624"/>
      <w:r>
        <w:rPr>
          <w:rFonts w:hint="eastAsia" w:ascii="黑体" w:hAnsi="黑体" w:eastAsia="黑体" w:cs="Times New Roman"/>
          <w:b w:val="0"/>
          <w:bCs w:val="0"/>
          <w:kern w:val="2"/>
          <w:sz w:val="28"/>
          <w:szCs w:val="28"/>
          <w:lang w:val="en-US" w:eastAsia="zh-CN" w:bidi="ar-SA"/>
        </w:rPr>
        <w:t>第二节 政府采购合同通用条款</w:t>
      </w:r>
      <w:bookmarkEnd w:id="53"/>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5"/>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6"/>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5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4"/>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7"/>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8"/>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55"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55"/>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9"/>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56" w:name="_Hlk72399513"/>
      <w:r>
        <w:rPr>
          <w:rFonts w:hint="eastAsia" w:asciiTheme="majorHAnsi" w:hAnsiTheme="majorHAnsi" w:eastAsiaTheme="majorEastAsia" w:cstheme="majorBidi"/>
          <w:b/>
          <w:bCs/>
          <w:sz w:val="28"/>
          <w:szCs w:val="28"/>
        </w:rPr>
        <w:t>总则</w:t>
      </w:r>
    </w:p>
    <w:bookmarkEnd w:id="56"/>
    <w:p>
      <w:pPr>
        <w:rPr>
          <w:rFonts w:ascii="黑体" w:hAnsi="宋体" w:eastAsia="黑体"/>
          <w:sz w:val="24"/>
        </w:rPr>
      </w:pPr>
      <w:bookmarkStart w:id="57"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8" w:name="_Hlk72399729"/>
      <w:r>
        <w:rPr>
          <w:rFonts w:hint="eastAsia" w:ascii="宋体" w:hAnsi="宋体"/>
          <w:szCs w:val="21"/>
        </w:rPr>
        <w:t>如有需要，政府集中采购机构可以对通用条款的内容进行补充。</w:t>
      </w:r>
      <w:bookmarkEnd w:id="5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w:t>
      </w:r>
      <w:r>
        <w:rPr>
          <w:rFonts w:hint="eastAsia" w:ascii="宋体" w:hAnsi="宋体"/>
          <w:szCs w:val="21"/>
          <w:lang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59"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9"/>
    <w:p>
      <w:pPr>
        <w:ind w:firstLine="411" w:firstLineChars="196"/>
        <w:rPr>
          <w:rFonts w:ascii="宋体" w:hAnsi="宋体"/>
        </w:rPr>
      </w:pPr>
    </w:p>
    <w:p>
      <w:pPr>
        <w:pStyle w:val="3"/>
        <w:numPr>
          <w:ilvl w:val="0"/>
          <w:numId w:val="20"/>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1"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pPr>
        <w:rPr>
          <w:rFonts w:ascii="宋体" w:hAnsi="宋体"/>
          <w:szCs w:val="21"/>
        </w:rPr>
      </w:pPr>
    </w:p>
    <w:p>
      <w:pPr>
        <w:pStyle w:val="3"/>
        <w:numPr>
          <w:ilvl w:val="0"/>
          <w:numId w:val="20"/>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62"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2"/>
    <w:p>
      <w:pPr>
        <w:rPr>
          <w:rFonts w:ascii="黑体" w:hAnsi="宋体" w:eastAsia="黑体"/>
          <w:sz w:val="24"/>
        </w:rPr>
      </w:pPr>
      <w:r>
        <w:rPr>
          <w:rFonts w:hint="eastAsia" w:ascii="黑体" w:hAnsi="宋体" w:eastAsia="黑体"/>
          <w:sz w:val="24"/>
        </w:rPr>
        <w:t>15．</w:t>
      </w:r>
      <w:bookmarkStart w:id="63"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63"/>
    <w:p>
      <w:pPr>
        <w:rPr>
          <w:rFonts w:ascii="黑体" w:hAnsi="宋体" w:eastAsia="黑体"/>
          <w:sz w:val="24"/>
        </w:rPr>
      </w:pPr>
      <w:r>
        <w:rPr>
          <w:rFonts w:hint="eastAsia" w:ascii="黑体" w:hAnsi="宋体" w:eastAsia="黑体"/>
          <w:sz w:val="24"/>
        </w:rPr>
        <w:t>18．</w:t>
      </w:r>
      <w:bookmarkStart w:id="64"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4"/>
    <w:p>
      <w:pPr>
        <w:rPr>
          <w:rFonts w:ascii="黑体" w:hAnsi="宋体" w:eastAsia="黑体"/>
          <w:sz w:val="24"/>
        </w:rPr>
      </w:pPr>
      <w:r>
        <w:rPr>
          <w:rFonts w:hint="eastAsia" w:ascii="黑体" w:hAnsi="宋体" w:eastAsia="黑体"/>
          <w:sz w:val="24"/>
        </w:rPr>
        <w:t>19．</w:t>
      </w:r>
      <w:bookmarkStart w:id="65"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6"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6"/>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65"/>
    <w:p>
      <w:pPr>
        <w:ind w:firstLine="411" w:firstLineChars="196"/>
        <w:rPr>
          <w:rFonts w:ascii="宋体" w:hAnsi="宋体"/>
          <w:szCs w:val="21"/>
        </w:rPr>
      </w:pPr>
      <w:bookmarkStart w:id="6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7"/>
    <w:p>
      <w:pPr>
        <w:rPr>
          <w:rFonts w:ascii="黑体" w:hAnsi="宋体" w:eastAsia="黑体"/>
          <w:sz w:val="24"/>
        </w:rPr>
      </w:pPr>
      <w:r>
        <w:rPr>
          <w:rFonts w:hint="eastAsia" w:ascii="黑体" w:hAnsi="宋体" w:eastAsia="黑体"/>
          <w:sz w:val="24"/>
        </w:rPr>
        <w:t>21．</w:t>
      </w:r>
      <w:bookmarkStart w:id="68"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pPr>
        <w:rPr>
          <w:rFonts w:ascii="黑体" w:hAnsi="宋体" w:eastAsia="黑体"/>
          <w:sz w:val="24"/>
        </w:rPr>
      </w:pPr>
      <w:r>
        <w:rPr>
          <w:rFonts w:hint="eastAsia" w:ascii="黑体" w:hAnsi="宋体" w:eastAsia="黑体"/>
          <w:sz w:val="24"/>
        </w:rPr>
        <w:t>23．</w:t>
      </w:r>
      <w:bookmarkStart w:id="6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9"/>
    </w:p>
    <w:p>
      <w:pPr>
        <w:ind w:firstLine="411" w:firstLineChars="196"/>
        <w:rPr>
          <w:rFonts w:ascii="宋体" w:hAnsi="宋体"/>
          <w:szCs w:val="21"/>
        </w:rPr>
      </w:pPr>
    </w:p>
    <w:p>
      <w:pPr>
        <w:pStyle w:val="3"/>
        <w:numPr>
          <w:ilvl w:val="0"/>
          <w:numId w:val="20"/>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70"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w:t>
      </w:r>
      <w:r>
        <w:rPr>
          <w:rFonts w:hint="eastAsia" w:ascii="宋体" w:hAnsi="宋体"/>
          <w:lang w:eastAsia="zh-CN"/>
        </w:rPr>
        <w:t>政府采购</w:t>
      </w:r>
      <w:r>
        <w:rPr>
          <w:rFonts w:hint="eastAsia" w:ascii="宋体" w:hAnsi="宋体"/>
        </w:rPr>
        <w:t>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70"/>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7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71"/>
    <w:p>
      <w:pPr>
        <w:pStyle w:val="3"/>
        <w:numPr>
          <w:ilvl w:val="0"/>
          <w:numId w:val="20"/>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20"/>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7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20"/>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7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3"/>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74" w:name="_Toc73521669"/>
      <w:bookmarkStart w:id="75" w:name="_Toc73521581"/>
      <w:bookmarkStart w:id="76" w:name="_Toc100052400"/>
      <w:bookmarkStart w:id="77" w:name="_Toc73517673"/>
      <w:bookmarkStart w:id="78" w:name="_Toc73518151"/>
      <w:r>
        <w:rPr>
          <w:rFonts w:hint="eastAsia" w:ascii="黑体" w:hAnsi="宋体" w:eastAsia="黑体"/>
          <w:sz w:val="24"/>
        </w:rPr>
        <w:t>34．错误的修正</w:t>
      </w:r>
      <w:bookmarkEnd w:id="74"/>
      <w:bookmarkEnd w:id="75"/>
      <w:bookmarkEnd w:id="76"/>
      <w:bookmarkEnd w:id="77"/>
      <w:bookmarkEnd w:id="78"/>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bookmarkStart w:id="79" w:name="_Hlk72438142"/>
      <w:r>
        <w:rPr>
          <w:rFonts w:hint="eastAsia" w:ascii="宋体" w:hAnsi="宋体"/>
          <w:b/>
          <w:bCs/>
          <w:szCs w:val="21"/>
        </w:rPr>
        <w:t>37.1.1最低价法</w:t>
      </w:r>
    </w:p>
    <w:p>
      <w:pPr>
        <w:ind w:firstLine="411" w:firstLineChars="196"/>
        <w:rPr>
          <w:rFonts w:hint="eastAsia" w:ascii="ˎ̥" w:hAnsi="ˎ̥"/>
          <w:lang w:eastAsia="zh-CN"/>
        </w:rPr>
      </w:pPr>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w:t>
      </w:r>
      <w:r>
        <w:rPr>
          <w:rFonts w:hint="eastAsia" w:ascii="ˎ̥" w:hAnsi="ˎ̥"/>
        </w:rPr>
        <w:t>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r>
        <w:rPr>
          <w:rFonts w:hint="eastAsia" w:ascii="ˎ̥" w:hAnsi="ˎ̥"/>
          <w:lang w:eastAsia="zh-CN"/>
        </w:rPr>
        <w:t>。</w:t>
      </w:r>
    </w:p>
    <w:p>
      <w:pPr>
        <w:ind w:firstLine="411" w:firstLineChars="196"/>
        <w:rPr>
          <w:rFonts w:ascii="ˎ̥" w:hAnsi="ˎ̥"/>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ˎ̥" w:hAnsi="ˎ̥"/>
        </w:rPr>
        <w:t>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9"/>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20"/>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80"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eastAsiaTheme="minorEastAsia"/>
          <w:lang w:eastAsia="zh-CN"/>
        </w:rPr>
      </w:pPr>
      <w:r>
        <w:rPr>
          <w:rFonts w:hint="eastAsia" w:ascii="ˎ̥" w:hAnsi="ˎ̥" w:eastAsiaTheme="minorEastAsia"/>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eastAsiaTheme="minorEastAsia"/>
          <w:lang w:eastAsia="zh-CN"/>
        </w:rPr>
      </w:pPr>
      <w:r>
        <w:rPr>
          <w:rFonts w:hint="eastAsia" w:ascii="ˎ̥" w:hAnsi="ˎ̥" w:eastAsiaTheme="minorEastAsia"/>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8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8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1"/>
      <w:bookmarkEnd w:id="8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80"/>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8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w:t>
      </w:r>
      <w:r>
        <w:rPr>
          <w:rFonts w:hint="eastAsia" w:ascii="宋体" w:hAnsi="宋体"/>
          <w:b/>
          <w:bCs/>
          <w:lang w:eastAsia="zh-CN"/>
        </w:rPr>
        <w:t>政府采购</w:t>
      </w:r>
      <w:r>
        <w:rPr>
          <w:rFonts w:hint="eastAsia" w:ascii="宋体" w:hAnsi="宋体"/>
          <w:b/>
          <w:bCs/>
        </w:rPr>
        <w:t>自行采购系统</w:t>
      </w:r>
      <w:r>
        <w:rPr>
          <w:rFonts w:hint="eastAsia" w:ascii="宋体" w:hAnsi="宋体"/>
          <w:b/>
          <w:bCs/>
          <w:szCs w:val="21"/>
        </w:rPr>
        <w:t>（https://zxcg.szggzy.com/home/index.html）</w:t>
      </w:r>
      <w:r>
        <w:rPr>
          <w:rFonts w:hint="eastAsia" w:ascii="宋体" w:hAnsi="宋体"/>
          <w:szCs w:val="21"/>
        </w:rPr>
        <w:t>上发布中标结果公告。</w:t>
      </w:r>
      <w:bookmarkEnd w:id="83"/>
      <w:bookmarkStart w:id="8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5" w:name="_Hlk72438863"/>
      <w:r>
        <w:rPr>
          <w:rFonts w:hint="eastAsia" w:ascii="宋体" w:hAnsi="宋体"/>
          <w:szCs w:val="21"/>
        </w:rPr>
        <w:t>中标公告公布以后无异常的情况下,中标供应商和采购人可自行</w:t>
      </w:r>
      <w:r>
        <w:rPr>
          <w:rFonts w:hint="eastAsia" w:ascii="宋体" w:hAnsi="宋体"/>
          <w:szCs w:val="21"/>
          <w:lang w:eastAsia="zh-CN"/>
        </w:rPr>
        <w:t>登录</w:t>
      </w:r>
      <w:r>
        <w:rPr>
          <w:rFonts w:hint="eastAsia" w:ascii="宋体" w:hAnsi="宋体"/>
          <w:b/>
          <w:bCs/>
          <w:szCs w:val="21"/>
        </w:rPr>
        <w:t>“</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86" w:name="_Hlk71407340"/>
      <w:r>
        <w:rPr>
          <w:rFonts w:hint="eastAsia" w:ascii="宋体" w:hAnsi="宋体"/>
          <w:szCs w:val="21"/>
        </w:rPr>
        <w:t>41.3因质疑投诉或其它原因导致项目结果变更或采购终止的，政府集中采购机构有权吊销中标通知书。</w:t>
      </w:r>
    </w:p>
    <w:bookmarkEnd w:id="86"/>
    <w:p>
      <w:pPr>
        <w:ind w:firstLine="411" w:firstLineChars="196"/>
        <w:rPr>
          <w:rFonts w:ascii="宋体" w:hAnsi="宋体"/>
          <w:szCs w:val="21"/>
        </w:rPr>
      </w:pPr>
    </w:p>
    <w:p>
      <w:pPr>
        <w:pStyle w:val="3"/>
        <w:numPr>
          <w:ilvl w:val="0"/>
          <w:numId w:val="20"/>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20"/>
        </w:numPr>
        <w:spacing w:before="120" w:beforeLines="50" w:after="120" w:afterLines="50"/>
        <w:ind w:left="562" w:hanging="562"/>
        <w:rPr>
          <w:sz w:val="28"/>
          <w:szCs w:val="28"/>
        </w:rPr>
      </w:pPr>
      <w:bookmarkStart w:id="87" w:name="_Hlk72439043"/>
      <w:r>
        <w:rPr>
          <w:rFonts w:hint="eastAsia"/>
          <w:sz w:val="28"/>
          <w:szCs w:val="28"/>
        </w:rPr>
        <w:t>合同的授予与备案</w:t>
      </w:r>
      <w:bookmarkEnd w:id="87"/>
    </w:p>
    <w:p>
      <w:pPr>
        <w:rPr>
          <w:rFonts w:ascii="黑体" w:hAnsi="宋体" w:eastAsia="黑体"/>
          <w:sz w:val="24"/>
        </w:rPr>
      </w:pPr>
      <w:bookmarkStart w:id="88" w:name="_Toc73521674"/>
      <w:bookmarkStart w:id="89" w:name="_Toc73517679"/>
      <w:bookmarkStart w:id="90" w:name="_Toc73518157"/>
      <w:bookmarkStart w:id="91" w:name="_Toc73521586"/>
      <w:bookmarkStart w:id="92" w:name="_Toc100052408"/>
      <w:bookmarkStart w:id="93" w:name="_Hlk72439088"/>
      <w:r>
        <w:rPr>
          <w:rFonts w:hint="eastAsia" w:ascii="黑体" w:hAnsi="宋体" w:eastAsia="黑体"/>
          <w:sz w:val="24"/>
        </w:rPr>
        <w:t>43．合同授予标准</w:t>
      </w:r>
      <w:bookmarkEnd w:id="88"/>
      <w:bookmarkEnd w:id="89"/>
      <w:bookmarkEnd w:id="90"/>
      <w:bookmarkEnd w:id="91"/>
      <w:bookmarkEnd w:id="9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94" w:name="_Toc73517680"/>
      <w:bookmarkStart w:id="95" w:name="_Toc73518158"/>
      <w:bookmarkStart w:id="96" w:name="_Toc73521675"/>
      <w:bookmarkStart w:id="97" w:name="_Toc100052409"/>
      <w:bookmarkStart w:id="98" w:name="_Toc73521587"/>
      <w:r>
        <w:rPr>
          <w:rFonts w:hint="eastAsia" w:ascii="黑体" w:hAnsi="宋体" w:eastAsia="黑体"/>
          <w:sz w:val="24"/>
        </w:rPr>
        <w:t>44．</w:t>
      </w:r>
      <w:bookmarkEnd w:id="94"/>
      <w:bookmarkEnd w:id="95"/>
      <w:bookmarkEnd w:id="96"/>
      <w:bookmarkEnd w:id="97"/>
      <w:bookmarkEnd w:id="9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9" w:name="_Toc73517682"/>
      <w:bookmarkStart w:id="100" w:name="_Toc73521677"/>
      <w:bookmarkStart w:id="101" w:name="_Toc100052410"/>
      <w:bookmarkStart w:id="102" w:name="_Toc73521589"/>
      <w:bookmarkStart w:id="103" w:name="_Toc73518160"/>
      <w:r>
        <w:rPr>
          <w:rFonts w:hint="eastAsia" w:ascii="黑体" w:hAnsi="宋体" w:eastAsia="黑体"/>
          <w:sz w:val="24"/>
        </w:rPr>
        <w:t>45．合同的签订</w:t>
      </w:r>
      <w:bookmarkEnd w:id="99"/>
      <w:bookmarkEnd w:id="100"/>
      <w:bookmarkEnd w:id="101"/>
      <w:bookmarkEnd w:id="102"/>
      <w:bookmarkEnd w:id="10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04" w:name="_Toc73517683"/>
      <w:bookmarkStart w:id="105" w:name="_Toc100052411"/>
      <w:bookmarkStart w:id="106" w:name="_Toc73521590"/>
      <w:bookmarkStart w:id="107" w:name="_Toc73521678"/>
      <w:bookmarkStart w:id="108" w:name="_Toc73518161"/>
      <w:r>
        <w:rPr>
          <w:rFonts w:hint="eastAsia" w:ascii="黑体" w:hAnsi="宋体" w:eastAsia="黑体"/>
          <w:sz w:val="24"/>
        </w:rPr>
        <w:t>46．履约担保</w:t>
      </w:r>
      <w:bookmarkEnd w:id="104"/>
      <w:bookmarkEnd w:id="105"/>
      <w:bookmarkEnd w:id="106"/>
      <w:bookmarkEnd w:id="107"/>
      <w:bookmarkEnd w:id="10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9" w:name="_Hlk72440769"/>
      <w:r>
        <w:rPr>
          <w:rFonts w:hint="eastAsia" w:ascii="宋体" w:hAnsi="宋体"/>
          <w:szCs w:val="21"/>
        </w:rPr>
        <w:t>政府集中采购机构或采购人不予退还其交纳的谈判保证金，情节严重的，并由主管部门</w:t>
      </w:r>
      <w:bookmarkEnd w:id="10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3"/>
    <w:p>
      <w:pPr>
        <w:pStyle w:val="3"/>
        <w:numPr>
          <w:ilvl w:val="0"/>
          <w:numId w:val="20"/>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10" w:name="_Hlk75374941"/>
      <w:r>
        <w:rPr>
          <w:rFonts w:hint="eastAsia" w:ascii="宋体" w:hAnsi="宋体"/>
          <w:szCs w:val="21"/>
        </w:rPr>
        <w:t>以联合体形式参与的，质疑应当由组成联合体的所有成员共同提出</w:t>
      </w:r>
      <w:bookmarkEnd w:id="11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57"/>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5AB6B"/>
    <w:multiLevelType w:val="singleLevel"/>
    <w:tmpl w:val="A425AB6B"/>
    <w:lvl w:ilvl="0" w:tentative="0">
      <w:start w:val="1"/>
      <w:numFmt w:val="chineseCounting"/>
      <w:suff w:val="nothing"/>
      <w:lvlText w:val="（%1）"/>
      <w:lvlJc w:val="left"/>
      <w:rPr>
        <w:rFonts w:hint="eastAsia"/>
      </w:rPr>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22DE2D6"/>
    <w:multiLevelType w:val="singleLevel"/>
    <w:tmpl w:val="E22DE2D6"/>
    <w:lvl w:ilvl="0" w:tentative="0">
      <w:start w:val="1"/>
      <w:numFmt w:val="decimal"/>
      <w:lvlText w:val="%1."/>
      <w:lvlJc w:val="left"/>
      <w:pPr>
        <w:tabs>
          <w:tab w:val="left" w:pos="312"/>
        </w:tabs>
      </w:pPr>
    </w:lvl>
  </w:abstractNum>
  <w:abstractNum w:abstractNumId="9">
    <w:nsid w:val="F0893C9F"/>
    <w:multiLevelType w:val="singleLevel"/>
    <w:tmpl w:val="F0893C9F"/>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5DB3CFC"/>
    <w:multiLevelType w:val="singleLevel"/>
    <w:tmpl w:val="05DB3CFC"/>
    <w:lvl w:ilvl="0" w:tentative="0">
      <w:start w:val="1"/>
      <w:numFmt w:val="chineseCounting"/>
      <w:suff w:val="nothing"/>
      <w:lvlText w:val="（%1）"/>
      <w:lvlJc w:val="left"/>
      <w:rPr>
        <w:rFonts w:hint="eastAsia"/>
      </w:rPr>
    </w:lvl>
  </w:abstractNum>
  <w:abstractNum w:abstractNumId="1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798B3CE"/>
    <w:multiLevelType w:val="singleLevel"/>
    <w:tmpl w:val="1798B3CE"/>
    <w:lvl w:ilvl="0" w:tentative="0">
      <w:start w:val="2"/>
      <w:numFmt w:val="decimal"/>
      <w:suff w:val="nothing"/>
      <w:lvlText w:val="%1、"/>
      <w:lvlJc w:val="left"/>
    </w:lvl>
  </w:abstractNum>
  <w:abstractNum w:abstractNumId="14">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56CCBB"/>
    <w:multiLevelType w:val="singleLevel"/>
    <w:tmpl w:val="3956CCBB"/>
    <w:lvl w:ilvl="0" w:tentative="0">
      <w:start w:val="4"/>
      <w:numFmt w:val="chineseCounting"/>
      <w:suff w:val="nothing"/>
      <w:lvlText w:val="%1、"/>
      <w:lvlJc w:val="left"/>
      <w:rPr>
        <w:rFonts w:hint="eastAsia"/>
      </w:rPr>
    </w:lvl>
  </w:abstractNum>
  <w:abstractNum w:abstractNumId="16">
    <w:nsid w:val="3C05233A"/>
    <w:multiLevelType w:val="singleLevel"/>
    <w:tmpl w:val="3C05233A"/>
    <w:lvl w:ilvl="0" w:tentative="0">
      <w:start w:val="5"/>
      <w:numFmt w:val="chineseCounting"/>
      <w:suff w:val="nothing"/>
      <w:lvlText w:val="%1、"/>
      <w:lvlJc w:val="left"/>
      <w:rPr>
        <w:rFonts w:hint="eastAsia"/>
      </w:rPr>
    </w:lvl>
  </w:abstractNum>
  <w:abstractNum w:abstractNumId="17">
    <w:nsid w:val="3F2CDB20"/>
    <w:multiLevelType w:val="singleLevel"/>
    <w:tmpl w:val="3F2CDB20"/>
    <w:lvl w:ilvl="0" w:tentative="0">
      <w:start w:val="1"/>
      <w:numFmt w:val="decimal"/>
      <w:suff w:val="nothing"/>
      <w:lvlText w:val="%1、"/>
      <w:lvlJc w:val="left"/>
    </w:lvl>
  </w:abstractNum>
  <w:abstractNum w:abstractNumId="18">
    <w:nsid w:val="721CBBE0"/>
    <w:multiLevelType w:val="singleLevel"/>
    <w:tmpl w:val="721CBBE0"/>
    <w:lvl w:ilvl="0" w:tentative="0">
      <w:start w:val="1"/>
      <w:numFmt w:val="decimal"/>
      <w:suff w:val="nothing"/>
      <w:lvlText w:val="%1、"/>
      <w:lvlJc w:val="left"/>
    </w:lvl>
  </w:abstractNum>
  <w:abstractNum w:abstractNumId="19">
    <w:nsid w:val="7A0F6431"/>
    <w:multiLevelType w:val="singleLevel"/>
    <w:tmpl w:val="7A0F6431"/>
    <w:lvl w:ilvl="0" w:tentative="0">
      <w:start w:val="1"/>
      <w:numFmt w:val="decimal"/>
      <w:suff w:val="space"/>
      <w:lvlText w:val="%1."/>
      <w:lvlJc w:val="left"/>
    </w:lvl>
  </w:abstractNum>
  <w:num w:numId="1">
    <w:abstractNumId w:val="9"/>
  </w:num>
  <w:num w:numId="2">
    <w:abstractNumId w:val="17"/>
  </w:num>
  <w:num w:numId="3">
    <w:abstractNumId w:val="11"/>
  </w:num>
  <w:num w:numId="4">
    <w:abstractNumId w:val="8"/>
  </w:num>
  <w:num w:numId="5">
    <w:abstractNumId w:val="0"/>
  </w:num>
  <w:num w:numId="6">
    <w:abstractNumId w:val="13"/>
  </w:num>
  <w:num w:numId="7">
    <w:abstractNumId w:val="1"/>
  </w:num>
  <w:num w:numId="8">
    <w:abstractNumId w:val="18"/>
  </w:num>
  <w:num w:numId="9">
    <w:abstractNumId w:val="2"/>
  </w:num>
  <w:num w:numId="10">
    <w:abstractNumId w:val="15"/>
  </w:num>
  <w:num w:numId="11">
    <w:abstractNumId w:val="16"/>
  </w:num>
  <w:num w:numId="12">
    <w:abstractNumId w:val="19"/>
  </w:num>
  <w:num w:numId="13">
    <w:abstractNumId w:val="4"/>
  </w:num>
  <w:num w:numId="14">
    <w:abstractNumId w:val="10"/>
  </w:num>
  <w:num w:numId="15">
    <w:abstractNumId w:val="6"/>
  </w:num>
  <w:num w:numId="16">
    <w:abstractNumId w:val="5"/>
  </w:num>
  <w:num w:numId="17">
    <w:abstractNumId w:val="3"/>
  </w:num>
  <w:num w:numId="18">
    <w:abstractNumId w:val="7"/>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jQ1ZjJkY2VlZjM5NTJlZmJjMDFkNzI5MTA2NWU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896437"/>
    <w:rsid w:val="069468A4"/>
    <w:rsid w:val="06D86E6E"/>
    <w:rsid w:val="06E710CA"/>
    <w:rsid w:val="06E94E42"/>
    <w:rsid w:val="07101435"/>
    <w:rsid w:val="071F0864"/>
    <w:rsid w:val="072B0FB7"/>
    <w:rsid w:val="07724E37"/>
    <w:rsid w:val="078D7EC3"/>
    <w:rsid w:val="07B37245"/>
    <w:rsid w:val="07E91C35"/>
    <w:rsid w:val="07EC1177"/>
    <w:rsid w:val="0809350C"/>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BF422BF"/>
    <w:rsid w:val="0C204376"/>
    <w:rsid w:val="0C254A1B"/>
    <w:rsid w:val="0C526FE5"/>
    <w:rsid w:val="0C6875C2"/>
    <w:rsid w:val="0C7B320A"/>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280779"/>
    <w:rsid w:val="134F24D1"/>
    <w:rsid w:val="13591ACC"/>
    <w:rsid w:val="13AA7707"/>
    <w:rsid w:val="13FF3EF7"/>
    <w:rsid w:val="144E2788"/>
    <w:rsid w:val="14806439"/>
    <w:rsid w:val="149C1746"/>
    <w:rsid w:val="14E4477F"/>
    <w:rsid w:val="15AD05C9"/>
    <w:rsid w:val="15BD1BCA"/>
    <w:rsid w:val="15FA2BC8"/>
    <w:rsid w:val="16105DC5"/>
    <w:rsid w:val="16730284"/>
    <w:rsid w:val="16753FFC"/>
    <w:rsid w:val="16777D74"/>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AF3117"/>
    <w:rsid w:val="1DB9452C"/>
    <w:rsid w:val="1DE33F41"/>
    <w:rsid w:val="1DE71C83"/>
    <w:rsid w:val="1E206809"/>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11B1C44"/>
    <w:rsid w:val="21431371"/>
    <w:rsid w:val="2149055F"/>
    <w:rsid w:val="21513626"/>
    <w:rsid w:val="215C64E4"/>
    <w:rsid w:val="215D225D"/>
    <w:rsid w:val="219537A4"/>
    <w:rsid w:val="21C36564"/>
    <w:rsid w:val="21DF0EC4"/>
    <w:rsid w:val="228D0920"/>
    <w:rsid w:val="23290736"/>
    <w:rsid w:val="23362D65"/>
    <w:rsid w:val="236A05EE"/>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714E00"/>
    <w:rsid w:val="25E847EB"/>
    <w:rsid w:val="267047E0"/>
    <w:rsid w:val="270F7B55"/>
    <w:rsid w:val="273B6B9C"/>
    <w:rsid w:val="27427F2B"/>
    <w:rsid w:val="276C3345"/>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962447"/>
    <w:rsid w:val="2BA9299F"/>
    <w:rsid w:val="2BF832AE"/>
    <w:rsid w:val="2BFE65C2"/>
    <w:rsid w:val="2C02412C"/>
    <w:rsid w:val="2C1665B8"/>
    <w:rsid w:val="2C295297"/>
    <w:rsid w:val="2C6E17C2"/>
    <w:rsid w:val="2CD258AD"/>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186537"/>
    <w:rsid w:val="317468D7"/>
    <w:rsid w:val="31B92B8B"/>
    <w:rsid w:val="324D032D"/>
    <w:rsid w:val="3257574A"/>
    <w:rsid w:val="32FB3683"/>
    <w:rsid w:val="32FD564D"/>
    <w:rsid w:val="3328091C"/>
    <w:rsid w:val="338F3097"/>
    <w:rsid w:val="33A51F6D"/>
    <w:rsid w:val="33A5583F"/>
    <w:rsid w:val="33C06DA7"/>
    <w:rsid w:val="342509B8"/>
    <w:rsid w:val="34297F29"/>
    <w:rsid w:val="34AE6BFF"/>
    <w:rsid w:val="34CA3E45"/>
    <w:rsid w:val="34D34153"/>
    <w:rsid w:val="356C4F47"/>
    <w:rsid w:val="359758E5"/>
    <w:rsid w:val="359D5EEA"/>
    <w:rsid w:val="35BA1D81"/>
    <w:rsid w:val="35D02BA5"/>
    <w:rsid w:val="35E8637E"/>
    <w:rsid w:val="35FC7E3E"/>
    <w:rsid w:val="363C3B17"/>
    <w:rsid w:val="36474247"/>
    <w:rsid w:val="365612FD"/>
    <w:rsid w:val="3677309A"/>
    <w:rsid w:val="36F40B16"/>
    <w:rsid w:val="370A387B"/>
    <w:rsid w:val="370C52DF"/>
    <w:rsid w:val="370C5E5F"/>
    <w:rsid w:val="374B6987"/>
    <w:rsid w:val="374C4185"/>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2B322B"/>
    <w:rsid w:val="3C9A513B"/>
    <w:rsid w:val="3CCD2793"/>
    <w:rsid w:val="3CFA57E4"/>
    <w:rsid w:val="3D0221DE"/>
    <w:rsid w:val="3D1E60DF"/>
    <w:rsid w:val="3DE2791A"/>
    <w:rsid w:val="3E053B4B"/>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1F81C79"/>
    <w:rsid w:val="420D5851"/>
    <w:rsid w:val="42393071"/>
    <w:rsid w:val="424B3CDF"/>
    <w:rsid w:val="426D19F0"/>
    <w:rsid w:val="42D31F27"/>
    <w:rsid w:val="42D33CD5"/>
    <w:rsid w:val="42FC5208"/>
    <w:rsid w:val="43341596"/>
    <w:rsid w:val="433E238F"/>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9D6AD4"/>
    <w:rsid w:val="46E51A75"/>
    <w:rsid w:val="47762C36"/>
    <w:rsid w:val="477C0DDF"/>
    <w:rsid w:val="480212E4"/>
    <w:rsid w:val="481E32BC"/>
    <w:rsid w:val="482B73A4"/>
    <w:rsid w:val="48C04CFB"/>
    <w:rsid w:val="48FF5824"/>
    <w:rsid w:val="49266FC3"/>
    <w:rsid w:val="492B03C7"/>
    <w:rsid w:val="493C6A78"/>
    <w:rsid w:val="49425710"/>
    <w:rsid w:val="498E5824"/>
    <w:rsid w:val="49DE053E"/>
    <w:rsid w:val="4A201EF6"/>
    <w:rsid w:val="4A546DA4"/>
    <w:rsid w:val="4A625D30"/>
    <w:rsid w:val="4A767D68"/>
    <w:rsid w:val="4B475260"/>
    <w:rsid w:val="4B4C2876"/>
    <w:rsid w:val="4B7270E5"/>
    <w:rsid w:val="4B9E1324"/>
    <w:rsid w:val="4BBF201F"/>
    <w:rsid w:val="4BCA47E4"/>
    <w:rsid w:val="4BE17463"/>
    <w:rsid w:val="4C5365E1"/>
    <w:rsid w:val="4CA037FA"/>
    <w:rsid w:val="4CA26BF2"/>
    <w:rsid w:val="4CCF19B1"/>
    <w:rsid w:val="4CEE1E37"/>
    <w:rsid w:val="4D145F92"/>
    <w:rsid w:val="4D2F41FE"/>
    <w:rsid w:val="4D330192"/>
    <w:rsid w:val="4D461C73"/>
    <w:rsid w:val="4E092CA1"/>
    <w:rsid w:val="4E4156DB"/>
    <w:rsid w:val="4E93713A"/>
    <w:rsid w:val="4F1456D4"/>
    <w:rsid w:val="4F9905AE"/>
    <w:rsid w:val="4FC33F25"/>
    <w:rsid w:val="4FD001C7"/>
    <w:rsid w:val="4FFF6109"/>
    <w:rsid w:val="500B71A4"/>
    <w:rsid w:val="502E60F8"/>
    <w:rsid w:val="50334005"/>
    <w:rsid w:val="505E4B9C"/>
    <w:rsid w:val="50687EB6"/>
    <w:rsid w:val="509A0813"/>
    <w:rsid w:val="50A30487"/>
    <w:rsid w:val="50DD1804"/>
    <w:rsid w:val="51A52CE0"/>
    <w:rsid w:val="52195EFA"/>
    <w:rsid w:val="529674E9"/>
    <w:rsid w:val="52983293"/>
    <w:rsid w:val="52B1378F"/>
    <w:rsid w:val="535D3873"/>
    <w:rsid w:val="53876B42"/>
    <w:rsid w:val="54153BAB"/>
    <w:rsid w:val="543E18F6"/>
    <w:rsid w:val="546B1FBF"/>
    <w:rsid w:val="54996B2C"/>
    <w:rsid w:val="550A7A2A"/>
    <w:rsid w:val="55133598"/>
    <w:rsid w:val="554A7E27"/>
    <w:rsid w:val="555E1B24"/>
    <w:rsid w:val="556A04C9"/>
    <w:rsid w:val="559E5653"/>
    <w:rsid w:val="55AB3C2F"/>
    <w:rsid w:val="55EC35D4"/>
    <w:rsid w:val="56383CF3"/>
    <w:rsid w:val="56455CD4"/>
    <w:rsid w:val="565C42B5"/>
    <w:rsid w:val="56AE76A6"/>
    <w:rsid w:val="56D4209E"/>
    <w:rsid w:val="56DB2C2D"/>
    <w:rsid w:val="56E4418B"/>
    <w:rsid w:val="57003B3D"/>
    <w:rsid w:val="57064221"/>
    <w:rsid w:val="5773022F"/>
    <w:rsid w:val="57770C7B"/>
    <w:rsid w:val="57E50495"/>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406532"/>
    <w:rsid w:val="5CE36031"/>
    <w:rsid w:val="5DB26EB1"/>
    <w:rsid w:val="5DBA559D"/>
    <w:rsid w:val="5DFE3EA4"/>
    <w:rsid w:val="5E465887"/>
    <w:rsid w:val="5E473A9D"/>
    <w:rsid w:val="5E8425FB"/>
    <w:rsid w:val="5EE50BC0"/>
    <w:rsid w:val="5F181B76"/>
    <w:rsid w:val="5F1E7A36"/>
    <w:rsid w:val="5F463D55"/>
    <w:rsid w:val="5FD4389C"/>
    <w:rsid w:val="5FEC48FC"/>
    <w:rsid w:val="6013374F"/>
    <w:rsid w:val="60A32AE1"/>
    <w:rsid w:val="60B116A2"/>
    <w:rsid w:val="60B42F40"/>
    <w:rsid w:val="60B7767B"/>
    <w:rsid w:val="61082E95"/>
    <w:rsid w:val="61696F59"/>
    <w:rsid w:val="61D672CA"/>
    <w:rsid w:val="61E63AF5"/>
    <w:rsid w:val="626A2DAC"/>
    <w:rsid w:val="62784498"/>
    <w:rsid w:val="627D587D"/>
    <w:rsid w:val="62A86D6B"/>
    <w:rsid w:val="63293771"/>
    <w:rsid w:val="637C7D45"/>
    <w:rsid w:val="639808F7"/>
    <w:rsid w:val="644F5147"/>
    <w:rsid w:val="64565496"/>
    <w:rsid w:val="645F2960"/>
    <w:rsid w:val="64654C7D"/>
    <w:rsid w:val="64BD496D"/>
    <w:rsid w:val="64BE25DF"/>
    <w:rsid w:val="64C44758"/>
    <w:rsid w:val="64F93617"/>
    <w:rsid w:val="65271809"/>
    <w:rsid w:val="655D3BA6"/>
    <w:rsid w:val="65655387"/>
    <w:rsid w:val="659A6BA8"/>
    <w:rsid w:val="65A50F20"/>
    <w:rsid w:val="65FE7BFD"/>
    <w:rsid w:val="66EC6F90"/>
    <w:rsid w:val="66F2031E"/>
    <w:rsid w:val="67AA7E58"/>
    <w:rsid w:val="67AB0BF9"/>
    <w:rsid w:val="68077DF9"/>
    <w:rsid w:val="68382663"/>
    <w:rsid w:val="68605586"/>
    <w:rsid w:val="686314D3"/>
    <w:rsid w:val="6888718C"/>
    <w:rsid w:val="68E5527F"/>
    <w:rsid w:val="6958573D"/>
    <w:rsid w:val="69A578CA"/>
    <w:rsid w:val="69C648D7"/>
    <w:rsid w:val="69F725C4"/>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1FB277D"/>
    <w:rsid w:val="720A29C0"/>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AC04E9"/>
    <w:rsid w:val="76C3504D"/>
    <w:rsid w:val="770422FE"/>
    <w:rsid w:val="773D55E5"/>
    <w:rsid w:val="7746449A"/>
    <w:rsid w:val="775546DD"/>
    <w:rsid w:val="778C3E77"/>
    <w:rsid w:val="77A429D3"/>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DD87B77"/>
    <w:rsid w:val="7E141A72"/>
    <w:rsid w:val="7E703977"/>
    <w:rsid w:val="7E963DC6"/>
    <w:rsid w:val="7EF02F3D"/>
    <w:rsid w:val="7F1B1599"/>
    <w:rsid w:val="7F5F65D1"/>
    <w:rsid w:val="7F606315"/>
    <w:rsid w:val="7F6210EB"/>
    <w:rsid w:val="7F8B73C1"/>
    <w:rsid w:val="7F961D37"/>
    <w:rsid w:val="7FAC3308"/>
    <w:rsid w:val="7FFB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qFormat/>
    <w:uiPriority w:val="0"/>
    <w:pPr>
      <w:spacing w:line="360" w:lineRule="auto"/>
    </w:pPr>
    <w:rPr>
      <w:b/>
      <w:bCs/>
      <w:sz w:val="24"/>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2"/>
    <w:semiHidden/>
    <w:qFormat/>
    <w:uiPriority w:val="99"/>
    <w:rPr>
      <w:sz w:val="18"/>
      <w:szCs w:val="18"/>
    </w:rPr>
  </w:style>
  <w:style w:type="character" w:customStyle="1" w:styleId="24">
    <w:name w:val="页脚 Char"/>
    <w:basedOn w:val="18"/>
    <w:link w:val="11"/>
    <w:qFormat/>
    <w:uiPriority w:val="99"/>
    <w:rPr>
      <w:sz w:val="18"/>
      <w:szCs w:val="18"/>
    </w:rPr>
  </w:style>
  <w:style w:type="character" w:customStyle="1" w:styleId="25">
    <w:name w:val="批注框文本 Char"/>
    <w:basedOn w:val="18"/>
    <w:link w:val="10"/>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7"/>
    <w:semiHidden/>
    <w:qFormat/>
    <w:uiPriority w:val="99"/>
    <w:rPr>
      <w:rFonts w:ascii="宋体" w:eastAsia="宋体"/>
      <w:sz w:val="18"/>
      <w:szCs w:val="18"/>
    </w:rPr>
  </w:style>
  <w:style w:type="character" w:customStyle="1" w:styleId="30">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Table Paragraph"/>
    <w:qFormat/>
    <w:uiPriority w:val="1"/>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123</Pages>
  <Words>70666</Words>
  <Characters>78632</Characters>
  <Lines>316</Lines>
  <Paragraphs>88</Paragraphs>
  <TotalTime>3</TotalTime>
  <ScaleCrop>false</ScaleCrop>
  <LinksUpToDate>false</LinksUpToDate>
  <CharactersWithSpaces>89411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2021-03-03T08:56:00Z</dcterms:created>
  <dc:creator>win7-1</dc:creator>
  <cp:lastModifiedBy>ZzyhH</cp:lastModifiedBy>
  <cp:lastPrinted>2021-01-15T09:17:00Z</cp:lastPrinted>
  <dcterms:modified xsi:type="dcterms:W3CDTF">2024-07-27T09:07:28Z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448944F202B6435095154B9A00E521BF_13</vt:lpwstr>
  </property>
</Properties>
</file>