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0000FF"/>
          <w:sz w:val="48"/>
          <w:szCs w:val="48"/>
        </w:rPr>
      </w:pPr>
      <w:r>
        <w:rPr>
          <w:rFonts w:ascii="黑体" w:hAnsi="黑体" w:eastAsia="黑体"/>
          <w:color w:val="0000FF"/>
          <w:sz w:val="48"/>
          <w:szCs w:val="48"/>
        </w:rPr>
        <w:t>关于</w:t>
      </w:r>
      <w:r>
        <w:rPr>
          <w:rFonts w:hint="eastAsia" w:ascii="黑体" w:hAnsi="黑体" w:eastAsia="黑体"/>
          <w:color w:val="0000FF"/>
          <w:sz w:val="48"/>
          <w:szCs w:val="48"/>
        </w:rPr>
        <w:t>2025年度大鹏新区博物馆物业服务项目</w:t>
      </w:r>
      <w:r>
        <w:rPr>
          <w:rFonts w:ascii="黑体" w:hAnsi="黑体" w:eastAsia="黑体"/>
          <w:color w:val="0000FF"/>
          <w:sz w:val="48"/>
          <w:szCs w:val="48"/>
        </w:rPr>
        <w:t>信息</w:t>
      </w:r>
      <w:r>
        <w:rPr>
          <w:rFonts w:hint="eastAsia" w:ascii="黑体" w:hAnsi="黑体" w:eastAsia="黑体"/>
          <w:color w:val="0000FF"/>
          <w:sz w:val="48"/>
          <w:szCs w:val="48"/>
        </w:rPr>
        <w:t>公开</w:t>
      </w:r>
    </w:p>
    <w:tbl>
      <w:tblPr>
        <w:tblStyle w:val="4"/>
        <w:tblW w:w="8505"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90" w:type="dxa"/>
          <w:left w:w="90" w:type="dxa"/>
          <w:bottom w:w="90" w:type="dxa"/>
          <w:right w:w="90" w:type="dxa"/>
        </w:tblCellMar>
      </w:tblPr>
      <w:tblGrid>
        <w:gridCol w:w="912"/>
        <w:gridCol w:w="7593"/>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90" w:type="dxa"/>
            <w:left w:w="90" w:type="dxa"/>
            <w:bottom w:w="90" w:type="dxa"/>
            <w:right w:w="90"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vAlign w:val="center"/>
          </w:tcPr>
          <w:p>
            <w:pPr>
              <w:jc w:val="left"/>
            </w:pPr>
            <w:r>
              <w:t>根据</w:t>
            </w:r>
            <w:r>
              <w:rPr>
                <w:rFonts w:hint="eastAsia"/>
              </w:rPr>
              <w:t>关于进一步做好未纳入集中采购的政府购买服务类项目信息公开工作的通知（深鹏发财函〔2018〕1779号）要求</w:t>
            </w:r>
            <w:r>
              <w:t>，现将本项目有关情况向社会公</w:t>
            </w:r>
            <w:r>
              <w:rPr>
                <w:rFonts w:hint="eastAsia"/>
              </w:rPr>
              <w:t>开</w:t>
            </w:r>
            <w: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90" w:type="dxa"/>
            <w:left w:w="90" w:type="dxa"/>
            <w:bottom w:w="90" w:type="dxa"/>
            <w:right w:w="90" w:type="dxa"/>
          </w:tblCellMar>
        </w:tblPrEx>
        <w:trPr>
          <w:jc w:val="center"/>
        </w:trPr>
        <w:tc>
          <w:tcPr>
            <w:tcW w:w="0" w:type="auto"/>
            <w:gridSpan w:val="2"/>
            <w:tcBorders>
              <w:top w:val="outset" w:color="000000" w:sz="6" w:space="0"/>
              <w:left w:val="outset" w:color="000000" w:sz="6" w:space="0"/>
              <w:bottom w:val="outset" w:color="000000" w:sz="6" w:space="0"/>
              <w:right w:val="outset" w:color="000000" w:sz="6" w:space="0"/>
            </w:tcBorders>
            <w:vAlign w:val="center"/>
          </w:tcPr>
          <w:p>
            <w:pPr>
              <w:jc w:val="left"/>
            </w:pPr>
            <w:r>
              <w:rPr>
                <w:b/>
                <w:bCs/>
              </w:rPr>
              <w:t xml:space="preserve">项目名称： </w:t>
            </w:r>
            <w:r>
              <w:rPr>
                <w:rFonts w:hint="eastAsia"/>
                <w:b/>
                <w:bCs/>
              </w:rPr>
              <w:t>2025年度大鹏新区博物馆物业服务项目</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90" w:type="dxa"/>
            <w:left w:w="90" w:type="dxa"/>
            <w:bottom w:w="90" w:type="dxa"/>
            <w:right w:w="90" w:type="dxa"/>
          </w:tblCellMar>
        </w:tblPrEx>
        <w:trPr>
          <w:trHeight w:val="1620" w:hRule="atLeast"/>
          <w:jc w:val="center"/>
        </w:trPr>
        <w:tc>
          <w:tcPr>
            <w:tcW w:w="0" w:type="auto"/>
            <w:vMerge w:val="restart"/>
            <w:tcBorders>
              <w:top w:val="outset" w:color="000000" w:sz="6" w:space="0"/>
              <w:left w:val="outset" w:color="000000" w:sz="6" w:space="0"/>
              <w:bottom w:val="outset" w:color="000000" w:sz="6" w:space="0"/>
              <w:right w:val="outset" w:color="000000" w:sz="6" w:space="0"/>
            </w:tcBorders>
            <w:vAlign w:val="center"/>
          </w:tcPr>
          <w:p>
            <w:pPr>
              <w:jc w:val="center"/>
            </w:pPr>
            <w:r>
              <w:rPr>
                <w:b/>
                <w:bCs/>
              </w:rPr>
              <w:t>实施购买后公开的信息</w:t>
            </w:r>
          </w:p>
        </w:tc>
        <w:tc>
          <w:tcPr>
            <w:tcW w:w="0" w:type="auto"/>
            <w:tcBorders>
              <w:top w:val="outset" w:color="000000" w:sz="6" w:space="0"/>
              <w:left w:val="outset" w:color="000000" w:sz="6" w:space="0"/>
              <w:right w:val="outset" w:color="000000" w:sz="6" w:space="0"/>
            </w:tcBorders>
            <w:vAlign w:val="center"/>
          </w:tcPr>
          <w:p>
            <w:r>
              <w:rPr>
                <w:b/>
                <w:bCs/>
              </w:rPr>
              <w:t>竞争及评比遴选情况</w:t>
            </w:r>
            <w:r>
              <w:rPr>
                <w:rFonts w:hint="eastAsia"/>
                <w:b/>
                <w:bCs/>
              </w:rPr>
              <w:t>（如询价情况、以往项目履约评价情况等）</w:t>
            </w:r>
            <w:r>
              <w:rPr>
                <w:b/>
                <w:bCs/>
              </w:rPr>
              <w:t>：</w:t>
            </w:r>
            <w:r>
              <w:rPr>
                <w:rFonts w:hint="default"/>
                <w:b w:val="0"/>
                <w:bCs w:val="0"/>
              </w:rPr>
              <w:t>龙城城市运营服务集团有限公司</w:t>
            </w:r>
            <w:r>
              <w:rPr>
                <w:rFonts w:hint="eastAsia"/>
                <w:b w:val="0"/>
                <w:bCs w:val="0"/>
                <w:lang w:eastAsia="zh-CN"/>
              </w:rPr>
              <w:t>报价</w:t>
            </w:r>
            <w:r>
              <w:rPr>
                <w:rFonts w:hint="default"/>
                <w:b w:val="0"/>
                <w:bCs w:val="0"/>
              </w:rPr>
              <w:t>55.4622</w:t>
            </w:r>
            <w:r>
              <w:rPr>
                <w:rFonts w:hint="eastAsia"/>
                <w:b w:val="0"/>
                <w:bCs w:val="0"/>
                <w:lang w:eastAsia="zh-CN"/>
              </w:rPr>
              <w:t>万元，</w:t>
            </w:r>
            <w:r>
              <w:rPr>
                <w:rFonts w:hint="default"/>
                <w:b w:val="0"/>
                <w:bCs w:val="0"/>
                <w:lang w:eastAsia="zh-CN"/>
              </w:rPr>
              <w:t>评审</w:t>
            </w:r>
            <w:r>
              <w:rPr>
                <w:rFonts w:hint="default"/>
                <w:b w:val="0"/>
                <w:bCs w:val="0"/>
              </w:rPr>
              <w:t>分数</w:t>
            </w:r>
            <w:r>
              <w:rPr>
                <w:rFonts w:hint="eastAsia"/>
                <w:b w:val="0"/>
                <w:bCs w:val="0"/>
                <w:lang w:val="en-US" w:eastAsia="zh-CN"/>
              </w:rPr>
              <w:t>95.2</w:t>
            </w:r>
            <w:r>
              <w:rPr>
                <w:rFonts w:hint="default"/>
                <w:b w:val="0"/>
                <w:bCs w:val="0"/>
              </w:rPr>
              <w:t>分；深圳市洁新城市服务有限公司</w:t>
            </w:r>
            <w:r>
              <w:rPr>
                <w:rFonts w:hint="eastAsia"/>
                <w:b w:val="0"/>
                <w:bCs w:val="0"/>
                <w:lang w:eastAsia="zh-CN"/>
              </w:rPr>
              <w:t>报价</w:t>
            </w:r>
            <w:r>
              <w:rPr>
                <w:rFonts w:hint="default"/>
                <w:b w:val="0"/>
                <w:bCs w:val="0"/>
              </w:rPr>
              <w:t>55.50499</w:t>
            </w:r>
            <w:r>
              <w:rPr>
                <w:rFonts w:hint="eastAsia"/>
                <w:b w:val="0"/>
                <w:bCs w:val="0"/>
                <w:lang w:val="en-US" w:eastAsia="zh-CN"/>
              </w:rPr>
              <w:t>2</w:t>
            </w:r>
            <w:r>
              <w:rPr>
                <w:rFonts w:hint="eastAsia"/>
                <w:b w:val="0"/>
                <w:bCs w:val="0"/>
                <w:lang w:eastAsia="zh-CN"/>
              </w:rPr>
              <w:t>万元</w:t>
            </w:r>
            <w:r>
              <w:rPr>
                <w:rFonts w:hint="default"/>
                <w:b w:val="0"/>
                <w:bCs w:val="0"/>
              </w:rPr>
              <w:t>，评审分数</w:t>
            </w:r>
            <w:r>
              <w:rPr>
                <w:rFonts w:hint="eastAsia"/>
                <w:b w:val="0"/>
                <w:bCs w:val="0"/>
                <w:lang w:val="en-US" w:eastAsia="zh-CN"/>
              </w:rPr>
              <w:t>62.2</w:t>
            </w:r>
            <w:r>
              <w:rPr>
                <w:rFonts w:hint="default"/>
                <w:b w:val="0"/>
                <w:bCs w:val="0"/>
              </w:rPr>
              <w:t>分；圳市华佳宏物业投资集团有限</w:t>
            </w:r>
            <w:r>
              <w:rPr>
                <w:rFonts w:hint="eastAsia"/>
                <w:b w:val="0"/>
                <w:bCs w:val="0"/>
                <w:lang w:eastAsia="zh-CN"/>
              </w:rPr>
              <w:t>公司报价</w:t>
            </w:r>
            <w:bookmarkStart w:id="0" w:name="_GoBack"/>
            <w:bookmarkEnd w:id="0"/>
            <w:r>
              <w:rPr>
                <w:rFonts w:hint="default"/>
                <w:b w:val="0"/>
                <w:bCs w:val="0"/>
              </w:rPr>
              <w:t>55.475484</w:t>
            </w:r>
            <w:r>
              <w:rPr>
                <w:rFonts w:hint="eastAsia"/>
                <w:b w:val="0"/>
                <w:bCs w:val="0"/>
                <w:lang w:eastAsia="zh-CN"/>
              </w:rPr>
              <w:t>元</w:t>
            </w:r>
            <w:r>
              <w:rPr>
                <w:rFonts w:hint="default"/>
                <w:b w:val="0"/>
                <w:bCs w:val="0"/>
                <w:lang w:eastAsia="zh-CN"/>
              </w:rPr>
              <w:t>，评审分数</w:t>
            </w:r>
            <w:r>
              <w:rPr>
                <w:rFonts w:hint="eastAsia"/>
                <w:b w:val="0"/>
                <w:bCs w:val="0"/>
                <w:lang w:val="en-US" w:eastAsia="zh-CN"/>
              </w:rPr>
              <w:t>67.2</w:t>
            </w:r>
            <w:r>
              <w:rPr>
                <w:rFonts w:hint="default"/>
                <w:b w:val="0"/>
                <w:bCs w:val="0"/>
                <w:lang w:eastAsia="zh-CN"/>
              </w:rPr>
              <w:t>分。</w:t>
            </w:r>
            <w:r>
              <w:rPr>
                <w:rFonts w:hint="default"/>
                <w:lang w:eastAsia="zh-CN"/>
              </w:rPr>
              <w:t>根据综合评分法审定，</w:t>
            </w:r>
            <w:r>
              <w:rPr>
                <w:rFonts w:hint="default"/>
                <w:b w:val="0"/>
                <w:bCs w:val="0"/>
              </w:rPr>
              <w:t>龙城城市运营服务集团有限公司为中标公司。</w:t>
            </w:r>
            <w:r>
              <w:rPr>
                <w:b/>
                <w:bCs/>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90" w:type="dxa"/>
            <w:left w:w="90" w:type="dxa"/>
            <w:bottom w:w="90" w:type="dxa"/>
            <w:right w:w="9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jc w:val="center"/>
            </w:pPr>
          </w:p>
        </w:tc>
        <w:tc>
          <w:tcPr>
            <w:tcW w:w="0" w:type="auto"/>
            <w:tcBorders>
              <w:top w:val="outset" w:color="000000" w:sz="6" w:space="0"/>
              <w:left w:val="outset" w:color="000000" w:sz="6" w:space="0"/>
              <w:bottom w:val="outset" w:color="000000" w:sz="6" w:space="0"/>
              <w:right w:val="outset" w:color="000000" w:sz="6" w:space="0"/>
            </w:tcBorders>
            <w:vAlign w:val="center"/>
          </w:tcPr>
          <w:p>
            <w:pPr>
              <w:jc w:val="left"/>
            </w:pPr>
            <w:r>
              <w:rPr>
                <w:b/>
                <w:bCs/>
              </w:rPr>
              <w:t xml:space="preserve">成交供应商名称： </w:t>
            </w:r>
            <w:r>
              <w:rPr>
                <w:rFonts w:hint="eastAsia"/>
                <w:b w:val="0"/>
                <w:bCs w:val="0"/>
              </w:rPr>
              <w:t>龙城城市运营服务集团有限公司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90" w:type="dxa"/>
            <w:left w:w="90" w:type="dxa"/>
            <w:bottom w:w="90" w:type="dxa"/>
            <w:right w:w="90" w:type="dxa"/>
          </w:tblCellMar>
        </w:tblPrEx>
        <w:trPr>
          <w:jc w:val="center"/>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jc w:val="center"/>
            </w:pPr>
          </w:p>
        </w:tc>
        <w:tc>
          <w:tcPr>
            <w:tcW w:w="0" w:type="auto"/>
            <w:tcBorders>
              <w:top w:val="outset" w:color="000000" w:sz="6" w:space="0"/>
              <w:left w:val="outset" w:color="000000" w:sz="6" w:space="0"/>
              <w:bottom w:val="outset" w:color="000000" w:sz="6" w:space="0"/>
              <w:right w:val="outset" w:color="000000" w:sz="6" w:space="0"/>
            </w:tcBorders>
            <w:vAlign w:val="center"/>
          </w:tcPr>
          <w:p>
            <w:pPr>
              <w:jc w:val="left"/>
            </w:pPr>
            <w:r>
              <w:rPr>
                <w:b/>
                <w:bCs/>
              </w:rPr>
              <w:t xml:space="preserve">项目成交金额： </w:t>
            </w:r>
            <w:r>
              <w:rPr>
                <w:rFonts w:hint="eastAsia" w:ascii="仿宋_GB2312" w:hAnsi="仿宋_GB2312" w:cs="仿宋_GB2312"/>
                <w:sz w:val="24"/>
                <w:szCs w:val="24"/>
                <w:lang w:val="en-US" w:eastAsia="zh-CN"/>
              </w:rPr>
              <w:t>55</w:t>
            </w:r>
            <w:r>
              <w:rPr>
                <w:rFonts w:hint="default" w:ascii="仿宋_GB2312" w:hAnsi="仿宋_GB2312" w:cs="仿宋_GB2312"/>
                <w:sz w:val="24"/>
                <w:szCs w:val="24"/>
                <w:lang w:eastAsia="zh-CN"/>
              </w:rPr>
              <w:t>.</w:t>
            </w:r>
            <w:r>
              <w:rPr>
                <w:rFonts w:hint="eastAsia" w:ascii="仿宋_GB2312" w:hAnsi="仿宋_GB2312" w:cs="仿宋_GB2312"/>
                <w:sz w:val="24"/>
                <w:szCs w:val="24"/>
                <w:lang w:val="en-US" w:eastAsia="zh-CN"/>
              </w:rPr>
              <w:t>4622万元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90" w:type="dxa"/>
            <w:left w:w="90" w:type="dxa"/>
            <w:bottom w:w="90" w:type="dxa"/>
            <w:right w:w="90" w:type="dxa"/>
          </w:tblCellMar>
        </w:tblPrEx>
        <w:trPr>
          <w:trHeight w:val="450" w:hRule="atLeast"/>
          <w:jc w:val="center"/>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jc w:val="center"/>
            </w:pPr>
          </w:p>
        </w:tc>
        <w:tc>
          <w:tcPr>
            <w:tcW w:w="0" w:type="auto"/>
            <w:tcBorders>
              <w:top w:val="outset" w:color="000000" w:sz="6" w:space="0"/>
              <w:left w:val="outset" w:color="000000" w:sz="6" w:space="0"/>
              <w:bottom w:val="outset" w:color="000000" w:sz="6" w:space="0"/>
              <w:right w:val="outset" w:color="000000" w:sz="6" w:space="0"/>
            </w:tcBorders>
            <w:vAlign w:val="center"/>
          </w:tcPr>
          <w:p>
            <w:pPr>
              <w:jc w:val="left"/>
            </w:pPr>
            <w:r>
              <w:rPr>
                <w:b/>
                <w:bCs/>
              </w:rPr>
              <w:t>服务内容和承诺：</w:t>
            </w:r>
            <w:r>
              <w:rPr>
                <w:b w:val="0"/>
                <w:bCs w:val="0"/>
                <w:lang w:val="en-US" w:eastAsia="zh-CN"/>
              </w:rPr>
              <w:t>对</w:t>
            </w:r>
            <w:r>
              <w:rPr>
                <w:rFonts w:hint="eastAsia"/>
                <w:b w:val="0"/>
                <w:bCs w:val="0"/>
                <w:lang w:val="en-US" w:eastAsia="zh-CN"/>
              </w:rPr>
              <w:t>大鹏所城和东纵司令部旧址</w:t>
            </w:r>
            <w:r>
              <w:rPr>
                <w:b w:val="0"/>
                <w:bCs w:val="0"/>
                <w:lang w:val="en-US" w:eastAsia="zh-CN"/>
              </w:rPr>
              <w:t>园区保洁、绿化养护、基础水电公共设备维护、四害消杀、会务管理等通过服务外包的形式进行优化管理，物业服务范围包括大鹏新区博物馆所管辖展厅和办公室、保安室及所有附属建筑物、园区内所有卫生间及全区范围内空地等（根据合同协定）</w:t>
            </w:r>
            <w:r>
              <w:rPr>
                <w:rFonts w:hint="eastAsia"/>
                <w:b w:val="0"/>
                <w:bCs w:val="0"/>
                <w:lang w:val="en-US" w:eastAsia="zh-CN"/>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90" w:type="dxa"/>
            <w:left w:w="90" w:type="dxa"/>
            <w:bottom w:w="90" w:type="dxa"/>
            <w:right w:w="90" w:type="dxa"/>
          </w:tblCellMar>
        </w:tblPrEx>
        <w:trPr>
          <w:trHeight w:val="465" w:hRule="atLeast"/>
          <w:jc w:val="center"/>
        </w:trPr>
        <w:tc>
          <w:tcPr>
            <w:tcW w:w="0" w:type="auto"/>
            <w:vMerge w:val="continue"/>
            <w:tcBorders>
              <w:top w:val="outset" w:color="000000" w:sz="6" w:space="0"/>
              <w:left w:val="outset" w:color="000000" w:sz="6" w:space="0"/>
              <w:bottom w:val="outset" w:color="000000" w:sz="6" w:space="0"/>
              <w:right w:val="outset" w:color="000000" w:sz="6" w:space="0"/>
            </w:tcBorders>
            <w:vAlign w:val="center"/>
          </w:tcPr>
          <w:p>
            <w:pPr>
              <w:jc w:val="center"/>
            </w:pPr>
          </w:p>
        </w:tc>
        <w:tc>
          <w:tcPr>
            <w:tcW w:w="0" w:type="auto"/>
            <w:tcBorders>
              <w:top w:val="outset" w:color="000000" w:sz="6" w:space="0"/>
              <w:left w:val="outset" w:color="000000" w:sz="6" w:space="0"/>
              <w:bottom w:val="outset" w:color="000000" w:sz="6" w:space="0"/>
              <w:right w:val="outset" w:color="000000" w:sz="6" w:space="0"/>
            </w:tcBorders>
            <w:vAlign w:val="center"/>
          </w:tcPr>
          <w:p>
            <w:pPr>
              <w:jc w:val="left"/>
            </w:pPr>
            <w:r>
              <w:rPr>
                <w:b/>
                <w:bCs/>
              </w:rPr>
              <w:t xml:space="preserve">其他需要公告的内容：  </w:t>
            </w:r>
            <w:r>
              <w:rPr>
                <w:b w:val="0"/>
                <w:bCs w:val="0"/>
              </w:rPr>
              <w:t>按照项目合同执行</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90" w:type="dxa"/>
            <w:left w:w="90" w:type="dxa"/>
            <w:bottom w:w="90" w:type="dxa"/>
            <w:right w:w="90" w:type="dxa"/>
          </w:tblCellMar>
        </w:tblPrEx>
        <w:trPr>
          <w:trHeight w:val="2265" w:hRule="atLeast"/>
          <w:jc w:val="center"/>
        </w:trPr>
        <w:tc>
          <w:tcPr>
            <w:tcW w:w="0" w:type="auto"/>
            <w:gridSpan w:val="2"/>
            <w:tcBorders>
              <w:top w:val="outset" w:color="000000" w:sz="6" w:space="0"/>
              <w:left w:val="outset" w:color="000000" w:sz="6" w:space="0"/>
              <w:bottom w:val="outset" w:color="000000" w:sz="6" w:space="0"/>
              <w:right w:val="outset" w:color="000000" w:sz="6" w:space="0"/>
            </w:tcBorders>
            <w:vAlign w:val="center"/>
          </w:tcPr>
          <w:p>
            <w:r>
              <w:rPr>
                <w:b/>
                <w:bCs/>
              </w:rPr>
              <w:t xml:space="preserve">经本单位确认，上述公告信息真实、合规。 </w:t>
            </w:r>
          </w:p>
          <w:p>
            <w:pPr>
              <w:rPr>
                <w:rFonts w:hint="default"/>
              </w:rPr>
            </w:pPr>
            <w:r>
              <w:rPr>
                <w:b/>
                <w:bCs/>
              </w:rPr>
              <w:t>单位名称： 大鹏新区博物馆</w:t>
            </w:r>
          </w:p>
          <w:p>
            <w:r>
              <w:rPr>
                <w:b/>
                <w:bCs/>
              </w:rPr>
              <w:t xml:space="preserve">地址： </w:t>
            </w:r>
          </w:p>
          <w:p>
            <w:r>
              <w:rPr>
                <w:b/>
                <w:bCs/>
              </w:rPr>
              <w:t xml:space="preserve">联系人：韩笑 </w:t>
            </w:r>
          </w:p>
          <w:p>
            <w:pPr>
              <w:rPr>
                <w:rFonts w:hint="default" w:eastAsiaTheme="minorEastAsia"/>
                <w:lang w:val="en-US" w:eastAsia="zh-CN"/>
              </w:rPr>
            </w:pPr>
            <w:r>
              <w:rPr>
                <w:b/>
                <w:bCs/>
              </w:rPr>
              <w:t>联系电话：</w:t>
            </w:r>
            <w:r>
              <w:rPr>
                <w:rFonts w:hint="eastAsia"/>
                <w:b/>
                <w:bCs/>
                <w:lang w:val="en-US" w:eastAsia="zh-CN"/>
              </w:rPr>
              <w:t>0755-28241307</w:t>
            </w:r>
          </w:p>
          <w:p>
            <w:r>
              <w:rPr>
                <w:b/>
                <w:bCs/>
              </w:rPr>
              <w:t xml:space="preserve">传真： </w:t>
            </w:r>
            <w:r>
              <w:t>                                   </w:t>
            </w:r>
            <w:r>
              <w:rPr>
                <w:b/>
                <w:bCs/>
              </w:rPr>
              <w:t xml:space="preserve">电子邮箱： </w:t>
            </w:r>
          </w:p>
          <w:p>
            <w:pPr>
              <w:jc w:val="center"/>
            </w:pPr>
            <w:r>
              <w:t xml:space="preserve">                                                       公告日期： </w:t>
            </w:r>
            <w:r>
              <w:rPr>
                <w:rFonts w:hint="eastAsia"/>
                <w:lang w:val="en-US" w:eastAsia="zh-CN"/>
              </w:rPr>
              <w:t>2025</w:t>
            </w:r>
            <w:r>
              <w:t>  年  </w:t>
            </w:r>
            <w:r>
              <w:rPr>
                <w:rFonts w:hint="eastAsia"/>
                <w:lang w:val="en-US" w:eastAsia="zh-CN"/>
              </w:rPr>
              <w:t>4</w:t>
            </w:r>
            <w:r>
              <w:t> 月  </w:t>
            </w:r>
            <w:r>
              <w:rPr>
                <w:rFonts w:hint="eastAsia"/>
                <w:lang w:val="en-US" w:eastAsia="zh-CN"/>
              </w:rPr>
              <w:t>27</w:t>
            </w:r>
            <w:r>
              <w:t>   日</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pPr>
      <w:r>
        <w:t>备注：</w:t>
      </w:r>
      <w:r>
        <w:br w:type="textWrapping"/>
      </w:r>
      <w:r>
        <w:t>一、根据《深圳市</w:t>
      </w:r>
      <w:r>
        <w:rPr>
          <w:rFonts w:hint="eastAsia"/>
        </w:rPr>
        <w:t>大鹏新区政府</w:t>
      </w:r>
      <w:r>
        <w:t>购买服务</w:t>
      </w:r>
      <w:r>
        <w:rPr>
          <w:rFonts w:hint="eastAsia"/>
        </w:rPr>
        <w:t>指导</w:t>
      </w:r>
      <w:r>
        <w:t>目录（试行）》所列示的项目，</w:t>
      </w:r>
      <w:r>
        <w:rPr>
          <w:rFonts w:hint="eastAsia"/>
        </w:rPr>
        <w:t>采购单位</w:t>
      </w:r>
      <w:r>
        <w:t>应在政府采购主管部门指定的网站公告项目名称、服务要求、购买预算等内容，公</w:t>
      </w:r>
      <w:r>
        <w:rPr>
          <w:rFonts w:hint="eastAsia"/>
        </w:rPr>
        <w:t>示</w:t>
      </w:r>
      <w:r>
        <w:t>时间不少于5个工作日；购买服务结果产生</w:t>
      </w:r>
      <w:r>
        <w:rPr>
          <w:rFonts w:hint="eastAsia"/>
        </w:rPr>
        <w:t>后</w:t>
      </w:r>
      <w:r>
        <w:t>5个工作日内，</w:t>
      </w:r>
      <w:r>
        <w:rPr>
          <w:rFonts w:hint="eastAsia"/>
        </w:rPr>
        <w:t>采购单位</w:t>
      </w:r>
      <w:r>
        <w:t>应</w:t>
      </w:r>
      <w:r>
        <w:rPr>
          <w:rFonts w:hint="eastAsia"/>
        </w:rPr>
        <w:t>当将项目</w:t>
      </w:r>
      <w:r>
        <w:t>竞争及评比遴选情况</w:t>
      </w:r>
      <w:r>
        <w:rPr>
          <w:rFonts w:hint="eastAsia"/>
        </w:rPr>
        <w:t>（如询价情况、以往项目履约评价情况等）</w:t>
      </w:r>
      <w:r>
        <w:t>、承接主体、成交金额、服务内容和承诺等信息</w:t>
      </w:r>
      <w:r>
        <w:rPr>
          <w:rFonts w:hint="eastAsia"/>
        </w:rPr>
        <w:t>对外公开</w:t>
      </w:r>
      <w:r>
        <w:t>。但以下项目除外：</w:t>
      </w:r>
      <w:r>
        <w:br w:type="textWrapping"/>
      </w:r>
      <w:r>
        <w:t>  </w:t>
      </w:r>
      <w:r>
        <w:rPr>
          <w:rFonts w:hint="eastAsia" w:asciiTheme="majorEastAsia" w:hAnsiTheme="majorEastAsia" w:eastAsiaTheme="majorEastAsia" w:cstheme="majorEastAsia"/>
        </w:rPr>
        <w:t>1.《深圳市大鹏新区政府购买服务指导目录（试行）》所规定的项目；</w:t>
      </w:r>
      <w:r>
        <w:rPr>
          <w:rFonts w:hint="eastAsia" w:asciiTheme="majorEastAsia" w:hAnsiTheme="majorEastAsia" w:eastAsiaTheme="majorEastAsia" w:cstheme="majorEastAsia"/>
        </w:rPr>
        <w:br w:type="textWrapping"/>
      </w:r>
      <w:r>
        <w:rPr>
          <w:rFonts w:hint="eastAsia" w:asciiTheme="majorEastAsia" w:hAnsiTheme="majorEastAsia" w:eastAsiaTheme="majorEastAsia" w:cstheme="majorEastAsia"/>
        </w:rPr>
        <w:t>  2.涉及国家秘密或商业秘密的项目；</w:t>
      </w:r>
      <w:r>
        <w:rPr>
          <w:rFonts w:hint="eastAsia" w:asciiTheme="majorEastAsia" w:hAnsiTheme="majorEastAsia" w:eastAsiaTheme="majorEastAsia" w:cstheme="majorEastAsia"/>
        </w:rPr>
        <w:br w:type="textWrapping"/>
      </w:r>
      <w:r>
        <w:rPr>
          <w:rFonts w:hint="eastAsia" w:asciiTheme="majorEastAsia" w:hAnsiTheme="majorEastAsia" w:eastAsiaTheme="majorEastAsia" w:cstheme="majorEastAsia"/>
        </w:rPr>
        <w:t xml:space="preserve">  3.已经纳入政府采购管理的集中采购项目（该类项目遵照政府采购有关法律法规和规章的规定进行信息公开）。 </w:t>
      </w:r>
      <w:r>
        <w:br w:type="textWrapping"/>
      </w:r>
      <w:r>
        <w:t>二、对公告内容如有疑问或异议，</w:t>
      </w:r>
      <w:r>
        <w:rPr>
          <w:rFonts w:hint="eastAsia"/>
        </w:rPr>
        <w:t>由</w:t>
      </w:r>
      <w:r>
        <w:t>采购单位负责受理并解答。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B4"/>
    <w:rsid w:val="00056966"/>
    <w:rsid w:val="000A10C8"/>
    <w:rsid w:val="00171932"/>
    <w:rsid w:val="001A3711"/>
    <w:rsid w:val="002878D3"/>
    <w:rsid w:val="003252BC"/>
    <w:rsid w:val="00357CAE"/>
    <w:rsid w:val="004850BB"/>
    <w:rsid w:val="004A39C9"/>
    <w:rsid w:val="004F5B9C"/>
    <w:rsid w:val="007D7013"/>
    <w:rsid w:val="0084003A"/>
    <w:rsid w:val="0099329E"/>
    <w:rsid w:val="00AB53CC"/>
    <w:rsid w:val="00B357F6"/>
    <w:rsid w:val="00B375B4"/>
    <w:rsid w:val="00C0609F"/>
    <w:rsid w:val="00CE3C53"/>
    <w:rsid w:val="00D0605A"/>
    <w:rsid w:val="00D16A5D"/>
    <w:rsid w:val="00E140D0"/>
    <w:rsid w:val="00E6466E"/>
    <w:rsid w:val="00FC4FD5"/>
    <w:rsid w:val="332F575E"/>
    <w:rsid w:val="37BF17AC"/>
    <w:rsid w:val="77950B19"/>
    <w:rsid w:val="8FFF8CD5"/>
    <w:rsid w:val="C77B4A47"/>
    <w:rsid w:val="DFF7E8C0"/>
    <w:rsid w:val="F7FFB03B"/>
    <w:rsid w:val="F9F3D517"/>
    <w:rsid w:val="FFDF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108</Words>
  <Characters>618</Characters>
  <Lines>5</Lines>
  <Paragraphs>1</Paragraphs>
  <TotalTime>11</TotalTime>
  <ScaleCrop>false</ScaleCrop>
  <LinksUpToDate>false</LinksUpToDate>
  <CharactersWithSpaces>725</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2018-10-31T11:45:00Z</dcterms:created>
  <dc:creator>PC</dc:creator>
  <cp:lastModifiedBy>韩笑</cp:lastModifiedBy>
  <dcterms:modified xsi:type="dcterms:W3CDTF">2025-04-27T11:48:50Z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6F9BCAAB7A9D1C7968A30D6876079478</vt:lpwstr>
  </property>
</Properties>
</file>