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C2EF2">
      <w:pPr>
        <w:pStyle w:val="9"/>
        <w:rPr>
          <w:rFonts w:hint="eastAsia" w:ascii="宋体" w:hAnsi="宋体" w:eastAsia="宋体" w:cs="宋体"/>
          <w:highlight w:val="none"/>
        </w:rPr>
      </w:pPr>
    </w:p>
    <w:p w14:paraId="01733364">
      <w:pPr>
        <w:rPr>
          <w:rFonts w:hint="eastAsia" w:ascii="宋体" w:hAnsi="宋体" w:eastAsia="宋体" w:cs="宋体"/>
          <w:highlight w:val="none"/>
        </w:rPr>
      </w:pPr>
    </w:p>
    <w:p w14:paraId="6D80D465">
      <w:pPr>
        <w:pStyle w:val="34"/>
        <w:ind w:firstLine="480"/>
        <w:rPr>
          <w:rFonts w:hint="eastAsia" w:ascii="宋体" w:hAnsi="宋体" w:eastAsia="宋体" w:cs="宋体"/>
          <w:highlight w:val="none"/>
        </w:rPr>
      </w:pPr>
    </w:p>
    <w:p w14:paraId="7411DD84">
      <w:pPr>
        <w:snapToGrid w:val="0"/>
        <w:spacing w:before="156" w:beforeLines="50" w:line="360" w:lineRule="auto"/>
        <w:jc w:val="center"/>
        <w:rPr>
          <w:rFonts w:hint="eastAsia" w:ascii="宋体" w:hAnsi="宋体" w:eastAsia="宋体" w:cs="宋体"/>
          <w:b/>
          <w:sz w:val="96"/>
          <w:szCs w:val="96"/>
          <w:highlight w:val="none"/>
        </w:rPr>
      </w:pPr>
      <w:r>
        <w:rPr>
          <w:rFonts w:hint="eastAsia" w:ascii="宋体" w:hAnsi="宋体" w:eastAsia="宋体" w:cs="宋体"/>
          <w:b/>
          <w:sz w:val="44"/>
          <w:szCs w:val="44"/>
          <w:highlight w:val="none"/>
          <w:lang w:val="en-US" w:eastAsia="zh-CN"/>
        </w:rPr>
        <w:t>自行</w:t>
      </w:r>
      <w:r>
        <w:rPr>
          <w:rFonts w:hint="eastAsia" w:ascii="宋体" w:hAnsi="宋体" w:eastAsia="宋体" w:cs="宋体"/>
          <w:b/>
          <w:sz w:val="44"/>
          <w:szCs w:val="44"/>
          <w:highlight w:val="none"/>
        </w:rPr>
        <w:t>采购服务公开招标项目</w:t>
      </w:r>
      <w:r>
        <w:rPr>
          <w:rFonts w:hint="eastAsia" w:ascii="宋体" w:hAnsi="宋体" w:eastAsia="宋体" w:cs="宋体"/>
          <w:b/>
          <w:sz w:val="96"/>
          <w:szCs w:val="96"/>
          <w:highlight w:val="none"/>
        </w:rPr>
        <w:t xml:space="preserve"> </w:t>
      </w:r>
    </w:p>
    <w:p w14:paraId="4CED387B">
      <w:pPr>
        <w:snapToGrid w:val="0"/>
        <w:spacing w:before="156" w:beforeLines="50" w:line="360" w:lineRule="auto"/>
        <w:jc w:val="center"/>
        <w:rPr>
          <w:rFonts w:hint="eastAsia" w:ascii="宋体" w:hAnsi="宋体" w:eastAsia="宋体" w:cs="宋体"/>
          <w:b/>
          <w:sz w:val="96"/>
          <w:szCs w:val="96"/>
          <w:highlight w:val="none"/>
        </w:rPr>
      </w:pPr>
      <w:r>
        <w:rPr>
          <w:rFonts w:hint="eastAsia" w:ascii="宋体" w:hAnsi="宋体" w:eastAsia="宋体" w:cs="宋体"/>
          <w:b/>
          <w:sz w:val="96"/>
          <w:szCs w:val="96"/>
          <w:highlight w:val="none"/>
        </w:rPr>
        <w:t>招 标 文 件</w:t>
      </w:r>
    </w:p>
    <w:p w14:paraId="2593819C">
      <w:pPr>
        <w:pStyle w:val="9"/>
        <w:jc w:val="center"/>
        <w:rPr>
          <w:rFonts w:hint="eastAsia" w:ascii="宋体" w:hAnsi="宋体" w:eastAsia="宋体" w:cs="宋体"/>
          <w:highlight w:val="none"/>
        </w:rPr>
      </w:pPr>
    </w:p>
    <w:p w14:paraId="3EBAA308">
      <w:pPr>
        <w:pStyle w:val="9"/>
        <w:snapToGrid w:val="0"/>
        <w:rPr>
          <w:rFonts w:hint="eastAsia" w:ascii="宋体" w:hAnsi="宋体" w:eastAsia="宋体" w:cs="宋体"/>
          <w:sz w:val="36"/>
          <w:szCs w:val="36"/>
          <w:highlight w:val="none"/>
          <w:lang w:eastAsia="zh-CN"/>
        </w:rPr>
      </w:pPr>
      <w:r>
        <w:rPr>
          <w:rFonts w:hint="eastAsia" w:ascii="宋体" w:hAnsi="宋体" w:eastAsia="宋体" w:cs="宋体"/>
          <w:sz w:val="36"/>
          <w:szCs w:val="36"/>
          <w:highlight w:val="none"/>
        </w:rPr>
        <w:t xml:space="preserve">项目名称： </w:t>
      </w:r>
      <w:r>
        <w:rPr>
          <w:rFonts w:hint="eastAsia" w:ascii="宋体" w:hAnsi="宋体" w:eastAsia="宋体" w:cs="宋体"/>
          <w:sz w:val="36"/>
          <w:szCs w:val="36"/>
          <w:highlight w:val="none"/>
          <w:lang w:eastAsia="zh-CN"/>
        </w:rPr>
        <w:t>教师食堂托管服务</w:t>
      </w:r>
    </w:p>
    <w:p w14:paraId="3343B9B4">
      <w:pPr>
        <w:pStyle w:val="9"/>
        <w:snapToGrid w:val="0"/>
        <w:rPr>
          <w:rFonts w:hint="eastAsia" w:ascii="宋体" w:hAnsi="宋体" w:eastAsia="宋体" w:cs="宋体"/>
          <w:sz w:val="36"/>
          <w:szCs w:val="36"/>
          <w:highlight w:val="none"/>
          <w:lang w:eastAsia="zh-CN"/>
        </w:rPr>
      </w:pPr>
      <w:r>
        <w:rPr>
          <w:rFonts w:hint="eastAsia" w:ascii="宋体" w:hAnsi="宋体" w:eastAsia="宋体" w:cs="宋体"/>
          <w:sz w:val="36"/>
          <w:szCs w:val="36"/>
          <w:highlight w:val="none"/>
        </w:rPr>
        <w:t xml:space="preserve">项目编号： </w:t>
      </w:r>
      <w:r>
        <w:rPr>
          <w:rFonts w:hint="eastAsia" w:ascii="宋体" w:hAnsi="宋体" w:eastAsia="宋体" w:cs="宋体"/>
          <w:sz w:val="36"/>
          <w:szCs w:val="36"/>
          <w:highlight w:val="none"/>
          <w:lang w:eastAsia="zh-CN"/>
        </w:rPr>
        <w:t>GC2024ZX0032（QTZXCG-2024-00125）</w:t>
      </w:r>
    </w:p>
    <w:p w14:paraId="6E6568D4">
      <w:pPr>
        <w:pStyle w:val="9"/>
        <w:snapToGrid w:val="0"/>
        <w:jc w:val="center"/>
        <w:rPr>
          <w:rFonts w:hint="eastAsia" w:ascii="宋体" w:hAnsi="宋体" w:eastAsia="宋体" w:cs="宋体"/>
          <w:sz w:val="36"/>
          <w:szCs w:val="36"/>
          <w:highlight w:val="none"/>
        </w:rPr>
      </w:pPr>
      <w:bookmarkStart w:id="12" w:name="_GoBack"/>
      <w:bookmarkEnd w:id="12"/>
    </w:p>
    <w:p w14:paraId="2F366DC3">
      <w:pPr>
        <w:snapToGrid w:val="0"/>
        <w:spacing w:before="156" w:beforeLines="50" w:line="360" w:lineRule="auto"/>
        <w:jc w:val="both"/>
        <w:rPr>
          <w:rFonts w:hint="eastAsia" w:ascii="宋体" w:hAnsi="宋体" w:eastAsia="宋体" w:cs="宋体"/>
          <w:b/>
          <w:bCs/>
          <w:sz w:val="72"/>
          <w:szCs w:val="72"/>
          <w:highlight w:val="none"/>
        </w:rPr>
      </w:pPr>
      <w:r>
        <w:rPr>
          <w:rFonts w:hint="eastAsia" w:ascii="宋体" w:hAnsi="宋体" w:eastAsia="宋体" w:cs="宋体"/>
          <w:highlight w:val="none"/>
        </w:rPr>
        <w:drawing>
          <wp:anchor distT="0" distB="0" distL="114300" distR="114300" simplePos="0" relativeHeight="251660288" behindDoc="0" locked="0" layoutInCell="1" allowOverlap="1">
            <wp:simplePos x="0" y="0"/>
            <wp:positionH relativeFrom="column">
              <wp:posOffset>1970405</wp:posOffset>
            </wp:positionH>
            <wp:positionV relativeFrom="paragraph">
              <wp:posOffset>398145</wp:posOffset>
            </wp:positionV>
            <wp:extent cx="1464945" cy="2190115"/>
            <wp:effectExtent l="0" t="0" r="1905" b="635"/>
            <wp:wrapSquare wrapText="bothSides"/>
            <wp:docPr id="8" name="图片 1" descr="1615195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615195696(1)"/>
                    <pic:cNvPicPr>
                      <a:picLocks noChangeAspect="1"/>
                    </pic:cNvPicPr>
                  </pic:nvPicPr>
                  <pic:blipFill>
                    <a:blip r:embed="rId9"/>
                    <a:stretch>
                      <a:fillRect/>
                    </a:stretch>
                  </pic:blipFill>
                  <pic:spPr>
                    <a:xfrm>
                      <a:off x="0" y="0"/>
                      <a:ext cx="1464945" cy="2190115"/>
                    </a:xfrm>
                    <a:prstGeom prst="rect">
                      <a:avLst/>
                    </a:prstGeom>
                    <a:noFill/>
                    <a:ln>
                      <a:noFill/>
                    </a:ln>
                  </pic:spPr>
                </pic:pic>
              </a:graphicData>
            </a:graphic>
          </wp:anchor>
        </w:drawing>
      </w:r>
    </w:p>
    <w:p w14:paraId="26F2EF88">
      <w:pPr>
        <w:spacing w:line="360" w:lineRule="auto"/>
        <w:rPr>
          <w:rFonts w:hint="eastAsia" w:ascii="宋体" w:hAnsi="宋体" w:eastAsia="宋体" w:cs="宋体"/>
          <w:sz w:val="30"/>
          <w:highlight w:val="none"/>
        </w:rPr>
      </w:pPr>
    </w:p>
    <w:p w14:paraId="06233046">
      <w:pPr>
        <w:pStyle w:val="9"/>
        <w:rPr>
          <w:rFonts w:hint="eastAsia" w:ascii="宋体" w:hAnsi="宋体" w:eastAsia="宋体" w:cs="宋体"/>
          <w:sz w:val="30"/>
          <w:highlight w:val="none"/>
        </w:rPr>
      </w:pPr>
    </w:p>
    <w:p w14:paraId="296F879C">
      <w:pPr>
        <w:pStyle w:val="17"/>
        <w:spacing w:line="360" w:lineRule="auto"/>
        <w:jc w:val="both"/>
        <w:outlineLvl w:val="9"/>
        <w:rPr>
          <w:rFonts w:hint="eastAsia" w:ascii="宋体" w:hAnsi="宋体" w:eastAsia="宋体" w:cs="宋体"/>
          <w:highlight w:val="none"/>
        </w:rPr>
      </w:pPr>
    </w:p>
    <w:p w14:paraId="573F8C05">
      <w:pPr>
        <w:spacing w:line="360" w:lineRule="auto"/>
        <w:rPr>
          <w:rFonts w:hint="eastAsia" w:ascii="宋体" w:hAnsi="宋体" w:eastAsia="宋体" w:cs="宋体"/>
          <w:highlight w:val="none"/>
        </w:rPr>
      </w:pPr>
    </w:p>
    <w:p w14:paraId="20FFF9D5">
      <w:pPr>
        <w:pStyle w:val="11"/>
        <w:spacing w:line="360" w:lineRule="auto"/>
        <w:rPr>
          <w:rFonts w:hint="eastAsia" w:ascii="宋体" w:hAnsi="宋体" w:eastAsia="宋体" w:cs="宋体"/>
          <w:highlight w:val="none"/>
        </w:rPr>
      </w:pPr>
    </w:p>
    <w:p w14:paraId="2EC6C926">
      <w:pPr>
        <w:snapToGrid w:val="0"/>
        <w:spacing w:before="156" w:beforeLines="50" w:line="360" w:lineRule="auto"/>
        <w:jc w:val="center"/>
        <w:rPr>
          <w:rFonts w:hint="eastAsia" w:ascii="宋体" w:hAnsi="宋体" w:eastAsia="宋体" w:cs="宋体"/>
          <w:sz w:val="20"/>
          <w:szCs w:val="22"/>
          <w:highlight w:val="none"/>
        </w:rPr>
      </w:pPr>
      <w:r>
        <w:rPr>
          <w:rFonts w:hint="eastAsia" w:ascii="宋体" w:hAnsi="宋体" w:eastAsia="宋体" w:cs="宋体"/>
          <w:b/>
          <w:sz w:val="40"/>
          <w:szCs w:val="40"/>
          <w:highlight w:val="none"/>
        </w:rPr>
        <w:t>国采招标（深圳）有限公司</w:t>
      </w:r>
    </w:p>
    <w:p w14:paraId="4CF4E39F">
      <w:pPr>
        <w:jc w:val="center"/>
        <w:rPr>
          <w:rFonts w:hint="eastAsia" w:ascii="宋体" w:hAnsi="宋体" w:eastAsia="宋体" w:cs="宋体"/>
          <w:sz w:val="28"/>
          <w:szCs w:val="28"/>
          <w:highlight w:val="none"/>
        </w:rPr>
      </w:pPr>
      <w:r>
        <w:rPr>
          <w:rFonts w:hint="eastAsia" w:ascii="宋体" w:hAnsi="宋体" w:eastAsia="宋体" w:cs="宋体"/>
          <w:b/>
          <w:sz w:val="36"/>
          <w:szCs w:val="36"/>
          <w:highlight w:val="none"/>
        </w:rPr>
        <w:t>二〇二四年 · 中国深圳</w:t>
      </w:r>
    </w:p>
    <w:p w14:paraId="25AFA6F2">
      <w:pPr>
        <w:jc w:val="center"/>
        <w:rPr>
          <w:rStyle w:val="35"/>
          <w:rFonts w:hint="eastAsia" w:ascii="宋体" w:hAnsi="宋体" w:eastAsia="宋体" w:cs="宋体"/>
          <w:sz w:val="52"/>
          <w:szCs w:val="44"/>
          <w:highlight w:val="none"/>
        </w:rPr>
        <w:sectPr>
          <w:pgSz w:w="11906" w:h="16838"/>
          <w:pgMar w:top="1440" w:right="1800" w:bottom="1440" w:left="1800" w:header="851" w:footer="992" w:gutter="0"/>
          <w:cols w:space="425" w:num="1"/>
          <w:docGrid w:type="lines" w:linePitch="312" w:charSpace="0"/>
        </w:sectPr>
      </w:pPr>
    </w:p>
    <w:p w14:paraId="23EEA9BA">
      <w:pPr>
        <w:jc w:val="center"/>
        <w:rPr>
          <w:rStyle w:val="42"/>
          <w:rFonts w:hint="eastAsia" w:ascii="宋体" w:hAnsi="宋体" w:eastAsia="宋体" w:cs="宋体"/>
          <w:highlight w:val="none"/>
        </w:rPr>
      </w:pPr>
      <w:r>
        <w:rPr>
          <w:rStyle w:val="35"/>
          <w:rFonts w:hint="eastAsia" w:ascii="宋体" w:hAnsi="宋体" w:eastAsia="宋体" w:cs="宋体"/>
          <w:sz w:val="52"/>
          <w:szCs w:val="44"/>
          <w:highlight w:val="none"/>
        </w:rPr>
        <w:t>警示条款</w:t>
      </w:r>
    </w:p>
    <w:p w14:paraId="7AAA3B4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b/>
          <w:bCs/>
          <w:highlight w:val="none"/>
        </w:rPr>
        <w:t>《深圳经济特区政府采购条例》第五十七条</w:t>
      </w:r>
      <w:r>
        <w:rPr>
          <w:rFonts w:hint="eastAsia" w:ascii="宋体" w:hAnsi="宋体" w:eastAsia="宋体" w:cs="宋体"/>
          <w:highlight w:val="none"/>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BB94EE9">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（一）在采购活动中应当回避而未回避的；</w:t>
      </w:r>
    </w:p>
    <w:p w14:paraId="26C52A8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（二）未按本条例规定签订、履行采购合同，造成严重后果的；</w:t>
      </w:r>
    </w:p>
    <w:p w14:paraId="2E67A78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（三）隐瞒真实情况，提供虚假资料的；</w:t>
      </w:r>
    </w:p>
    <w:p w14:paraId="001CA3A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（四）以非法手段排斥其他供应商参与竞争的；</w:t>
      </w:r>
    </w:p>
    <w:p w14:paraId="54F32EB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（五）与其他采购参加人串通投标的；</w:t>
      </w:r>
    </w:p>
    <w:p w14:paraId="5C83E7D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（六）恶意投诉的；</w:t>
      </w:r>
    </w:p>
    <w:p w14:paraId="5AD91A17">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（七）向采购项目相关人行贿或者提供其他不当利益的；</w:t>
      </w:r>
    </w:p>
    <w:p w14:paraId="277BAFB8">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（八）阻碍、抗拒主管部门监督检查的；</w:t>
      </w:r>
    </w:p>
    <w:p w14:paraId="3F947E33">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（九）其他违反本条例规定的行为。</w:t>
      </w:r>
    </w:p>
    <w:p w14:paraId="6E40DDFF">
      <w:pPr>
        <w:spacing w:line="360" w:lineRule="auto"/>
        <w:ind w:firstLine="482" w:firstLineChars="200"/>
        <w:rPr>
          <w:rFonts w:hint="eastAsia" w:ascii="宋体" w:hAnsi="宋体" w:eastAsia="宋体" w:cs="宋体"/>
          <w:highlight w:val="none"/>
        </w:rPr>
      </w:pPr>
      <w:r>
        <w:rPr>
          <w:rFonts w:hint="eastAsia" w:ascii="宋体" w:hAnsi="宋体" w:eastAsia="宋体" w:cs="宋体"/>
          <w:b/>
          <w:bCs/>
          <w:highlight w:val="none"/>
        </w:rPr>
        <w:t>二、《深圳经济特区政府采购条例实施细则》第七十五条 </w:t>
      </w:r>
      <w:r>
        <w:rPr>
          <w:rFonts w:hint="eastAsia" w:ascii="宋体" w:hAnsi="宋体" w:eastAsia="宋体" w:cs="宋体"/>
          <w:highlight w:val="none"/>
        </w:rPr>
        <w:t>供应商有下列情形的，属于采购条例所称的串通投标行为，按照采购条例第五十七条有关规定处理：</w:t>
      </w:r>
    </w:p>
    <w:p w14:paraId="7CBAB043">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（一）投标供应商之间相互约定给予未中标的供应商利益补偿；</w:t>
      </w:r>
    </w:p>
    <w:p w14:paraId="4C72DD54">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（二）不同投标供应商的法定代表人、主要经营负责人、项目投标授权代表人、项目负责人、主要技术人员为同一人、属同一单位或者在同一单位缴纳社会保险；</w:t>
      </w:r>
    </w:p>
    <w:p w14:paraId="11391A7C">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（三）不同投标供应商的投标文件由同一单位或者同一人编制，或者由同一人分阶段参与编制的；</w:t>
      </w:r>
    </w:p>
    <w:p w14:paraId="4702711D">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（四）不同投标供应商的投标文件或部分投标文件相互混装；</w:t>
      </w:r>
    </w:p>
    <w:p w14:paraId="2504362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（五）不同投标供应商的投标文件内容存在非正常一致；</w:t>
      </w:r>
    </w:p>
    <w:p w14:paraId="39149C16">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（六）由同一单位工作人员为两家以上（含两家）供应商进行同一项投标活动的；</w:t>
      </w:r>
    </w:p>
    <w:p w14:paraId="1C8A9C97">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（七）主管部门依照法律、法规认定的其他情形。</w:t>
      </w:r>
    </w:p>
    <w:p w14:paraId="1A0458F2">
      <w:pPr>
        <w:spacing w:line="360" w:lineRule="auto"/>
        <w:ind w:firstLine="482" w:firstLineChars="200"/>
        <w:rPr>
          <w:rFonts w:hint="eastAsia" w:ascii="宋体" w:hAnsi="宋体" w:eastAsia="宋体" w:cs="宋体"/>
          <w:highlight w:val="none"/>
        </w:rPr>
      </w:pPr>
      <w:r>
        <w:rPr>
          <w:rFonts w:hint="eastAsia" w:ascii="宋体" w:hAnsi="宋体" w:eastAsia="宋体" w:cs="宋体"/>
          <w:b/>
          <w:bCs/>
          <w:highlight w:val="none"/>
        </w:rPr>
        <w:t>三、《深圳经济特区政府采购条例实施细则》第七十七条 </w:t>
      </w:r>
      <w:r>
        <w:rPr>
          <w:rFonts w:hint="eastAsia" w:ascii="宋体" w:hAnsi="宋体" w:eastAsia="宋体" w:cs="宋体"/>
          <w:highlight w:val="none"/>
        </w:rPr>
        <w:t>供应商有下列情形之一的，属于隐瞒真实情况，提供虚假资料，按照采购条例第五十七的有关规定处理：</w:t>
      </w:r>
    </w:p>
    <w:p w14:paraId="1D6C404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（一）通过转让或者租借等方式从其他单位获取资格或者资质证书投标的；</w:t>
      </w:r>
    </w:p>
    <w:p w14:paraId="04A71FC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（二）由其他单位或者其他单位负责人在投标供应商编制的投标文件上加盖印章或者签字的；</w:t>
      </w:r>
    </w:p>
    <w:p w14:paraId="1AC3DDD4">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（三）项目负责人或者主要技术人员不是本单位人员的；</w:t>
      </w:r>
    </w:p>
    <w:p w14:paraId="70B94279">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（四）投标保证金不是从投标供应商基本账户转出的；</w:t>
      </w:r>
    </w:p>
    <w:p w14:paraId="751511F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（五）其他隐瞒真实情况、提供虚假资料的行为。</w:t>
      </w:r>
    </w:p>
    <w:p w14:paraId="452A9072">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投标供应商不能提供项目负责人或者主要技术人员的劳动合同、社会保险等劳动关系证明材料的，视为存在前款第（三）项规定的情形。</w:t>
      </w:r>
    </w:p>
    <w:p w14:paraId="0D4D7047">
      <w:pPr>
        <w:spacing w:line="360" w:lineRule="auto"/>
        <w:ind w:firstLine="482" w:firstLineChars="200"/>
        <w:rPr>
          <w:rFonts w:hint="eastAsia" w:ascii="宋体" w:hAnsi="宋体" w:eastAsia="宋体" w:cs="宋体"/>
          <w:highlight w:val="none"/>
        </w:rPr>
      </w:pPr>
      <w:r>
        <w:rPr>
          <w:rFonts w:hint="eastAsia" w:ascii="宋体" w:hAnsi="宋体" w:eastAsia="宋体" w:cs="宋体"/>
          <w:b/>
          <w:bCs/>
          <w:color w:val="FF0000"/>
          <w:highlight w:val="none"/>
          <w:lang w:val="en-US" w:eastAsia="zh-CN"/>
        </w:rPr>
        <w:t>四、请投标供应商阅读《政府采购违法行为风险知悉确认书》（内容详见“投标文件正文”）， 并经各投标供应商负责人或投标授权代表签字并加盖单位公章后，扫描上传至投标文件一并提 交。注：该风险知悉确认书用于对供应商违法行为的警示，不作为供应商资格性审查及符合性审查条件。</w:t>
      </w:r>
      <w:r>
        <w:rPr>
          <w:rFonts w:hint="eastAsia" w:ascii="宋体" w:hAnsi="宋体" w:eastAsia="宋体" w:cs="宋体"/>
          <w:highlight w:val="none"/>
          <w:lang w:val="en-US" w:eastAsia="zh-CN"/>
        </w:rPr>
        <w:t xml:space="preserve"> </w:t>
      </w:r>
    </w:p>
    <w:p w14:paraId="4E2237B0">
      <w:pPr>
        <w:ind w:firstLine="480" w:firstLineChars="200"/>
        <w:rPr>
          <w:rFonts w:hint="eastAsia" w:ascii="宋体" w:hAnsi="宋体" w:eastAsia="宋体" w:cs="宋体"/>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7DF423E9">
      <w:pPr>
        <w:ind w:firstLine="480" w:firstLineChars="200"/>
        <w:rPr>
          <w:rFonts w:hint="eastAsia" w:ascii="宋体" w:hAnsi="宋体" w:eastAsia="宋体" w:cs="宋体"/>
          <w:highlight w:val="none"/>
        </w:rPr>
      </w:pPr>
    </w:p>
    <w:p w14:paraId="545A7879">
      <w:pPr>
        <w:jc w:val="center"/>
        <w:outlineLvl w:val="0"/>
        <w:rPr>
          <w:rStyle w:val="35"/>
          <w:rFonts w:hint="eastAsia" w:ascii="宋体" w:hAnsi="宋体" w:eastAsia="宋体" w:cs="宋体"/>
          <w:sz w:val="52"/>
          <w:szCs w:val="44"/>
          <w:highlight w:val="none"/>
        </w:rPr>
      </w:pPr>
      <w:r>
        <w:rPr>
          <w:rStyle w:val="35"/>
          <w:rFonts w:hint="eastAsia" w:ascii="宋体" w:hAnsi="宋体" w:eastAsia="宋体" w:cs="宋体"/>
          <w:sz w:val="52"/>
          <w:szCs w:val="44"/>
          <w:highlight w:val="none"/>
        </w:rPr>
        <w:t>关键信息</w:t>
      </w:r>
    </w:p>
    <w:tbl>
      <w:tblPr>
        <w:tblStyle w:val="18"/>
        <w:tblW w:w="8598" w:type="dxa"/>
        <w:jc w:val="center"/>
        <w:tblCellSpacing w:w="0" w:type="dxa"/>
        <w:tblLayout w:type="fixed"/>
        <w:tblCellMar>
          <w:top w:w="45" w:type="dxa"/>
          <w:left w:w="45" w:type="dxa"/>
          <w:bottom w:w="45" w:type="dxa"/>
          <w:right w:w="45" w:type="dxa"/>
        </w:tblCellMar>
      </w:tblPr>
      <w:tblGrid>
        <w:gridCol w:w="2722"/>
        <w:gridCol w:w="5876"/>
      </w:tblGrid>
      <w:tr w14:paraId="0F372E8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AE74992">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项目名称：</w:t>
            </w:r>
          </w:p>
        </w:tc>
        <w:tc>
          <w:tcPr>
            <w:tcW w:w="5876" w:type="dxa"/>
            <w:vAlign w:val="center"/>
          </w:tcPr>
          <w:p w14:paraId="0B783FBB">
            <w:pP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教师食堂托管服务</w:t>
            </w:r>
          </w:p>
        </w:tc>
      </w:tr>
      <w:tr w14:paraId="759F59F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6FCBBCA">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项目编号：</w:t>
            </w:r>
          </w:p>
        </w:tc>
        <w:tc>
          <w:tcPr>
            <w:tcW w:w="5876" w:type="dxa"/>
            <w:vAlign w:val="center"/>
          </w:tcPr>
          <w:p w14:paraId="4148E53F">
            <w:pP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GC2024ZX0032（QTZXCG-2024-00125）</w:t>
            </w:r>
          </w:p>
        </w:tc>
      </w:tr>
      <w:tr w14:paraId="4A373E5A">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837A639">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采购单位：</w:t>
            </w:r>
          </w:p>
        </w:tc>
        <w:tc>
          <w:tcPr>
            <w:tcW w:w="5876" w:type="dxa"/>
            <w:vAlign w:val="center"/>
          </w:tcPr>
          <w:p w14:paraId="620BF43B">
            <w:pP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深圳市龙华区教育科学研究院第二附属学校</w:t>
            </w:r>
          </w:p>
        </w:tc>
      </w:tr>
      <w:tr w14:paraId="5F0C5C0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1FB4C8C0">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包 号：</w:t>
            </w:r>
          </w:p>
        </w:tc>
        <w:tc>
          <w:tcPr>
            <w:tcW w:w="5876" w:type="dxa"/>
            <w:vAlign w:val="center"/>
          </w:tcPr>
          <w:p w14:paraId="0F1C545E">
            <w:pPr>
              <w:rPr>
                <w:rFonts w:hint="eastAsia" w:ascii="宋体" w:hAnsi="宋体" w:eastAsia="宋体" w:cs="宋体"/>
                <w:sz w:val="30"/>
                <w:szCs w:val="30"/>
                <w:highlight w:val="none"/>
              </w:rPr>
            </w:pPr>
            <w:r>
              <w:rPr>
                <w:rFonts w:hint="eastAsia" w:ascii="宋体" w:hAnsi="宋体" w:eastAsia="宋体" w:cs="宋体"/>
                <w:sz w:val="30"/>
                <w:szCs w:val="30"/>
                <w:highlight w:val="none"/>
              </w:rPr>
              <w:t>A包</w:t>
            </w:r>
          </w:p>
        </w:tc>
      </w:tr>
      <w:tr w14:paraId="3C72286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3D4D6FC">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项目类型：</w:t>
            </w:r>
          </w:p>
        </w:tc>
        <w:tc>
          <w:tcPr>
            <w:tcW w:w="5876" w:type="dxa"/>
            <w:vAlign w:val="center"/>
          </w:tcPr>
          <w:p w14:paraId="3E6819A7">
            <w:pPr>
              <w:rPr>
                <w:rFonts w:hint="eastAsia" w:ascii="宋体" w:hAnsi="宋体" w:eastAsia="宋体" w:cs="宋体"/>
                <w:sz w:val="30"/>
                <w:szCs w:val="30"/>
                <w:highlight w:val="none"/>
              </w:rPr>
            </w:pPr>
            <w:r>
              <w:rPr>
                <w:rFonts w:hint="eastAsia" w:ascii="宋体" w:hAnsi="宋体" w:eastAsia="宋体" w:cs="宋体"/>
                <w:sz w:val="30"/>
                <w:szCs w:val="30"/>
                <w:highlight w:val="none"/>
              </w:rPr>
              <w:t>服务类</w:t>
            </w:r>
          </w:p>
        </w:tc>
      </w:tr>
      <w:tr w14:paraId="5A6973E4">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6EF1C0B9">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采购方式：</w:t>
            </w:r>
          </w:p>
        </w:tc>
        <w:tc>
          <w:tcPr>
            <w:tcW w:w="5876" w:type="dxa"/>
            <w:vAlign w:val="center"/>
          </w:tcPr>
          <w:p w14:paraId="7ACB3EB1">
            <w:pPr>
              <w:rPr>
                <w:rFonts w:hint="eastAsia" w:ascii="宋体" w:hAnsi="宋体" w:eastAsia="宋体" w:cs="宋体"/>
                <w:sz w:val="30"/>
                <w:szCs w:val="30"/>
                <w:highlight w:val="none"/>
              </w:rPr>
            </w:pPr>
            <w:r>
              <w:rPr>
                <w:rFonts w:hint="eastAsia" w:ascii="宋体" w:hAnsi="宋体" w:eastAsia="宋体" w:cs="宋体"/>
                <w:sz w:val="30"/>
                <w:szCs w:val="30"/>
                <w:highlight w:val="none"/>
              </w:rPr>
              <w:t>公开招标</w:t>
            </w:r>
          </w:p>
        </w:tc>
      </w:tr>
      <w:tr w14:paraId="4214635A">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DBBE543">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货币类型：</w:t>
            </w:r>
          </w:p>
        </w:tc>
        <w:tc>
          <w:tcPr>
            <w:tcW w:w="5876" w:type="dxa"/>
            <w:vAlign w:val="center"/>
          </w:tcPr>
          <w:p w14:paraId="069B96F2">
            <w:pPr>
              <w:rPr>
                <w:rFonts w:hint="eastAsia" w:ascii="宋体" w:hAnsi="宋体" w:eastAsia="宋体" w:cs="宋体"/>
                <w:sz w:val="30"/>
                <w:szCs w:val="30"/>
                <w:highlight w:val="none"/>
              </w:rPr>
            </w:pPr>
            <w:r>
              <w:rPr>
                <w:rFonts w:hint="eastAsia" w:ascii="宋体" w:hAnsi="宋体" w:eastAsia="宋体" w:cs="宋体"/>
                <w:sz w:val="30"/>
                <w:szCs w:val="30"/>
                <w:highlight w:val="none"/>
              </w:rPr>
              <w:t>人民币</w:t>
            </w:r>
          </w:p>
        </w:tc>
      </w:tr>
      <w:tr w14:paraId="453E430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6793564">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评标方法：</w:t>
            </w:r>
          </w:p>
        </w:tc>
        <w:tc>
          <w:tcPr>
            <w:tcW w:w="5876" w:type="dxa"/>
            <w:vAlign w:val="center"/>
          </w:tcPr>
          <w:p w14:paraId="26D203D3">
            <w:pPr>
              <w:rPr>
                <w:rFonts w:hint="eastAsia" w:ascii="宋体" w:hAnsi="宋体" w:eastAsia="宋体" w:cs="宋体"/>
                <w:sz w:val="30"/>
                <w:szCs w:val="30"/>
                <w:highlight w:val="none"/>
              </w:rPr>
            </w:pPr>
            <w:r>
              <w:rPr>
                <w:rFonts w:hint="eastAsia" w:ascii="宋体" w:hAnsi="宋体" w:eastAsia="宋体" w:cs="宋体"/>
                <w:sz w:val="30"/>
                <w:szCs w:val="30"/>
                <w:highlight w:val="none"/>
              </w:rPr>
              <w:t>综合评分法</w:t>
            </w:r>
          </w:p>
        </w:tc>
      </w:tr>
    </w:tbl>
    <w:p w14:paraId="588A903F">
      <w:pPr>
        <w:pStyle w:val="9"/>
        <w:rPr>
          <w:rFonts w:hint="eastAsia" w:ascii="宋体" w:hAnsi="宋体" w:eastAsia="宋体" w:cs="宋体"/>
          <w:highlight w:val="none"/>
        </w:rPr>
      </w:pPr>
    </w:p>
    <w:p w14:paraId="7FD1F48D">
      <w:pPr>
        <w:rPr>
          <w:rFonts w:hint="eastAsia" w:ascii="宋体" w:hAnsi="宋体" w:eastAsia="宋体" w:cs="宋体"/>
          <w:highlight w:val="none"/>
        </w:rPr>
      </w:pPr>
    </w:p>
    <w:p w14:paraId="02011FC0">
      <w:pPr>
        <w:pStyle w:val="9"/>
        <w:rPr>
          <w:rFonts w:hint="eastAsia" w:ascii="宋体" w:hAnsi="宋体" w:eastAsia="宋体" w:cs="宋体"/>
          <w:highlight w:val="none"/>
        </w:rPr>
      </w:pPr>
    </w:p>
    <w:p w14:paraId="39F4CAD9">
      <w:pPr>
        <w:rPr>
          <w:rFonts w:hint="eastAsia" w:ascii="宋体" w:hAnsi="宋体" w:eastAsia="宋体" w:cs="宋体"/>
          <w:highlight w:val="none"/>
        </w:rPr>
      </w:pPr>
    </w:p>
    <w:p w14:paraId="464AF6CC">
      <w:pPr>
        <w:pStyle w:val="9"/>
        <w:rPr>
          <w:rFonts w:hint="eastAsia" w:ascii="宋体" w:hAnsi="宋体" w:eastAsia="宋体" w:cs="宋体"/>
          <w:highlight w:val="none"/>
        </w:rPr>
      </w:pPr>
    </w:p>
    <w:p w14:paraId="10B265AE">
      <w:pPr>
        <w:rPr>
          <w:rFonts w:hint="eastAsia" w:ascii="宋体" w:hAnsi="宋体" w:eastAsia="宋体" w:cs="宋体"/>
          <w:highlight w:val="none"/>
        </w:rPr>
      </w:pPr>
    </w:p>
    <w:p w14:paraId="479CEC27">
      <w:pPr>
        <w:pStyle w:val="9"/>
        <w:rPr>
          <w:rFonts w:hint="eastAsia" w:ascii="宋体" w:hAnsi="宋体" w:eastAsia="宋体" w:cs="宋体"/>
          <w:highlight w:val="none"/>
        </w:rPr>
      </w:pPr>
    </w:p>
    <w:p w14:paraId="01BF6936">
      <w:pPr>
        <w:rPr>
          <w:rFonts w:hint="eastAsia" w:ascii="宋体" w:hAnsi="宋体" w:eastAsia="宋体" w:cs="宋体"/>
          <w:highlight w:val="none"/>
        </w:rPr>
      </w:pPr>
    </w:p>
    <w:p w14:paraId="2CEF0E8B">
      <w:pPr>
        <w:pStyle w:val="9"/>
        <w:rPr>
          <w:rFonts w:hint="eastAsia" w:ascii="宋体" w:hAnsi="宋体" w:eastAsia="宋体" w:cs="宋体"/>
          <w:highlight w:val="none"/>
        </w:rPr>
      </w:pPr>
    </w:p>
    <w:p w14:paraId="657BAE7B">
      <w:pPr>
        <w:rPr>
          <w:rFonts w:hint="eastAsia" w:ascii="宋体" w:hAnsi="宋体" w:eastAsia="宋体" w:cs="宋体"/>
          <w:highlight w:val="none"/>
        </w:rPr>
      </w:pPr>
    </w:p>
    <w:p w14:paraId="5F5731D2">
      <w:pPr>
        <w:pStyle w:val="9"/>
        <w:rPr>
          <w:rFonts w:hint="eastAsia" w:ascii="宋体" w:hAnsi="宋体" w:eastAsia="宋体" w:cs="宋体"/>
          <w:highlight w:val="none"/>
        </w:rPr>
      </w:pPr>
    </w:p>
    <w:p w14:paraId="0E896F85">
      <w:pPr>
        <w:rPr>
          <w:rFonts w:hint="eastAsia" w:ascii="宋体" w:hAnsi="宋体" w:eastAsia="宋体" w:cs="宋体"/>
          <w:highlight w:val="none"/>
        </w:rPr>
      </w:pPr>
    </w:p>
    <w:p w14:paraId="0A760386">
      <w:pPr>
        <w:pStyle w:val="9"/>
        <w:rPr>
          <w:rFonts w:hint="eastAsia" w:ascii="宋体" w:hAnsi="宋体" w:eastAsia="宋体" w:cs="宋体"/>
          <w:highlight w:val="none"/>
        </w:rPr>
      </w:pPr>
    </w:p>
    <w:p w14:paraId="3F815404">
      <w:pPr>
        <w:rPr>
          <w:rFonts w:hint="eastAsia" w:ascii="宋体" w:hAnsi="宋体" w:eastAsia="宋体" w:cs="宋体"/>
          <w:highlight w:val="none"/>
        </w:rPr>
      </w:pPr>
    </w:p>
    <w:p w14:paraId="6EB66FB3">
      <w:pPr>
        <w:pStyle w:val="9"/>
        <w:rPr>
          <w:rFonts w:hint="eastAsia" w:ascii="宋体" w:hAnsi="宋体" w:eastAsia="宋体" w:cs="宋体"/>
          <w:highlight w:val="none"/>
        </w:rPr>
      </w:pPr>
    </w:p>
    <w:p w14:paraId="39E3F2C2">
      <w:pPr>
        <w:pStyle w:val="2"/>
        <w:rPr>
          <w:rFonts w:hint="eastAsia" w:ascii="宋体" w:hAnsi="宋体" w:eastAsia="宋体" w:cs="宋体"/>
          <w:sz w:val="48"/>
          <w:szCs w:val="48"/>
          <w:highlight w:val="none"/>
        </w:rPr>
      </w:pPr>
      <w:r>
        <w:rPr>
          <w:rFonts w:hint="eastAsia" w:ascii="宋体" w:hAnsi="宋体" w:eastAsia="宋体" w:cs="宋体"/>
          <w:sz w:val="48"/>
          <w:szCs w:val="48"/>
          <w:highlight w:val="none"/>
        </w:rPr>
        <w:t>资格性审查表</w:t>
      </w:r>
    </w:p>
    <w:tbl>
      <w:tblPr>
        <w:tblStyle w:val="18"/>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333"/>
      </w:tblGrid>
      <w:tr w14:paraId="72FE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0" w:type="dxa"/>
            <w:shd w:val="clear" w:color="auto" w:fill="B8CCE4"/>
            <w:vAlign w:val="center"/>
          </w:tcPr>
          <w:p w14:paraId="05FF127E">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8333" w:type="dxa"/>
            <w:shd w:val="clear" w:color="auto" w:fill="B8CCE4"/>
            <w:vAlign w:val="center"/>
          </w:tcPr>
          <w:p w14:paraId="215E4416">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内容</w:t>
            </w:r>
          </w:p>
        </w:tc>
      </w:tr>
      <w:tr w14:paraId="2ACD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Align w:val="center"/>
          </w:tcPr>
          <w:p w14:paraId="294B9BE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8333" w:type="dxa"/>
            <w:vAlign w:val="center"/>
          </w:tcPr>
          <w:p w14:paraId="435C788C">
            <w:pPr>
              <w:rPr>
                <w:rFonts w:hint="eastAsia" w:ascii="宋体" w:hAnsi="宋体" w:eastAsia="宋体" w:cs="宋体"/>
                <w:sz w:val="22"/>
                <w:szCs w:val="22"/>
                <w:highlight w:val="none"/>
              </w:rPr>
            </w:pPr>
            <w:r>
              <w:rPr>
                <w:rFonts w:hint="eastAsia" w:ascii="宋体" w:hAnsi="宋体" w:eastAsia="宋体" w:cs="宋体"/>
                <w:sz w:val="22"/>
                <w:szCs w:val="22"/>
                <w:highlight w:val="none"/>
              </w:rPr>
              <w:t>投标人不具备招标文件所列的资格要求，或未提交相应的资格证明资料（详见招标公告 投标人资格要求）；</w:t>
            </w:r>
          </w:p>
        </w:tc>
      </w:tr>
    </w:tbl>
    <w:p w14:paraId="3146C485">
      <w:pPr>
        <w:jc w:val="both"/>
        <w:rPr>
          <w:rFonts w:hint="eastAsia" w:ascii="宋体" w:hAnsi="宋体" w:eastAsia="宋体" w:cs="宋体"/>
          <w:b/>
          <w:bCs/>
          <w:sz w:val="36"/>
          <w:szCs w:val="20"/>
          <w:highlight w:val="none"/>
        </w:rPr>
      </w:pPr>
    </w:p>
    <w:p w14:paraId="6F0C2CFC">
      <w:pPr>
        <w:pStyle w:val="2"/>
        <w:spacing w:before="0" w:after="0"/>
        <w:rPr>
          <w:rFonts w:hint="eastAsia" w:ascii="宋体" w:hAnsi="宋体" w:eastAsia="宋体" w:cs="宋体"/>
          <w:sz w:val="48"/>
          <w:szCs w:val="48"/>
          <w:highlight w:val="none"/>
        </w:rPr>
      </w:pPr>
      <w:r>
        <w:rPr>
          <w:rFonts w:hint="eastAsia" w:ascii="宋体" w:hAnsi="宋体" w:eastAsia="宋体" w:cs="宋体"/>
          <w:sz w:val="48"/>
          <w:szCs w:val="48"/>
          <w:highlight w:val="none"/>
        </w:rPr>
        <w:t>符合性审查表</w:t>
      </w:r>
    </w:p>
    <w:p w14:paraId="5500B3C0">
      <w:pPr>
        <w:rPr>
          <w:rFonts w:hint="eastAsia" w:ascii="宋体" w:hAnsi="宋体" w:eastAsia="宋体" w:cs="宋体"/>
          <w:szCs w:val="32"/>
          <w:highlight w:val="none"/>
        </w:rPr>
      </w:pPr>
    </w:p>
    <w:tbl>
      <w:tblPr>
        <w:tblStyle w:val="53"/>
        <w:tblW w:w="90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2"/>
        <w:gridCol w:w="8280"/>
      </w:tblGrid>
      <w:tr w14:paraId="5E33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jc w:val="center"/>
        </w:trPr>
        <w:tc>
          <w:tcPr>
            <w:tcW w:w="802" w:type="dxa"/>
            <w:shd w:val="clear" w:color="auto" w:fill="E6EFFA"/>
            <w:vAlign w:val="top"/>
          </w:tcPr>
          <w:p w14:paraId="68EAF67A">
            <w:pPr>
              <w:pStyle w:val="54"/>
              <w:spacing w:before="196" w:line="222" w:lineRule="auto"/>
              <w:ind w:left="121"/>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序号</w:t>
            </w:r>
          </w:p>
        </w:tc>
        <w:tc>
          <w:tcPr>
            <w:tcW w:w="8280" w:type="dxa"/>
            <w:shd w:val="clear" w:color="auto" w:fill="E6EFFA"/>
            <w:vAlign w:val="top"/>
          </w:tcPr>
          <w:p w14:paraId="0402FADF">
            <w:pPr>
              <w:pStyle w:val="54"/>
              <w:spacing w:before="196" w:line="221" w:lineRule="auto"/>
              <w:ind w:left="3893"/>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内容</w:t>
            </w:r>
          </w:p>
        </w:tc>
      </w:tr>
      <w:tr w14:paraId="66AA4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jc w:val="center"/>
        </w:trPr>
        <w:tc>
          <w:tcPr>
            <w:tcW w:w="802" w:type="dxa"/>
            <w:vAlign w:val="top"/>
          </w:tcPr>
          <w:p w14:paraId="2372329F">
            <w:pPr>
              <w:pStyle w:val="54"/>
              <w:spacing w:before="101" w:line="189" w:lineRule="auto"/>
              <w:ind w:left="361"/>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1</w:t>
            </w:r>
          </w:p>
        </w:tc>
        <w:tc>
          <w:tcPr>
            <w:tcW w:w="8280" w:type="dxa"/>
            <w:vAlign w:val="top"/>
          </w:tcPr>
          <w:p w14:paraId="37A167F6">
            <w:pPr>
              <w:pStyle w:val="54"/>
              <w:spacing w:before="69" w:line="228" w:lineRule="auto"/>
              <w:ind w:left="106"/>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不得将一个包的内容拆开投标；</w:t>
            </w:r>
          </w:p>
        </w:tc>
      </w:tr>
      <w:tr w14:paraId="1AAA4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802" w:type="dxa"/>
            <w:vAlign w:val="top"/>
          </w:tcPr>
          <w:p w14:paraId="5E3F30C1">
            <w:pPr>
              <w:pStyle w:val="54"/>
              <w:spacing w:before="102" w:line="189" w:lineRule="auto"/>
              <w:ind w:left="348"/>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2</w:t>
            </w:r>
          </w:p>
        </w:tc>
        <w:tc>
          <w:tcPr>
            <w:tcW w:w="8280" w:type="dxa"/>
            <w:vAlign w:val="top"/>
          </w:tcPr>
          <w:p w14:paraId="72C3DDC6">
            <w:pPr>
              <w:pStyle w:val="54"/>
              <w:spacing w:before="69" w:line="228" w:lineRule="auto"/>
              <w:ind w:left="101"/>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对同一项目投标时，不得提供两套以上的投标方案（招标文件另有规定的除外）；</w:t>
            </w:r>
          </w:p>
        </w:tc>
      </w:tr>
      <w:tr w14:paraId="6768C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802" w:type="dxa"/>
            <w:vAlign w:val="top"/>
          </w:tcPr>
          <w:p w14:paraId="6804D6F0">
            <w:pPr>
              <w:pStyle w:val="54"/>
              <w:spacing w:before="104" w:line="189" w:lineRule="auto"/>
              <w:ind w:left="349"/>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3</w:t>
            </w:r>
          </w:p>
        </w:tc>
        <w:tc>
          <w:tcPr>
            <w:tcW w:w="8280" w:type="dxa"/>
            <w:vAlign w:val="top"/>
          </w:tcPr>
          <w:p w14:paraId="3B0D41A8">
            <w:pPr>
              <w:pStyle w:val="54"/>
              <w:spacing w:before="72" w:line="227" w:lineRule="auto"/>
              <w:ind w:left="105"/>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分项报价或投标总价不得高于相应预算金额（或设定的预算金额下的最高限价）；</w:t>
            </w:r>
          </w:p>
        </w:tc>
      </w:tr>
      <w:tr w14:paraId="261FC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9" w:hRule="atLeast"/>
          <w:jc w:val="center"/>
        </w:trPr>
        <w:tc>
          <w:tcPr>
            <w:tcW w:w="802" w:type="dxa"/>
            <w:vAlign w:val="top"/>
          </w:tcPr>
          <w:p w14:paraId="750D3966">
            <w:pPr>
              <w:spacing w:line="330" w:lineRule="auto"/>
              <w:rPr>
                <w:rFonts w:hint="eastAsia" w:ascii="宋体" w:hAnsi="宋体" w:eastAsia="宋体" w:cs="宋体"/>
                <w:sz w:val="22"/>
                <w:szCs w:val="22"/>
                <w:highlight w:val="none"/>
                <w:lang w:val="en-US" w:eastAsia="zh-CN" w:bidi="ar-SA"/>
              </w:rPr>
            </w:pPr>
          </w:p>
          <w:p w14:paraId="6E9A150D">
            <w:pPr>
              <w:spacing w:line="331" w:lineRule="auto"/>
              <w:rPr>
                <w:rFonts w:hint="eastAsia" w:ascii="宋体" w:hAnsi="宋体" w:eastAsia="宋体" w:cs="宋体"/>
                <w:sz w:val="22"/>
                <w:szCs w:val="22"/>
                <w:highlight w:val="none"/>
                <w:lang w:val="en-US" w:eastAsia="zh-CN" w:bidi="ar-SA"/>
              </w:rPr>
            </w:pPr>
          </w:p>
          <w:p w14:paraId="24F211CC">
            <w:pPr>
              <w:pStyle w:val="54"/>
              <w:spacing w:before="65" w:line="189" w:lineRule="auto"/>
              <w:ind w:left="344"/>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4</w:t>
            </w:r>
          </w:p>
        </w:tc>
        <w:tc>
          <w:tcPr>
            <w:tcW w:w="8280" w:type="dxa"/>
            <w:vAlign w:val="top"/>
          </w:tcPr>
          <w:p w14:paraId="7DA5E3AC">
            <w:pPr>
              <w:pStyle w:val="54"/>
              <w:spacing w:before="72" w:line="280" w:lineRule="auto"/>
              <w:ind w:left="101" w:right="192"/>
              <w:jc w:val="both"/>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 成员对投标人提供的说明材料判断不一致的，按照“少数服从多数 ”的原则确定评审委 员会的意见）；</w:t>
            </w:r>
          </w:p>
        </w:tc>
      </w:tr>
      <w:tr w14:paraId="743D9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672455C8">
            <w:pPr>
              <w:pStyle w:val="54"/>
              <w:spacing w:before="115" w:line="187" w:lineRule="auto"/>
              <w:ind w:left="349"/>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5</w:t>
            </w:r>
          </w:p>
        </w:tc>
        <w:tc>
          <w:tcPr>
            <w:tcW w:w="8280" w:type="dxa"/>
            <w:vAlign w:val="top"/>
          </w:tcPr>
          <w:p w14:paraId="0619BED9">
            <w:pPr>
              <w:pStyle w:val="54"/>
              <w:spacing w:before="79" w:line="228" w:lineRule="auto"/>
              <w:ind w:left="102"/>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所投货物、服务在技术、商务等方面没有实质性满足招标文件要求的（是否实质性满足招标文件要求，由评审委员会根据实质性条款响应情况做出评判；若招标文件未设置实 质性条款，不得据此做投标无效处理）；</w:t>
            </w:r>
          </w:p>
        </w:tc>
      </w:tr>
      <w:tr w14:paraId="162A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7C7DB9C6">
            <w:pPr>
              <w:pStyle w:val="54"/>
              <w:spacing w:before="257" w:line="189" w:lineRule="auto"/>
              <w:ind w:left="347"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6</w:t>
            </w:r>
          </w:p>
        </w:tc>
        <w:tc>
          <w:tcPr>
            <w:tcW w:w="8280" w:type="dxa"/>
            <w:vAlign w:val="top"/>
          </w:tcPr>
          <w:p w14:paraId="0D58A8B5">
            <w:pPr>
              <w:pStyle w:val="54"/>
              <w:spacing w:before="68" w:line="271" w:lineRule="auto"/>
              <w:ind w:left="106" w:leftChars="0" w:right="192" w:righ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未按招标文件所提供的样式填写《投标函》；未按招标文件所提供的《龙华区教育局自行采购投标及履约承诺函》进行承诺；未按招标文件对投标文件组成的要求提供投标文件；</w:t>
            </w:r>
          </w:p>
        </w:tc>
      </w:tr>
      <w:tr w14:paraId="6A5CA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26CE3135">
            <w:pPr>
              <w:spacing w:before="270" w:line="184" w:lineRule="auto"/>
              <w:ind w:left="347"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7</w:t>
            </w:r>
          </w:p>
        </w:tc>
        <w:tc>
          <w:tcPr>
            <w:tcW w:w="8280" w:type="dxa"/>
            <w:vAlign w:val="top"/>
          </w:tcPr>
          <w:p w14:paraId="40844F7D">
            <w:pPr>
              <w:pStyle w:val="54"/>
              <w:spacing w:before="64" w:line="261" w:lineRule="auto"/>
              <w:ind w:left="106" w:leftChars="0" w:right="159" w:rightChars="0" w:hanging="5" w:firstLine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采购标的/所投产品/货物清单/报价等任意一类有缺漏项或响应不全，或者对招标文件规 定的项目需求内容或者需求数量进行修改，评审委员会判定投标响应不满足采购需求；</w:t>
            </w:r>
          </w:p>
        </w:tc>
      </w:tr>
      <w:tr w14:paraId="57704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4207ED7E">
            <w:pPr>
              <w:pStyle w:val="54"/>
              <w:spacing w:before="107" w:line="189" w:lineRule="auto"/>
              <w:ind w:left="346"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8</w:t>
            </w:r>
          </w:p>
        </w:tc>
        <w:tc>
          <w:tcPr>
            <w:tcW w:w="8280" w:type="dxa"/>
            <w:vAlign w:val="top"/>
          </w:tcPr>
          <w:p w14:paraId="2A4A205F">
            <w:pPr>
              <w:pStyle w:val="54"/>
              <w:spacing w:before="74" w:line="228" w:lineRule="auto"/>
              <w:ind w:left="105"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投标文件存在列放位置错误，导致属于信息公开情形的没有被公开；</w:t>
            </w:r>
          </w:p>
        </w:tc>
      </w:tr>
      <w:tr w14:paraId="4B715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4585E99E">
            <w:pPr>
              <w:pStyle w:val="54"/>
              <w:spacing w:before="108" w:line="189" w:lineRule="auto"/>
              <w:ind w:left="346"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9</w:t>
            </w:r>
          </w:p>
        </w:tc>
        <w:tc>
          <w:tcPr>
            <w:tcW w:w="8280" w:type="dxa"/>
            <w:vAlign w:val="top"/>
          </w:tcPr>
          <w:p w14:paraId="0F912757">
            <w:pPr>
              <w:pStyle w:val="54"/>
              <w:spacing w:before="75" w:line="228" w:lineRule="auto"/>
              <w:ind w:left="105"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投标文件电子文档不得带病毒；</w:t>
            </w:r>
          </w:p>
        </w:tc>
      </w:tr>
      <w:tr w14:paraId="7B569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7EDF8B89">
            <w:pPr>
              <w:pStyle w:val="54"/>
              <w:spacing w:before="107" w:line="190" w:lineRule="auto"/>
              <w:ind w:left="310"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10</w:t>
            </w:r>
          </w:p>
        </w:tc>
        <w:tc>
          <w:tcPr>
            <w:tcW w:w="8280" w:type="dxa"/>
            <w:vAlign w:val="top"/>
          </w:tcPr>
          <w:p w14:paraId="5F66C4A0">
            <w:pPr>
              <w:pStyle w:val="54"/>
              <w:spacing w:before="75" w:line="228" w:lineRule="auto"/>
              <w:ind w:left="105"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投标文件用不属于本公司的电子密钥或电子营业执照进行加密的；</w:t>
            </w:r>
          </w:p>
        </w:tc>
      </w:tr>
      <w:tr w14:paraId="208A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5EA0DB36">
            <w:pPr>
              <w:spacing w:before="119" w:line="185" w:lineRule="auto"/>
              <w:ind w:left="302"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11</w:t>
            </w:r>
          </w:p>
        </w:tc>
        <w:tc>
          <w:tcPr>
            <w:tcW w:w="8280" w:type="dxa"/>
            <w:vAlign w:val="top"/>
          </w:tcPr>
          <w:p w14:paraId="1C9A6A31">
            <w:pPr>
              <w:pStyle w:val="54"/>
              <w:spacing w:before="76" w:line="228" w:lineRule="auto"/>
              <w:ind w:left="106"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不同投标供应商投标文件“文件制作机器码 ”一致；</w:t>
            </w:r>
          </w:p>
        </w:tc>
      </w:tr>
      <w:tr w14:paraId="57A54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313DA201">
            <w:pPr>
              <w:spacing w:before="118" w:line="187" w:lineRule="auto"/>
              <w:ind w:left="302"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12</w:t>
            </w:r>
          </w:p>
        </w:tc>
        <w:tc>
          <w:tcPr>
            <w:tcW w:w="8280" w:type="dxa"/>
            <w:vAlign w:val="top"/>
          </w:tcPr>
          <w:p w14:paraId="498FDA9E">
            <w:pPr>
              <w:pStyle w:val="54"/>
              <w:spacing w:before="77" w:line="228" w:lineRule="auto"/>
              <w:ind w:left="106"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不同投标供应商投标文件“文件创建标识码 ”一致；</w:t>
            </w:r>
          </w:p>
        </w:tc>
      </w:tr>
      <w:tr w14:paraId="41C56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54AC44D3">
            <w:pPr>
              <w:pStyle w:val="54"/>
              <w:spacing w:before="110" w:line="190" w:lineRule="auto"/>
              <w:ind w:left="310"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13</w:t>
            </w:r>
          </w:p>
        </w:tc>
        <w:tc>
          <w:tcPr>
            <w:tcW w:w="8280" w:type="dxa"/>
            <w:vAlign w:val="top"/>
          </w:tcPr>
          <w:p w14:paraId="15E15F80">
            <w:pPr>
              <w:pStyle w:val="54"/>
              <w:spacing w:before="78" w:line="228" w:lineRule="auto"/>
              <w:ind w:left="103"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法律、法规、规章、规范性文件规定的其他情形。</w:t>
            </w:r>
          </w:p>
        </w:tc>
      </w:tr>
    </w:tbl>
    <w:p w14:paraId="75A44353">
      <w:pPr>
        <w:rPr>
          <w:rFonts w:hint="eastAsia" w:ascii="宋体" w:hAnsi="宋体" w:eastAsia="宋体" w:cs="宋体"/>
          <w:sz w:val="44"/>
          <w:szCs w:val="56"/>
          <w:highlight w:val="none"/>
        </w:rPr>
      </w:pPr>
      <w:r>
        <w:rPr>
          <w:rFonts w:hint="eastAsia" w:ascii="宋体" w:hAnsi="宋体" w:eastAsia="宋体" w:cs="宋体"/>
          <w:sz w:val="44"/>
          <w:szCs w:val="56"/>
          <w:highlight w:val="none"/>
        </w:rPr>
        <w:br w:type="page"/>
      </w:r>
    </w:p>
    <w:p w14:paraId="1EC3D5CF">
      <w:pPr>
        <w:pStyle w:val="2"/>
        <w:rPr>
          <w:rFonts w:hint="eastAsia" w:ascii="宋体" w:hAnsi="宋体" w:eastAsia="宋体" w:cs="宋体"/>
          <w:sz w:val="44"/>
          <w:szCs w:val="56"/>
          <w:highlight w:val="none"/>
        </w:rPr>
      </w:pPr>
      <w:r>
        <w:rPr>
          <w:rFonts w:hint="eastAsia" w:ascii="宋体" w:hAnsi="宋体" w:eastAsia="宋体" w:cs="宋体"/>
          <w:sz w:val="44"/>
          <w:szCs w:val="56"/>
          <w:highlight w:val="none"/>
        </w:rPr>
        <w:t>评标信息</w:t>
      </w:r>
    </w:p>
    <w:tbl>
      <w:tblPr>
        <w:tblStyle w:val="18"/>
        <w:tblW w:w="9538" w:type="dxa"/>
        <w:jc w:val="center"/>
        <w:tblCellSpacing w:w="0" w:type="dxa"/>
        <w:tblLayout w:type="fixed"/>
        <w:tblCellMar>
          <w:top w:w="45" w:type="dxa"/>
          <w:left w:w="45" w:type="dxa"/>
          <w:bottom w:w="45" w:type="dxa"/>
          <w:right w:w="45" w:type="dxa"/>
        </w:tblCellMar>
      </w:tblPr>
      <w:tblGrid>
        <w:gridCol w:w="9538"/>
      </w:tblGrid>
      <w:tr w14:paraId="7F38DABF">
        <w:tblPrEx>
          <w:tblCellMar>
            <w:top w:w="45" w:type="dxa"/>
            <w:left w:w="45" w:type="dxa"/>
            <w:bottom w:w="45" w:type="dxa"/>
            <w:right w:w="45" w:type="dxa"/>
          </w:tblCellMar>
        </w:tblPrEx>
        <w:trPr>
          <w:trHeight w:val="90" w:hRule="atLeast"/>
          <w:tblCellSpacing w:w="0" w:type="dxa"/>
          <w:jc w:val="center"/>
        </w:trPr>
        <w:tc>
          <w:tcPr>
            <w:tcW w:w="9538" w:type="dxa"/>
            <w:tcBorders>
              <w:top w:val="nil"/>
              <w:left w:val="nil"/>
              <w:bottom w:val="nil"/>
              <w:right w:val="nil"/>
            </w:tcBorders>
            <w:vAlign w:val="center"/>
          </w:tcPr>
          <w:p w14:paraId="06894C94">
            <w:pPr>
              <w:adjustRightInd w:val="0"/>
              <w:snapToGrid w:val="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一、评标方法：综合评分法（新价格分算法）</w:t>
            </w:r>
          </w:p>
        </w:tc>
      </w:tr>
      <w:tr w14:paraId="6512A5E5">
        <w:tblPrEx>
          <w:tblCellMar>
            <w:top w:w="45" w:type="dxa"/>
            <w:left w:w="45" w:type="dxa"/>
            <w:bottom w:w="45" w:type="dxa"/>
            <w:right w:w="45" w:type="dxa"/>
          </w:tblCellMar>
        </w:tblPrEx>
        <w:trPr>
          <w:trHeight w:val="90" w:hRule="atLeast"/>
          <w:tblCellSpacing w:w="0" w:type="dxa"/>
          <w:jc w:val="center"/>
        </w:trPr>
        <w:tc>
          <w:tcPr>
            <w:tcW w:w="9538" w:type="dxa"/>
            <w:tcBorders>
              <w:top w:val="nil"/>
              <w:left w:val="nil"/>
              <w:bottom w:val="nil"/>
              <w:right w:val="nil"/>
            </w:tcBorders>
            <w:vAlign w:val="center"/>
          </w:tcPr>
          <w:p w14:paraId="485F3FEC">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综合评分法，是指投标文件满足招标文件全部实质性要求，且按照评审因素的量化指标评审得分最高的投标人为中标候选人的评标方法。</w:t>
            </w:r>
          </w:p>
          <w:p w14:paraId="53B709FF">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价格分计算方法：</w:t>
            </w:r>
          </w:p>
          <w:p w14:paraId="693CC9E4">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采用低价优先法计算，即满足招标文件要求且投标价格最低的投标报价为评标基准价，其价格分为满分。其他投标人的价格分统一按照下列公式计算：</w:t>
            </w:r>
          </w:p>
          <w:p w14:paraId="774CF1C9">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投标报价得分=(评标基准价／投标报价)×100 </w:t>
            </w:r>
          </w:p>
          <w:p w14:paraId="5FB623B1">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评标总得分＝F1×A1＋F2×A2＋……＋Fn×An</w:t>
            </w:r>
          </w:p>
          <w:p w14:paraId="148AFE24">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体化F1、F2……Fn分别为各项评审因素的得分；</w:t>
            </w:r>
          </w:p>
          <w:p w14:paraId="10EED48E">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A1、A2、……An 分别为各项评审因素所占的权重(A1＋A2＋……＋An＝1)。</w:t>
            </w:r>
          </w:p>
          <w:p w14:paraId="26B851DE">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评标过程中，不得去掉报价中的最高报价和最低报价。</w:t>
            </w:r>
          </w:p>
          <w:p w14:paraId="11FED8C8">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此方法适用于货物类、服务类、工程类项目。</w:t>
            </w:r>
          </w:p>
        </w:tc>
      </w:tr>
      <w:tr w14:paraId="6652D693">
        <w:tblPrEx>
          <w:tblCellMar>
            <w:top w:w="45" w:type="dxa"/>
            <w:left w:w="45" w:type="dxa"/>
            <w:bottom w:w="45" w:type="dxa"/>
            <w:right w:w="45" w:type="dxa"/>
          </w:tblCellMar>
        </w:tblPrEx>
        <w:trPr>
          <w:trHeight w:val="90" w:hRule="atLeast"/>
          <w:tblCellSpacing w:w="0" w:type="dxa"/>
          <w:jc w:val="center"/>
        </w:trPr>
        <w:tc>
          <w:tcPr>
            <w:tcW w:w="9538" w:type="dxa"/>
            <w:tcBorders>
              <w:top w:val="nil"/>
              <w:left w:val="nil"/>
              <w:bottom w:val="nil"/>
              <w:right w:val="nil"/>
            </w:tcBorders>
            <w:vAlign w:val="center"/>
          </w:tcPr>
          <w:p w14:paraId="10F888D7">
            <w:pPr>
              <w:adjustRightInd w:val="0"/>
              <w:snapToGrid w:val="0"/>
              <w:rPr>
                <w:rFonts w:hint="eastAsia" w:ascii="宋体" w:hAnsi="宋体" w:eastAsia="宋体" w:cs="宋体"/>
                <w:sz w:val="22"/>
                <w:szCs w:val="22"/>
                <w:highlight w:val="none"/>
              </w:rPr>
            </w:pPr>
            <w:r>
              <w:rPr>
                <w:rFonts w:hint="eastAsia" w:ascii="宋体" w:hAnsi="宋体" w:eastAsia="宋体" w:cs="宋体"/>
                <w:sz w:val="22"/>
                <w:szCs w:val="22"/>
                <w:highlight w:val="none"/>
              </w:rPr>
              <w:t>二、是否专门面向</w:t>
            </w:r>
            <w:r>
              <w:rPr>
                <w:rFonts w:hint="eastAsia" w:ascii="宋体" w:hAnsi="宋体" w:eastAsia="宋体" w:cs="宋体"/>
                <w:sz w:val="22"/>
                <w:szCs w:val="22"/>
                <w:highlight w:val="none"/>
                <w:lang w:val="en-US" w:eastAsia="zh-CN"/>
              </w:rPr>
              <w:t>中小</w:t>
            </w:r>
            <w:r>
              <w:rPr>
                <w:rFonts w:hint="eastAsia" w:ascii="宋体" w:hAnsi="宋体" w:eastAsia="宋体" w:cs="宋体"/>
                <w:sz w:val="22"/>
                <w:szCs w:val="22"/>
                <w:highlight w:val="none"/>
              </w:rPr>
              <w:t xml:space="preserve">微企业采购的采购项目：     </w:t>
            </w:r>
            <w:r>
              <w:rPr>
                <w:rFonts w:hint="eastAsia" w:ascii="宋体" w:hAnsi="宋体" w:eastAsia="宋体" w:cs="宋体"/>
                <w:sz w:val="22"/>
                <w:szCs w:val="22"/>
                <w:highlight w:val="none"/>
              </w:rPr>
              <w:sym w:font="Wingdings 2" w:char="00A3"/>
            </w:r>
            <w:r>
              <w:rPr>
                <w:rFonts w:hint="eastAsia" w:ascii="宋体" w:hAnsi="宋体" w:eastAsia="宋体" w:cs="宋体"/>
                <w:sz w:val="22"/>
                <w:szCs w:val="22"/>
                <w:highlight w:val="none"/>
              </w:rPr>
              <w:t xml:space="preserve">是           </w:t>
            </w:r>
            <w:r>
              <w:rPr>
                <w:rFonts w:hint="eastAsia" w:ascii="宋体" w:hAnsi="宋体" w:eastAsia="宋体" w:cs="宋体"/>
                <w:sz w:val="22"/>
                <w:szCs w:val="22"/>
                <w:highlight w:val="none"/>
              </w:rPr>
              <w:sym w:font="Wingdings 2" w:char="0052"/>
            </w:r>
            <w:r>
              <w:rPr>
                <w:rFonts w:hint="eastAsia" w:ascii="宋体" w:hAnsi="宋体" w:eastAsia="宋体" w:cs="宋体"/>
                <w:sz w:val="22"/>
                <w:szCs w:val="22"/>
                <w:highlight w:val="none"/>
              </w:rPr>
              <w:t>否</w:t>
            </w:r>
          </w:p>
        </w:tc>
      </w:tr>
      <w:tr w14:paraId="1F5A7CD1">
        <w:tblPrEx>
          <w:tblCellMar>
            <w:top w:w="45" w:type="dxa"/>
            <w:left w:w="45" w:type="dxa"/>
            <w:bottom w:w="45" w:type="dxa"/>
            <w:right w:w="45" w:type="dxa"/>
          </w:tblCellMar>
        </w:tblPrEx>
        <w:trPr>
          <w:trHeight w:val="90" w:hRule="atLeast"/>
          <w:tblCellSpacing w:w="0" w:type="dxa"/>
          <w:jc w:val="center"/>
        </w:trPr>
        <w:tc>
          <w:tcPr>
            <w:tcW w:w="9538" w:type="dxa"/>
            <w:tcBorders>
              <w:top w:val="nil"/>
              <w:left w:val="nil"/>
              <w:bottom w:val="nil"/>
              <w:right w:val="nil"/>
            </w:tcBorders>
            <w:vAlign w:val="center"/>
          </w:tcPr>
          <w:p w14:paraId="0F8BE45F">
            <w:pPr>
              <w:adjustRightInd w:val="0"/>
              <w:snapToGrid w:val="0"/>
              <w:rPr>
                <w:rFonts w:hint="eastAsia" w:ascii="宋体" w:hAnsi="宋体" w:eastAsia="宋体" w:cs="宋体"/>
                <w:sz w:val="22"/>
                <w:szCs w:val="22"/>
                <w:highlight w:val="none"/>
              </w:rPr>
            </w:pPr>
            <w:r>
              <w:rPr>
                <w:rFonts w:hint="eastAsia" w:ascii="宋体" w:hAnsi="宋体" w:eastAsia="宋体" w:cs="宋体"/>
                <w:sz w:val="22"/>
                <w:szCs w:val="22"/>
                <w:highlight w:val="none"/>
              </w:rPr>
              <w:t>三、关于享受优惠政策的主体及价格扣除比例</w:t>
            </w:r>
          </w:p>
        </w:tc>
      </w:tr>
      <w:tr w14:paraId="73037E07">
        <w:tblPrEx>
          <w:tblCellMar>
            <w:top w:w="45" w:type="dxa"/>
            <w:left w:w="45" w:type="dxa"/>
            <w:bottom w:w="45" w:type="dxa"/>
            <w:right w:w="45" w:type="dxa"/>
          </w:tblCellMar>
        </w:tblPrEx>
        <w:trPr>
          <w:trHeight w:val="90" w:hRule="atLeast"/>
          <w:tblCellSpacing w:w="0" w:type="dxa"/>
          <w:jc w:val="center"/>
        </w:trPr>
        <w:tc>
          <w:tcPr>
            <w:tcW w:w="9538" w:type="dxa"/>
            <w:tcBorders>
              <w:top w:val="nil"/>
              <w:left w:val="nil"/>
              <w:bottom w:val="nil"/>
              <w:right w:val="nil"/>
            </w:tcBorders>
            <w:vAlign w:val="center"/>
          </w:tcPr>
          <w:p w14:paraId="5AB4F0A9">
            <w:pPr>
              <w:adjustRightInd w:val="0"/>
              <w:snapToGrid w:val="0"/>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（一）本项目所属行业：</w:t>
            </w:r>
            <w:r>
              <w:rPr>
                <w:rFonts w:hint="eastAsia" w:ascii="宋体" w:hAnsi="宋体" w:eastAsia="宋体" w:cs="宋体"/>
                <w:b/>
                <w:bCs/>
                <w:sz w:val="22"/>
                <w:szCs w:val="22"/>
                <w:highlight w:val="none"/>
                <w:u w:val="single"/>
                <w:lang w:val="en-US" w:eastAsia="zh-CN"/>
              </w:rPr>
              <w:t xml:space="preserve">餐饮业 </w:t>
            </w:r>
            <w:r>
              <w:rPr>
                <w:rFonts w:hint="eastAsia" w:ascii="宋体" w:hAnsi="宋体" w:eastAsia="宋体" w:cs="宋体"/>
                <w:b/>
                <w:bCs/>
                <w:sz w:val="22"/>
                <w:szCs w:val="22"/>
                <w:highlight w:val="none"/>
                <w:u w:val="single"/>
              </w:rPr>
              <w:t xml:space="preserve"> </w:t>
            </w:r>
          </w:p>
          <w:p w14:paraId="41812204">
            <w:pPr>
              <w:adjustRightInd w:val="0"/>
              <w:snapToGrid w:val="0"/>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依据《工业和信息化部、国家统计局、国家发展和改革委员会、财政部关于印发中小企业划型标准规定的通知》（工信部联企业〔2011〕300 号）</w:t>
            </w:r>
            <w:r>
              <w:rPr>
                <w:rFonts w:hint="eastAsia" w:ascii="宋体" w:hAnsi="宋体" w:eastAsia="宋体" w:cs="宋体"/>
                <w:sz w:val="22"/>
                <w:szCs w:val="22"/>
                <w:highlight w:val="none"/>
                <w:shd w:val="clear" w:color="auto" w:fill="FFFFFF"/>
              </w:rPr>
              <w:t>，对企业类别的划分和中小微企业标准的认定。</w:t>
            </w:r>
          </w:p>
          <w:p w14:paraId="2716467C">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（二）小型企业、微型企业、监狱企业、残疾人福利性单位提供本企业制造的货物，承担的工程或服务，或者提供其他符合优惠主体资格条件企业制造的货物，对其所投产品的价格给予</w:t>
            </w:r>
            <w:r>
              <w:rPr>
                <w:rFonts w:hint="eastAsia" w:ascii="宋体" w:hAnsi="宋体" w:eastAsia="宋体" w:cs="宋体"/>
                <w:b/>
                <w:bCs/>
                <w:sz w:val="22"/>
                <w:szCs w:val="22"/>
                <w:highlight w:val="none"/>
                <w:u w:val="single"/>
              </w:rPr>
              <w:t xml:space="preserve"> </w:t>
            </w:r>
            <w:r>
              <w:rPr>
                <w:rFonts w:hint="eastAsia" w:ascii="宋体" w:hAnsi="宋体" w:eastAsia="宋体" w:cs="宋体"/>
                <w:b/>
                <w:bCs/>
                <w:sz w:val="22"/>
                <w:szCs w:val="22"/>
                <w:highlight w:val="none"/>
                <w:u w:val="single"/>
                <w:lang w:val="en-US" w:eastAsia="zh-CN"/>
              </w:rPr>
              <w:t>10</w:t>
            </w:r>
            <w:r>
              <w:rPr>
                <w:rFonts w:hint="eastAsia" w:ascii="宋体" w:hAnsi="宋体" w:eastAsia="宋体" w:cs="宋体"/>
                <w:b/>
                <w:bCs/>
                <w:sz w:val="22"/>
                <w:szCs w:val="22"/>
                <w:highlight w:val="none"/>
                <w:u w:val="single"/>
              </w:rPr>
              <w:t xml:space="preserve">% </w:t>
            </w:r>
            <w:r>
              <w:rPr>
                <w:rFonts w:hint="eastAsia" w:ascii="宋体" w:hAnsi="宋体" w:eastAsia="宋体" w:cs="宋体"/>
                <w:sz w:val="22"/>
                <w:szCs w:val="22"/>
                <w:highlight w:val="none"/>
              </w:rPr>
              <w:t>的扣除，用扣除后的价格参与评审。满足多项优惠政策的企业，不重复享受多项价格扣除政策。</w:t>
            </w:r>
          </w:p>
          <w:p w14:paraId="2B1C2364">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（三）大中型企业与小微企业组成联合体（联合协议须约定小微企业的合同份额占到合同总金额30以上）的报价优惠：</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8AF0D2E">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四）优惠主体资格的认定资料为《中小企业声明函》、《残疾人福利性单位声明函》、《监狱企业声明函》以及《含有小型、微型企业的联合体声明函》等承诺性质的资料（声明函样式见采购文件中“投标文件格式”）；监狱企业或者代理提供监狱企业货物的供应商如须享受优惠政策，除上述资料外，还须提供省级以上监狱管理局、戒毒管理局出具的监狱企业证明文件。</w:t>
            </w:r>
          </w:p>
          <w:p w14:paraId="0D2BBB93">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p w14:paraId="70DF7D56">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1.本条所称货物是指单一产品采购项目中的货物，或者非单一产品采购项目中的核心产品（货物），不包括使用大型企业注册商标的货物。</w:t>
            </w:r>
          </w:p>
          <w:p w14:paraId="55A38740">
            <w:pPr>
              <w:adjustRightInd w:val="0"/>
              <w:snapToGrid w:val="0"/>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2.仅面向中小微企业的项目不再享受优惠政策。</w:t>
            </w:r>
          </w:p>
          <w:p w14:paraId="5F445EEB">
            <w:pPr>
              <w:adjustRightInd w:val="0"/>
              <w:snapToGrid w:val="0"/>
              <w:ind w:firstLine="440" w:firstLineChars="200"/>
              <w:rPr>
                <w:rFonts w:hint="eastAsia" w:ascii="宋体" w:hAnsi="宋体" w:eastAsia="宋体" w:cs="宋体"/>
                <w:sz w:val="22"/>
                <w:szCs w:val="22"/>
                <w:highlight w:val="none"/>
              </w:rPr>
            </w:pPr>
          </w:p>
        </w:tc>
      </w:tr>
      <w:tr w14:paraId="159D5F4D">
        <w:tblPrEx>
          <w:tblCellMar>
            <w:top w:w="45" w:type="dxa"/>
            <w:left w:w="45" w:type="dxa"/>
            <w:bottom w:w="45" w:type="dxa"/>
            <w:right w:w="45" w:type="dxa"/>
          </w:tblCellMar>
        </w:tblPrEx>
        <w:trPr>
          <w:trHeight w:val="90" w:hRule="atLeast"/>
          <w:tblCellSpacing w:w="0" w:type="dxa"/>
          <w:jc w:val="center"/>
        </w:trPr>
        <w:tc>
          <w:tcPr>
            <w:tcW w:w="9538" w:type="dxa"/>
            <w:tcBorders>
              <w:top w:val="nil"/>
              <w:left w:val="nil"/>
              <w:bottom w:val="nil"/>
              <w:right w:val="nil"/>
            </w:tcBorders>
            <w:vAlign w:val="center"/>
          </w:tcPr>
          <w:tbl>
            <w:tblPr>
              <w:tblStyle w:val="18"/>
              <w:tblW w:w="92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012"/>
              <w:gridCol w:w="683"/>
              <w:gridCol w:w="5195"/>
            </w:tblGrid>
            <w:tr w14:paraId="2646AD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3E600B9B">
                  <w:pPr>
                    <w:wordWrap/>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3375"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2243DE1">
                  <w:pPr>
                    <w:wordWrap/>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评分项</w:t>
                  </w:r>
                </w:p>
              </w:tc>
              <w:tc>
                <w:tcPr>
                  <w:tcW w:w="5195"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2A5E5B3">
                  <w:pPr>
                    <w:wordWrap/>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权重</w:t>
                  </w:r>
                </w:p>
              </w:tc>
            </w:tr>
            <w:tr w14:paraId="2CB5F5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noWrap w:val="0"/>
                  <w:vAlign w:val="top"/>
                </w:tcPr>
                <w:p w14:paraId="0B9D838D">
                  <w:pPr>
                    <w:wordWrap/>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3375" w:type="dxa"/>
                  <w:gridSpan w:val="3"/>
                  <w:tcBorders>
                    <w:top w:val="single" w:color="000000" w:sz="8" w:space="0"/>
                    <w:left w:val="single" w:color="000000" w:sz="8" w:space="0"/>
                    <w:bottom w:val="single" w:color="000000" w:sz="8" w:space="0"/>
                    <w:right w:val="single" w:color="000000" w:sz="8" w:space="0"/>
                  </w:tcBorders>
                  <w:noWrap w:val="0"/>
                  <w:vAlign w:val="top"/>
                </w:tcPr>
                <w:p w14:paraId="5EAC5DA7">
                  <w:pPr>
                    <w:wordWrap/>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价格</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4206BF27">
                  <w:pPr>
                    <w:wordWrap/>
                    <w:spacing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w:t>
                  </w:r>
                </w:p>
              </w:tc>
            </w:tr>
            <w:tr w14:paraId="5CA954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14:paraId="114D479E">
                  <w:pPr>
                    <w:wordWrap/>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3375" w:type="dxa"/>
                  <w:gridSpan w:val="3"/>
                  <w:tcBorders>
                    <w:top w:val="single" w:color="000000" w:sz="8" w:space="0"/>
                    <w:left w:val="single" w:color="000000" w:sz="8" w:space="0"/>
                    <w:bottom w:val="single" w:color="000000" w:sz="8" w:space="0"/>
                    <w:right w:val="single" w:color="000000" w:sz="8" w:space="0"/>
                  </w:tcBorders>
                  <w:noWrap w:val="0"/>
                  <w:vAlign w:val="top"/>
                </w:tcPr>
                <w:p w14:paraId="49C53980">
                  <w:pPr>
                    <w:wordWrap/>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技术部分</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2A225726">
                  <w:pPr>
                    <w:wordWrap/>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val="en-US" w:eastAsia="zh-CN"/>
                    </w:rPr>
                    <w:t>8</w:t>
                  </w:r>
                </w:p>
              </w:tc>
            </w:tr>
            <w:tr w14:paraId="7D8D3A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2C2495F">
                  <w:pPr>
                    <w:spacing w:line="240" w:lineRule="auto"/>
                    <w:jc w:val="center"/>
                    <w:rPr>
                      <w:rFonts w:hint="eastAsia" w:ascii="宋体" w:hAnsi="宋体" w:eastAsia="宋体" w:cs="宋体"/>
                      <w:b w:val="0"/>
                      <w:bCs w:val="0"/>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42C1FB62">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01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09D8E70B">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83"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AE592E4">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51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6986502">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14:paraId="68773D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89A0615">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52796863">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34FA4631">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实施方案</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2AAC6A0F">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46EC4125">
                  <w:pPr>
                    <w:pStyle w:val="54"/>
                    <w:tabs>
                      <w:tab w:val="left" w:pos="217"/>
                    </w:tabs>
                    <w:adjustRightInd w:val="0"/>
                    <w:snapToGrid w:val="0"/>
                    <w:spacing w:line="360" w:lineRule="auto"/>
                    <w:rPr>
                      <w:rFonts w:hint="eastAsia" w:asciiTheme="majorEastAsia" w:hAnsiTheme="majorEastAsia" w:eastAsiaTheme="majorEastAsia" w:cstheme="majorEastAsia"/>
                      <w:b/>
                      <w:bCs/>
                      <w:spacing w:val="9"/>
                      <w:sz w:val="22"/>
                      <w:szCs w:val="22"/>
                      <w:lang w:eastAsia="zh-CN"/>
                    </w:rPr>
                  </w:pPr>
                  <w:r>
                    <w:rPr>
                      <w:rFonts w:hint="eastAsia" w:asciiTheme="majorEastAsia" w:hAnsiTheme="majorEastAsia" w:eastAsiaTheme="majorEastAsia" w:cstheme="majorEastAsia"/>
                      <w:b/>
                      <w:bCs/>
                      <w:spacing w:val="9"/>
                      <w:sz w:val="22"/>
                      <w:szCs w:val="22"/>
                      <w:lang w:eastAsia="zh-CN"/>
                    </w:rPr>
                    <w:t>（一）评分内容：</w:t>
                  </w:r>
                </w:p>
                <w:p w14:paraId="037539DB">
                  <w:pPr>
                    <w:pStyle w:val="54"/>
                    <w:numPr>
                      <w:ilvl w:val="255"/>
                      <w:numId w:val="0"/>
                    </w:numPr>
                    <w:tabs>
                      <w:tab w:val="left" w:pos="217"/>
                    </w:tabs>
                    <w:adjustRightInd w:val="0"/>
                    <w:snapToGrid w:val="0"/>
                    <w:spacing w:line="360" w:lineRule="auto"/>
                    <w:rPr>
                      <w:rFonts w:hint="eastAsia" w:asciiTheme="majorEastAsia" w:hAnsiTheme="majorEastAsia" w:eastAsiaTheme="majorEastAsia" w:cstheme="majorEastAsia"/>
                      <w:spacing w:val="9"/>
                      <w:sz w:val="22"/>
                      <w:szCs w:val="22"/>
                      <w:lang w:eastAsia="zh-CN"/>
                    </w:rPr>
                  </w:pPr>
                  <w:r>
                    <w:rPr>
                      <w:rFonts w:hint="eastAsia" w:asciiTheme="majorEastAsia" w:hAnsiTheme="majorEastAsia" w:eastAsiaTheme="majorEastAsia" w:cstheme="majorEastAsia"/>
                      <w:spacing w:val="9"/>
                      <w:sz w:val="22"/>
                      <w:szCs w:val="22"/>
                      <w:lang w:eastAsia="zh-CN"/>
                    </w:rPr>
                    <w:t>根据项目自身的特点，针对项目运行整体设想和策划，编制实施方案。包括但不限于以下内容：</w:t>
                  </w:r>
                </w:p>
                <w:p w14:paraId="43393889">
                  <w:pPr>
                    <w:pStyle w:val="54"/>
                    <w:tabs>
                      <w:tab w:val="left" w:pos="217"/>
                    </w:tabs>
                    <w:adjustRightInd w:val="0"/>
                    <w:snapToGrid w:val="0"/>
                    <w:spacing w:line="360" w:lineRule="auto"/>
                    <w:jc w:val="left"/>
                    <w:rPr>
                      <w:rFonts w:hint="eastAsia" w:asciiTheme="majorEastAsia" w:hAnsiTheme="majorEastAsia" w:eastAsiaTheme="majorEastAsia" w:cstheme="majorEastAsia"/>
                      <w:spacing w:val="9"/>
                      <w:sz w:val="22"/>
                      <w:szCs w:val="22"/>
                      <w:lang w:eastAsia="zh-CN"/>
                    </w:rPr>
                  </w:pPr>
                  <w:r>
                    <w:rPr>
                      <w:rFonts w:hint="eastAsia" w:asciiTheme="majorEastAsia" w:hAnsiTheme="majorEastAsia" w:eastAsiaTheme="majorEastAsia" w:cstheme="majorEastAsia"/>
                      <w:spacing w:val="9"/>
                      <w:sz w:val="22"/>
                      <w:szCs w:val="22"/>
                      <w:lang w:eastAsia="zh-CN"/>
                    </w:rPr>
                    <w:t>1.对食堂需求情况的理解与分析；</w:t>
                  </w:r>
                </w:p>
                <w:p w14:paraId="053ABF88">
                  <w:pPr>
                    <w:pStyle w:val="54"/>
                    <w:tabs>
                      <w:tab w:val="left" w:pos="217"/>
                    </w:tabs>
                    <w:adjustRightInd w:val="0"/>
                    <w:snapToGrid w:val="0"/>
                    <w:spacing w:line="360" w:lineRule="auto"/>
                    <w:jc w:val="left"/>
                    <w:rPr>
                      <w:rFonts w:hint="eastAsia" w:asciiTheme="majorEastAsia" w:hAnsiTheme="majorEastAsia" w:eastAsiaTheme="majorEastAsia" w:cstheme="majorEastAsia"/>
                      <w:spacing w:val="9"/>
                      <w:sz w:val="22"/>
                      <w:szCs w:val="22"/>
                      <w:lang w:eastAsia="zh-CN"/>
                    </w:rPr>
                  </w:pPr>
                  <w:r>
                    <w:rPr>
                      <w:rFonts w:hint="eastAsia" w:asciiTheme="majorEastAsia" w:hAnsiTheme="majorEastAsia" w:eastAsiaTheme="majorEastAsia" w:cstheme="majorEastAsia"/>
                      <w:spacing w:val="9"/>
                      <w:sz w:val="22"/>
                      <w:szCs w:val="22"/>
                      <w:lang w:eastAsia="zh-CN"/>
                    </w:rPr>
                    <w:t>2.食品安全等管理措施；</w:t>
                  </w:r>
                  <w:r>
                    <w:rPr>
                      <w:rFonts w:hint="eastAsia" w:asciiTheme="majorEastAsia" w:hAnsiTheme="majorEastAsia" w:eastAsiaTheme="majorEastAsia" w:cstheme="majorEastAsia"/>
                      <w:spacing w:val="9"/>
                      <w:sz w:val="22"/>
                      <w:szCs w:val="22"/>
                      <w:lang w:eastAsia="zh-CN"/>
                    </w:rPr>
                    <w:tab/>
                  </w:r>
                </w:p>
                <w:p w14:paraId="39D27D21">
                  <w:pPr>
                    <w:pStyle w:val="54"/>
                    <w:tabs>
                      <w:tab w:val="left" w:pos="217"/>
                    </w:tabs>
                    <w:adjustRightInd w:val="0"/>
                    <w:snapToGrid w:val="0"/>
                    <w:spacing w:line="360" w:lineRule="auto"/>
                    <w:jc w:val="left"/>
                    <w:rPr>
                      <w:rFonts w:hint="eastAsia" w:asciiTheme="majorEastAsia" w:hAnsiTheme="majorEastAsia" w:eastAsiaTheme="majorEastAsia" w:cstheme="majorEastAsia"/>
                      <w:spacing w:val="9"/>
                      <w:sz w:val="22"/>
                      <w:szCs w:val="22"/>
                      <w:lang w:eastAsia="zh-CN"/>
                    </w:rPr>
                  </w:pPr>
                  <w:r>
                    <w:rPr>
                      <w:rFonts w:hint="eastAsia" w:asciiTheme="majorEastAsia" w:hAnsiTheme="majorEastAsia" w:eastAsiaTheme="majorEastAsia" w:cstheme="majorEastAsia"/>
                      <w:spacing w:val="9"/>
                      <w:sz w:val="22"/>
                      <w:szCs w:val="22"/>
                      <w:lang w:eastAsia="zh-CN"/>
                    </w:rPr>
                    <w:t>3.整体管理设想和运作规划；</w:t>
                  </w:r>
                </w:p>
                <w:p w14:paraId="4FA39B5C">
                  <w:pPr>
                    <w:pStyle w:val="54"/>
                    <w:tabs>
                      <w:tab w:val="left" w:pos="217"/>
                    </w:tabs>
                    <w:adjustRightInd w:val="0"/>
                    <w:snapToGrid w:val="0"/>
                    <w:spacing w:line="360" w:lineRule="auto"/>
                    <w:rPr>
                      <w:rFonts w:hint="eastAsia" w:asciiTheme="majorEastAsia" w:hAnsiTheme="majorEastAsia" w:eastAsiaTheme="majorEastAsia" w:cstheme="majorEastAsia"/>
                      <w:spacing w:val="9"/>
                      <w:sz w:val="22"/>
                      <w:szCs w:val="22"/>
                      <w:lang w:eastAsia="zh-CN"/>
                    </w:rPr>
                  </w:pPr>
                  <w:r>
                    <w:rPr>
                      <w:rFonts w:hint="eastAsia" w:asciiTheme="majorEastAsia" w:hAnsiTheme="majorEastAsia" w:eastAsiaTheme="majorEastAsia" w:cstheme="majorEastAsia"/>
                      <w:spacing w:val="9"/>
                      <w:sz w:val="22"/>
                      <w:szCs w:val="22"/>
                      <w:lang w:eastAsia="zh-CN"/>
                    </w:rPr>
                    <w:t>4.组织架构、服务团队配置、人员培训计划等。</w:t>
                  </w:r>
                </w:p>
                <w:p w14:paraId="17BB6EFA">
                  <w:pPr>
                    <w:pStyle w:val="63"/>
                    <w:adjustRightInd w:val="0"/>
                    <w:snapToGrid w:val="0"/>
                    <w:spacing w:before="0" w:beforeAutospacing="0" w:after="0" w:afterAutospacing="0" w:line="360" w:lineRule="auto"/>
                    <w:rPr>
                      <w:rFonts w:hint="eastAsia" w:asciiTheme="majorEastAsia" w:hAnsiTheme="majorEastAsia" w:eastAsiaTheme="majorEastAsia" w:cstheme="majorEastAsia"/>
                      <w:b/>
                      <w:bCs/>
                      <w:spacing w:val="9"/>
                      <w:kern w:val="2"/>
                      <w:sz w:val="22"/>
                      <w:szCs w:val="22"/>
                    </w:rPr>
                  </w:pPr>
                  <w:r>
                    <w:rPr>
                      <w:rFonts w:hint="eastAsia" w:asciiTheme="majorEastAsia" w:hAnsiTheme="majorEastAsia" w:eastAsiaTheme="majorEastAsia" w:cstheme="majorEastAsia"/>
                      <w:b/>
                      <w:bCs/>
                      <w:spacing w:val="9"/>
                      <w:kern w:val="2"/>
                      <w:sz w:val="22"/>
                      <w:szCs w:val="22"/>
                    </w:rPr>
                    <w:t>（二）评分依据：</w:t>
                  </w:r>
                </w:p>
                <w:p w14:paraId="33161135">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评审委员会根据招标文件的需求和投标文件的内容响应情况进行评分：</w:t>
                  </w:r>
                </w:p>
                <w:p w14:paraId="709F0008">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1.内容满足以上4项要求的，得70分；</w:t>
                  </w:r>
                </w:p>
                <w:p w14:paraId="1ED134AF">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内容满足以上任意3项要求的，得50分；</w:t>
                  </w:r>
                </w:p>
                <w:p w14:paraId="5ADEE820">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内容满足以上任意2项要求的，得30分；</w:t>
                  </w:r>
                </w:p>
                <w:p w14:paraId="347C0990">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内容满足以上任意1项要求的，得10分；</w:t>
                  </w:r>
                </w:p>
                <w:p w14:paraId="1587AF68">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内容未满足不得分。</w:t>
                  </w:r>
                </w:p>
                <w:p w14:paraId="1160F74F">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2、在此基础上，评审委员会根据各投标人的具体响应情况按照以下评审标准进一步评审：</w:t>
                  </w:r>
                </w:p>
                <w:p w14:paraId="4FFC52F6">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评审为优（方案设计内容全面，工作内容目标指向性强，整体方案展现高度系统性、科学性和定制化）的加30分；</w:t>
                  </w:r>
                </w:p>
                <w:p w14:paraId="1E07893A">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评审为良（方案设计较详尽，基本契合项目需求，目标指向性较强，整体方案展现良好的系统性、科学性和定制化）的加20分；</w:t>
                  </w:r>
                </w:p>
                <w:p w14:paraId="22283217">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评审为中（方案设计基本满足项目需求，有明确的工作目标，但方案的系统性、科学性和定制化一般）的</w:t>
                  </w:r>
                  <w:r>
                    <w:rPr>
                      <w:rFonts w:hint="eastAsia" w:asciiTheme="majorEastAsia" w:hAnsiTheme="majorEastAsia" w:eastAsiaTheme="majorEastAsia" w:cstheme="majorEastAsia"/>
                      <w:spacing w:val="9"/>
                      <w:kern w:val="2"/>
                      <w:sz w:val="22"/>
                      <w:szCs w:val="22"/>
                      <w:lang w:val="en-US" w:eastAsia="zh-CN"/>
                    </w:rPr>
                    <w:t xml:space="preserve"> </w:t>
                  </w:r>
                  <w:r>
                    <w:rPr>
                      <w:rFonts w:hint="eastAsia" w:asciiTheme="majorEastAsia" w:hAnsiTheme="majorEastAsia" w:eastAsiaTheme="majorEastAsia" w:cstheme="majorEastAsia"/>
                      <w:spacing w:val="9"/>
                      <w:kern w:val="2"/>
                      <w:sz w:val="22"/>
                      <w:szCs w:val="22"/>
                    </w:rPr>
                    <w:t>加10分；</w:t>
                  </w:r>
                </w:p>
                <w:p w14:paraId="15E038D7">
                  <w:pPr>
                    <w:pStyle w:val="63"/>
                    <w:adjustRightInd w:val="0"/>
                    <w:snapToGrid w:val="0"/>
                    <w:spacing w:before="0" w:beforeAutospacing="0" w:after="0" w:afterAutospacing="0" w:line="360" w:lineRule="auto"/>
                    <w:rPr>
                      <w:rFonts w:hint="eastAsia" w:ascii="宋体" w:hAnsi="宋体" w:eastAsia="宋体" w:cs="宋体"/>
                      <w:sz w:val="21"/>
                      <w:szCs w:val="21"/>
                      <w:highlight w:val="none"/>
                    </w:rPr>
                  </w:pPr>
                  <w:r>
                    <w:rPr>
                      <w:rFonts w:hint="eastAsia" w:asciiTheme="majorEastAsia" w:hAnsiTheme="majorEastAsia" w:eastAsiaTheme="majorEastAsia" w:cstheme="majorEastAsia"/>
                      <w:spacing w:val="9"/>
                      <w:kern w:val="2"/>
                      <w:sz w:val="22"/>
                      <w:szCs w:val="22"/>
                    </w:rPr>
                    <w:t>评审为差（如不满足项目要求的）的不加分。</w:t>
                  </w:r>
                </w:p>
              </w:tc>
            </w:tr>
            <w:tr w14:paraId="3314E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C5F777">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79E0B78D">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1532DAD4">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项目重点难点分析、应对措施及相关的合理化建议</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61ED584F">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77379EC7">
                  <w:pPr>
                    <w:pStyle w:val="54"/>
                    <w:adjustRightInd w:val="0"/>
                    <w:snapToGrid w:val="0"/>
                    <w:spacing w:line="360" w:lineRule="auto"/>
                    <w:rPr>
                      <w:rFonts w:hint="eastAsia" w:asciiTheme="majorEastAsia" w:hAnsiTheme="majorEastAsia" w:eastAsiaTheme="majorEastAsia" w:cstheme="majorEastAsia"/>
                      <w:b/>
                      <w:bCs/>
                      <w:spacing w:val="9"/>
                      <w:sz w:val="22"/>
                      <w:szCs w:val="22"/>
                      <w:lang w:eastAsia="zh-CN"/>
                    </w:rPr>
                  </w:pPr>
                  <w:r>
                    <w:rPr>
                      <w:rFonts w:hint="eastAsia" w:asciiTheme="majorEastAsia" w:hAnsiTheme="majorEastAsia" w:eastAsiaTheme="majorEastAsia" w:cstheme="majorEastAsia"/>
                      <w:b/>
                      <w:bCs/>
                      <w:spacing w:val="9"/>
                      <w:sz w:val="22"/>
                      <w:szCs w:val="22"/>
                      <w:lang w:eastAsia="zh-CN"/>
                    </w:rPr>
                    <w:t>（一）评分内容：</w:t>
                  </w:r>
                </w:p>
                <w:p w14:paraId="37A2E8D1">
                  <w:pPr>
                    <w:pStyle w:val="54"/>
                    <w:adjustRightInd w:val="0"/>
                    <w:snapToGrid w:val="0"/>
                    <w:spacing w:line="360" w:lineRule="auto"/>
                    <w:rPr>
                      <w:rFonts w:hint="eastAsia" w:asciiTheme="majorEastAsia" w:hAnsiTheme="majorEastAsia" w:eastAsiaTheme="majorEastAsia" w:cstheme="majorEastAsia"/>
                      <w:spacing w:val="9"/>
                      <w:sz w:val="22"/>
                      <w:szCs w:val="22"/>
                      <w:lang w:eastAsia="zh-CN"/>
                    </w:rPr>
                  </w:pPr>
                  <w:r>
                    <w:rPr>
                      <w:rFonts w:hint="eastAsia" w:asciiTheme="majorEastAsia" w:hAnsiTheme="majorEastAsia" w:eastAsiaTheme="majorEastAsia" w:cstheme="majorEastAsia"/>
                      <w:spacing w:val="9"/>
                      <w:sz w:val="22"/>
                      <w:szCs w:val="22"/>
                      <w:lang w:eastAsia="zh-CN"/>
                    </w:rPr>
                    <w:t>根据投标文件对本项目服务特点的相关重点难点分析、应对措施及相关的合理化建议包括但不限于：</w:t>
                  </w:r>
                </w:p>
                <w:p w14:paraId="19D12D32">
                  <w:pPr>
                    <w:pStyle w:val="54"/>
                    <w:numPr>
                      <w:ilvl w:val="0"/>
                      <w:numId w:val="1"/>
                    </w:numPr>
                    <w:adjustRightInd w:val="0"/>
                    <w:snapToGrid w:val="0"/>
                    <w:spacing w:line="360" w:lineRule="auto"/>
                    <w:rPr>
                      <w:rFonts w:hint="eastAsia" w:asciiTheme="majorEastAsia" w:hAnsiTheme="majorEastAsia" w:eastAsiaTheme="majorEastAsia" w:cstheme="majorEastAsia"/>
                      <w:spacing w:val="9"/>
                      <w:sz w:val="22"/>
                      <w:szCs w:val="22"/>
                      <w:lang w:eastAsia="zh-CN"/>
                    </w:rPr>
                  </w:pPr>
                  <w:r>
                    <w:rPr>
                      <w:rFonts w:hint="eastAsia" w:asciiTheme="majorEastAsia" w:hAnsiTheme="majorEastAsia" w:eastAsiaTheme="majorEastAsia" w:cstheme="majorEastAsia"/>
                      <w:spacing w:val="9"/>
                      <w:sz w:val="22"/>
                      <w:szCs w:val="22"/>
                      <w:lang w:eastAsia="zh-CN"/>
                    </w:rPr>
                    <w:t>原材料验收标准及流程；</w:t>
                  </w:r>
                </w:p>
                <w:p w14:paraId="3B7E2802">
                  <w:pPr>
                    <w:pStyle w:val="54"/>
                    <w:numPr>
                      <w:ilvl w:val="0"/>
                      <w:numId w:val="1"/>
                    </w:numPr>
                    <w:adjustRightInd w:val="0"/>
                    <w:snapToGrid w:val="0"/>
                    <w:spacing w:line="360" w:lineRule="auto"/>
                    <w:rPr>
                      <w:rFonts w:hint="eastAsia" w:asciiTheme="majorEastAsia" w:hAnsiTheme="majorEastAsia" w:eastAsiaTheme="majorEastAsia" w:cstheme="majorEastAsia"/>
                      <w:spacing w:val="9"/>
                      <w:sz w:val="22"/>
                      <w:szCs w:val="22"/>
                      <w:lang w:eastAsia="zh-CN"/>
                    </w:rPr>
                  </w:pPr>
                  <w:r>
                    <w:rPr>
                      <w:rFonts w:hint="eastAsia" w:asciiTheme="majorEastAsia" w:hAnsiTheme="majorEastAsia" w:eastAsiaTheme="majorEastAsia" w:cstheme="majorEastAsia"/>
                      <w:spacing w:val="9"/>
                      <w:sz w:val="22"/>
                      <w:szCs w:val="22"/>
                      <w:lang w:eastAsia="zh-CN"/>
                    </w:rPr>
                    <w:t>菜品加工流程；</w:t>
                  </w:r>
                </w:p>
                <w:p w14:paraId="151198BA">
                  <w:pPr>
                    <w:pStyle w:val="54"/>
                    <w:numPr>
                      <w:ilvl w:val="0"/>
                      <w:numId w:val="1"/>
                    </w:numPr>
                    <w:adjustRightInd w:val="0"/>
                    <w:snapToGrid w:val="0"/>
                    <w:spacing w:line="360" w:lineRule="auto"/>
                    <w:rPr>
                      <w:rFonts w:hint="eastAsia" w:asciiTheme="majorEastAsia" w:hAnsiTheme="majorEastAsia" w:eastAsiaTheme="majorEastAsia" w:cstheme="majorEastAsia"/>
                      <w:spacing w:val="9"/>
                      <w:sz w:val="22"/>
                      <w:szCs w:val="22"/>
                      <w:lang w:eastAsia="zh-CN"/>
                    </w:rPr>
                  </w:pPr>
                  <w:r>
                    <w:rPr>
                      <w:rFonts w:hint="eastAsia" w:asciiTheme="majorEastAsia" w:hAnsiTheme="majorEastAsia" w:eastAsiaTheme="majorEastAsia" w:cstheme="majorEastAsia"/>
                      <w:spacing w:val="9"/>
                      <w:sz w:val="22"/>
                      <w:szCs w:val="22"/>
                      <w:lang w:eastAsia="zh-CN"/>
                    </w:rPr>
                    <w:t>食品留样制度；</w:t>
                  </w:r>
                </w:p>
                <w:p w14:paraId="06F5E831">
                  <w:pPr>
                    <w:pStyle w:val="54"/>
                    <w:numPr>
                      <w:ilvl w:val="0"/>
                      <w:numId w:val="1"/>
                    </w:numPr>
                    <w:adjustRightInd w:val="0"/>
                    <w:snapToGrid w:val="0"/>
                    <w:spacing w:line="360" w:lineRule="auto"/>
                    <w:rPr>
                      <w:rFonts w:hint="eastAsia" w:asciiTheme="majorEastAsia" w:hAnsiTheme="majorEastAsia" w:eastAsiaTheme="majorEastAsia" w:cstheme="majorEastAsia"/>
                      <w:spacing w:val="9"/>
                      <w:sz w:val="22"/>
                      <w:szCs w:val="22"/>
                      <w:lang w:eastAsia="zh-CN"/>
                    </w:rPr>
                  </w:pPr>
                  <w:r>
                    <w:rPr>
                      <w:rFonts w:hint="eastAsia" w:asciiTheme="majorEastAsia" w:hAnsiTheme="majorEastAsia" w:eastAsiaTheme="majorEastAsia" w:cstheme="majorEastAsia"/>
                      <w:spacing w:val="9"/>
                      <w:sz w:val="22"/>
                      <w:szCs w:val="22"/>
                      <w:lang w:eastAsia="zh-CN"/>
                    </w:rPr>
                    <w:t>食品安全管理、内控制度建立等。</w:t>
                  </w:r>
                </w:p>
                <w:p w14:paraId="3E4CF100">
                  <w:pPr>
                    <w:pStyle w:val="54"/>
                    <w:adjustRightInd w:val="0"/>
                    <w:snapToGrid w:val="0"/>
                    <w:spacing w:line="360" w:lineRule="auto"/>
                    <w:rPr>
                      <w:rFonts w:hint="eastAsia" w:asciiTheme="majorEastAsia" w:hAnsiTheme="majorEastAsia" w:eastAsiaTheme="majorEastAsia" w:cstheme="majorEastAsia"/>
                      <w:b/>
                      <w:bCs/>
                      <w:spacing w:val="9"/>
                      <w:sz w:val="22"/>
                      <w:szCs w:val="22"/>
                      <w:lang w:eastAsia="zh-CN"/>
                    </w:rPr>
                  </w:pPr>
                  <w:r>
                    <w:rPr>
                      <w:rFonts w:hint="eastAsia" w:asciiTheme="majorEastAsia" w:hAnsiTheme="majorEastAsia" w:eastAsiaTheme="majorEastAsia" w:cstheme="majorEastAsia"/>
                      <w:b/>
                      <w:bCs/>
                      <w:spacing w:val="9"/>
                      <w:sz w:val="22"/>
                      <w:szCs w:val="22"/>
                      <w:lang w:eastAsia="zh-CN"/>
                    </w:rPr>
                    <w:t>（二）评分依据：</w:t>
                  </w:r>
                </w:p>
                <w:p w14:paraId="4564A635">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评审委员会根据招标文件的需求和投标文件的内容响应情况进行评分：</w:t>
                  </w:r>
                </w:p>
                <w:p w14:paraId="79D41906">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1.内容满足以上4项要求的，得70分；</w:t>
                  </w:r>
                </w:p>
                <w:p w14:paraId="70ADAD7C">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内容满足以上任意3项要求的，得50分；</w:t>
                  </w:r>
                </w:p>
                <w:p w14:paraId="692F79F0">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内容满足以上任意2项要求的，得30分；</w:t>
                  </w:r>
                </w:p>
                <w:p w14:paraId="633B617A">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内容满足以上任意1项要求的，得10分；</w:t>
                  </w:r>
                </w:p>
                <w:p w14:paraId="27AB5756">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内容未满足不得分。</w:t>
                  </w:r>
                </w:p>
                <w:p w14:paraId="0AB49385">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2、在此基础上，评审委员会根据各投标人的具体响应情况按照以下评审标准进一步评审：</w:t>
                  </w:r>
                </w:p>
                <w:p w14:paraId="2E99CE9C">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评审为优（方案设计内容全面，工作内容目标指向性强，整体方案展现高度系统性、科学性和定制化）的加30分；</w:t>
                  </w:r>
                </w:p>
                <w:p w14:paraId="0ACA27D2">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评审为良（方案设计较详尽，基本契合项目需求，目标指向性较强，整体方案展现良好的系统性、科学性和定制化）的加20分；</w:t>
                  </w:r>
                </w:p>
                <w:p w14:paraId="1EF2B797">
                  <w:pPr>
                    <w:pStyle w:val="63"/>
                    <w:adjustRightInd w:val="0"/>
                    <w:snapToGrid w:val="0"/>
                    <w:spacing w:before="0" w:beforeAutospacing="0" w:after="0" w:afterAutospacing="0" w:line="360" w:lineRule="auto"/>
                    <w:rPr>
                      <w:rFonts w:hint="eastAsia" w:asciiTheme="majorEastAsia" w:hAnsiTheme="majorEastAsia" w:eastAsiaTheme="majorEastAsia" w:cstheme="majorEastAsia"/>
                      <w:spacing w:val="9"/>
                      <w:kern w:val="2"/>
                      <w:sz w:val="22"/>
                      <w:szCs w:val="22"/>
                    </w:rPr>
                  </w:pPr>
                  <w:r>
                    <w:rPr>
                      <w:rFonts w:hint="eastAsia" w:asciiTheme="majorEastAsia" w:hAnsiTheme="majorEastAsia" w:eastAsiaTheme="majorEastAsia" w:cstheme="majorEastAsia"/>
                      <w:spacing w:val="9"/>
                      <w:kern w:val="2"/>
                      <w:sz w:val="22"/>
                      <w:szCs w:val="22"/>
                    </w:rPr>
                    <w:t>评审为中（方案设计基本满足项目需求，有明确的工作目标，但方案的系统性、科学性和定制化一般）的加10分；</w:t>
                  </w:r>
                </w:p>
                <w:p w14:paraId="751267A0">
                  <w:pPr>
                    <w:pStyle w:val="63"/>
                    <w:adjustRightInd w:val="0"/>
                    <w:snapToGrid w:val="0"/>
                    <w:spacing w:before="0" w:beforeAutospacing="0" w:after="0" w:afterAutospacing="0" w:line="360" w:lineRule="auto"/>
                    <w:rPr>
                      <w:rFonts w:hint="eastAsia" w:ascii="宋体" w:hAnsi="宋体" w:eastAsia="宋体" w:cs="宋体"/>
                      <w:sz w:val="21"/>
                      <w:szCs w:val="21"/>
                      <w:highlight w:val="none"/>
                    </w:rPr>
                  </w:pPr>
                  <w:r>
                    <w:rPr>
                      <w:rFonts w:hint="eastAsia" w:asciiTheme="majorEastAsia" w:hAnsiTheme="majorEastAsia" w:eastAsiaTheme="majorEastAsia" w:cstheme="majorEastAsia"/>
                      <w:spacing w:val="9"/>
                      <w:kern w:val="2"/>
                      <w:sz w:val="22"/>
                      <w:szCs w:val="22"/>
                    </w:rPr>
                    <w:t>评审为差（如不满足项目要求的）的不加分。</w:t>
                  </w:r>
                </w:p>
              </w:tc>
            </w:tr>
            <w:tr w14:paraId="682BA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B21C9C">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36B6C4D1">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716F6C46">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质量（完成时间、安全、环保）保障措施及方案</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710A3F72">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0714BE04">
                  <w:pPr>
                    <w:pStyle w:val="54"/>
                    <w:numPr>
                      <w:ilvl w:val="255"/>
                      <w:numId w:val="0"/>
                    </w:numPr>
                    <w:adjustRightInd w:val="0"/>
                    <w:snapToGrid w:val="0"/>
                    <w:spacing w:line="360" w:lineRule="auto"/>
                    <w:rPr>
                      <w:rFonts w:hint="eastAsia" w:asciiTheme="majorEastAsia" w:hAnsiTheme="majorEastAsia" w:eastAsiaTheme="majorEastAsia" w:cstheme="majorEastAsia"/>
                      <w:b/>
                      <w:bCs w:val="0"/>
                      <w:sz w:val="22"/>
                      <w:szCs w:val="22"/>
                      <w:lang w:eastAsia="zh-CN"/>
                    </w:rPr>
                  </w:pPr>
                  <w:r>
                    <w:rPr>
                      <w:rFonts w:hint="eastAsia" w:asciiTheme="majorEastAsia" w:hAnsiTheme="majorEastAsia" w:eastAsiaTheme="majorEastAsia" w:cstheme="majorEastAsia"/>
                      <w:b/>
                      <w:bCs w:val="0"/>
                      <w:sz w:val="22"/>
                      <w:szCs w:val="22"/>
                      <w:lang w:eastAsia="zh-CN"/>
                    </w:rPr>
                    <w:t>（一）评分内容：</w:t>
                  </w:r>
                </w:p>
                <w:p w14:paraId="61EFFD64">
                  <w:pPr>
                    <w:pStyle w:val="63"/>
                    <w:adjustRightInd w:val="0"/>
                    <w:snapToGrid w:val="0"/>
                    <w:spacing w:before="0" w:beforeAutospacing="0" w:after="0" w:afterAutospacing="0" w:line="360" w:lineRule="auto"/>
                    <w:rPr>
                      <w:rFonts w:hint="eastAsia" w:asciiTheme="majorEastAsia" w:hAnsiTheme="majorEastAsia" w:eastAsiaTheme="majorEastAsia" w:cstheme="majorEastAsia"/>
                      <w:bCs/>
                      <w:kern w:val="2"/>
                      <w:sz w:val="22"/>
                      <w:szCs w:val="22"/>
                    </w:rPr>
                  </w:pPr>
                  <w:r>
                    <w:rPr>
                      <w:rFonts w:hint="eastAsia" w:asciiTheme="majorEastAsia" w:hAnsiTheme="majorEastAsia" w:eastAsiaTheme="majorEastAsia" w:cstheme="majorEastAsia"/>
                      <w:bCs/>
                      <w:kern w:val="2"/>
                      <w:sz w:val="22"/>
                      <w:szCs w:val="22"/>
                    </w:rPr>
                    <w:t>投标人应根据本项目提供食品安全（完成时间、</w:t>
                  </w:r>
                  <w:r>
                    <w:rPr>
                      <w:rFonts w:hint="eastAsia" w:asciiTheme="majorEastAsia" w:hAnsiTheme="majorEastAsia" w:eastAsiaTheme="majorEastAsia" w:cstheme="majorEastAsia"/>
                      <w:bCs/>
                      <w:kern w:val="2"/>
                      <w:sz w:val="22"/>
                      <w:szCs w:val="22"/>
                      <w:lang w:val="en-US" w:eastAsia="zh-CN"/>
                    </w:rPr>
                    <w:t>安全</w:t>
                  </w:r>
                  <w:r>
                    <w:rPr>
                      <w:rFonts w:hint="eastAsia" w:asciiTheme="majorEastAsia" w:hAnsiTheme="majorEastAsia" w:eastAsiaTheme="majorEastAsia" w:cstheme="majorEastAsia"/>
                      <w:bCs/>
                      <w:kern w:val="2"/>
                      <w:sz w:val="22"/>
                      <w:szCs w:val="22"/>
                    </w:rPr>
                    <w:t>、</w:t>
                  </w:r>
                  <w:r>
                    <w:rPr>
                      <w:rFonts w:hint="eastAsia" w:asciiTheme="majorEastAsia" w:hAnsiTheme="majorEastAsia" w:eastAsiaTheme="majorEastAsia" w:cstheme="majorEastAsia"/>
                      <w:bCs/>
                      <w:kern w:val="2"/>
                      <w:sz w:val="22"/>
                      <w:szCs w:val="22"/>
                      <w:lang w:val="en-US" w:eastAsia="zh-CN"/>
                    </w:rPr>
                    <w:t>环保</w:t>
                  </w:r>
                  <w:r>
                    <w:rPr>
                      <w:rFonts w:hint="eastAsia" w:asciiTheme="majorEastAsia" w:hAnsiTheme="majorEastAsia" w:eastAsiaTheme="majorEastAsia" w:cstheme="majorEastAsia"/>
                      <w:bCs/>
                      <w:kern w:val="2"/>
                      <w:sz w:val="22"/>
                      <w:szCs w:val="22"/>
                    </w:rPr>
                    <w:t>）保障措施及方案，评标委员会根据响应情况进行分档评分，包括不限于：</w:t>
                  </w:r>
                </w:p>
                <w:p w14:paraId="37B0CBFB">
                  <w:pPr>
                    <w:pStyle w:val="63"/>
                    <w:adjustRightInd w:val="0"/>
                    <w:snapToGrid w:val="0"/>
                    <w:spacing w:before="0" w:beforeAutospacing="0" w:after="0" w:afterAutospacing="0" w:line="360" w:lineRule="auto"/>
                    <w:rPr>
                      <w:rFonts w:hint="eastAsia" w:asciiTheme="majorEastAsia" w:hAnsiTheme="majorEastAsia" w:eastAsiaTheme="majorEastAsia" w:cstheme="majorEastAsia"/>
                      <w:bCs/>
                      <w:kern w:val="2"/>
                      <w:sz w:val="22"/>
                      <w:szCs w:val="22"/>
                    </w:rPr>
                  </w:pPr>
                  <w:r>
                    <w:rPr>
                      <w:rFonts w:hint="eastAsia" w:asciiTheme="majorEastAsia" w:hAnsiTheme="majorEastAsia" w:eastAsiaTheme="majorEastAsia" w:cstheme="majorEastAsia"/>
                      <w:bCs/>
                      <w:kern w:val="2"/>
                      <w:sz w:val="22"/>
                      <w:szCs w:val="22"/>
                    </w:rPr>
                    <w:t>1.现场食品安全管理制度；</w:t>
                  </w:r>
                </w:p>
                <w:p w14:paraId="4C359D0B">
                  <w:pPr>
                    <w:pStyle w:val="63"/>
                    <w:adjustRightInd w:val="0"/>
                    <w:snapToGrid w:val="0"/>
                    <w:spacing w:before="0" w:beforeAutospacing="0" w:after="0" w:afterAutospacing="0" w:line="360" w:lineRule="auto"/>
                    <w:rPr>
                      <w:rFonts w:hint="eastAsia" w:asciiTheme="majorEastAsia" w:hAnsiTheme="majorEastAsia" w:eastAsiaTheme="majorEastAsia" w:cstheme="majorEastAsia"/>
                      <w:bCs/>
                      <w:kern w:val="2"/>
                      <w:sz w:val="22"/>
                      <w:szCs w:val="22"/>
                    </w:rPr>
                  </w:pPr>
                  <w:r>
                    <w:rPr>
                      <w:rFonts w:hint="eastAsia" w:asciiTheme="majorEastAsia" w:hAnsiTheme="majorEastAsia" w:eastAsiaTheme="majorEastAsia" w:cstheme="majorEastAsia"/>
                      <w:bCs/>
                      <w:kern w:val="2"/>
                      <w:sz w:val="22"/>
                      <w:szCs w:val="22"/>
                    </w:rPr>
                    <w:t>2.食品的加工及操作个流程完成时间；</w:t>
                  </w:r>
                </w:p>
                <w:p w14:paraId="0D00ACEC">
                  <w:pPr>
                    <w:pStyle w:val="63"/>
                    <w:adjustRightInd w:val="0"/>
                    <w:snapToGrid w:val="0"/>
                    <w:spacing w:before="0" w:beforeAutospacing="0" w:after="0" w:afterAutospacing="0" w:line="360" w:lineRule="auto"/>
                    <w:rPr>
                      <w:rFonts w:hint="eastAsia" w:asciiTheme="majorEastAsia" w:hAnsiTheme="majorEastAsia" w:eastAsiaTheme="majorEastAsia" w:cstheme="majorEastAsia"/>
                      <w:bCs/>
                      <w:kern w:val="2"/>
                      <w:sz w:val="22"/>
                      <w:szCs w:val="22"/>
                    </w:rPr>
                  </w:pPr>
                  <w:r>
                    <w:rPr>
                      <w:rFonts w:hint="eastAsia" w:asciiTheme="majorEastAsia" w:hAnsiTheme="majorEastAsia" w:eastAsiaTheme="majorEastAsia" w:cstheme="majorEastAsia"/>
                      <w:bCs/>
                      <w:kern w:val="2"/>
                      <w:sz w:val="22"/>
                      <w:szCs w:val="22"/>
                    </w:rPr>
                    <w:t>3.项目涉及的环保措施；</w:t>
                  </w:r>
                </w:p>
                <w:p w14:paraId="0EB23548">
                  <w:pPr>
                    <w:pStyle w:val="63"/>
                    <w:adjustRightInd w:val="0"/>
                    <w:snapToGrid w:val="0"/>
                    <w:spacing w:before="0" w:beforeAutospacing="0" w:after="0" w:afterAutospacing="0" w:line="360" w:lineRule="auto"/>
                    <w:rPr>
                      <w:rFonts w:hint="eastAsia" w:asciiTheme="majorEastAsia" w:hAnsiTheme="majorEastAsia" w:eastAsiaTheme="majorEastAsia" w:cstheme="majorEastAsia"/>
                      <w:bCs/>
                      <w:kern w:val="2"/>
                      <w:sz w:val="22"/>
                      <w:szCs w:val="22"/>
                    </w:rPr>
                  </w:pPr>
                  <w:r>
                    <w:rPr>
                      <w:rFonts w:hint="eastAsia" w:asciiTheme="majorEastAsia" w:hAnsiTheme="majorEastAsia" w:eastAsiaTheme="majorEastAsia" w:cstheme="majorEastAsia"/>
                      <w:bCs/>
                      <w:kern w:val="2"/>
                      <w:sz w:val="22"/>
                      <w:szCs w:val="22"/>
                    </w:rPr>
                    <w:t>4.食品安全应急方案。</w:t>
                  </w:r>
                </w:p>
                <w:p w14:paraId="0965FFEE">
                  <w:pPr>
                    <w:pStyle w:val="54"/>
                    <w:adjustRightInd w:val="0"/>
                    <w:snapToGrid w:val="0"/>
                    <w:spacing w:line="360" w:lineRule="auto"/>
                    <w:rPr>
                      <w:rFonts w:hint="eastAsia" w:asciiTheme="majorEastAsia" w:hAnsiTheme="majorEastAsia" w:eastAsiaTheme="majorEastAsia" w:cstheme="majorEastAsia"/>
                      <w:b/>
                      <w:bCs w:val="0"/>
                      <w:sz w:val="22"/>
                      <w:szCs w:val="22"/>
                      <w:lang w:eastAsia="zh-CN"/>
                    </w:rPr>
                  </w:pPr>
                  <w:r>
                    <w:rPr>
                      <w:rFonts w:hint="eastAsia" w:asciiTheme="majorEastAsia" w:hAnsiTheme="majorEastAsia" w:eastAsiaTheme="majorEastAsia" w:cstheme="majorEastAsia"/>
                      <w:b/>
                      <w:bCs w:val="0"/>
                      <w:sz w:val="22"/>
                      <w:szCs w:val="22"/>
                      <w:lang w:eastAsia="zh-CN"/>
                    </w:rPr>
                    <w:t>（二）评分依据：</w:t>
                  </w:r>
                </w:p>
                <w:p w14:paraId="400D6CCE">
                  <w:pPr>
                    <w:adjustRightInd w:val="0"/>
                    <w:snapToGrid w:val="0"/>
                    <w:spacing w:line="360" w:lineRule="auto"/>
                    <w:jc w:val="left"/>
                    <w:rPr>
                      <w:rFonts w:hint="eastAsia" w:asciiTheme="majorEastAsia" w:hAnsiTheme="majorEastAsia" w:eastAsiaTheme="majorEastAsia" w:cstheme="majorEastAsia"/>
                      <w:bCs/>
                      <w:sz w:val="22"/>
                    </w:rPr>
                  </w:pPr>
                  <w:r>
                    <w:rPr>
                      <w:rFonts w:hint="eastAsia" w:asciiTheme="majorEastAsia" w:hAnsiTheme="majorEastAsia" w:eastAsiaTheme="majorEastAsia" w:cstheme="majorEastAsia"/>
                      <w:bCs/>
                      <w:sz w:val="22"/>
                    </w:rPr>
                    <w:t>1.评审委员会根据招标文件的需求和投标文件的内容响应情况进行评分：</w:t>
                  </w:r>
                </w:p>
                <w:p w14:paraId="1E01BA17">
                  <w:pPr>
                    <w:adjustRightInd w:val="0"/>
                    <w:snapToGrid w:val="0"/>
                    <w:spacing w:line="360" w:lineRule="auto"/>
                    <w:rPr>
                      <w:rFonts w:hint="eastAsia" w:asciiTheme="majorEastAsia" w:hAnsiTheme="majorEastAsia" w:eastAsiaTheme="majorEastAsia" w:cstheme="majorEastAsia"/>
                      <w:bCs/>
                      <w:sz w:val="22"/>
                    </w:rPr>
                  </w:pPr>
                  <w:r>
                    <w:rPr>
                      <w:rFonts w:hint="eastAsia" w:asciiTheme="majorEastAsia" w:hAnsiTheme="majorEastAsia" w:eastAsiaTheme="majorEastAsia" w:cstheme="majorEastAsia"/>
                      <w:bCs/>
                      <w:sz w:val="22"/>
                    </w:rPr>
                    <w:t>1.内容满足以上4项要求的，得70分；</w:t>
                  </w:r>
                </w:p>
                <w:p w14:paraId="3F3A7E9C">
                  <w:pPr>
                    <w:adjustRightInd w:val="0"/>
                    <w:snapToGrid w:val="0"/>
                    <w:spacing w:line="360" w:lineRule="auto"/>
                    <w:rPr>
                      <w:rFonts w:hint="eastAsia" w:asciiTheme="majorEastAsia" w:hAnsiTheme="majorEastAsia" w:eastAsiaTheme="majorEastAsia" w:cstheme="majorEastAsia"/>
                      <w:bCs/>
                      <w:sz w:val="22"/>
                    </w:rPr>
                  </w:pPr>
                  <w:r>
                    <w:rPr>
                      <w:rFonts w:hint="eastAsia" w:asciiTheme="majorEastAsia" w:hAnsiTheme="majorEastAsia" w:eastAsiaTheme="majorEastAsia" w:cstheme="majorEastAsia"/>
                      <w:bCs/>
                      <w:sz w:val="22"/>
                    </w:rPr>
                    <w:t>内容满足以上任意3项要求的，得50分；</w:t>
                  </w:r>
                </w:p>
                <w:p w14:paraId="140EA08E">
                  <w:pPr>
                    <w:adjustRightInd w:val="0"/>
                    <w:snapToGrid w:val="0"/>
                    <w:spacing w:line="360" w:lineRule="auto"/>
                    <w:rPr>
                      <w:rFonts w:hint="eastAsia" w:asciiTheme="majorEastAsia" w:hAnsiTheme="majorEastAsia" w:eastAsiaTheme="majorEastAsia" w:cstheme="majorEastAsia"/>
                      <w:bCs/>
                      <w:sz w:val="22"/>
                    </w:rPr>
                  </w:pPr>
                  <w:r>
                    <w:rPr>
                      <w:rFonts w:hint="eastAsia" w:asciiTheme="majorEastAsia" w:hAnsiTheme="majorEastAsia" w:eastAsiaTheme="majorEastAsia" w:cstheme="majorEastAsia"/>
                      <w:bCs/>
                      <w:sz w:val="22"/>
                    </w:rPr>
                    <w:t>内容满足以上任意2项要求的，得30分；</w:t>
                  </w:r>
                </w:p>
                <w:p w14:paraId="025FA0D5">
                  <w:pPr>
                    <w:adjustRightInd w:val="0"/>
                    <w:snapToGrid w:val="0"/>
                    <w:spacing w:line="360" w:lineRule="auto"/>
                    <w:rPr>
                      <w:rFonts w:hint="eastAsia" w:asciiTheme="majorEastAsia" w:hAnsiTheme="majorEastAsia" w:eastAsiaTheme="majorEastAsia" w:cstheme="majorEastAsia"/>
                      <w:bCs/>
                      <w:sz w:val="22"/>
                    </w:rPr>
                  </w:pPr>
                  <w:r>
                    <w:rPr>
                      <w:rFonts w:hint="eastAsia" w:asciiTheme="majorEastAsia" w:hAnsiTheme="majorEastAsia" w:eastAsiaTheme="majorEastAsia" w:cstheme="majorEastAsia"/>
                      <w:bCs/>
                      <w:sz w:val="22"/>
                    </w:rPr>
                    <w:t>内容满足以上任意1项要求的，得10分；</w:t>
                  </w:r>
                </w:p>
                <w:p w14:paraId="292AB5C2">
                  <w:pPr>
                    <w:adjustRightInd w:val="0"/>
                    <w:snapToGrid w:val="0"/>
                    <w:spacing w:line="360" w:lineRule="auto"/>
                    <w:rPr>
                      <w:rFonts w:hint="eastAsia" w:asciiTheme="majorEastAsia" w:hAnsiTheme="majorEastAsia" w:eastAsiaTheme="majorEastAsia" w:cstheme="majorEastAsia"/>
                      <w:bCs/>
                      <w:spacing w:val="9"/>
                      <w:sz w:val="22"/>
                    </w:rPr>
                  </w:pPr>
                  <w:r>
                    <w:rPr>
                      <w:rFonts w:hint="eastAsia" w:asciiTheme="majorEastAsia" w:hAnsiTheme="majorEastAsia" w:eastAsiaTheme="majorEastAsia" w:cstheme="majorEastAsia"/>
                      <w:bCs/>
                      <w:sz w:val="22"/>
                    </w:rPr>
                    <w:t>内容未满足不得分。</w:t>
                  </w:r>
                </w:p>
                <w:p w14:paraId="0F279E31">
                  <w:pPr>
                    <w:pStyle w:val="54"/>
                    <w:adjustRightInd w:val="0"/>
                    <w:snapToGrid w:val="0"/>
                    <w:spacing w:line="360" w:lineRule="auto"/>
                    <w:rPr>
                      <w:rFonts w:hint="eastAsia" w:asciiTheme="majorEastAsia" w:hAnsiTheme="majorEastAsia" w:eastAsiaTheme="majorEastAsia" w:cstheme="majorEastAsia"/>
                      <w:bCs/>
                      <w:sz w:val="22"/>
                      <w:szCs w:val="22"/>
                      <w:lang w:eastAsia="zh-CN"/>
                    </w:rPr>
                  </w:pPr>
                  <w:r>
                    <w:rPr>
                      <w:rFonts w:hint="eastAsia" w:asciiTheme="majorEastAsia" w:hAnsiTheme="majorEastAsia" w:eastAsiaTheme="majorEastAsia" w:cstheme="majorEastAsia"/>
                      <w:bCs/>
                      <w:sz w:val="22"/>
                      <w:szCs w:val="22"/>
                      <w:lang w:eastAsia="zh-CN"/>
                    </w:rPr>
                    <w:t>2.在此基础上，评审委员会根据根据采购文件的需求和响应文件响应情况进行分档评分：</w:t>
                  </w:r>
                </w:p>
                <w:p w14:paraId="7A4B1D88">
                  <w:pPr>
                    <w:pStyle w:val="54"/>
                    <w:adjustRightInd w:val="0"/>
                    <w:snapToGrid w:val="0"/>
                    <w:spacing w:line="360" w:lineRule="auto"/>
                    <w:rPr>
                      <w:rFonts w:hint="eastAsia" w:asciiTheme="majorEastAsia" w:hAnsiTheme="majorEastAsia" w:eastAsiaTheme="majorEastAsia" w:cstheme="majorEastAsia"/>
                      <w:bCs/>
                      <w:sz w:val="22"/>
                      <w:szCs w:val="22"/>
                      <w:lang w:eastAsia="zh-CN"/>
                    </w:rPr>
                  </w:pPr>
                  <w:r>
                    <w:rPr>
                      <w:rFonts w:hint="eastAsia" w:asciiTheme="majorEastAsia" w:hAnsiTheme="majorEastAsia" w:eastAsiaTheme="majorEastAsia" w:cstheme="majorEastAsia"/>
                      <w:bCs/>
                      <w:sz w:val="22"/>
                      <w:szCs w:val="22"/>
                      <w:lang w:eastAsia="zh-CN"/>
                    </w:rPr>
                    <w:t>评价为优：内容合理性强，针对性和可操作性强，得30分；</w:t>
                  </w:r>
                </w:p>
                <w:p w14:paraId="15D736DD">
                  <w:pPr>
                    <w:pStyle w:val="54"/>
                    <w:adjustRightInd w:val="0"/>
                    <w:snapToGrid w:val="0"/>
                    <w:spacing w:line="360" w:lineRule="auto"/>
                    <w:rPr>
                      <w:rFonts w:hint="eastAsia" w:asciiTheme="majorEastAsia" w:hAnsiTheme="majorEastAsia" w:eastAsiaTheme="majorEastAsia" w:cstheme="majorEastAsia"/>
                      <w:bCs/>
                      <w:sz w:val="22"/>
                      <w:szCs w:val="22"/>
                      <w:lang w:eastAsia="zh-CN"/>
                    </w:rPr>
                  </w:pPr>
                  <w:r>
                    <w:rPr>
                      <w:rFonts w:hint="eastAsia" w:asciiTheme="majorEastAsia" w:hAnsiTheme="majorEastAsia" w:eastAsiaTheme="majorEastAsia" w:cstheme="majorEastAsia"/>
                      <w:bCs/>
                      <w:sz w:val="22"/>
                      <w:szCs w:val="22"/>
                      <w:lang w:eastAsia="zh-CN"/>
                    </w:rPr>
                    <w:t>评价为良：内容合理性强，针对性和可操作性较强，得20分；</w:t>
                  </w:r>
                </w:p>
                <w:p w14:paraId="3038B5D6">
                  <w:pPr>
                    <w:pStyle w:val="54"/>
                    <w:adjustRightInd w:val="0"/>
                    <w:snapToGrid w:val="0"/>
                    <w:spacing w:line="360" w:lineRule="auto"/>
                    <w:rPr>
                      <w:rFonts w:hint="eastAsia" w:asciiTheme="majorEastAsia" w:hAnsiTheme="majorEastAsia" w:eastAsiaTheme="majorEastAsia" w:cstheme="majorEastAsia"/>
                      <w:bCs/>
                      <w:sz w:val="22"/>
                      <w:szCs w:val="22"/>
                      <w:lang w:eastAsia="zh-CN"/>
                    </w:rPr>
                  </w:pPr>
                  <w:r>
                    <w:rPr>
                      <w:rFonts w:hint="eastAsia" w:asciiTheme="majorEastAsia" w:hAnsiTheme="majorEastAsia" w:eastAsiaTheme="majorEastAsia" w:cstheme="majorEastAsia"/>
                      <w:bCs/>
                      <w:sz w:val="22"/>
                      <w:szCs w:val="22"/>
                      <w:lang w:eastAsia="zh-CN"/>
                    </w:rPr>
                    <w:t>评价为中：内容合理性一般，针对性和可操作性一般，得10分；</w:t>
                  </w:r>
                </w:p>
                <w:p w14:paraId="0E950E01">
                  <w:pPr>
                    <w:pStyle w:val="54"/>
                    <w:adjustRightInd w:val="0"/>
                    <w:snapToGrid w:val="0"/>
                    <w:spacing w:line="360" w:lineRule="auto"/>
                    <w:rPr>
                      <w:rFonts w:hint="eastAsia" w:ascii="宋体" w:hAnsi="宋体" w:eastAsia="宋体" w:cs="宋体"/>
                      <w:sz w:val="21"/>
                      <w:szCs w:val="21"/>
                      <w:highlight w:val="none"/>
                    </w:rPr>
                  </w:pPr>
                  <w:r>
                    <w:rPr>
                      <w:rFonts w:hint="eastAsia" w:asciiTheme="majorEastAsia" w:hAnsiTheme="majorEastAsia" w:eastAsiaTheme="majorEastAsia" w:cstheme="majorEastAsia"/>
                      <w:bCs/>
                      <w:sz w:val="22"/>
                      <w:szCs w:val="22"/>
                      <w:lang w:eastAsia="zh-CN"/>
                    </w:rPr>
                    <w:t>评价为差：内容合理性较差，针对性和可操作性差，不得分。</w:t>
                  </w:r>
                </w:p>
              </w:tc>
            </w:tr>
            <w:tr w14:paraId="50F1F9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5ED9EFF">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6EF4D545">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425E474D">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项目完成（服务期满）后的服务承诺</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2D1B573A">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5116179F">
                  <w:pPr>
                    <w:pStyle w:val="54"/>
                    <w:numPr>
                      <w:ilvl w:val="0"/>
                      <w:numId w:val="2"/>
                    </w:numPr>
                    <w:adjustRightInd w:val="0"/>
                    <w:snapToGrid w:val="0"/>
                    <w:spacing w:line="360" w:lineRule="auto"/>
                    <w:rPr>
                      <w:rFonts w:hint="eastAsia" w:asciiTheme="majorEastAsia" w:hAnsiTheme="majorEastAsia" w:eastAsiaTheme="majorEastAsia" w:cstheme="majorEastAsia"/>
                      <w:b/>
                      <w:bCs w:val="0"/>
                      <w:sz w:val="22"/>
                      <w:szCs w:val="22"/>
                      <w:lang w:eastAsia="zh-CN"/>
                    </w:rPr>
                  </w:pPr>
                  <w:r>
                    <w:rPr>
                      <w:rFonts w:hint="eastAsia" w:asciiTheme="majorEastAsia" w:hAnsiTheme="majorEastAsia" w:eastAsiaTheme="majorEastAsia" w:cstheme="majorEastAsia"/>
                      <w:b/>
                      <w:bCs w:val="0"/>
                      <w:sz w:val="22"/>
                      <w:szCs w:val="22"/>
                      <w:lang w:eastAsia="zh-CN"/>
                    </w:rPr>
                    <w:t>评分内容：</w:t>
                  </w:r>
                </w:p>
                <w:p w14:paraId="325ED23E">
                  <w:pPr>
                    <w:pStyle w:val="54"/>
                    <w:numPr>
                      <w:ilvl w:val="255"/>
                      <w:numId w:val="0"/>
                    </w:numPr>
                    <w:adjustRightInd w:val="0"/>
                    <w:snapToGrid w:val="0"/>
                    <w:spacing w:line="360" w:lineRule="auto"/>
                    <w:rPr>
                      <w:rFonts w:hint="eastAsia" w:asciiTheme="majorEastAsia" w:hAnsiTheme="majorEastAsia" w:eastAsiaTheme="majorEastAsia" w:cstheme="majorEastAsia"/>
                      <w:bCs/>
                      <w:sz w:val="22"/>
                      <w:szCs w:val="22"/>
                      <w:lang w:eastAsia="zh-CN"/>
                    </w:rPr>
                  </w:pPr>
                  <w:r>
                    <w:rPr>
                      <w:rFonts w:hint="eastAsia" w:asciiTheme="majorEastAsia" w:hAnsiTheme="majorEastAsia" w:eastAsiaTheme="majorEastAsia" w:cstheme="majorEastAsia"/>
                      <w:bCs/>
                      <w:sz w:val="22"/>
                      <w:szCs w:val="22"/>
                      <w:lang w:eastAsia="zh-CN"/>
                    </w:rPr>
                    <w:t>响应供应商需针对本项目的需求提供《服务承诺函》(格式自定)，承诺应包含但不限于以下内容：</w:t>
                  </w:r>
                </w:p>
                <w:p w14:paraId="047B76CC">
                  <w:pPr>
                    <w:pStyle w:val="54"/>
                    <w:adjustRightInd w:val="0"/>
                    <w:snapToGrid w:val="0"/>
                    <w:spacing w:line="360" w:lineRule="auto"/>
                    <w:rPr>
                      <w:rFonts w:hint="eastAsia" w:asciiTheme="majorEastAsia" w:hAnsiTheme="majorEastAsia" w:eastAsiaTheme="majorEastAsia" w:cstheme="majorEastAsia"/>
                      <w:bCs/>
                      <w:sz w:val="22"/>
                      <w:szCs w:val="22"/>
                      <w:lang w:eastAsia="zh-CN"/>
                    </w:rPr>
                  </w:pPr>
                  <w:r>
                    <w:rPr>
                      <w:rFonts w:hint="eastAsia" w:asciiTheme="majorEastAsia" w:hAnsiTheme="majorEastAsia" w:eastAsiaTheme="majorEastAsia" w:cstheme="majorEastAsia"/>
                      <w:bCs/>
                      <w:sz w:val="22"/>
                      <w:szCs w:val="22"/>
                      <w:lang w:eastAsia="zh-CN"/>
                    </w:rPr>
                    <w:t>1.项目完成后交接服务人员信息与联系方式。</w:t>
                  </w:r>
                </w:p>
                <w:p w14:paraId="643D2EDD">
                  <w:pPr>
                    <w:adjustRightInd w:val="0"/>
                    <w:snapToGrid w:val="0"/>
                    <w:spacing w:line="360" w:lineRule="auto"/>
                    <w:jc w:val="left"/>
                    <w:rPr>
                      <w:rFonts w:hint="eastAsia" w:asciiTheme="majorEastAsia" w:hAnsiTheme="majorEastAsia" w:eastAsiaTheme="majorEastAsia" w:cstheme="majorEastAsia"/>
                      <w:bCs/>
                      <w:sz w:val="22"/>
                    </w:rPr>
                  </w:pPr>
                  <w:r>
                    <w:rPr>
                      <w:rFonts w:hint="eastAsia" w:asciiTheme="majorEastAsia" w:hAnsiTheme="majorEastAsia" w:eastAsiaTheme="majorEastAsia" w:cstheme="majorEastAsia"/>
                      <w:bCs/>
                      <w:sz w:val="22"/>
                    </w:rPr>
                    <w:t>2.项目完成后交接服务时限。</w:t>
                  </w:r>
                </w:p>
                <w:p w14:paraId="7A950D7C">
                  <w:pPr>
                    <w:adjustRightInd w:val="0"/>
                    <w:snapToGrid w:val="0"/>
                    <w:spacing w:line="360" w:lineRule="auto"/>
                    <w:jc w:val="left"/>
                    <w:rPr>
                      <w:rFonts w:hint="eastAsia" w:asciiTheme="majorEastAsia" w:hAnsiTheme="majorEastAsia" w:eastAsiaTheme="majorEastAsia" w:cstheme="majorEastAsia"/>
                      <w:b/>
                      <w:bCs w:val="0"/>
                      <w:sz w:val="22"/>
                    </w:rPr>
                  </w:pPr>
                  <w:r>
                    <w:rPr>
                      <w:rFonts w:hint="eastAsia" w:asciiTheme="majorEastAsia" w:hAnsiTheme="majorEastAsia" w:eastAsiaTheme="majorEastAsia" w:cstheme="majorEastAsia"/>
                      <w:b/>
                      <w:bCs w:val="0"/>
                      <w:sz w:val="22"/>
                    </w:rPr>
                    <w:t>（二）评分依据：</w:t>
                  </w:r>
                </w:p>
                <w:p w14:paraId="41832186">
                  <w:pPr>
                    <w:adjustRightInd w:val="0"/>
                    <w:snapToGrid w:val="0"/>
                    <w:spacing w:line="360" w:lineRule="auto"/>
                    <w:jc w:val="left"/>
                    <w:rPr>
                      <w:rFonts w:hint="eastAsia" w:ascii="宋体" w:hAnsi="宋体" w:eastAsia="宋体" w:cs="宋体"/>
                      <w:sz w:val="21"/>
                      <w:szCs w:val="21"/>
                      <w:highlight w:val="none"/>
                    </w:rPr>
                  </w:pPr>
                  <w:r>
                    <w:rPr>
                      <w:rFonts w:hint="eastAsia" w:asciiTheme="majorEastAsia" w:hAnsiTheme="majorEastAsia" w:eastAsiaTheme="majorEastAsia" w:cstheme="majorEastAsia"/>
                      <w:bCs/>
                      <w:sz w:val="22"/>
                    </w:rPr>
                    <w:t>提供承诺函（格式自拟，加盖投标人公章），包含以上全部内容的得100分，未提供或未按要求提供或提供的承诺函不清晰导致无法判断的不得分。</w:t>
                  </w:r>
                </w:p>
              </w:tc>
            </w:tr>
            <w:tr w14:paraId="04774A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8AB3B7">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74B78CD5">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02AFA065">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违约承诺</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622CC137">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675D2DE4">
                  <w:pPr>
                    <w:numPr>
                      <w:ilvl w:val="0"/>
                      <w:numId w:val="3"/>
                    </w:numPr>
                    <w:adjustRightInd w:val="0"/>
                    <w:snapToGrid w:val="0"/>
                    <w:spacing w:line="360" w:lineRule="auto"/>
                    <w:jc w:val="left"/>
                    <w:rPr>
                      <w:rFonts w:hint="eastAsia" w:asciiTheme="majorEastAsia" w:hAnsiTheme="majorEastAsia" w:eastAsiaTheme="majorEastAsia" w:cstheme="majorEastAsia"/>
                      <w:b/>
                      <w:bCs/>
                      <w:spacing w:val="8"/>
                      <w:sz w:val="22"/>
                    </w:rPr>
                  </w:pPr>
                  <w:r>
                    <w:rPr>
                      <w:rFonts w:hint="eastAsia" w:asciiTheme="majorEastAsia" w:hAnsiTheme="majorEastAsia" w:eastAsiaTheme="majorEastAsia" w:cstheme="majorEastAsia"/>
                      <w:b/>
                      <w:bCs/>
                      <w:spacing w:val="8"/>
                      <w:sz w:val="22"/>
                    </w:rPr>
                    <w:t>评分内容：</w:t>
                  </w:r>
                </w:p>
                <w:p w14:paraId="5DC1EEED">
                  <w:pPr>
                    <w:adjustRightInd w:val="0"/>
                    <w:snapToGrid w:val="0"/>
                    <w:spacing w:line="360" w:lineRule="auto"/>
                    <w:jc w:val="left"/>
                    <w:rPr>
                      <w:rFonts w:hint="eastAsia" w:asciiTheme="majorEastAsia" w:hAnsiTheme="majorEastAsia" w:eastAsiaTheme="majorEastAsia" w:cstheme="majorEastAsia"/>
                      <w:spacing w:val="8"/>
                      <w:sz w:val="22"/>
                    </w:rPr>
                  </w:pPr>
                  <w:r>
                    <w:rPr>
                      <w:rFonts w:hint="eastAsia" w:asciiTheme="majorEastAsia" w:hAnsiTheme="majorEastAsia" w:eastAsiaTheme="majorEastAsia" w:cstheme="majorEastAsia"/>
                      <w:spacing w:val="8"/>
                      <w:sz w:val="22"/>
                    </w:rPr>
                    <w:t>投标人需提供书面承诺，承诺内容包括但不限于以下内容：在</w:t>
                  </w:r>
                  <w:r>
                    <w:rPr>
                      <w:rFonts w:hint="eastAsia" w:asciiTheme="majorEastAsia" w:hAnsiTheme="majorEastAsia" w:eastAsiaTheme="majorEastAsia" w:cstheme="majorEastAsia"/>
                      <w:spacing w:val="7"/>
                      <w:sz w:val="22"/>
                    </w:rPr>
                    <w:t>合同签订之日起7个工作日内，按时开展该</w:t>
                  </w:r>
                  <w:r>
                    <w:rPr>
                      <w:rFonts w:hint="eastAsia" w:asciiTheme="majorEastAsia" w:hAnsiTheme="majorEastAsia" w:eastAsiaTheme="majorEastAsia" w:cstheme="majorEastAsia"/>
                      <w:spacing w:val="9"/>
                      <w:sz w:val="22"/>
                    </w:rPr>
                    <w:t>合同服务，包括厨房服务等相关工作。如未能按时开展，将视为根本违约，采购方有权立即解除与其签订的采购合同，且投标人</w:t>
                  </w:r>
                  <w:r>
                    <w:rPr>
                      <w:rFonts w:hint="eastAsia" w:asciiTheme="majorEastAsia" w:hAnsiTheme="majorEastAsia" w:eastAsiaTheme="majorEastAsia" w:cstheme="majorEastAsia"/>
                      <w:spacing w:val="8"/>
                      <w:sz w:val="22"/>
                    </w:rPr>
                    <w:t>还需向采购方支付中选价的3%的违约金并赔偿其他损失。</w:t>
                  </w:r>
                </w:p>
                <w:p w14:paraId="39491EA7">
                  <w:pPr>
                    <w:numPr>
                      <w:ilvl w:val="0"/>
                      <w:numId w:val="3"/>
                    </w:numPr>
                    <w:adjustRightInd w:val="0"/>
                    <w:snapToGrid w:val="0"/>
                    <w:spacing w:line="360" w:lineRule="auto"/>
                    <w:jc w:val="left"/>
                    <w:rPr>
                      <w:rFonts w:hint="eastAsia" w:asciiTheme="majorEastAsia" w:hAnsiTheme="majorEastAsia" w:eastAsiaTheme="majorEastAsia" w:cstheme="majorEastAsia"/>
                      <w:b/>
                      <w:bCs/>
                      <w:spacing w:val="8"/>
                      <w:sz w:val="22"/>
                    </w:rPr>
                  </w:pPr>
                  <w:r>
                    <w:rPr>
                      <w:rFonts w:hint="eastAsia" w:asciiTheme="majorEastAsia" w:hAnsiTheme="majorEastAsia" w:eastAsiaTheme="majorEastAsia" w:cstheme="majorEastAsia"/>
                      <w:b/>
                      <w:bCs/>
                      <w:spacing w:val="8"/>
                      <w:sz w:val="22"/>
                    </w:rPr>
                    <w:t>评分依据：</w:t>
                  </w:r>
                </w:p>
                <w:p w14:paraId="661BB4A1">
                  <w:pPr>
                    <w:adjustRightInd w:val="0"/>
                    <w:snapToGrid w:val="0"/>
                    <w:spacing w:line="360" w:lineRule="auto"/>
                    <w:jc w:val="left"/>
                    <w:rPr>
                      <w:rFonts w:hint="eastAsia" w:asciiTheme="majorEastAsia" w:hAnsiTheme="majorEastAsia" w:eastAsiaTheme="majorEastAsia" w:cstheme="majorEastAsia"/>
                      <w:spacing w:val="9"/>
                      <w:sz w:val="22"/>
                    </w:rPr>
                  </w:pPr>
                  <w:r>
                    <w:rPr>
                      <w:rFonts w:hint="eastAsia" w:asciiTheme="majorEastAsia" w:hAnsiTheme="majorEastAsia" w:eastAsiaTheme="majorEastAsia" w:cstheme="majorEastAsia"/>
                      <w:spacing w:val="8"/>
                      <w:sz w:val="22"/>
                    </w:rPr>
                    <w:t>须提供</w:t>
                  </w:r>
                  <w:r>
                    <w:rPr>
                      <w:rFonts w:hint="eastAsia" w:asciiTheme="majorEastAsia" w:hAnsiTheme="majorEastAsia" w:eastAsiaTheme="majorEastAsia" w:cstheme="majorEastAsia"/>
                      <w:spacing w:val="7"/>
                      <w:sz w:val="22"/>
                    </w:rPr>
                    <w:t>违约承诺函（格式自拟</w:t>
                  </w:r>
                  <w:r>
                    <w:rPr>
                      <w:rFonts w:hint="eastAsia" w:asciiTheme="majorEastAsia" w:hAnsiTheme="majorEastAsia" w:eastAsiaTheme="majorEastAsia" w:cstheme="majorEastAsia"/>
                      <w:spacing w:val="21"/>
                      <w:sz w:val="22"/>
                    </w:rPr>
                    <w:t>），</w:t>
                  </w:r>
                  <w:r>
                    <w:rPr>
                      <w:rFonts w:hint="eastAsia" w:asciiTheme="majorEastAsia" w:hAnsiTheme="majorEastAsia" w:eastAsiaTheme="majorEastAsia" w:cstheme="majorEastAsia"/>
                      <w:spacing w:val="7"/>
                      <w:sz w:val="22"/>
                    </w:rPr>
                    <w:t>按要求提供得100</w:t>
                  </w:r>
                  <w:r>
                    <w:rPr>
                      <w:rFonts w:hint="eastAsia" w:asciiTheme="majorEastAsia" w:hAnsiTheme="majorEastAsia" w:eastAsiaTheme="majorEastAsia" w:cstheme="majorEastAsia"/>
                      <w:spacing w:val="9"/>
                      <w:sz w:val="22"/>
                    </w:rPr>
                    <w:t>分。</w:t>
                  </w:r>
                </w:p>
                <w:p w14:paraId="4FED6A2A">
                  <w:pPr>
                    <w:adjustRightInd w:val="0"/>
                    <w:snapToGrid w:val="0"/>
                    <w:spacing w:line="360" w:lineRule="auto"/>
                    <w:jc w:val="left"/>
                    <w:rPr>
                      <w:rFonts w:hint="eastAsia" w:asciiTheme="majorEastAsia" w:hAnsiTheme="majorEastAsia" w:eastAsiaTheme="majorEastAsia" w:cstheme="majorEastAsia"/>
                      <w:spacing w:val="9"/>
                      <w:sz w:val="22"/>
                    </w:rPr>
                  </w:pPr>
                  <w:r>
                    <w:rPr>
                      <w:rFonts w:hint="eastAsia" w:asciiTheme="majorEastAsia" w:hAnsiTheme="majorEastAsia" w:eastAsiaTheme="majorEastAsia" w:cstheme="majorEastAsia"/>
                      <w:spacing w:val="9"/>
                      <w:sz w:val="22"/>
                    </w:rPr>
                    <w:t>未按要求提供或提供不清晰导致专家无法判断的不得分。</w:t>
                  </w:r>
                </w:p>
                <w:p w14:paraId="17260E60">
                  <w:pPr>
                    <w:adjustRightInd w:val="0"/>
                    <w:snapToGrid w:val="0"/>
                    <w:spacing w:line="360" w:lineRule="auto"/>
                    <w:jc w:val="left"/>
                    <w:rPr>
                      <w:rFonts w:hint="eastAsia" w:ascii="宋体" w:hAnsi="宋体" w:eastAsia="宋体" w:cs="宋体"/>
                      <w:sz w:val="21"/>
                      <w:szCs w:val="21"/>
                      <w:highlight w:val="none"/>
                    </w:rPr>
                  </w:pPr>
                  <w:r>
                    <w:rPr>
                      <w:rFonts w:hint="eastAsia" w:asciiTheme="majorEastAsia" w:hAnsiTheme="majorEastAsia" w:eastAsiaTheme="majorEastAsia" w:cstheme="majorEastAsia"/>
                      <w:spacing w:val="9"/>
                      <w:sz w:val="22"/>
                    </w:rPr>
                    <w:t>【须提供加盖投标人公章的违约承诺函，按要求提供得满分，未提</w:t>
                  </w:r>
                  <w:r>
                    <w:rPr>
                      <w:rFonts w:hint="eastAsia" w:asciiTheme="majorEastAsia" w:hAnsiTheme="majorEastAsia" w:eastAsiaTheme="majorEastAsia" w:cstheme="majorEastAsia"/>
                      <w:spacing w:val="10"/>
                      <w:sz w:val="22"/>
                    </w:rPr>
                    <w:t>供或提供信息不全均不得分。】</w:t>
                  </w:r>
                </w:p>
              </w:tc>
            </w:tr>
            <w:tr w14:paraId="08D23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0E52FA9">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130F9D87">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24AC2C48">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拟安排项目负责人情况（仅限1人）</w:t>
                  </w:r>
                </w:p>
                <w:p w14:paraId="21AAF967">
                  <w:pPr>
                    <w:wordWrap/>
                    <w:spacing w:line="240" w:lineRule="auto"/>
                    <w:jc w:val="center"/>
                    <w:rPr>
                      <w:rFonts w:hint="eastAsia" w:ascii="宋体" w:hAnsi="宋体" w:eastAsia="宋体" w:cs="宋体"/>
                      <w:sz w:val="21"/>
                      <w:szCs w:val="21"/>
                      <w:highlight w:val="none"/>
                    </w:rPr>
                  </w:pP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4A4A5AFE">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5F9679CD">
                  <w:pPr>
                    <w:adjustRightInd w:val="0"/>
                    <w:snapToGrid w:val="0"/>
                    <w:spacing w:line="360" w:lineRule="auto"/>
                    <w:jc w:val="left"/>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2"/>
                    </w:rPr>
                    <w:t>（一）评分内容：</w:t>
                  </w:r>
                </w:p>
                <w:p w14:paraId="474B76CE">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项目负责人需为投标单位自有员工，否则本项不得分。在此基础上，为本项目拟安排的项目负责人具有：</w:t>
                  </w:r>
                </w:p>
                <w:p w14:paraId="3519A643">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1.全日制本科（含）及以上学历</w:t>
                  </w:r>
                  <w:r>
                    <w:rPr>
                      <w:rFonts w:hint="eastAsia" w:asciiTheme="majorEastAsia" w:hAnsiTheme="majorEastAsia" w:eastAsiaTheme="majorEastAsia" w:cstheme="majorEastAsia"/>
                      <w:spacing w:val="4"/>
                      <w:sz w:val="22"/>
                    </w:rPr>
                    <w:t>得10分</w:t>
                  </w:r>
                  <w:r>
                    <w:rPr>
                      <w:rFonts w:hint="eastAsia" w:asciiTheme="majorEastAsia" w:hAnsiTheme="majorEastAsia" w:eastAsiaTheme="majorEastAsia" w:cstheme="majorEastAsia"/>
                      <w:sz w:val="22"/>
                    </w:rPr>
                    <w:t>。</w:t>
                  </w:r>
                </w:p>
                <w:p w14:paraId="340C219F">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2.政府部门或行业协会或第三方组织机构颁发的高级职业经理人证书</w:t>
                  </w:r>
                  <w:r>
                    <w:rPr>
                      <w:rFonts w:hint="eastAsia" w:asciiTheme="majorEastAsia" w:hAnsiTheme="majorEastAsia" w:eastAsiaTheme="majorEastAsia" w:cstheme="majorEastAsia"/>
                      <w:spacing w:val="4"/>
                      <w:sz w:val="22"/>
                    </w:rPr>
                    <w:t>得15分</w:t>
                  </w:r>
                  <w:r>
                    <w:rPr>
                      <w:rFonts w:hint="eastAsia" w:asciiTheme="majorEastAsia" w:hAnsiTheme="majorEastAsia" w:eastAsiaTheme="majorEastAsia" w:cstheme="majorEastAsia"/>
                      <w:sz w:val="22"/>
                    </w:rPr>
                    <w:t>。</w:t>
                  </w:r>
                </w:p>
                <w:p w14:paraId="50729CF7">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3.政府部门或行业协会或第三方组织机构颁发的食品安全管理师证书</w:t>
                  </w:r>
                  <w:r>
                    <w:rPr>
                      <w:rFonts w:hint="eastAsia" w:asciiTheme="majorEastAsia" w:hAnsiTheme="majorEastAsia" w:eastAsiaTheme="majorEastAsia" w:cstheme="majorEastAsia"/>
                      <w:spacing w:val="4"/>
                      <w:sz w:val="22"/>
                    </w:rPr>
                    <w:t>得15分</w:t>
                  </w:r>
                  <w:r>
                    <w:rPr>
                      <w:rFonts w:hint="eastAsia" w:asciiTheme="majorEastAsia" w:hAnsiTheme="majorEastAsia" w:eastAsiaTheme="majorEastAsia" w:cstheme="majorEastAsia"/>
                      <w:sz w:val="22"/>
                    </w:rPr>
                    <w:t>。</w:t>
                  </w:r>
                </w:p>
                <w:p w14:paraId="57FC7F27">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4.人力资源和社会保障部（或在人社部备案的第三方机构）颁发的三级（含）或以上健康管理师证书</w:t>
                  </w:r>
                  <w:r>
                    <w:rPr>
                      <w:rFonts w:hint="eastAsia" w:asciiTheme="majorEastAsia" w:hAnsiTheme="majorEastAsia" w:eastAsiaTheme="majorEastAsia" w:cstheme="majorEastAsia"/>
                      <w:spacing w:val="4"/>
                      <w:sz w:val="22"/>
                    </w:rPr>
                    <w:t>得15分</w:t>
                  </w:r>
                  <w:r>
                    <w:rPr>
                      <w:rFonts w:hint="eastAsia" w:asciiTheme="majorEastAsia" w:hAnsiTheme="majorEastAsia" w:eastAsiaTheme="majorEastAsia" w:cstheme="majorEastAsia"/>
                      <w:sz w:val="22"/>
                    </w:rPr>
                    <w:t>。</w:t>
                  </w:r>
                </w:p>
                <w:p w14:paraId="0CA6E9B1">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5.人力资源和社会保障部（或在人社部备案的第三方机构）颁发的一级企业人力资源管理师证书</w:t>
                  </w:r>
                  <w:r>
                    <w:rPr>
                      <w:rFonts w:hint="eastAsia" w:asciiTheme="majorEastAsia" w:hAnsiTheme="majorEastAsia" w:eastAsiaTheme="majorEastAsia" w:cstheme="majorEastAsia"/>
                      <w:spacing w:val="4"/>
                      <w:sz w:val="22"/>
                    </w:rPr>
                    <w:t>得15分</w:t>
                  </w:r>
                  <w:r>
                    <w:rPr>
                      <w:rFonts w:hint="eastAsia" w:asciiTheme="majorEastAsia" w:hAnsiTheme="majorEastAsia" w:eastAsiaTheme="majorEastAsia" w:cstheme="majorEastAsia"/>
                      <w:sz w:val="22"/>
                    </w:rPr>
                    <w:t>。</w:t>
                  </w:r>
                </w:p>
                <w:p w14:paraId="7A5FDBB4">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6.人力资源和社会保障部（或在人社部备案的第三方机构）颁发的一级中式烹调师</w:t>
                  </w:r>
                  <w:r>
                    <w:rPr>
                      <w:rFonts w:hint="eastAsia" w:asciiTheme="majorEastAsia" w:hAnsiTheme="majorEastAsia" w:eastAsiaTheme="majorEastAsia" w:cstheme="majorEastAsia"/>
                      <w:spacing w:val="4"/>
                      <w:sz w:val="22"/>
                    </w:rPr>
                    <w:t>得15分</w:t>
                  </w:r>
                  <w:r>
                    <w:rPr>
                      <w:rFonts w:hint="eastAsia" w:asciiTheme="majorEastAsia" w:hAnsiTheme="majorEastAsia" w:eastAsiaTheme="majorEastAsia" w:cstheme="majorEastAsia"/>
                      <w:sz w:val="22"/>
                    </w:rPr>
                    <w:t>。</w:t>
                  </w:r>
                </w:p>
                <w:p w14:paraId="4A7C6F44">
                  <w:pPr>
                    <w:adjustRightInd w:val="0"/>
                    <w:snapToGrid w:val="0"/>
                    <w:spacing w:line="360" w:lineRule="auto"/>
                    <w:rPr>
                      <w:rFonts w:hint="eastAsia" w:asciiTheme="majorEastAsia" w:hAnsiTheme="majorEastAsia" w:eastAsiaTheme="majorEastAsia" w:cstheme="majorEastAsia"/>
                      <w:spacing w:val="4"/>
                      <w:sz w:val="22"/>
                    </w:rPr>
                  </w:pPr>
                  <w:r>
                    <w:rPr>
                      <w:rFonts w:hint="eastAsia" w:asciiTheme="majorEastAsia" w:hAnsiTheme="majorEastAsia" w:eastAsiaTheme="majorEastAsia" w:cstheme="majorEastAsia"/>
                      <w:sz w:val="22"/>
                    </w:rPr>
                    <w:t>7.人力资源和社会保障部（或在人社部备案的第三方机构）颁发的二级（含）或以上公共营养师证书</w:t>
                  </w:r>
                  <w:r>
                    <w:rPr>
                      <w:rFonts w:hint="eastAsia" w:asciiTheme="majorEastAsia" w:hAnsiTheme="majorEastAsia" w:eastAsiaTheme="majorEastAsia" w:cstheme="majorEastAsia"/>
                      <w:spacing w:val="4"/>
                      <w:sz w:val="22"/>
                    </w:rPr>
                    <w:t>得15分。</w:t>
                  </w:r>
                </w:p>
                <w:p w14:paraId="10DF4FD8">
                  <w:pPr>
                    <w:adjustRightInd w:val="0"/>
                    <w:snapToGrid w:val="0"/>
                    <w:spacing w:line="360" w:lineRule="auto"/>
                    <w:rPr>
                      <w:rFonts w:hint="eastAsia" w:asciiTheme="majorEastAsia" w:hAnsiTheme="majorEastAsia" w:eastAsiaTheme="majorEastAsia" w:cstheme="majorEastAsia"/>
                      <w:spacing w:val="4"/>
                      <w:sz w:val="22"/>
                    </w:rPr>
                  </w:pPr>
                  <w:r>
                    <w:rPr>
                      <w:rFonts w:hint="eastAsia" w:asciiTheme="majorEastAsia" w:hAnsiTheme="majorEastAsia" w:eastAsiaTheme="majorEastAsia" w:cstheme="majorEastAsia"/>
                      <w:sz w:val="22"/>
                    </w:rPr>
                    <w:t>本项总分100分，同一人具备多个证书不重复计分。</w:t>
                  </w:r>
                </w:p>
                <w:p w14:paraId="1E382A3B">
                  <w:pPr>
                    <w:adjustRightInd w:val="0"/>
                    <w:snapToGrid w:val="0"/>
                    <w:spacing w:line="360" w:lineRule="auto"/>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2"/>
                    </w:rPr>
                    <w:t>（二）评分依据：</w:t>
                  </w:r>
                </w:p>
                <w:p w14:paraId="5E1F2BEC">
                  <w:pPr>
                    <w:adjustRightInd w:val="0"/>
                    <w:snapToGrid w:val="0"/>
                    <w:spacing w:line="360" w:lineRule="auto"/>
                    <w:jc w:val="left"/>
                    <w:rPr>
                      <w:rFonts w:hint="eastAsia" w:asciiTheme="majorEastAsia" w:hAnsiTheme="majorEastAsia" w:eastAsiaTheme="majorEastAsia" w:cstheme="majorEastAsia"/>
                      <w:sz w:val="22"/>
                    </w:rPr>
                  </w:pPr>
                  <w:r>
                    <w:rPr>
                      <w:rStyle w:val="64"/>
                      <w:rFonts w:hint="eastAsia" w:asciiTheme="majorEastAsia" w:hAnsiTheme="majorEastAsia" w:eastAsiaTheme="majorEastAsia" w:cstheme="majorEastAsia"/>
                      <w:sz w:val="22"/>
                    </w:rPr>
                    <w:t>1.提供投标人开标日前由投标人为其缴交的载有社保部门公章的近</w:t>
                  </w:r>
                  <w:r>
                    <w:rPr>
                      <w:rFonts w:hint="eastAsia" w:asciiTheme="majorEastAsia" w:hAnsiTheme="majorEastAsia" w:eastAsiaTheme="majorEastAsia" w:cstheme="majorEastAsia"/>
                      <w:sz w:val="22"/>
                    </w:rPr>
                    <w:t>三个月</w:t>
                  </w:r>
                  <w:r>
                    <w:rPr>
                      <w:rFonts w:hint="eastAsia" w:asciiTheme="majorEastAsia" w:hAnsiTheme="majorEastAsia" w:eastAsiaTheme="majorEastAsia" w:cstheme="majorEastAsia"/>
                      <w:sz w:val="22"/>
                      <w:szCs w:val="22"/>
                      <w:lang w:val="en-US" w:eastAsia="zh-CN"/>
                    </w:rPr>
                    <w:t>(</w:t>
                  </w:r>
                  <w:r>
                    <w:rPr>
                      <w:rFonts w:hint="eastAsia"/>
                      <w:sz w:val="22"/>
                      <w:szCs w:val="22"/>
                    </w:rPr>
                    <w:t>2024年5月-2024年7月</w:t>
                  </w:r>
                  <w:r>
                    <w:rPr>
                      <w:rFonts w:hint="eastAsia"/>
                      <w:sz w:val="22"/>
                      <w:szCs w:val="22"/>
                      <w:lang w:val="en-US" w:eastAsia="zh-CN"/>
                    </w:rPr>
                    <w:t>)</w:t>
                  </w:r>
                  <w:r>
                    <w:rPr>
                      <w:rFonts w:hint="eastAsia" w:asciiTheme="majorEastAsia" w:hAnsiTheme="majorEastAsia" w:eastAsiaTheme="majorEastAsia" w:cstheme="majorEastAsia"/>
                      <w:sz w:val="22"/>
                    </w:rPr>
                    <w:t>内任意一个月的</w:t>
                  </w:r>
                  <w:r>
                    <w:rPr>
                      <w:rStyle w:val="64"/>
                      <w:rFonts w:hint="eastAsia" w:asciiTheme="majorEastAsia" w:hAnsiTheme="majorEastAsia" w:eastAsiaTheme="majorEastAsia" w:cstheme="majorEastAsia"/>
                      <w:sz w:val="22"/>
                    </w:rPr>
                    <w:t>社保缴交证明材料</w:t>
                  </w:r>
                  <w:r>
                    <w:rPr>
                      <w:rFonts w:hint="eastAsia" w:asciiTheme="majorEastAsia" w:hAnsiTheme="majorEastAsia" w:eastAsiaTheme="majorEastAsia" w:cstheme="majorEastAsia"/>
                      <w:sz w:val="22"/>
                    </w:rPr>
                    <w:t>（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25E28AB8">
                  <w:pPr>
                    <w:pStyle w:val="9"/>
                    <w:adjustRightInd w:val="0"/>
                    <w:snapToGrid w:val="0"/>
                    <w:rPr>
                      <w:rStyle w:val="64"/>
                      <w:rFonts w:hint="eastAsia" w:asciiTheme="majorEastAsia" w:hAnsiTheme="majorEastAsia" w:eastAsiaTheme="majorEastAsia" w:cstheme="majorEastAsia"/>
                      <w:b w:val="0"/>
                      <w:bCs w:val="0"/>
                      <w:sz w:val="22"/>
                      <w:szCs w:val="22"/>
                    </w:rPr>
                  </w:pPr>
                  <w:r>
                    <w:rPr>
                      <w:rStyle w:val="64"/>
                      <w:rFonts w:hint="eastAsia" w:asciiTheme="majorEastAsia" w:hAnsiTheme="majorEastAsia" w:eastAsiaTheme="majorEastAsia" w:cstheme="majorEastAsia"/>
                      <w:b w:val="0"/>
                      <w:sz w:val="22"/>
                      <w:szCs w:val="22"/>
                    </w:rPr>
                    <w:t>若供应商成立不足三个月的，需提供成立情况说明函（格式自拟），无需提供相关人员社保，亦可得分。</w:t>
                  </w:r>
                </w:p>
                <w:p w14:paraId="7EF06DDC">
                  <w:pPr>
                    <w:pStyle w:val="9"/>
                    <w:adjustRightInd w:val="0"/>
                    <w:snapToGrid w:val="0"/>
                    <w:rPr>
                      <w:rStyle w:val="64"/>
                      <w:rFonts w:hint="eastAsia" w:asciiTheme="majorEastAsia" w:hAnsiTheme="majorEastAsia" w:eastAsiaTheme="majorEastAsia" w:cstheme="majorEastAsia"/>
                      <w:b w:val="0"/>
                      <w:sz w:val="22"/>
                      <w:szCs w:val="22"/>
                    </w:rPr>
                  </w:pPr>
                  <w:r>
                    <w:rPr>
                      <w:rStyle w:val="64"/>
                      <w:rFonts w:hint="eastAsia" w:asciiTheme="majorEastAsia" w:hAnsiTheme="majorEastAsia" w:eastAsiaTheme="majorEastAsia" w:cstheme="majorEastAsia"/>
                      <w:b w:val="0"/>
                      <w:sz w:val="22"/>
                      <w:szCs w:val="22"/>
                    </w:rPr>
                    <w:t>2.学历要求需提供相关学历证书和学信网查询截图，学信网无法查询的，可提供其他佐证材料：如毕业院校、人社部门等颁发机构、监管机构或市级人才交流服务中心等单位出具的证明；留学归国人员如无法提供学信网查询记录截图，提供国（境）外学历证书扫描件（以及中文翻译件）和教育部留学服务中心出具的国外学历认证书扫描件【或教育部留学服务中心网站（http://zwfw.cscse.edu.cn/）在线查询截图】也予以认可。</w:t>
                  </w:r>
                </w:p>
                <w:p w14:paraId="68B399E3">
                  <w:pPr>
                    <w:adjustRightInd w:val="0"/>
                    <w:snapToGrid w:val="0"/>
                    <w:spacing w:line="360" w:lineRule="auto"/>
                    <w:jc w:val="left"/>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3.第2-3项评分，若行业协会或第三方组织机构颁发的证书，</w:t>
                  </w:r>
                  <w:r>
                    <w:rPr>
                      <w:rStyle w:val="64"/>
                      <w:rFonts w:hint="eastAsia" w:asciiTheme="majorEastAsia" w:hAnsiTheme="majorEastAsia" w:eastAsiaTheme="majorEastAsia" w:cstheme="majorEastAsia"/>
                      <w:sz w:val="22"/>
                    </w:rPr>
                    <w:t>需同时提供证书扫描件及颁发机构在全国社会组织信用信息公示平台（https://xxgs.chinanpo.mca.gov.cn）登记信息状态“正常”的网站查询截图。</w:t>
                  </w:r>
                  <w:r>
                    <w:rPr>
                      <w:rFonts w:hint="eastAsia" w:asciiTheme="majorEastAsia" w:hAnsiTheme="majorEastAsia" w:eastAsiaTheme="majorEastAsia" w:cstheme="majorEastAsia"/>
                      <w:sz w:val="22"/>
                    </w:rPr>
                    <w:t>。</w:t>
                  </w:r>
                </w:p>
                <w:p w14:paraId="4D239B2A">
                  <w:pPr>
                    <w:pStyle w:val="9"/>
                    <w:adjustRightInd w:val="0"/>
                    <w:snapToGrid w:val="0"/>
                    <w:rPr>
                      <w:rFonts w:hint="eastAsia" w:asciiTheme="majorEastAsia" w:hAnsiTheme="majorEastAsia" w:eastAsiaTheme="majorEastAsia" w:cstheme="majorEastAsia"/>
                      <w:b w:val="0"/>
                      <w:bCs w:val="0"/>
                      <w:sz w:val="22"/>
                      <w:szCs w:val="22"/>
                    </w:rPr>
                  </w:pPr>
                  <w:r>
                    <w:rPr>
                      <w:rFonts w:hint="eastAsia" w:asciiTheme="majorEastAsia" w:hAnsiTheme="majorEastAsia" w:eastAsiaTheme="majorEastAsia" w:cstheme="majorEastAsia"/>
                      <w:b w:val="0"/>
                      <w:bCs w:val="0"/>
                      <w:sz w:val="22"/>
                      <w:szCs w:val="22"/>
                    </w:rPr>
                    <w:t>4.第4-7项评分，投标人须提供证书扫描件及及技能人才评价证书全国联网查询网站截图(查询网址：</w:t>
                  </w:r>
                  <w:r>
                    <w:rPr>
                      <w:rFonts w:hint="eastAsia" w:asciiTheme="majorEastAsia" w:hAnsiTheme="majorEastAsia" w:eastAsiaTheme="majorEastAsia" w:cstheme="majorEastAsia"/>
                      <w:b w:val="0"/>
                      <w:bCs w:val="0"/>
                      <w:color w:val="auto"/>
                      <w:sz w:val="22"/>
                      <w:szCs w:val="22"/>
                      <w:u w:val="none"/>
                    </w:rPr>
                    <w:t>http://zscx.osta.org.cn/</w:t>
                  </w:r>
                  <w:r>
                    <w:rPr>
                      <w:rFonts w:hint="eastAsia" w:asciiTheme="majorEastAsia" w:hAnsiTheme="majorEastAsia" w:eastAsiaTheme="majorEastAsia" w:cstheme="majorEastAsia"/>
                      <w:b w:val="0"/>
                      <w:bCs w:val="0"/>
                      <w:color w:val="auto"/>
                      <w:sz w:val="22"/>
                      <w:szCs w:val="22"/>
                      <w:u w:val="none"/>
                      <w:lang w:val="en-US" w:eastAsia="zh-CN"/>
                    </w:rPr>
                    <w:t xml:space="preserve"> 或</w:t>
                  </w:r>
                  <w:r>
                    <w:rPr>
                      <w:rFonts w:hint="eastAsia" w:asciiTheme="majorEastAsia" w:hAnsiTheme="majorEastAsia" w:eastAsiaTheme="majorEastAsia" w:cstheme="majorEastAsia"/>
                      <w:b w:val="0"/>
                      <w:bCs w:val="0"/>
                      <w:color w:val="auto"/>
                      <w:sz w:val="22"/>
                      <w:szCs w:val="22"/>
                      <w:u w:val="none"/>
                    </w:rPr>
                    <w:t>http://jndj.osta.org.cn/)。</w:t>
                  </w:r>
                </w:p>
                <w:p w14:paraId="0C64B57D">
                  <w:pPr>
                    <w:pStyle w:val="54"/>
                    <w:adjustRightInd w:val="0"/>
                    <w:snapToGrid w:val="0"/>
                    <w:spacing w:line="360" w:lineRule="auto"/>
                    <w:jc w:val="left"/>
                    <w:rPr>
                      <w:rFonts w:hint="eastAsia" w:ascii="宋体" w:hAnsi="宋体" w:eastAsia="宋体" w:cs="宋体"/>
                      <w:sz w:val="21"/>
                      <w:szCs w:val="21"/>
                      <w:highlight w:val="none"/>
                      <w:lang w:eastAsia="zh-CN"/>
                    </w:rPr>
                  </w:pPr>
                  <w:r>
                    <w:rPr>
                      <w:rStyle w:val="64"/>
                      <w:rFonts w:hint="eastAsia" w:asciiTheme="majorEastAsia" w:hAnsiTheme="majorEastAsia" w:eastAsiaTheme="majorEastAsia" w:cstheme="majorEastAsia"/>
                      <w:sz w:val="22"/>
                      <w:szCs w:val="22"/>
                    </w:rPr>
                    <w:t>5.以上证明文件原件备查，未提供证明材料或未按要求提供或提供不清晰导致评审专家无法判断的不得分。</w:t>
                  </w:r>
                </w:p>
              </w:tc>
            </w:tr>
            <w:tr w14:paraId="6F1B1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2FA1316">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3FBA928A">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41A0826C">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拟安排的项目团队成员（项目负责人除外）情况</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7B8C5933">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62C5AC21">
                  <w:pPr>
                    <w:numPr>
                      <w:ilvl w:val="0"/>
                      <w:numId w:val="4"/>
                    </w:numPr>
                    <w:adjustRightInd w:val="0"/>
                    <w:snapToGrid w:val="0"/>
                    <w:spacing w:line="360" w:lineRule="auto"/>
                    <w:rPr>
                      <w:rFonts w:hint="eastAsia" w:asciiTheme="majorEastAsia" w:hAnsiTheme="majorEastAsia" w:eastAsiaTheme="majorEastAsia" w:cstheme="majorEastAsia"/>
                      <w:b/>
                      <w:bCs/>
                      <w:spacing w:val="6"/>
                      <w:sz w:val="22"/>
                    </w:rPr>
                  </w:pPr>
                  <w:r>
                    <w:rPr>
                      <w:rFonts w:hint="eastAsia" w:asciiTheme="majorEastAsia" w:hAnsiTheme="majorEastAsia" w:eastAsiaTheme="majorEastAsia" w:cstheme="majorEastAsia"/>
                      <w:b/>
                      <w:bCs/>
                      <w:spacing w:val="6"/>
                      <w:sz w:val="22"/>
                    </w:rPr>
                    <w:t>评分内容：</w:t>
                  </w:r>
                </w:p>
                <w:p w14:paraId="0B4336C3">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拟安排项目主要团队成员为投标单位员工（以社保为准）否则本项不得分。</w:t>
                  </w:r>
                </w:p>
                <w:p w14:paraId="663B724D">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投标人拟安排的项目主要团队成员中，具备以下证书：</w:t>
                  </w:r>
                </w:p>
                <w:p w14:paraId="53D906BD">
                  <w:pPr>
                    <w:adjustRightInd w:val="0"/>
                    <w:snapToGrid w:val="0"/>
                    <w:spacing w:line="360" w:lineRule="auto"/>
                    <w:rPr>
                      <w:rFonts w:hint="eastAsia" w:asciiTheme="majorEastAsia" w:hAnsiTheme="majorEastAsia" w:eastAsiaTheme="majorEastAsia" w:cstheme="majorEastAsia"/>
                      <w:color w:val="FF0000"/>
                      <w:sz w:val="22"/>
                    </w:rPr>
                  </w:pPr>
                  <w:r>
                    <w:rPr>
                      <w:rFonts w:hint="eastAsia" w:asciiTheme="majorEastAsia" w:hAnsiTheme="majorEastAsia" w:eastAsiaTheme="majorEastAsia" w:cstheme="majorEastAsia"/>
                      <w:sz w:val="22"/>
                    </w:rPr>
                    <w:t>1.面点师1人，具有人力资源和社会保障部（或在人社部备案的第三方机构）颁发的证书“</w:t>
                  </w:r>
                  <w:r>
                    <w:rPr>
                      <w:rFonts w:hint="eastAsia" w:asciiTheme="majorEastAsia" w:hAnsiTheme="majorEastAsia" w:eastAsiaTheme="majorEastAsia" w:cstheme="majorEastAsia"/>
                      <w:sz w:val="22"/>
                      <w:highlight w:val="none"/>
                    </w:rPr>
                    <w:t>西式</w:t>
                  </w:r>
                  <w:r>
                    <w:rPr>
                      <w:rFonts w:hint="eastAsia" w:asciiTheme="majorEastAsia" w:hAnsiTheme="majorEastAsia" w:eastAsiaTheme="majorEastAsia" w:cstheme="majorEastAsia"/>
                      <w:sz w:val="22"/>
                    </w:rPr>
                    <w:t>烹调师”证，每提供1个得20分，最高20分；</w:t>
                  </w:r>
                </w:p>
                <w:p w14:paraId="4D313F40">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2.切配具有人力资源和社会保障部（或在人社部备案的第三方机构）颁发的证书“</w:t>
                  </w:r>
                  <w:r>
                    <w:rPr>
                      <w:rFonts w:hint="eastAsia" w:asciiTheme="majorEastAsia" w:hAnsiTheme="majorEastAsia" w:eastAsiaTheme="majorEastAsia" w:cstheme="majorEastAsia"/>
                      <w:sz w:val="22"/>
                      <w:highlight w:val="none"/>
                    </w:rPr>
                    <w:t>中式</w:t>
                  </w:r>
                  <w:r>
                    <w:rPr>
                      <w:rFonts w:hint="eastAsia" w:asciiTheme="majorEastAsia" w:hAnsiTheme="majorEastAsia" w:eastAsiaTheme="majorEastAsia" w:cstheme="majorEastAsia"/>
                      <w:sz w:val="22"/>
                    </w:rPr>
                    <w:t>烹调师”，每提供1个得20分，最高20分；</w:t>
                  </w:r>
                </w:p>
                <w:p w14:paraId="41A791CC">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3.面点师具有人力资源和社会保障部（或在人社部备案的第三方机构）颁发的证书“中式面点师”，提供一级证书的得30分，提供二级证</w:t>
                  </w:r>
                  <w:r>
                    <w:rPr>
                      <w:rFonts w:hint="eastAsia" w:asciiTheme="majorEastAsia" w:hAnsiTheme="majorEastAsia" w:eastAsiaTheme="majorEastAsia" w:cstheme="majorEastAsia"/>
                      <w:sz w:val="22"/>
                      <w:lang w:val="en-US" w:eastAsia="zh-CN"/>
                    </w:rPr>
                    <w:t xml:space="preserve"> </w:t>
                  </w:r>
                  <w:r>
                    <w:rPr>
                      <w:rFonts w:hint="eastAsia" w:asciiTheme="majorEastAsia" w:hAnsiTheme="majorEastAsia" w:eastAsiaTheme="majorEastAsia" w:cstheme="majorEastAsia"/>
                      <w:sz w:val="22"/>
                    </w:rPr>
                    <w:t>书的得20分，提供三级证书的得10分，最高30分。</w:t>
                  </w:r>
                </w:p>
                <w:p w14:paraId="12B39523">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4.洗消员具有人力资源和社会保障部（或在人社部备案的第三方机构）颁发的健康管理师证书，每提供一个得15分，最高得15分；</w:t>
                  </w:r>
                </w:p>
                <w:p w14:paraId="18E81840">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5、洗消员具有省级（含副省级）或以上职业技能鉴定指导中心颁发的“膳食营养搭配专项职业技能”证书，每提供一个得15分，最高得15分。</w:t>
                  </w:r>
                </w:p>
                <w:p w14:paraId="5D962B7B">
                  <w:pPr>
                    <w:adjustRightInd w:val="0"/>
                    <w:snapToGrid w:val="0"/>
                    <w:spacing w:line="360" w:lineRule="auto"/>
                    <w:rPr>
                      <w:rFonts w:hint="eastAsia" w:asciiTheme="majorEastAsia" w:hAnsiTheme="majorEastAsia" w:eastAsiaTheme="majorEastAsia" w:cstheme="majorEastAsia"/>
                      <w:sz w:val="22"/>
                      <w:highlight w:val="none"/>
                    </w:rPr>
                  </w:pPr>
                  <w:r>
                    <w:rPr>
                      <w:rFonts w:hint="eastAsia" w:asciiTheme="majorEastAsia" w:hAnsiTheme="majorEastAsia" w:eastAsiaTheme="majorEastAsia" w:cstheme="majorEastAsia"/>
                      <w:sz w:val="22"/>
                      <w:highlight w:val="none"/>
                    </w:rPr>
                    <w:t>本项总分100分。</w:t>
                  </w:r>
                </w:p>
                <w:p w14:paraId="3553E275">
                  <w:pPr>
                    <w:adjustRightInd w:val="0"/>
                    <w:snapToGrid w:val="0"/>
                    <w:spacing w:line="360" w:lineRule="auto"/>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2"/>
                    </w:rPr>
                    <w:t>（二）评分标准：</w:t>
                  </w:r>
                </w:p>
                <w:p w14:paraId="1AE40ADD">
                  <w:pPr>
                    <w:pStyle w:val="9"/>
                    <w:adjustRightInd w:val="0"/>
                    <w:snapToGrid w:val="0"/>
                    <w:rPr>
                      <w:rStyle w:val="64"/>
                      <w:rFonts w:hint="eastAsia" w:asciiTheme="majorEastAsia" w:hAnsiTheme="majorEastAsia" w:eastAsiaTheme="majorEastAsia" w:cstheme="majorEastAsia"/>
                      <w:b w:val="0"/>
                      <w:sz w:val="22"/>
                      <w:szCs w:val="22"/>
                    </w:rPr>
                  </w:pPr>
                  <w:r>
                    <w:rPr>
                      <w:rStyle w:val="64"/>
                      <w:rFonts w:hint="eastAsia" w:asciiTheme="majorEastAsia" w:hAnsiTheme="majorEastAsia" w:eastAsiaTheme="majorEastAsia" w:cstheme="majorEastAsia"/>
                      <w:b w:val="0"/>
                      <w:bCs w:val="0"/>
                      <w:sz w:val="22"/>
                      <w:szCs w:val="22"/>
                    </w:rPr>
                    <w:t>1.</w:t>
                  </w:r>
                  <w:r>
                    <w:rPr>
                      <w:rStyle w:val="64"/>
                      <w:rFonts w:hint="eastAsia" w:asciiTheme="majorEastAsia" w:hAnsiTheme="majorEastAsia" w:eastAsiaTheme="majorEastAsia" w:cstheme="majorEastAsia"/>
                      <w:b w:val="0"/>
                      <w:sz w:val="22"/>
                      <w:szCs w:val="22"/>
                    </w:rPr>
                    <w:t>提供投标人为开标日前由投标人为其缴交的载有社保部门公章的近三个月内任意一个月的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3C421B71">
                  <w:pPr>
                    <w:pStyle w:val="9"/>
                    <w:adjustRightInd w:val="0"/>
                    <w:snapToGrid w:val="0"/>
                    <w:rPr>
                      <w:rStyle w:val="64"/>
                      <w:rFonts w:hint="eastAsia" w:asciiTheme="majorEastAsia" w:hAnsiTheme="majorEastAsia" w:eastAsiaTheme="majorEastAsia" w:cstheme="majorEastAsia"/>
                      <w:b w:val="0"/>
                      <w:bCs w:val="0"/>
                      <w:sz w:val="22"/>
                      <w:szCs w:val="22"/>
                    </w:rPr>
                  </w:pPr>
                  <w:r>
                    <w:rPr>
                      <w:rStyle w:val="64"/>
                      <w:rFonts w:hint="eastAsia" w:asciiTheme="majorEastAsia" w:hAnsiTheme="majorEastAsia" w:eastAsiaTheme="majorEastAsia" w:cstheme="majorEastAsia"/>
                      <w:b w:val="0"/>
                      <w:sz w:val="22"/>
                      <w:szCs w:val="22"/>
                    </w:rPr>
                    <w:t>若供应商成立不足三个月的，需提供成立情况说明函（格式自拟），无需提供相关人员社保，亦可得分。</w:t>
                  </w:r>
                </w:p>
                <w:p w14:paraId="57023396">
                  <w:pPr>
                    <w:pStyle w:val="9"/>
                    <w:adjustRightInd w:val="0"/>
                    <w:snapToGrid w:val="0"/>
                    <w:rPr>
                      <w:rStyle w:val="64"/>
                      <w:rFonts w:hint="eastAsia" w:asciiTheme="majorEastAsia" w:hAnsiTheme="majorEastAsia" w:eastAsiaTheme="majorEastAsia" w:cstheme="majorEastAsia"/>
                      <w:b w:val="0"/>
                      <w:sz w:val="22"/>
                      <w:szCs w:val="22"/>
                    </w:rPr>
                  </w:pPr>
                  <w:r>
                    <w:rPr>
                      <w:rStyle w:val="64"/>
                      <w:rFonts w:hint="eastAsia" w:asciiTheme="majorEastAsia" w:hAnsiTheme="majorEastAsia" w:eastAsiaTheme="majorEastAsia" w:cstheme="majorEastAsia"/>
                      <w:b w:val="0"/>
                      <w:sz w:val="22"/>
                      <w:szCs w:val="22"/>
                    </w:rPr>
                    <w:t>2.学历要求需提供相关学历证书和学信网查询截图，学信网无法查询的，可提供其他佐证材料：如毕业院校、人社部门等颁发机构、监管机构或市级人才交流服务中心等单位出具的证明；留学归国人员如无法提供学信网查询记录截图，提供国（境）外学历证书扫描件（以及中文翻译件）和教育部留学服务中心出具的国外学历认证书扫描件【或教育部留学服务中心网站（http://zwfw.cscse.edu.cn/）在线查询截图】也予以认可。</w:t>
                  </w:r>
                </w:p>
                <w:p w14:paraId="3316E47E">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5.第1-4项评分，投标人须提供证书扫描件及技能人才评价证书全国联网查询网站截图(查询网址：http://zscx.osta.org.cn/  或http://jndj.osta.org.cn/)。</w:t>
                  </w:r>
                </w:p>
                <w:p w14:paraId="5C995B86">
                  <w:pPr>
                    <w:adjustRightInd w:val="0"/>
                    <w:snapToGrid w:val="0"/>
                    <w:spacing w:line="360" w:lineRule="auto"/>
                    <w:rPr>
                      <w:rFonts w:hint="eastAsia" w:ascii="宋体" w:hAnsi="宋体" w:eastAsia="宋体" w:cs="Times New Roman"/>
                      <w:kern w:val="2"/>
                      <w:sz w:val="21"/>
                      <w:szCs w:val="21"/>
                      <w:highlight w:val="none"/>
                      <w:lang w:val="en-US" w:eastAsia="zh-CN" w:bidi="ar-SA"/>
                    </w:rPr>
                  </w:pPr>
                  <w:r>
                    <w:rPr>
                      <w:rFonts w:hint="eastAsia" w:asciiTheme="majorEastAsia" w:hAnsiTheme="majorEastAsia" w:eastAsiaTheme="majorEastAsia" w:cstheme="majorEastAsia"/>
                      <w:sz w:val="22"/>
                    </w:rPr>
                    <w:t>6、第5项评分，投标人须提供证书扫描件,原件备查。</w:t>
                  </w:r>
                </w:p>
              </w:tc>
            </w:tr>
            <w:tr w14:paraId="5FAAC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14:paraId="5ED698ED">
                  <w:pPr>
                    <w:wordWrap/>
                    <w:spacing w:line="240"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c>
                <w:tcPr>
                  <w:tcW w:w="3375" w:type="dxa"/>
                  <w:gridSpan w:val="3"/>
                  <w:tcBorders>
                    <w:top w:val="single" w:color="000000" w:sz="8" w:space="0"/>
                    <w:left w:val="single" w:color="000000" w:sz="8" w:space="0"/>
                    <w:bottom w:val="single" w:color="000000" w:sz="8" w:space="0"/>
                    <w:right w:val="single" w:color="000000" w:sz="8" w:space="0"/>
                  </w:tcBorders>
                  <w:noWrap w:val="0"/>
                  <w:vAlign w:val="top"/>
                </w:tcPr>
                <w:p w14:paraId="68361BA5">
                  <w:pPr>
                    <w:wordWrap/>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商务部分</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45D11E60">
                  <w:pPr>
                    <w:wordWrap/>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32</w:t>
                  </w:r>
                </w:p>
              </w:tc>
            </w:tr>
            <w:tr w14:paraId="2BBAA0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3DC797D7">
                  <w:pPr>
                    <w:spacing w:line="240" w:lineRule="auto"/>
                    <w:jc w:val="left"/>
                    <w:rPr>
                      <w:rFonts w:hint="eastAsia" w:ascii="宋体" w:hAnsi="宋体" w:eastAsia="宋体" w:cs="宋体"/>
                      <w:b w:val="0"/>
                      <w:bCs w:val="0"/>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1CFE6F2">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01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E44A965">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83"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3FCAA03E">
                  <w:pPr>
                    <w:wordWrap/>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51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7C4C43FC">
                  <w:pPr>
                    <w:wordWrap/>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14:paraId="564F07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66186BD">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37BE3F9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35314839">
                  <w:pPr>
                    <w:adjustRightInd w:val="0"/>
                    <w:snapToGrid w:val="0"/>
                    <w:spacing w:line="360" w:lineRule="auto"/>
                    <w:jc w:val="center"/>
                    <w:rPr>
                      <w:rFonts w:hint="eastAsia" w:ascii="宋体" w:hAnsi="宋体" w:eastAsia="宋体" w:cs="宋体"/>
                      <w:sz w:val="21"/>
                      <w:szCs w:val="21"/>
                      <w:highlight w:val="none"/>
                      <w:lang w:val="en-US" w:eastAsia="zh-CN" w:bidi="ar-SA"/>
                    </w:rPr>
                  </w:pPr>
                  <w:r>
                    <w:rPr>
                      <w:rFonts w:hint="eastAsia" w:asciiTheme="majorEastAsia" w:hAnsiTheme="majorEastAsia" w:eastAsiaTheme="majorEastAsia" w:cstheme="majorEastAsia"/>
                      <w:sz w:val="22"/>
                    </w:rPr>
                    <w:t>投标人通过相关认证情况</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3B8FD63C">
                  <w:pPr>
                    <w:adjustRightInd w:val="0"/>
                    <w:snapToGrid w:val="0"/>
                    <w:spacing w:line="360" w:lineRule="auto"/>
                    <w:jc w:val="center"/>
                    <w:rPr>
                      <w:rFonts w:hint="eastAsia" w:ascii="宋体" w:hAnsi="宋体" w:eastAsia="宋体" w:cs="宋体"/>
                      <w:sz w:val="21"/>
                      <w:szCs w:val="21"/>
                      <w:highlight w:val="none"/>
                      <w:lang w:val="en-US" w:eastAsia="zh-CN" w:bidi="ar-SA"/>
                    </w:rPr>
                  </w:pPr>
                  <w:r>
                    <w:rPr>
                      <w:rFonts w:hint="eastAsia" w:asciiTheme="majorEastAsia" w:hAnsiTheme="majorEastAsia" w:eastAsiaTheme="majorEastAsia" w:cstheme="majorEastAsia"/>
                      <w:sz w:val="22"/>
                    </w:rPr>
                    <w:t>5</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71BAA5EC">
                  <w:pPr>
                    <w:numPr>
                      <w:ilvl w:val="0"/>
                      <w:numId w:val="5"/>
                    </w:numPr>
                    <w:adjustRightInd w:val="0"/>
                    <w:snapToGrid w:val="0"/>
                    <w:spacing w:line="360" w:lineRule="auto"/>
                    <w:rPr>
                      <w:rFonts w:hint="eastAsia" w:asciiTheme="majorEastAsia" w:hAnsiTheme="majorEastAsia" w:eastAsiaTheme="majorEastAsia" w:cstheme="majorEastAsia"/>
                      <w:b/>
                      <w:bCs/>
                      <w:spacing w:val="6"/>
                      <w:sz w:val="22"/>
                    </w:rPr>
                  </w:pPr>
                  <w:r>
                    <w:rPr>
                      <w:rFonts w:hint="eastAsia" w:asciiTheme="majorEastAsia" w:hAnsiTheme="majorEastAsia" w:eastAsiaTheme="majorEastAsia" w:cstheme="majorEastAsia"/>
                      <w:b/>
                      <w:bCs/>
                      <w:spacing w:val="6"/>
                      <w:sz w:val="22"/>
                    </w:rPr>
                    <w:t>评分内容：</w:t>
                  </w:r>
                </w:p>
                <w:p w14:paraId="41808E9C">
                  <w:pPr>
                    <w:adjustRightInd w:val="0"/>
                    <w:snapToGrid w:val="0"/>
                    <w:spacing w:line="360" w:lineRule="auto"/>
                    <w:rPr>
                      <w:rFonts w:hint="eastAsia"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sz w:val="22"/>
                    </w:rPr>
                    <w:t>投标人在招标公告发布之日前获得以下证书：</w:t>
                  </w:r>
                </w:p>
                <w:p w14:paraId="16BDC6AA">
                  <w:pPr>
                    <w:adjustRightInd w:val="0"/>
                    <w:snapToGrid w:val="0"/>
                    <w:spacing w:line="360" w:lineRule="auto"/>
                    <w:rPr>
                      <w:rFonts w:hint="eastAsia"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sz w:val="22"/>
                    </w:rPr>
                    <w:t>1、国家认证认可监督管理委员会批准的认证机构颁发的标准化管理体系认证证书（认证覆盖范围：食品经营许可证范围内餐饮管理（食堂承包）所涉及的标准化工作活动），得20分；</w:t>
                  </w:r>
                </w:p>
                <w:p w14:paraId="3C2EA812">
                  <w:pPr>
                    <w:adjustRightInd w:val="0"/>
                    <w:snapToGrid w:val="0"/>
                    <w:spacing w:line="360" w:lineRule="auto"/>
                    <w:rPr>
                      <w:rFonts w:hint="eastAsia"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sz w:val="22"/>
                    </w:rPr>
                    <w:t>2、国家认证认可监督管理委员会批准的认证机构颁发的诚信管理体系认证证书（认证范围：食品经营管理(餐饮服务)），得20分；</w:t>
                  </w:r>
                </w:p>
                <w:p w14:paraId="7F7F08AA">
                  <w:pPr>
                    <w:adjustRightInd w:val="0"/>
                    <w:snapToGrid w:val="0"/>
                    <w:spacing w:line="360" w:lineRule="auto"/>
                    <w:rPr>
                      <w:rFonts w:hint="eastAsia"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sz w:val="22"/>
                    </w:rPr>
                    <w:t>3、国家认证认可监督管理委员会批准的认证机构颁发的餐饮服务管理体系认证证书（认证覆盖范围：食品经营许可证范围内餐饮管理（食堂承包）所涉及的餐饮服务管理活动），得20分；</w:t>
                  </w:r>
                </w:p>
                <w:p w14:paraId="01DC7C88">
                  <w:pPr>
                    <w:adjustRightInd w:val="0"/>
                    <w:snapToGrid w:val="0"/>
                    <w:spacing w:line="360" w:lineRule="auto"/>
                    <w:rPr>
                      <w:rFonts w:hint="eastAsia"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sz w:val="22"/>
                    </w:rPr>
                    <w:t>4、国家认证认可监督管理委员会批准的认证机构颁发的社会责任管理体系认证证书（认证范围：食品经营许可证范围内的食堂承包），得20分；</w:t>
                  </w:r>
                </w:p>
                <w:p w14:paraId="3ED00201">
                  <w:pPr>
                    <w:adjustRightInd w:val="0"/>
                    <w:snapToGrid w:val="0"/>
                    <w:spacing w:line="360" w:lineRule="auto"/>
                    <w:rPr>
                      <w:rFonts w:hint="eastAsia"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sz w:val="22"/>
                    </w:rPr>
                    <w:t>5、国家认证认可监督管理委员会批准的认证机构颁发的餐饮企业现场管理评价认证证书（证书范围：餐饮管理（食堂承包）所涉及的现场管理活动），得20分；</w:t>
                  </w:r>
                </w:p>
                <w:p w14:paraId="465F9003">
                  <w:pPr>
                    <w:adjustRightInd w:val="0"/>
                    <w:snapToGrid w:val="0"/>
                    <w:spacing w:line="360" w:lineRule="auto"/>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2"/>
                    </w:rPr>
                    <w:t>（二）评分依据：</w:t>
                  </w:r>
                </w:p>
                <w:p w14:paraId="153435AE">
                  <w:pPr>
                    <w:pStyle w:val="8"/>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1.提供上述有效的（截止本项目开标之日，证书在有效期范围内）认证证书和全国认证认可信息公共服务平台（认e云）（http://cx.cnca.cn/）的认证信息截图（须体现网站信息，且截图显示为有效）作为得分依据。</w:t>
                  </w:r>
                </w:p>
                <w:p w14:paraId="18AA33C9">
                  <w:pPr>
                    <w:adjustRightInd w:val="0"/>
                    <w:snapToGrid w:val="0"/>
                    <w:spacing w:line="360" w:lineRule="auto"/>
                    <w:jc w:val="left"/>
                    <w:rPr>
                      <w:rFonts w:hint="eastAsia" w:ascii="宋体" w:hAnsi="宋体" w:eastAsia="宋体" w:cs="宋体"/>
                      <w:sz w:val="21"/>
                      <w:szCs w:val="21"/>
                      <w:highlight w:val="none"/>
                      <w:lang w:val="en-US" w:eastAsia="zh-CN" w:bidi="ar-SA"/>
                    </w:rPr>
                  </w:pPr>
                  <w:r>
                    <w:rPr>
                      <w:rFonts w:hint="eastAsia" w:asciiTheme="majorEastAsia" w:hAnsiTheme="majorEastAsia" w:eastAsiaTheme="majorEastAsia" w:cstheme="majorEastAsia"/>
                      <w:sz w:val="22"/>
                    </w:rPr>
                    <w:t>2.以上资料均要求提供复印件或截图，证书原件备查，未提供或未按要求提供或提供不清晰导致专家无法判断的不得分。</w:t>
                  </w:r>
                </w:p>
              </w:tc>
            </w:tr>
            <w:tr w14:paraId="450065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BF17D48">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6D22785B">
                  <w:pPr>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4F962F40">
                  <w:pPr>
                    <w:adjustRightInd w:val="0"/>
                    <w:snapToGrid w:val="0"/>
                    <w:spacing w:line="360" w:lineRule="auto"/>
                    <w:jc w:val="center"/>
                    <w:rPr>
                      <w:rFonts w:hint="eastAsia" w:ascii="宋体" w:hAnsi="宋体" w:eastAsia="宋体" w:cs="宋体"/>
                      <w:sz w:val="21"/>
                      <w:szCs w:val="21"/>
                      <w:highlight w:val="none"/>
                    </w:rPr>
                  </w:pPr>
                  <w:r>
                    <w:rPr>
                      <w:rFonts w:hint="eastAsia" w:asciiTheme="majorEastAsia" w:hAnsiTheme="majorEastAsia" w:eastAsiaTheme="majorEastAsia" w:cstheme="majorEastAsia"/>
                      <w:sz w:val="22"/>
                    </w:rPr>
                    <w:t>食品安全保险</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120B707B">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Theme="majorEastAsia" w:hAnsiTheme="majorEastAsia" w:eastAsiaTheme="majorEastAsia" w:cstheme="majorEastAsia"/>
                      <w:sz w:val="22"/>
                    </w:rPr>
                    <w:t>5</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05582BC8">
                  <w:pPr>
                    <w:adjustRightInd w:val="0"/>
                    <w:snapToGrid w:val="0"/>
                    <w:spacing w:line="360" w:lineRule="auto"/>
                    <w:jc w:val="left"/>
                    <w:rPr>
                      <w:rFonts w:hint="eastAsia" w:asciiTheme="majorEastAsia" w:hAnsiTheme="majorEastAsia" w:eastAsiaTheme="majorEastAsia" w:cstheme="majorEastAsia"/>
                      <w:b/>
                      <w:bCs/>
                      <w:spacing w:val="10"/>
                      <w:sz w:val="22"/>
                    </w:rPr>
                  </w:pPr>
                  <w:r>
                    <w:rPr>
                      <w:rFonts w:hint="eastAsia" w:asciiTheme="majorEastAsia" w:hAnsiTheme="majorEastAsia" w:eastAsiaTheme="majorEastAsia" w:cstheme="majorEastAsia"/>
                      <w:b/>
                      <w:bCs/>
                      <w:spacing w:val="10"/>
                      <w:sz w:val="22"/>
                    </w:rPr>
                    <w:t>（一）评分内容</w:t>
                  </w:r>
                </w:p>
                <w:p w14:paraId="666E08AC">
                  <w:pPr>
                    <w:adjustRightInd w:val="0"/>
                    <w:snapToGrid w:val="0"/>
                    <w:spacing w:line="360" w:lineRule="auto"/>
                    <w:jc w:val="left"/>
                    <w:rPr>
                      <w:rFonts w:hint="eastAsia" w:asciiTheme="majorEastAsia" w:hAnsiTheme="majorEastAsia" w:eastAsiaTheme="majorEastAsia" w:cstheme="majorEastAsia"/>
                      <w:spacing w:val="10"/>
                      <w:sz w:val="22"/>
                    </w:rPr>
                  </w:pPr>
                  <w:r>
                    <w:rPr>
                      <w:rFonts w:hint="eastAsia" w:asciiTheme="majorEastAsia" w:hAnsiTheme="majorEastAsia" w:eastAsiaTheme="majorEastAsia" w:cstheme="majorEastAsia"/>
                      <w:spacing w:val="10"/>
                      <w:sz w:val="22"/>
                    </w:rPr>
                    <w:t>1、投标人购买的食品安全责任险：</w:t>
                  </w:r>
                </w:p>
                <w:p w14:paraId="264FA7B8">
                  <w:pPr>
                    <w:adjustRightInd w:val="0"/>
                    <w:snapToGrid w:val="0"/>
                    <w:spacing w:line="360" w:lineRule="auto"/>
                    <w:jc w:val="left"/>
                    <w:rPr>
                      <w:rFonts w:hint="eastAsia" w:asciiTheme="majorEastAsia" w:hAnsiTheme="majorEastAsia" w:eastAsiaTheme="majorEastAsia" w:cstheme="majorEastAsia"/>
                      <w:spacing w:val="10"/>
                      <w:sz w:val="22"/>
                    </w:rPr>
                  </w:pPr>
                  <w:r>
                    <w:rPr>
                      <w:rFonts w:hint="eastAsia" w:asciiTheme="majorEastAsia" w:hAnsiTheme="majorEastAsia" w:eastAsiaTheme="majorEastAsia" w:cstheme="majorEastAsia"/>
                      <w:spacing w:val="10"/>
                      <w:sz w:val="22"/>
                    </w:rPr>
                    <w:t>（1）提供有效期内的食品安全责任险保险单，总保额20000万（含）以上，且每次事故赔偿限额6000万（含）以上，得</w:t>
                  </w:r>
                  <w:r>
                    <w:rPr>
                      <w:rFonts w:hint="eastAsia" w:asciiTheme="majorEastAsia" w:hAnsiTheme="majorEastAsia" w:eastAsiaTheme="majorEastAsia" w:cstheme="majorEastAsia"/>
                      <w:sz w:val="22"/>
                    </w:rPr>
                    <w:t>50</w:t>
                  </w:r>
                  <w:r>
                    <w:rPr>
                      <w:rFonts w:hint="eastAsia" w:asciiTheme="majorEastAsia" w:hAnsiTheme="majorEastAsia" w:eastAsiaTheme="majorEastAsia" w:cstheme="majorEastAsia"/>
                      <w:spacing w:val="10"/>
                      <w:sz w:val="22"/>
                    </w:rPr>
                    <w:t>分；</w:t>
                  </w:r>
                </w:p>
                <w:p w14:paraId="58E213A3">
                  <w:pPr>
                    <w:adjustRightInd w:val="0"/>
                    <w:snapToGrid w:val="0"/>
                    <w:spacing w:line="360" w:lineRule="auto"/>
                    <w:jc w:val="left"/>
                    <w:rPr>
                      <w:rFonts w:hint="eastAsia" w:asciiTheme="majorEastAsia" w:hAnsiTheme="majorEastAsia" w:eastAsiaTheme="majorEastAsia" w:cstheme="majorEastAsia"/>
                      <w:spacing w:val="10"/>
                      <w:sz w:val="22"/>
                    </w:rPr>
                  </w:pPr>
                  <w:r>
                    <w:rPr>
                      <w:rFonts w:hint="eastAsia" w:asciiTheme="majorEastAsia" w:hAnsiTheme="majorEastAsia" w:eastAsiaTheme="majorEastAsia" w:cstheme="majorEastAsia"/>
                      <w:spacing w:val="10"/>
                      <w:sz w:val="22"/>
                    </w:rPr>
                    <w:t>（2）提供有效期内的食品安全责任险保险单，总保额10000万（含）以上，且每次事故赔偿限额5000万（含）以上，得30分；</w:t>
                  </w:r>
                </w:p>
                <w:p w14:paraId="74182D3A">
                  <w:pPr>
                    <w:adjustRightInd w:val="0"/>
                    <w:snapToGrid w:val="0"/>
                    <w:spacing w:line="360" w:lineRule="auto"/>
                    <w:jc w:val="left"/>
                    <w:rPr>
                      <w:rFonts w:hint="eastAsia" w:asciiTheme="majorEastAsia" w:hAnsiTheme="majorEastAsia" w:eastAsiaTheme="majorEastAsia" w:cstheme="majorEastAsia"/>
                      <w:spacing w:val="10"/>
                      <w:sz w:val="22"/>
                    </w:rPr>
                  </w:pPr>
                  <w:r>
                    <w:rPr>
                      <w:rFonts w:hint="eastAsia" w:asciiTheme="majorEastAsia" w:hAnsiTheme="majorEastAsia" w:eastAsiaTheme="majorEastAsia" w:cstheme="majorEastAsia"/>
                      <w:spacing w:val="10"/>
                      <w:sz w:val="22"/>
                    </w:rPr>
                    <w:t>（3）提供有效期内的食品安全责任险保险单，总保额8000万（含）以上，且每次事故赔偿限额3000万（含）以上，得10分；</w:t>
                  </w:r>
                </w:p>
                <w:p w14:paraId="5E8C022E">
                  <w:pPr>
                    <w:adjustRightInd w:val="0"/>
                    <w:snapToGrid w:val="0"/>
                    <w:spacing w:line="360" w:lineRule="auto"/>
                    <w:jc w:val="left"/>
                    <w:rPr>
                      <w:rFonts w:hint="eastAsia" w:asciiTheme="majorEastAsia" w:hAnsiTheme="majorEastAsia" w:eastAsiaTheme="majorEastAsia" w:cstheme="majorEastAsia"/>
                      <w:spacing w:val="10"/>
                      <w:sz w:val="22"/>
                    </w:rPr>
                  </w:pPr>
                  <w:r>
                    <w:rPr>
                      <w:rFonts w:hint="eastAsia" w:asciiTheme="majorEastAsia" w:hAnsiTheme="majorEastAsia" w:eastAsiaTheme="majorEastAsia" w:cstheme="majorEastAsia"/>
                      <w:spacing w:val="10"/>
                      <w:sz w:val="22"/>
                    </w:rPr>
                    <w:t>（4）其他情况或未提供不得分。</w:t>
                  </w:r>
                </w:p>
                <w:p w14:paraId="3C3C7F25">
                  <w:pPr>
                    <w:adjustRightInd w:val="0"/>
                    <w:snapToGrid w:val="0"/>
                    <w:spacing w:line="360" w:lineRule="auto"/>
                    <w:jc w:val="left"/>
                    <w:rPr>
                      <w:rFonts w:hint="eastAsia" w:asciiTheme="majorEastAsia" w:hAnsiTheme="majorEastAsia" w:eastAsiaTheme="majorEastAsia" w:cstheme="majorEastAsia"/>
                      <w:spacing w:val="10"/>
                      <w:sz w:val="22"/>
                    </w:rPr>
                  </w:pPr>
                  <w:r>
                    <w:rPr>
                      <w:rFonts w:hint="eastAsia" w:asciiTheme="majorEastAsia" w:hAnsiTheme="majorEastAsia" w:eastAsiaTheme="majorEastAsia" w:cstheme="majorEastAsia"/>
                      <w:spacing w:val="10"/>
                      <w:sz w:val="22"/>
                    </w:rPr>
                    <w:t>2、投标人购买的公众责任保险</w:t>
                  </w:r>
                </w:p>
                <w:p w14:paraId="77E67F83">
                  <w:pPr>
                    <w:adjustRightInd w:val="0"/>
                    <w:snapToGrid w:val="0"/>
                    <w:spacing w:line="360" w:lineRule="auto"/>
                    <w:jc w:val="left"/>
                    <w:rPr>
                      <w:rFonts w:hint="eastAsia" w:asciiTheme="majorEastAsia" w:hAnsiTheme="majorEastAsia" w:eastAsiaTheme="majorEastAsia" w:cstheme="majorEastAsia"/>
                      <w:spacing w:val="10"/>
                      <w:sz w:val="22"/>
                    </w:rPr>
                  </w:pPr>
                  <w:r>
                    <w:rPr>
                      <w:rFonts w:hint="eastAsia" w:asciiTheme="majorEastAsia" w:hAnsiTheme="majorEastAsia" w:eastAsiaTheme="majorEastAsia" w:cstheme="majorEastAsia"/>
                      <w:spacing w:val="10"/>
                      <w:sz w:val="22"/>
                    </w:rPr>
                    <w:t>（1）提供有效期内的公众责任保险保单，总保额10000万（含）以上，且每次事故赔偿限额5000万（含）以上，得50分；</w:t>
                  </w:r>
                </w:p>
                <w:p w14:paraId="60B6B2F5">
                  <w:pPr>
                    <w:adjustRightInd w:val="0"/>
                    <w:snapToGrid w:val="0"/>
                    <w:spacing w:line="360" w:lineRule="auto"/>
                    <w:jc w:val="left"/>
                    <w:rPr>
                      <w:rFonts w:hint="eastAsia" w:asciiTheme="majorEastAsia" w:hAnsiTheme="majorEastAsia" w:eastAsiaTheme="majorEastAsia" w:cstheme="majorEastAsia"/>
                      <w:spacing w:val="10"/>
                      <w:sz w:val="22"/>
                    </w:rPr>
                  </w:pPr>
                  <w:r>
                    <w:rPr>
                      <w:rFonts w:hint="eastAsia" w:asciiTheme="majorEastAsia" w:hAnsiTheme="majorEastAsia" w:eastAsiaTheme="majorEastAsia" w:cstheme="majorEastAsia"/>
                      <w:spacing w:val="10"/>
                      <w:sz w:val="22"/>
                    </w:rPr>
                    <w:t>（2）提供有效期内的公众责任保险保单，总保额5000万（含）以上，且每次事故赔偿限额3000万（含）以上，得30分；</w:t>
                  </w:r>
                </w:p>
                <w:p w14:paraId="5BFC5045">
                  <w:pPr>
                    <w:adjustRightInd w:val="0"/>
                    <w:snapToGrid w:val="0"/>
                    <w:spacing w:line="360" w:lineRule="auto"/>
                    <w:jc w:val="left"/>
                    <w:rPr>
                      <w:rFonts w:hint="eastAsia" w:asciiTheme="majorEastAsia" w:hAnsiTheme="majorEastAsia" w:eastAsiaTheme="majorEastAsia" w:cstheme="majorEastAsia"/>
                      <w:spacing w:val="10"/>
                      <w:sz w:val="22"/>
                    </w:rPr>
                  </w:pPr>
                  <w:r>
                    <w:rPr>
                      <w:rFonts w:hint="eastAsia" w:asciiTheme="majorEastAsia" w:hAnsiTheme="majorEastAsia" w:eastAsiaTheme="majorEastAsia" w:cstheme="majorEastAsia"/>
                      <w:spacing w:val="10"/>
                      <w:sz w:val="22"/>
                    </w:rPr>
                    <w:t>（2）提供有效期内的公众责任保险保单，总保额3000万（含）以上，且每次事故赔偿限额1000万（含）以上，得10分；</w:t>
                  </w:r>
                </w:p>
                <w:p w14:paraId="0B5F98F3">
                  <w:pPr>
                    <w:adjustRightInd w:val="0"/>
                    <w:snapToGrid w:val="0"/>
                    <w:spacing w:line="360" w:lineRule="auto"/>
                    <w:jc w:val="left"/>
                    <w:rPr>
                      <w:rFonts w:hint="eastAsia" w:asciiTheme="majorEastAsia" w:hAnsiTheme="majorEastAsia" w:eastAsiaTheme="majorEastAsia" w:cstheme="majorEastAsia"/>
                      <w:spacing w:val="10"/>
                      <w:sz w:val="22"/>
                    </w:rPr>
                  </w:pPr>
                  <w:r>
                    <w:rPr>
                      <w:rFonts w:hint="eastAsia" w:asciiTheme="majorEastAsia" w:hAnsiTheme="majorEastAsia" w:eastAsiaTheme="majorEastAsia" w:cstheme="majorEastAsia"/>
                      <w:spacing w:val="10"/>
                      <w:sz w:val="22"/>
                    </w:rPr>
                    <w:t>（4）其他情况或未提供不得分。</w:t>
                  </w:r>
                </w:p>
                <w:p w14:paraId="38225CBB">
                  <w:pPr>
                    <w:adjustRightInd w:val="0"/>
                    <w:snapToGrid w:val="0"/>
                    <w:spacing w:line="360" w:lineRule="auto"/>
                    <w:jc w:val="left"/>
                    <w:rPr>
                      <w:rFonts w:hint="eastAsia" w:asciiTheme="majorEastAsia" w:hAnsiTheme="majorEastAsia" w:eastAsiaTheme="majorEastAsia" w:cstheme="majorEastAsia"/>
                      <w:b/>
                      <w:bCs/>
                      <w:spacing w:val="10"/>
                      <w:sz w:val="22"/>
                    </w:rPr>
                  </w:pPr>
                  <w:r>
                    <w:rPr>
                      <w:rFonts w:hint="eastAsia" w:asciiTheme="majorEastAsia" w:hAnsiTheme="majorEastAsia" w:eastAsiaTheme="majorEastAsia" w:cstheme="majorEastAsia"/>
                      <w:b/>
                      <w:bCs/>
                      <w:spacing w:val="10"/>
                      <w:sz w:val="22"/>
                    </w:rPr>
                    <w:t>（二）评分依据：</w:t>
                  </w:r>
                </w:p>
                <w:p w14:paraId="09861DD8">
                  <w:pPr>
                    <w:adjustRightInd w:val="0"/>
                    <w:snapToGrid w:val="0"/>
                    <w:spacing w:line="360" w:lineRule="auto"/>
                    <w:jc w:val="left"/>
                    <w:rPr>
                      <w:rFonts w:hint="eastAsia" w:ascii="宋体" w:hAnsi="宋体" w:eastAsia="宋体" w:cs="宋体"/>
                      <w:b/>
                      <w:bCs/>
                      <w:sz w:val="21"/>
                      <w:szCs w:val="21"/>
                      <w:highlight w:val="none"/>
                      <w:lang w:val="en-US" w:eastAsia="zh-CN" w:bidi="ar-SA"/>
                    </w:rPr>
                  </w:pPr>
                  <w:r>
                    <w:rPr>
                      <w:rFonts w:hint="eastAsia" w:asciiTheme="majorEastAsia" w:hAnsiTheme="majorEastAsia" w:eastAsiaTheme="majorEastAsia" w:cstheme="majorEastAsia"/>
                      <w:spacing w:val="10"/>
                      <w:sz w:val="22"/>
                    </w:rPr>
                    <w:t>提供投标截止之日前的有效保险保单文件及发票扫描件，未按要求提供相关材料或提供的材料不清晰导致专家无法判断的不得分，原件备查。</w:t>
                  </w:r>
                </w:p>
              </w:tc>
            </w:tr>
            <w:tr w14:paraId="79180B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CED0D9B">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4BBB81D1">
                  <w:pPr>
                    <w:adjustRightInd w:val="0"/>
                    <w:snapToGrid w:val="0"/>
                    <w:spacing w:line="360" w:lineRule="auto"/>
                    <w:jc w:val="both"/>
                    <w:rPr>
                      <w:rFonts w:hint="eastAsia" w:ascii="宋体" w:hAnsi="宋体" w:eastAsia="宋体" w:cs="宋体"/>
                      <w:sz w:val="21"/>
                      <w:szCs w:val="21"/>
                      <w:highlight w:val="none"/>
                      <w:lang w:val="en-US" w:eastAsia="zh-CN"/>
                    </w:rPr>
                  </w:pPr>
                  <w:r>
                    <w:rPr>
                      <w:rFonts w:hint="eastAsia" w:asciiTheme="majorEastAsia" w:hAnsiTheme="majorEastAsia" w:eastAsiaTheme="majorEastAsia" w:cstheme="majorEastAsia"/>
                      <w:sz w:val="22"/>
                    </w:rPr>
                    <w:t>3</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2E2D6598">
                  <w:pPr>
                    <w:adjustRightInd w:val="0"/>
                    <w:snapToGrid w:val="0"/>
                    <w:spacing w:line="360" w:lineRule="auto"/>
                    <w:jc w:val="center"/>
                    <w:rPr>
                      <w:rFonts w:hint="eastAsia" w:ascii="宋体" w:hAnsi="宋体" w:eastAsia="宋体" w:cs="宋体"/>
                      <w:sz w:val="21"/>
                      <w:szCs w:val="21"/>
                      <w:highlight w:val="none"/>
                      <w:lang w:val="en-US" w:eastAsia="zh-CN" w:bidi="ar-SA"/>
                    </w:rPr>
                  </w:pPr>
                  <w:r>
                    <w:rPr>
                      <w:rFonts w:hint="eastAsia" w:asciiTheme="majorEastAsia" w:hAnsiTheme="majorEastAsia" w:eastAsiaTheme="majorEastAsia" w:cstheme="majorEastAsia"/>
                      <w:sz w:val="22"/>
                    </w:rPr>
                    <w:t>服务网点</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33B3250E">
                  <w:pPr>
                    <w:adjustRightInd w:val="0"/>
                    <w:snapToGrid w:val="0"/>
                    <w:spacing w:line="360" w:lineRule="auto"/>
                    <w:jc w:val="center"/>
                    <w:rPr>
                      <w:rFonts w:hint="eastAsia" w:ascii="宋体" w:hAnsi="宋体" w:eastAsia="宋体" w:cs="宋体"/>
                      <w:sz w:val="21"/>
                      <w:szCs w:val="21"/>
                      <w:highlight w:val="none"/>
                      <w:lang w:val="en-US" w:eastAsia="zh-CN" w:bidi="ar-SA"/>
                    </w:rPr>
                  </w:pPr>
                  <w:r>
                    <w:rPr>
                      <w:rFonts w:hint="eastAsia" w:asciiTheme="majorEastAsia" w:hAnsiTheme="majorEastAsia" w:eastAsiaTheme="majorEastAsia" w:cstheme="majorEastAsia"/>
                      <w:sz w:val="22"/>
                    </w:rPr>
                    <w:t>5</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270D6C47">
                  <w:pPr>
                    <w:adjustRightInd w:val="0"/>
                    <w:snapToGrid w:val="0"/>
                    <w:spacing w:line="360" w:lineRule="auto"/>
                    <w:jc w:val="left"/>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2"/>
                    </w:rPr>
                    <w:t>（一）评分内容：</w:t>
                  </w:r>
                </w:p>
                <w:p w14:paraId="026C17ED">
                  <w:pPr>
                    <w:adjustRightInd w:val="0"/>
                    <w:snapToGrid w:val="0"/>
                    <w:spacing w:line="360" w:lineRule="auto"/>
                    <w:jc w:val="left"/>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1.投标人在深圳市有固定服务网点（即投标人注册地在深圳市范围内或投标人设有能提供本项目售后服务分公司等合法注册的分支机构）,得100分；</w:t>
                  </w:r>
                </w:p>
                <w:p w14:paraId="01FAD831">
                  <w:pPr>
                    <w:adjustRightInd w:val="0"/>
                    <w:snapToGrid w:val="0"/>
                    <w:spacing w:line="360" w:lineRule="auto"/>
                    <w:jc w:val="left"/>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2.投标人承诺中选后30日内在深圳市范围内设定固定服务网点的得100分,其他情况不得分。</w:t>
                  </w:r>
                </w:p>
                <w:p w14:paraId="0B23000A">
                  <w:pPr>
                    <w:adjustRightInd w:val="0"/>
                    <w:snapToGrid w:val="0"/>
                    <w:spacing w:line="360" w:lineRule="auto"/>
                    <w:jc w:val="left"/>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b/>
                      <w:bCs/>
                      <w:sz w:val="22"/>
                    </w:rPr>
                    <w:t>（二）评分依据：</w:t>
                  </w:r>
                  <w:r>
                    <w:rPr>
                      <w:rFonts w:hint="eastAsia" w:asciiTheme="majorEastAsia" w:hAnsiTheme="majorEastAsia" w:eastAsiaTheme="majorEastAsia" w:cstheme="majorEastAsia"/>
                      <w:sz w:val="22"/>
                    </w:rPr>
                    <w:t> </w:t>
                  </w:r>
                </w:p>
                <w:p w14:paraId="2A3E27A9">
                  <w:pPr>
                    <w:adjustRightInd w:val="0"/>
                    <w:snapToGrid w:val="0"/>
                    <w:spacing w:line="360" w:lineRule="auto"/>
                    <w:jc w:val="left"/>
                    <w:rPr>
                      <w:rFonts w:hint="eastAsia" w:ascii="宋体" w:hAnsi="宋体" w:eastAsia="宋体" w:cs="宋体"/>
                      <w:sz w:val="21"/>
                      <w:szCs w:val="21"/>
                      <w:highlight w:val="none"/>
                      <w:lang w:val="en-US" w:eastAsia="zh-CN" w:bidi="ar-SA"/>
                    </w:rPr>
                  </w:pPr>
                  <w:r>
                    <w:rPr>
                      <w:rFonts w:hint="eastAsia" w:asciiTheme="majorEastAsia" w:hAnsiTheme="majorEastAsia" w:eastAsiaTheme="majorEastAsia" w:cstheme="majorEastAsia"/>
                      <w:sz w:val="22"/>
                    </w:rPr>
                    <w:t>提供工商局或市场监督管理局出具的有效证明文件扫描件或承诺函（承诺函格式自拟），未提供或不清晰无法判断的不得分。</w:t>
                  </w:r>
                </w:p>
              </w:tc>
            </w:tr>
            <w:tr w14:paraId="07C459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06E4468">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4E00FBE4">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Theme="majorEastAsia" w:hAnsiTheme="majorEastAsia" w:eastAsiaTheme="majorEastAsia" w:cstheme="majorEastAsia"/>
                      <w:sz w:val="22"/>
                    </w:rPr>
                    <w:t>4</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4F741CB1">
                  <w:pPr>
                    <w:adjustRightInd w:val="0"/>
                    <w:snapToGrid w:val="0"/>
                    <w:spacing w:line="360" w:lineRule="auto"/>
                    <w:jc w:val="center"/>
                    <w:rPr>
                      <w:rFonts w:hint="eastAsia" w:ascii="宋体" w:hAnsi="宋体" w:eastAsia="宋体" w:cs="宋体"/>
                      <w:sz w:val="21"/>
                      <w:szCs w:val="21"/>
                      <w:highlight w:val="none"/>
                    </w:rPr>
                  </w:pPr>
                  <w:r>
                    <w:rPr>
                      <w:rFonts w:hint="eastAsia" w:asciiTheme="majorEastAsia" w:hAnsiTheme="majorEastAsia" w:eastAsiaTheme="majorEastAsia" w:cstheme="majorEastAsia"/>
                      <w:sz w:val="22"/>
                    </w:rPr>
                    <w:t>同类项目业绩</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386BF772">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Theme="majorEastAsia" w:hAnsiTheme="majorEastAsia" w:eastAsiaTheme="majorEastAsia" w:cstheme="majorEastAsia"/>
                      <w:sz w:val="22"/>
                    </w:rPr>
                    <w:t>6</w:t>
                  </w:r>
                </w:p>
              </w:tc>
              <w:tc>
                <w:tcPr>
                  <w:tcW w:w="5195" w:type="dxa"/>
                  <w:tcBorders>
                    <w:top w:val="single" w:color="000000" w:sz="8" w:space="0"/>
                    <w:left w:val="single" w:color="000000" w:sz="8" w:space="0"/>
                    <w:bottom w:val="single" w:color="000000" w:sz="8" w:space="0"/>
                    <w:right w:val="single" w:color="000000" w:sz="8" w:space="0"/>
                  </w:tcBorders>
                  <w:noWrap w:val="0"/>
                  <w:vAlign w:val="center"/>
                </w:tcPr>
                <w:p w14:paraId="20A4C455">
                  <w:pPr>
                    <w:pStyle w:val="54"/>
                    <w:numPr>
                      <w:ilvl w:val="0"/>
                      <w:numId w:val="6"/>
                    </w:numPr>
                    <w:adjustRightInd w:val="0"/>
                    <w:snapToGrid w:val="0"/>
                    <w:spacing w:line="360" w:lineRule="auto"/>
                    <w:rPr>
                      <w:rFonts w:hint="eastAsia" w:asciiTheme="majorEastAsia" w:hAnsiTheme="majorEastAsia" w:eastAsiaTheme="majorEastAsia" w:cstheme="majorEastAsia"/>
                      <w:b/>
                      <w:bCs/>
                      <w:sz w:val="22"/>
                      <w:szCs w:val="22"/>
                      <w:lang w:eastAsia="zh-CN"/>
                    </w:rPr>
                  </w:pPr>
                  <w:r>
                    <w:rPr>
                      <w:rFonts w:hint="eastAsia" w:asciiTheme="majorEastAsia" w:hAnsiTheme="majorEastAsia" w:eastAsiaTheme="majorEastAsia" w:cstheme="majorEastAsia"/>
                      <w:b/>
                      <w:bCs/>
                      <w:sz w:val="22"/>
                      <w:szCs w:val="22"/>
                      <w:lang w:eastAsia="zh-CN"/>
                    </w:rPr>
                    <w:t>评分内容：</w:t>
                  </w:r>
                </w:p>
                <w:p w14:paraId="310D1C4D">
                  <w:pPr>
                    <w:pStyle w:val="54"/>
                    <w:numPr>
                      <w:ilvl w:val="0"/>
                      <w:numId w:val="0"/>
                    </w:numPr>
                    <w:adjustRightInd w:val="0"/>
                    <w:snapToGrid w:val="0"/>
                    <w:spacing w:line="360" w:lineRule="auto"/>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2021年1月1日以后至本项</w:t>
                  </w:r>
                  <w:r>
                    <w:rPr>
                      <w:rFonts w:hint="eastAsia" w:asciiTheme="majorEastAsia" w:hAnsiTheme="majorEastAsia" w:eastAsiaTheme="majorEastAsia" w:cstheme="majorEastAsia"/>
                      <w:spacing w:val="9"/>
                      <w:sz w:val="22"/>
                      <w:szCs w:val="22"/>
                      <w:lang w:eastAsia="zh-CN"/>
                    </w:rPr>
                    <w:t>目响应截止之日（日期以提供的合同或中标通知书落款为准），投标人具有食堂托管项目</w:t>
                  </w:r>
                  <w:r>
                    <w:rPr>
                      <w:rFonts w:hint="eastAsia" w:asciiTheme="majorEastAsia" w:hAnsiTheme="majorEastAsia" w:eastAsiaTheme="majorEastAsia" w:cstheme="majorEastAsia"/>
                      <w:spacing w:val="2"/>
                      <w:sz w:val="22"/>
                      <w:szCs w:val="22"/>
                      <w:lang w:eastAsia="zh-CN"/>
                    </w:rPr>
                    <w:t>类项目业绩,每提供1个得35，满分100分。</w:t>
                  </w:r>
                </w:p>
                <w:p w14:paraId="31C9E01F">
                  <w:pPr>
                    <w:adjustRightInd w:val="0"/>
                    <w:snapToGrid w:val="0"/>
                    <w:spacing w:line="360" w:lineRule="auto"/>
                    <w:jc w:val="left"/>
                    <w:rPr>
                      <w:rFonts w:hint="eastAsia" w:asciiTheme="majorEastAsia" w:hAnsiTheme="majorEastAsia" w:eastAsiaTheme="majorEastAsia" w:cstheme="majorEastAsia"/>
                      <w:b/>
                      <w:bCs/>
                      <w:spacing w:val="8"/>
                      <w:sz w:val="22"/>
                    </w:rPr>
                  </w:pPr>
                  <w:r>
                    <w:rPr>
                      <w:rFonts w:hint="eastAsia" w:asciiTheme="majorEastAsia" w:hAnsiTheme="majorEastAsia" w:eastAsiaTheme="majorEastAsia" w:cstheme="majorEastAsia"/>
                      <w:b/>
                      <w:bCs/>
                      <w:spacing w:val="8"/>
                      <w:sz w:val="22"/>
                    </w:rPr>
                    <w:t>（二）评分依据：</w:t>
                  </w:r>
                </w:p>
                <w:p w14:paraId="00675059">
                  <w:pPr>
                    <w:adjustRightInd w:val="0"/>
                    <w:snapToGrid w:val="0"/>
                    <w:spacing w:line="360" w:lineRule="auto"/>
                    <w:jc w:val="left"/>
                    <w:rPr>
                      <w:rFonts w:hint="eastAsia" w:ascii="宋体" w:hAnsi="宋体" w:eastAsia="宋体" w:cs="宋体"/>
                      <w:b/>
                      <w:bCs/>
                      <w:color w:val="auto"/>
                      <w:spacing w:val="14"/>
                      <w:sz w:val="21"/>
                      <w:szCs w:val="21"/>
                      <w:highlight w:val="none"/>
                    </w:rPr>
                  </w:pPr>
                  <w:r>
                    <w:rPr>
                      <w:rFonts w:hint="eastAsia" w:asciiTheme="majorEastAsia" w:hAnsiTheme="majorEastAsia" w:eastAsiaTheme="majorEastAsia" w:cstheme="majorEastAsia"/>
                      <w:spacing w:val="8"/>
                      <w:sz w:val="22"/>
                    </w:rPr>
                    <w:t>提供合同关键页或中选</w:t>
                  </w:r>
                  <w:r>
                    <w:rPr>
                      <w:rFonts w:hint="eastAsia" w:asciiTheme="majorEastAsia" w:hAnsiTheme="majorEastAsia" w:eastAsiaTheme="majorEastAsia" w:cstheme="majorEastAsia"/>
                      <w:spacing w:val="6"/>
                      <w:sz w:val="22"/>
                    </w:rPr>
                    <w:t>通知书或合同甲方出具的证明文件扫描件，</w:t>
                  </w:r>
                  <w:r>
                    <w:rPr>
                      <w:rFonts w:hint="eastAsia" w:asciiTheme="majorEastAsia" w:hAnsiTheme="majorEastAsia" w:eastAsiaTheme="majorEastAsia" w:cstheme="majorEastAsia"/>
                      <w:spacing w:val="9"/>
                      <w:sz w:val="22"/>
                    </w:rPr>
                    <w:t>原件备查。未按要求提供或提供不清晰导致专家无法判断的不得分。</w:t>
                  </w:r>
                </w:p>
              </w:tc>
            </w:tr>
            <w:tr w14:paraId="260E2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6411F52">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51AABE1C">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Theme="majorEastAsia" w:hAnsiTheme="majorEastAsia" w:eastAsiaTheme="majorEastAsia" w:cstheme="majorEastAsia"/>
                      <w:sz w:val="22"/>
                    </w:rPr>
                    <w:t>5</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4685C273">
                  <w:pPr>
                    <w:adjustRightInd w:val="0"/>
                    <w:snapToGrid w:val="0"/>
                    <w:spacing w:line="360" w:lineRule="auto"/>
                    <w:jc w:val="center"/>
                    <w:rPr>
                      <w:rFonts w:hint="eastAsia" w:ascii="宋体" w:hAnsi="宋体" w:eastAsia="宋体" w:cs="宋体"/>
                      <w:sz w:val="21"/>
                      <w:szCs w:val="21"/>
                      <w:highlight w:val="none"/>
                      <w:lang w:val="en-US" w:eastAsia="zh-CN" w:bidi="ar-SA"/>
                    </w:rPr>
                  </w:pPr>
                  <w:r>
                    <w:rPr>
                      <w:rFonts w:hint="eastAsia" w:asciiTheme="majorEastAsia" w:hAnsiTheme="majorEastAsia" w:eastAsiaTheme="majorEastAsia" w:cstheme="majorEastAsia"/>
                      <w:sz w:val="22"/>
                    </w:rPr>
                    <w:t>履约评价情况</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29D28CD6">
                  <w:pPr>
                    <w:adjustRightInd w:val="0"/>
                    <w:snapToGrid w:val="0"/>
                    <w:spacing w:line="360" w:lineRule="auto"/>
                    <w:jc w:val="center"/>
                    <w:rPr>
                      <w:rFonts w:hint="eastAsia" w:ascii="宋体" w:hAnsi="宋体" w:eastAsia="宋体" w:cs="宋体"/>
                      <w:sz w:val="21"/>
                      <w:szCs w:val="21"/>
                      <w:highlight w:val="none"/>
                      <w:lang w:val="en-US" w:eastAsia="zh-CN" w:bidi="ar-SA"/>
                    </w:rPr>
                  </w:pPr>
                  <w:r>
                    <w:rPr>
                      <w:rFonts w:hint="eastAsia" w:asciiTheme="majorEastAsia" w:hAnsiTheme="majorEastAsia" w:eastAsiaTheme="majorEastAsia" w:cstheme="majorEastAsia"/>
                      <w:sz w:val="22"/>
                    </w:rPr>
                    <w:t>6</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7BA04A6B">
                  <w:pPr>
                    <w:pStyle w:val="54"/>
                    <w:numPr>
                      <w:ilvl w:val="0"/>
                      <w:numId w:val="7"/>
                    </w:numPr>
                    <w:adjustRightInd w:val="0"/>
                    <w:snapToGrid w:val="0"/>
                    <w:spacing w:line="360" w:lineRule="auto"/>
                    <w:rPr>
                      <w:rFonts w:hint="eastAsia" w:asciiTheme="majorEastAsia" w:hAnsiTheme="majorEastAsia" w:eastAsiaTheme="majorEastAsia" w:cstheme="majorEastAsia"/>
                      <w:b/>
                      <w:bCs/>
                      <w:sz w:val="22"/>
                      <w:szCs w:val="22"/>
                      <w:lang w:eastAsia="zh-CN"/>
                    </w:rPr>
                  </w:pPr>
                  <w:r>
                    <w:rPr>
                      <w:rFonts w:hint="eastAsia" w:asciiTheme="majorEastAsia" w:hAnsiTheme="majorEastAsia" w:eastAsiaTheme="majorEastAsia" w:cstheme="majorEastAsia"/>
                      <w:b/>
                      <w:bCs/>
                      <w:sz w:val="22"/>
                      <w:szCs w:val="22"/>
                      <w:lang w:eastAsia="zh-CN"/>
                    </w:rPr>
                    <w:t>评分内容：</w:t>
                  </w:r>
                </w:p>
                <w:p w14:paraId="5E6BDEFB">
                  <w:pPr>
                    <w:pStyle w:val="54"/>
                    <w:adjustRightInd w:val="0"/>
                    <w:snapToGrid w:val="0"/>
                    <w:spacing w:line="360" w:lineRule="auto"/>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2021年1月1日以后至本项</w:t>
                  </w:r>
                  <w:r>
                    <w:rPr>
                      <w:rFonts w:hint="eastAsia" w:asciiTheme="majorEastAsia" w:hAnsiTheme="majorEastAsia" w:eastAsiaTheme="majorEastAsia" w:cstheme="majorEastAsia"/>
                      <w:spacing w:val="9"/>
                      <w:sz w:val="22"/>
                      <w:szCs w:val="22"/>
                      <w:lang w:eastAsia="zh-CN"/>
                    </w:rPr>
                    <w:t>目响应截止日前，投标人具有食堂托管项目类项目业绩并经服务单位考核评价为优或</w:t>
                  </w:r>
                  <w:r>
                    <w:rPr>
                      <w:rFonts w:hint="eastAsia" w:asciiTheme="majorEastAsia" w:hAnsiTheme="majorEastAsia" w:eastAsiaTheme="majorEastAsia" w:cstheme="majorEastAsia"/>
                      <w:spacing w:val="-3"/>
                      <w:sz w:val="22"/>
                      <w:szCs w:val="22"/>
                      <w:lang w:eastAsia="zh-CN"/>
                    </w:rPr>
                    <w:t>满意的，每提供1项得35分，本项最高得100分。</w:t>
                  </w:r>
                </w:p>
                <w:p w14:paraId="12738311">
                  <w:pPr>
                    <w:pStyle w:val="54"/>
                    <w:numPr>
                      <w:ilvl w:val="0"/>
                      <w:numId w:val="7"/>
                    </w:numPr>
                    <w:adjustRightInd w:val="0"/>
                    <w:snapToGrid w:val="0"/>
                    <w:spacing w:line="360" w:lineRule="auto"/>
                    <w:rPr>
                      <w:rFonts w:hint="eastAsia" w:asciiTheme="majorEastAsia" w:hAnsiTheme="majorEastAsia" w:eastAsiaTheme="majorEastAsia" w:cstheme="majorEastAsia"/>
                      <w:b/>
                      <w:bCs/>
                      <w:sz w:val="22"/>
                      <w:szCs w:val="22"/>
                      <w:lang w:eastAsia="zh-CN"/>
                    </w:rPr>
                  </w:pPr>
                  <w:r>
                    <w:rPr>
                      <w:rFonts w:hint="eastAsia" w:asciiTheme="majorEastAsia" w:hAnsiTheme="majorEastAsia" w:eastAsiaTheme="majorEastAsia" w:cstheme="majorEastAsia"/>
                      <w:b/>
                      <w:bCs/>
                      <w:sz w:val="22"/>
                      <w:szCs w:val="22"/>
                      <w:lang w:eastAsia="zh-CN"/>
                    </w:rPr>
                    <w:t>评分依据：</w:t>
                  </w:r>
                </w:p>
                <w:p w14:paraId="634C0778">
                  <w:pPr>
                    <w:pStyle w:val="54"/>
                    <w:adjustRightInd w:val="0"/>
                    <w:snapToGrid w:val="0"/>
                    <w:spacing w:line="360" w:lineRule="auto"/>
                    <w:rPr>
                      <w:rFonts w:hint="eastAsia" w:ascii="宋体" w:hAnsi="宋体" w:eastAsia="宋体" w:cs="宋体"/>
                      <w:sz w:val="21"/>
                      <w:szCs w:val="21"/>
                      <w:highlight w:val="none"/>
                      <w:lang w:val="en-US" w:eastAsia="zh-CN" w:bidi="ar-SA"/>
                    </w:rPr>
                  </w:pPr>
                  <w:r>
                    <w:rPr>
                      <w:rFonts w:hint="eastAsia" w:asciiTheme="majorEastAsia" w:hAnsiTheme="majorEastAsia" w:eastAsiaTheme="majorEastAsia" w:cstheme="majorEastAsia"/>
                      <w:spacing w:val="13"/>
                      <w:sz w:val="22"/>
                      <w:szCs w:val="22"/>
                      <w:lang w:eastAsia="zh-CN"/>
                    </w:rPr>
                    <w:t>提供以上项目合同关键</w:t>
                  </w:r>
                  <w:r>
                    <w:rPr>
                      <w:rFonts w:hint="eastAsia" w:asciiTheme="majorEastAsia" w:hAnsiTheme="majorEastAsia" w:eastAsiaTheme="majorEastAsia" w:cstheme="majorEastAsia"/>
                      <w:spacing w:val="10"/>
                      <w:sz w:val="22"/>
                      <w:szCs w:val="22"/>
                      <w:lang w:eastAsia="zh-CN"/>
                    </w:rPr>
                    <w:t>页及盖有用户单位公章的履约评价扫描件，</w:t>
                  </w:r>
                  <w:r>
                    <w:rPr>
                      <w:rFonts w:hint="eastAsia" w:asciiTheme="majorEastAsia" w:hAnsiTheme="majorEastAsia" w:eastAsiaTheme="majorEastAsia" w:cstheme="majorEastAsia"/>
                      <w:spacing w:val="7"/>
                      <w:sz w:val="22"/>
                      <w:szCs w:val="22"/>
                      <w:lang w:eastAsia="zh-CN"/>
                    </w:rPr>
                    <w:t>原件备查。未按要求提供或提供不清晰导</w:t>
                  </w:r>
                  <w:r>
                    <w:rPr>
                      <w:rFonts w:hint="eastAsia" w:asciiTheme="majorEastAsia" w:hAnsiTheme="majorEastAsia" w:eastAsiaTheme="majorEastAsia" w:cstheme="majorEastAsia"/>
                      <w:spacing w:val="9"/>
                      <w:sz w:val="22"/>
                      <w:szCs w:val="22"/>
                      <w:lang w:eastAsia="zh-CN"/>
                    </w:rPr>
                    <w:t>致专家无法判断的不得分。</w:t>
                  </w:r>
                </w:p>
              </w:tc>
            </w:tr>
            <w:tr w14:paraId="0AAD7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909C516">
                  <w:pPr>
                    <w:spacing w:line="240" w:lineRule="auto"/>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52BC4C07">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Theme="majorEastAsia" w:hAnsiTheme="majorEastAsia" w:eastAsiaTheme="majorEastAsia" w:cstheme="majorEastAsia"/>
                      <w:sz w:val="22"/>
                      <w:shd w:val="clear" w:color="auto" w:fill="FFFFFF" w:themeFill="background1"/>
                    </w:rPr>
                    <w:t>6</w:t>
                  </w:r>
                </w:p>
              </w:tc>
              <w:tc>
                <w:tcPr>
                  <w:tcW w:w="2012" w:type="dxa"/>
                  <w:tcBorders>
                    <w:top w:val="single" w:color="000000" w:sz="8" w:space="0"/>
                    <w:left w:val="single" w:color="000000" w:sz="8" w:space="0"/>
                    <w:bottom w:val="single" w:color="000000" w:sz="8" w:space="0"/>
                    <w:right w:val="single" w:color="000000" w:sz="8" w:space="0"/>
                  </w:tcBorders>
                  <w:noWrap w:val="0"/>
                  <w:vAlign w:val="center"/>
                </w:tcPr>
                <w:p w14:paraId="22CB3B34">
                  <w:pPr>
                    <w:adjustRightInd w:val="0"/>
                    <w:snapToGrid w:val="0"/>
                    <w:spacing w:line="360" w:lineRule="auto"/>
                    <w:jc w:val="center"/>
                    <w:rPr>
                      <w:rFonts w:hint="eastAsia" w:ascii="宋体" w:hAnsi="宋体" w:eastAsia="宋体" w:cs="宋体"/>
                      <w:color w:val="auto"/>
                      <w:sz w:val="21"/>
                      <w:szCs w:val="21"/>
                      <w:highlight w:val="none"/>
                      <w:lang w:val="en-US" w:eastAsia="zh-CN" w:bidi="ar-SA"/>
                    </w:rPr>
                  </w:pPr>
                  <w:r>
                    <w:rPr>
                      <w:rFonts w:hint="eastAsia" w:asciiTheme="majorEastAsia" w:hAnsiTheme="majorEastAsia" w:eastAsiaTheme="majorEastAsia" w:cstheme="majorEastAsia"/>
                      <w:sz w:val="22"/>
                      <w:lang w:bidi="ar"/>
                    </w:rPr>
                    <w:t>诚信承诺函</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79F8F129">
                  <w:pPr>
                    <w:adjustRightInd w:val="0"/>
                    <w:snapToGrid w:val="0"/>
                    <w:spacing w:line="360" w:lineRule="auto"/>
                    <w:jc w:val="center"/>
                    <w:rPr>
                      <w:rFonts w:hint="eastAsia" w:ascii="宋体" w:hAnsi="宋体" w:eastAsia="宋体" w:cs="宋体"/>
                      <w:color w:val="auto"/>
                      <w:sz w:val="21"/>
                      <w:szCs w:val="21"/>
                      <w:highlight w:val="none"/>
                      <w:lang w:val="en-US" w:eastAsia="zh-CN" w:bidi="ar-SA"/>
                    </w:rPr>
                  </w:pPr>
                  <w:r>
                    <w:rPr>
                      <w:rFonts w:hint="eastAsia" w:asciiTheme="majorEastAsia" w:hAnsiTheme="majorEastAsia" w:eastAsiaTheme="majorEastAsia" w:cstheme="majorEastAsia"/>
                      <w:sz w:val="22"/>
                    </w:rPr>
                    <w:t>5</w:t>
                  </w:r>
                </w:p>
              </w:tc>
              <w:tc>
                <w:tcPr>
                  <w:tcW w:w="5195" w:type="dxa"/>
                  <w:tcBorders>
                    <w:top w:val="single" w:color="000000" w:sz="8" w:space="0"/>
                    <w:left w:val="single" w:color="000000" w:sz="8" w:space="0"/>
                    <w:bottom w:val="single" w:color="000000" w:sz="8" w:space="0"/>
                    <w:right w:val="single" w:color="000000" w:sz="8" w:space="0"/>
                  </w:tcBorders>
                  <w:noWrap w:val="0"/>
                  <w:vAlign w:val="top"/>
                </w:tcPr>
                <w:p w14:paraId="0024DA07">
                  <w:pPr>
                    <w:adjustRightInd w:val="0"/>
                    <w:snapToGrid w:val="0"/>
                    <w:spacing w:line="360" w:lineRule="auto"/>
                    <w:jc w:val="left"/>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投标人承诺在参与龙华区教育局自行采购活动中未出现诚信或安全相关问题且不在相关主管部门处理措施实施期限内的本项得满分100分，否则不得分。</w:t>
                  </w:r>
                </w:p>
                <w:p w14:paraId="3DA6A7F3">
                  <w:pPr>
                    <w:adjustRightInd w:val="0"/>
                    <w:snapToGrid w:val="0"/>
                    <w:spacing w:line="360" w:lineRule="auto"/>
                    <w:jc w:val="left"/>
                    <w:rPr>
                      <w:rFonts w:hint="eastAsia" w:ascii="宋体" w:hAnsi="宋体" w:eastAsia="宋体" w:cs="宋体"/>
                      <w:color w:val="auto"/>
                      <w:sz w:val="21"/>
                      <w:szCs w:val="21"/>
                      <w:highlight w:val="none"/>
                      <w:lang w:val="en-US" w:eastAsia="zh-CN" w:bidi="ar-SA"/>
                    </w:rPr>
                  </w:pPr>
                  <w:r>
                    <w:rPr>
                      <w:rFonts w:hint="eastAsia" w:asciiTheme="majorEastAsia" w:hAnsiTheme="majorEastAsia" w:eastAsiaTheme="majorEastAsia" w:cstheme="majorEastAsia"/>
                      <w:sz w:val="22"/>
                    </w:rPr>
                    <w:t>须提供加盖投标人公章的《诚信承诺函》，按采购文件格式要求提供，不提供或提供的不符合要求或提供不清晰导致专家无法判断的均不得分。如被认定提供的陈述与事实不符受到行政处罚的，依法追究其责任。</w:t>
                  </w:r>
                </w:p>
              </w:tc>
            </w:tr>
          </w:tbl>
          <w:p w14:paraId="1E54CE88">
            <w:pPr>
              <w:rPr>
                <w:rFonts w:hint="eastAsia" w:ascii="宋体" w:hAnsi="宋体" w:eastAsia="宋体" w:cs="宋体"/>
                <w:highlight w:val="none"/>
              </w:rPr>
            </w:pPr>
          </w:p>
        </w:tc>
      </w:tr>
    </w:tbl>
    <w:p w14:paraId="1FE48395">
      <w:pPr>
        <w:pStyle w:val="7"/>
        <w:ind w:firstLine="0"/>
        <w:rPr>
          <w:rFonts w:hint="eastAsia" w:ascii="宋体" w:hAnsi="宋体" w:eastAsia="宋体" w:cs="宋体"/>
          <w:highlight w:val="none"/>
        </w:rPr>
      </w:pPr>
    </w:p>
    <w:p w14:paraId="64D209FC">
      <w:pPr>
        <w:rPr>
          <w:rFonts w:hint="eastAsia" w:ascii="宋体" w:hAnsi="宋体" w:eastAsia="宋体" w:cs="宋体"/>
          <w:highlight w:val="none"/>
        </w:rPr>
      </w:pPr>
    </w:p>
    <w:p w14:paraId="4909ACA0">
      <w:pPr>
        <w:pStyle w:val="9"/>
        <w:rPr>
          <w:rFonts w:hint="eastAsia" w:ascii="宋体" w:hAnsi="宋体" w:eastAsia="宋体" w:cs="宋体"/>
          <w:highlight w:val="none"/>
        </w:rPr>
      </w:pPr>
    </w:p>
    <w:p w14:paraId="1748DC9A">
      <w:pPr>
        <w:rPr>
          <w:rFonts w:hint="eastAsia" w:ascii="宋体" w:hAnsi="宋体" w:eastAsia="宋体" w:cs="宋体"/>
          <w:highlight w:val="none"/>
        </w:rPr>
      </w:pPr>
    </w:p>
    <w:p w14:paraId="7642E537">
      <w:pPr>
        <w:pStyle w:val="9"/>
        <w:rPr>
          <w:rFonts w:hint="eastAsia" w:ascii="宋体" w:hAnsi="宋体" w:eastAsia="宋体" w:cs="宋体"/>
          <w:highlight w:val="none"/>
        </w:rPr>
      </w:pPr>
    </w:p>
    <w:p w14:paraId="2CFA9091">
      <w:pPr>
        <w:rPr>
          <w:rFonts w:hint="eastAsia" w:ascii="宋体" w:hAnsi="宋体" w:eastAsia="宋体" w:cs="宋体"/>
          <w:highlight w:val="none"/>
        </w:rPr>
        <w:sectPr>
          <w:pgSz w:w="11906" w:h="16838"/>
          <w:pgMar w:top="1440" w:right="1800" w:bottom="1440" w:left="1800" w:header="851" w:footer="992" w:gutter="0"/>
          <w:pgNumType w:fmt="decimal"/>
          <w:cols w:space="720" w:num="1"/>
          <w:docGrid w:type="lines" w:linePitch="312" w:charSpace="0"/>
        </w:sectPr>
      </w:pPr>
    </w:p>
    <w:p w14:paraId="4542C9AA">
      <w:pPr>
        <w:pStyle w:val="2"/>
        <w:rPr>
          <w:rFonts w:hint="eastAsia" w:ascii="宋体" w:hAnsi="宋体" w:eastAsia="宋体" w:cs="宋体"/>
          <w:highlight w:val="none"/>
        </w:rPr>
      </w:pPr>
      <w:r>
        <w:rPr>
          <w:rFonts w:hint="eastAsia" w:ascii="宋体" w:hAnsi="宋体" w:eastAsia="宋体" w:cs="宋体"/>
          <w:highlight w:val="none"/>
        </w:rPr>
        <w:t>目   录</w:t>
      </w:r>
    </w:p>
    <w:p w14:paraId="0B8D8154">
      <w:pPr>
        <w:spacing w:line="360" w:lineRule="auto"/>
        <w:outlineLvl w:val="0"/>
        <w:rPr>
          <w:rFonts w:hint="eastAsia" w:ascii="宋体" w:hAnsi="宋体" w:eastAsia="宋体" w:cs="宋体"/>
          <w:b/>
          <w:highlight w:val="none"/>
        </w:rPr>
      </w:pPr>
      <w:r>
        <w:rPr>
          <w:rFonts w:hint="eastAsia" w:ascii="宋体" w:hAnsi="宋体" w:eastAsia="宋体" w:cs="宋体"/>
          <w:b/>
          <w:highlight w:val="none"/>
        </w:rPr>
        <w:t>第一册  专用条款</w:t>
      </w:r>
    </w:p>
    <w:p w14:paraId="4CD2DBFC">
      <w:pPr>
        <w:spacing w:line="360" w:lineRule="auto"/>
        <w:rPr>
          <w:rFonts w:hint="eastAsia" w:ascii="宋体" w:hAnsi="宋体" w:eastAsia="宋体" w:cs="宋体"/>
          <w:highlight w:val="none"/>
        </w:rPr>
      </w:pPr>
      <w:r>
        <w:rPr>
          <w:rFonts w:hint="eastAsia" w:ascii="宋体" w:hAnsi="宋体" w:eastAsia="宋体" w:cs="宋体"/>
          <w:highlight w:val="none"/>
        </w:rPr>
        <w:t xml:space="preserve">         关键信息</w:t>
      </w:r>
    </w:p>
    <w:p w14:paraId="00C10672">
      <w:pPr>
        <w:spacing w:line="360" w:lineRule="auto"/>
        <w:ind w:firstLine="1200" w:firstLineChars="500"/>
        <w:rPr>
          <w:rFonts w:hint="eastAsia" w:ascii="宋体" w:hAnsi="宋体" w:eastAsia="宋体" w:cs="宋体"/>
          <w:highlight w:val="none"/>
        </w:rPr>
      </w:pPr>
      <w:r>
        <w:rPr>
          <w:rFonts w:hint="eastAsia" w:ascii="宋体" w:hAnsi="宋体" w:eastAsia="宋体" w:cs="宋体"/>
          <w:highlight w:val="none"/>
        </w:rPr>
        <w:t>第一章  招标公告</w:t>
      </w:r>
    </w:p>
    <w:p w14:paraId="7EAA5851">
      <w:pPr>
        <w:spacing w:line="360" w:lineRule="auto"/>
        <w:ind w:firstLine="1200" w:firstLineChars="500"/>
        <w:rPr>
          <w:rFonts w:hint="eastAsia" w:ascii="宋体" w:hAnsi="宋体" w:eastAsia="宋体" w:cs="宋体"/>
          <w:highlight w:val="none"/>
        </w:rPr>
      </w:pPr>
      <w:r>
        <w:rPr>
          <w:rFonts w:hint="eastAsia" w:ascii="宋体" w:hAnsi="宋体" w:eastAsia="宋体" w:cs="宋体"/>
          <w:highlight w:val="none"/>
        </w:rPr>
        <w:t xml:space="preserve">第二章  </w:t>
      </w:r>
      <w:bookmarkStart w:id="0" w:name="_Hlk71994379"/>
      <w:r>
        <w:rPr>
          <w:rFonts w:hint="eastAsia" w:ascii="宋体" w:hAnsi="宋体" w:eastAsia="宋体" w:cs="宋体"/>
          <w:highlight w:val="none"/>
        </w:rPr>
        <w:t>对通用条款的补充内容及其他关键信息</w:t>
      </w:r>
      <w:bookmarkEnd w:id="0"/>
    </w:p>
    <w:p w14:paraId="07F1748B">
      <w:pPr>
        <w:spacing w:line="360" w:lineRule="auto"/>
        <w:ind w:firstLine="1200" w:firstLineChars="500"/>
        <w:rPr>
          <w:rFonts w:hint="eastAsia" w:ascii="宋体" w:hAnsi="宋体" w:eastAsia="宋体" w:cs="宋体"/>
          <w:highlight w:val="none"/>
        </w:rPr>
      </w:pPr>
      <w:r>
        <w:rPr>
          <w:rFonts w:hint="eastAsia" w:ascii="宋体" w:hAnsi="宋体" w:eastAsia="宋体" w:cs="宋体"/>
          <w:highlight w:val="none"/>
        </w:rPr>
        <w:t>第三章  用户需求书</w:t>
      </w:r>
    </w:p>
    <w:p w14:paraId="09318F33">
      <w:pPr>
        <w:spacing w:line="360" w:lineRule="auto"/>
        <w:ind w:firstLine="1200" w:firstLineChars="500"/>
        <w:rPr>
          <w:rFonts w:hint="eastAsia" w:ascii="宋体" w:hAnsi="宋体" w:eastAsia="宋体" w:cs="宋体"/>
          <w:highlight w:val="none"/>
        </w:rPr>
      </w:pPr>
      <w:r>
        <w:rPr>
          <w:rFonts w:hint="eastAsia" w:ascii="宋体" w:hAnsi="宋体" w:eastAsia="宋体" w:cs="宋体"/>
          <w:highlight w:val="none"/>
        </w:rPr>
        <w:t>第四章  投标文件组成要求及格式</w:t>
      </w:r>
    </w:p>
    <w:p w14:paraId="1732A152">
      <w:pPr>
        <w:spacing w:line="360" w:lineRule="auto"/>
        <w:ind w:firstLine="1200" w:firstLineChars="500"/>
        <w:rPr>
          <w:rFonts w:hint="eastAsia" w:ascii="宋体" w:hAnsi="宋体" w:eastAsia="宋体" w:cs="宋体"/>
          <w:highlight w:val="none"/>
        </w:rPr>
      </w:pPr>
      <w:r>
        <w:rPr>
          <w:rFonts w:hint="eastAsia" w:ascii="宋体" w:hAnsi="宋体" w:eastAsia="宋体" w:cs="宋体"/>
          <w:highlight w:val="none"/>
        </w:rPr>
        <w:t>第五章  合同条款及格式</w:t>
      </w:r>
    </w:p>
    <w:p w14:paraId="10EF6DB8">
      <w:pPr>
        <w:spacing w:line="360" w:lineRule="auto"/>
        <w:rPr>
          <w:rFonts w:hint="eastAsia" w:ascii="宋体" w:hAnsi="宋体" w:eastAsia="宋体" w:cs="宋体"/>
          <w:b/>
          <w:highlight w:val="none"/>
        </w:rPr>
      </w:pPr>
    </w:p>
    <w:p w14:paraId="03B21B17">
      <w:pPr>
        <w:spacing w:line="360" w:lineRule="auto"/>
        <w:outlineLvl w:val="0"/>
        <w:rPr>
          <w:rFonts w:hint="eastAsia" w:ascii="宋体" w:hAnsi="宋体" w:eastAsia="宋体" w:cs="宋体"/>
          <w:b/>
          <w:highlight w:val="none"/>
        </w:rPr>
      </w:pPr>
      <w:r>
        <w:rPr>
          <w:rFonts w:hint="eastAsia" w:ascii="宋体" w:hAnsi="宋体" w:eastAsia="宋体" w:cs="宋体"/>
          <w:b/>
          <w:highlight w:val="none"/>
        </w:rPr>
        <w:t>第二册  通用条款</w:t>
      </w:r>
    </w:p>
    <w:p w14:paraId="4D6E57E5">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第一章  总则</w:t>
      </w:r>
    </w:p>
    <w:p w14:paraId="6D18210B">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第二章  招标文件</w:t>
      </w:r>
    </w:p>
    <w:p w14:paraId="5B502931">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第三章  投标文件的编制</w:t>
      </w:r>
    </w:p>
    <w:p w14:paraId="08256DB9">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第四章  投标文件的递交</w:t>
      </w:r>
    </w:p>
    <w:p w14:paraId="0DDC138A">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第五章  开标</w:t>
      </w:r>
    </w:p>
    <w:p w14:paraId="5570FD61">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第六章  评审要求</w:t>
      </w:r>
    </w:p>
    <w:p w14:paraId="4A33FEFA">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第七章  评审程序及评审方法</w:t>
      </w:r>
    </w:p>
    <w:p w14:paraId="3B918C4A">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第八章  定标及公示</w:t>
      </w:r>
    </w:p>
    <w:p w14:paraId="45C872C9">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第九章  公开招标失败的后续处理</w:t>
      </w:r>
    </w:p>
    <w:p w14:paraId="6118B89E">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第十章  合同的授予与备案</w:t>
      </w:r>
    </w:p>
    <w:p w14:paraId="33A98BDF">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第十一章  质疑处理</w:t>
      </w:r>
    </w:p>
    <w:p w14:paraId="563436CF">
      <w:pPr>
        <w:pStyle w:val="9"/>
        <w:rPr>
          <w:rFonts w:hint="eastAsia" w:ascii="宋体" w:hAnsi="宋体" w:eastAsia="宋体" w:cs="宋体"/>
          <w:highlight w:val="none"/>
        </w:rPr>
      </w:pPr>
    </w:p>
    <w:p w14:paraId="084C8B07">
      <w:pPr>
        <w:rPr>
          <w:rFonts w:hint="eastAsia" w:ascii="宋体" w:hAnsi="宋体" w:eastAsia="宋体" w:cs="宋体"/>
          <w:highlight w:val="none"/>
        </w:rPr>
      </w:pPr>
    </w:p>
    <w:p w14:paraId="0B405C79">
      <w:pPr>
        <w:pStyle w:val="11"/>
        <w:rPr>
          <w:rFonts w:hint="eastAsia" w:ascii="宋体" w:hAnsi="宋体" w:eastAsia="宋体" w:cs="宋体"/>
          <w:highlight w:val="none"/>
        </w:rPr>
      </w:pPr>
    </w:p>
    <w:p w14:paraId="33452042">
      <w:pPr>
        <w:pStyle w:val="11"/>
        <w:rPr>
          <w:rFonts w:hint="eastAsia" w:ascii="宋体" w:hAnsi="宋体" w:eastAsia="宋体" w:cs="宋体"/>
          <w:highlight w:val="none"/>
        </w:rPr>
      </w:pPr>
    </w:p>
    <w:p w14:paraId="3477AA81">
      <w:pPr>
        <w:pStyle w:val="11"/>
        <w:rPr>
          <w:rFonts w:hint="eastAsia" w:ascii="宋体" w:hAnsi="宋体" w:eastAsia="宋体" w:cs="宋体"/>
          <w:highlight w:val="none"/>
        </w:rPr>
      </w:pPr>
    </w:p>
    <w:p w14:paraId="460C25A1">
      <w:pPr>
        <w:pStyle w:val="11"/>
        <w:rPr>
          <w:rFonts w:hint="eastAsia" w:ascii="宋体" w:hAnsi="宋体" w:eastAsia="宋体" w:cs="宋体"/>
          <w:highlight w:val="none"/>
        </w:rPr>
      </w:pPr>
    </w:p>
    <w:p w14:paraId="12EA332E">
      <w:pPr>
        <w:pStyle w:val="11"/>
        <w:rPr>
          <w:rFonts w:hint="eastAsia" w:ascii="宋体" w:hAnsi="宋体" w:eastAsia="宋体" w:cs="宋体"/>
          <w:highlight w:val="none"/>
        </w:rPr>
      </w:pPr>
    </w:p>
    <w:p w14:paraId="380D6429">
      <w:pPr>
        <w:pStyle w:val="11"/>
        <w:rPr>
          <w:rFonts w:hint="eastAsia" w:ascii="宋体" w:hAnsi="宋体" w:eastAsia="宋体" w:cs="宋体"/>
          <w:highlight w:val="none"/>
        </w:rPr>
      </w:pPr>
    </w:p>
    <w:p w14:paraId="7A847F7F">
      <w:pPr>
        <w:pStyle w:val="2"/>
        <w:rPr>
          <w:rFonts w:hint="eastAsia" w:ascii="宋体" w:hAnsi="宋体" w:eastAsia="宋体" w:cs="宋体"/>
          <w:sz w:val="44"/>
          <w:szCs w:val="56"/>
          <w:highlight w:val="none"/>
        </w:rPr>
      </w:pPr>
      <w:r>
        <w:rPr>
          <w:rFonts w:hint="eastAsia" w:ascii="宋体" w:hAnsi="宋体" w:eastAsia="宋体" w:cs="宋体"/>
          <w:sz w:val="44"/>
          <w:szCs w:val="56"/>
          <w:highlight w:val="none"/>
        </w:rPr>
        <w:t>第一册专用条款</w:t>
      </w:r>
    </w:p>
    <w:p w14:paraId="1B4711ED">
      <w:pPr>
        <w:pStyle w:val="3"/>
        <w:numPr>
          <w:ilvl w:val="0"/>
          <w:numId w:val="8"/>
        </w:numPr>
        <w:jc w:val="center"/>
        <w:rPr>
          <w:rFonts w:hint="eastAsia" w:ascii="宋体" w:hAnsi="宋体" w:eastAsia="宋体" w:cs="宋体"/>
          <w:sz w:val="32"/>
          <w:szCs w:val="28"/>
          <w:highlight w:val="none"/>
        </w:rPr>
      </w:pPr>
      <w:r>
        <w:rPr>
          <w:rFonts w:hint="eastAsia" w:ascii="宋体" w:hAnsi="宋体" w:eastAsia="宋体" w:cs="宋体"/>
          <w:sz w:val="32"/>
          <w:szCs w:val="28"/>
          <w:highlight w:val="none"/>
        </w:rPr>
        <w:t>招标公告</w:t>
      </w:r>
    </w:p>
    <w:p w14:paraId="7C861CE6">
      <w:pPr>
        <w:pStyle w:val="7"/>
        <w:numPr>
          <w:ilvl w:val="0"/>
          <w:numId w:val="9"/>
        </w:numPr>
        <w:spacing w:before="78" w:beforeLines="25" w:after="78" w:afterLines="25"/>
        <w:ind w:firstLine="451" w:firstLineChars="187"/>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申请人的资格要求：</w:t>
      </w:r>
    </w:p>
    <w:p w14:paraId="3B579C1B">
      <w:pPr>
        <w:pStyle w:val="7"/>
        <w:numPr>
          <w:ilvl w:val="0"/>
          <w:numId w:val="10"/>
        </w:numPr>
        <w:spacing w:before="78" w:beforeLines="25" w:after="78" w:afterLines="25"/>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p>
    <w:p w14:paraId="74B85FD8">
      <w:pPr>
        <w:pStyle w:val="7"/>
        <w:numPr>
          <w:ilvl w:val="0"/>
          <w:numId w:val="10"/>
        </w:numPr>
        <w:spacing w:before="78" w:beforeLines="25" w:after="78" w:afterLines="25"/>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落实政府采购政策需满足的资格要求：无；</w:t>
      </w:r>
    </w:p>
    <w:p w14:paraId="7BA96F94">
      <w:pPr>
        <w:pStyle w:val="7"/>
        <w:numPr>
          <w:ilvl w:val="0"/>
          <w:numId w:val="10"/>
        </w:numPr>
        <w:spacing w:before="78" w:beforeLines="25" w:after="78" w:afterLines="25"/>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本项目不接受联合体投标，不接受投标人选用进口产品参与投标；</w:t>
      </w:r>
    </w:p>
    <w:p w14:paraId="2BAF4916">
      <w:pPr>
        <w:pStyle w:val="7"/>
        <w:numPr>
          <w:ilvl w:val="0"/>
          <w:numId w:val="10"/>
        </w:numPr>
        <w:spacing w:before="78" w:beforeLines="25" w:after="78" w:afterLines="25"/>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参与本项目投标前三年内，在经营活动中没有重大违法记录（由供应商在《龙华区教育局自行采购投标及履约承诺函》中作出声明）；</w:t>
      </w:r>
    </w:p>
    <w:p w14:paraId="17799FCB">
      <w:pPr>
        <w:pStyle w:val="7"/>
        <w:numPr>
          <w:ilvl w:val="0"/>
          <w:numId w:val="10"/>
        </w:numPr>
        <w:spacing w:before="78" w:beforeLines="25" w:after="78" w:afterLines="25"/>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参与本项目政府采购活动时不存在被有关部门禁止参与政府采购活动且在有效期内的情况（由供应商在《龙华区教育局自行采购投标及履约承诺函》中作出声明）；</w:t>
      </w:r>
    </w:p>
    <w:p w14:paraId="7F0D8EB1">
      <w:pPr>
        <w:pStyle w:val="7"/>
        <w:numPr>
          <w:ilvl w:val="0"/>
          <w:numId w:val="10"/>
        </w:numPr>
        <w:spacing w:before="78" w:beforeLines="25" w:after="78" w:afterLines="25"/>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具备《中华人民共和国政府采购法》第二十二条第一款的条件（由供应商在《龙华区教育局自行采购投标及履约承诺函》中作出声明）；</w:t>
      </w:r>
    </w:p>
    <w:p w14:paraId="2D14ADA2">
      <w:pPr>
        <w:pStyle w:val="7"/>
        <w:numPr>
          <w:ilvl w:val="0"/>
          <w:numId w:val="10"/>
        </w:numPr>
        <w:spacing w:before="78" w:beforeLines="25" w:after="78" w:afterLines="25"/>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未被列入失信被执行人、重大税收违法案件当事人名单（税收违法黑名单）、政府采购严重违法失信行为记录名单（由供应商在《龙华区教育局自行采购投标及履约承诺函》中作出声明）。注：“信用中国”、“中国政府采购网”、“深圳信用网”以及“深圳市政府采购监管网”为供应商信用信息的查询渠道，相关信息以开标当日的查询结果为准；</w:t>
      </w:r>
    </w:p>
    <w:p w14:paraId="05088A48">
      <w:pPr>
        <w:pStyle w:val="7"/>
        <w:numPr>
          <w:ilvl w:val="0"/>
          <w:numId w:val="10"/>
        </w:numPr>
        <w:spacing w:before="78" w:beforeLines="25" w:after="78" w:afterLines="25"/>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依据《中华人民共和国政府采购法实施条例》第十八条第一款规定，单位负责人为同一人或者存在直接控股、管理关系的不同供应商，不得参加同一合同项下的政府采购活动（由供应商在《龙华区教育局自行采购投标及履约承诺函》中作出声明并根据实际填写“股东构成审查表 ”（详见采购文件相应章节）。</w:t>
      </w:r>
    </w:p>
    <w:p w14:paraId="60F35927">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完整公告内容以网站公布信息为准：</w:t>
      </w:r>
      <w:r>
        <w:rPr>
          <w:rFonts w:hint="eastAsia" w:ascii="宋体" w:hAnsi="宋体" w:eastAsia="宋体" w:cs="宋体"/>
          <w:b/>
          <w:bCs/>
          <w:sz w:val="24"/>
          <w:szCs w:val="24"/>
          <w:highlight w:val="none"/>
        </w:rPr>
        <w:br w:type="textWrapping"/>
      </w:r>
      <w:r>
        <w:rPr>
          <w:rFonts w:hint="eastAsia" w:ascii="宋体" w:hAnsi="宋体" w:eastAsia="宋体" w:cs="宋体"/>
          <w:b/>
          <w:bCs/>
          <w:sz w:val="24"/>
          <w:szCs w:val="24"/>
          <w:highlight w:val="none"/>
          <w:lang w:val="en-US" w:eastAsia="zh-CN"/>
        </w:rPr>
        <w:t>深圳政府采购自行采购系统</w:t>
      </w:r>
      <w:r>
        <w:rPr>
          <w:rFonts w:hint="eastAsia" w:ascii="宋体" w:hAnsi="宋体" w:eastAsia="宋体" w:cs="宋体"/>
          <w:b/>
          <w:bCs/>
          <w:sz w:val="24"/>
          <w:szCs w:val="24"/>
          <w:highlight w:val="none"/>
        </w:rPr>
        <w:t>:（https://zxcg.szggzy.com/home/index.html）</w:t>
      </w:r>
    </w:p>
    <w:p w14:paraId="2E431731">
      <w:pPr>
        <w:pStyle w:val="9"/>
        <w:spacing w:line="240" w:lineRule="auto"/>
        <w:rPr>
          <w:rFonts w:hint="default" w:ascii="宋体" w:hAnsi="宋体" w:eastAsia="宋体" w:cs="宋体"/>
          <w:sz w:val="24"/>
          <w:szCs w:val="24"/>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24"/>
          <w:szCs w:val="24"/>
          <w:highlight w:val="none"/>
        </w:rPr>
        <w:t>国采招标（深圳）有限公司官网</w:t>
      </w:r>
      <w:r>
        <w:rPr>
          <w:rFonts w:hint="eastAsia" w:ascii="宋体" w:hAnsi="宋体" w:eastAsia="宋体" w:cs="宋体"/>
          <w:sz w:val="24"/>
          <w:szCs w:val="24"/>
          <w:highlight w:val="none"/>
          <w:lang w:val="en-US" w:eastAsia="zh-CN"/>
        </w:rPr>
        <w:t>:(https://www.gczbsz.com/)</w:t>
      </w:r>
    </w:p>
    <w:p w14:paraId="4C42D0E2">
      <w:pPr>
        <w:pStyle w:val="3"/>
        <w:numPr>
          <w:ilvl w:val="0"/>
          <w:numId w:val="8"/>
        </w:numPr>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投标人须知及其他关键信息</w:t>
      </w:r>
    </w:p>
    <w:p w14:paraId="3CB6F3CB">
      <w:pPr>
        <w:numPr>
          <w:ilvl w:val="0"/>
          <w:numId w:val="11"/>
        </w:numPr>
        <w:rPr>
          <w:rFonts w:hint="eastAsia" w:ascii="宋体" w:hAnsi="宋体" w:eastAsia="宋体" w:cs="宋体"/>
          <w:b/>
          <w:bCs/>
          <w:highlight w:val="none"/>
        </w:rPr>
      </w:pPr>
      <w:r>
        <w:rPr>
          <w:rFonts w:hint="eastAsia" w:ascii="宋体" w:hAnsi="宋体" w:eastAsia="宋体" w:cs="宋体"/>
          <w:b/>
          <w:bCs/>
          <w:highlight w:val="none"/>
        </w:rPr>
        <w:t>投标人须知</w:t>
      </w:r>
    </w:p>
    <w:p w14:paraId="5C312579">
      <w:pPr>
        <w:pStyle w:val="9"/>
        <w:rPr>
          <w:rFonts w:hint="eastAsia" w:ascii="宋体" w:hAnsi="宋体" w:eastAsia="宋体" w:cs="宋体"/>
          <w:highlight w:val="none"/>
        </w:rPr>
      </w:pPr>
      <w:r>
        <w:rPr>
          <w:rFonts w:hint="eastAsia" w:ascii="宋体" w:hAnsi="宋体" w:eastAsia="宋体" w:cs="宋体"/>
          <w:highlight w:val="none"/>
        </w:rPr>
        <w:t>(一)对条款的补充内容</w:t>
      </w:r>
    </w:p>
    <w:tbl>
      <w:tblPr>
        <w:tblStyle w:val="18"/>
        <w:tblW w:w="91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839"/>
        <w:gridCol w:w="6554"/>
      </w:tblGrid>
      <w:tr w14:paraId="535771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5D2EBACE">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通用条款序号</w:t>
            </w:r>
          </w:p>
        </w:tc>
        <w:tc>
          <w:tcPr>
            <w:tcW w:w="1839" w:type="dxa"/>
            <w:vAlign w:val="center"/>
          </w:tcPr>
          <w:p w14:paraId="38B16139">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涉及事项</w:t>
            </w:r>
          </w:p>
        </w:tc>
        <w:tc>
          <w:tcPr>
            <w:tcW w:w="6554" w:type="dxa"/>
            <w:vAlign w:val="center"/>
          </w:tcPr>
          <w:p w14:paraId="4D17BEDF">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具  体  补  充  内  容</w:t>
            </w:r>
          </w:p>
        </w:tc>
      </w:tr>
      <w:tr w14:paraId="3F93C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44A57B5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3.1</w:t>
            </w:r>
          </w:p>
        </w:tc>
        <w:tc>
          <w:tcPr>
            <w:tcW w:w="1839" w:type="dxa"/>
            <w:vAlign w:val="center"/>
          </w:tcPr>
          <w:p w14:paraId="52221C5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采购人</w:t>
            </w:r>
          </w:p>
        </w:tc>
        <w:tc>
          <w:tcPr>
            <w:tcW w:w="6554" w:type="dxa"/>
            <w:vAlign w:val="center"/>
          </w:tcPr>
          <w:p w14:paraId="6FC44231">
            <w:pPr>
              <w:jc w:val="center"/>
              <w:rPr>
                <w:rFonts w:hint="eastAsia" w:ascii="宋体" w:hAnsi="宋体" w:eastAsia="宋体" w:cs="宋体"/>
                <w:sz w:val="22"/>
                <w:szCs w:val="22"/>
                <w:highlight w:val="none"/>
              </w:rPr>
            </w:pPr>
            <w:r>
              <w:rPr>
                <w:rFonts w:hint="eastAsia" w:ascii="宋体" w:hAnsi="宋体" w:eastAsia="宋体" w:cs="宋体"/>
                <w:color w:val="333333"/>
                <w:sz w:val="22"/>
                <w:szCs w:val="22"/>
                <w:highlight w:val="none"/>
                <w:shd w:val="clear" w:color="auto" w:fill="FFFFFF"/>
                <w:lang w:eastAsia="zh-CN" w:bidi="ar"/>
              </w:rPr>
              <w:t>深圳市龙华区教育科学研究院第二附属学校第二附属学校</w:t>
            </w:r>
            <w:r>
              <w:rPr>
                <w:rFonts w:hint="eastAsia" w:ascii="宋体" w:hAnsi="宋体" w:eastAsia="宋体" w:cs="宋体"/>
                <w:color w:val="333333"/>
                <w:sz w:val="22"/>
                <w:szCs w:val="22"/>
                <w:highlight w:val="none"/>
                <w:shd w:val="clear" w:color="auto" w:fill="FFFFFF"/>
                <w:lang w:bidi="ar"/>
              </w:rPr>
              <w:t xml:space="preserve"> </w:t>
            </w:r>
          </w:p>
        </w:tc>
      </w:tr>
      <w:tr w14:paraId="2A5E87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24D5732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w:t>
            </w:r>
          </w:p>
        </w:tc>
        <w:tc>
          <w:tcPr>
            <w:tcW w:w="1839" w:type="dxa"/>
            <w:vAlign w:val="center"/>
          </w:tcPr>
          <w:p w14:paraId="1382302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招标代理机构</w:t>
            </w:r>
          </w:p>
        </w:tc>
        <w:tc>
          <w:tcPr>
            <w:tcW w:w="6554" w:type="dxa"/>
            <w:vAlign w:val="center"/>
          </w:tcPr>
          <w:p w14:paraId="2075986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国采招标（深圳）有限公司</w:t>
            </w:r>
          </w:p>
        </w:tc>
      </w:tr>
      <w:tr w14:paraId="00655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0E30E7F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5.3</w:t>
            </w:r>
          </w:p>
        </w:tc>
        <w:tc>
          <w:tcPr>
            <w:tcW w:w="1839" w:type="dxa"/>
            <w:vAlign w:val="center"/>
          </w:tcPr>
          <w:p w14:paraId="0334A50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联合体投标</w:t>
            </w:r>
          </w:p>
        </w:tc>
        <w:tc>
          <w:tcPr>
            <w:tcW w:w="6554" w:type="dxa"/>
            <w:vAlign w:val="center"/>
          </w:tcPr>
          <w:p w14:paraId="188147F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不接受</w:t>
            </w:r>
          </w:p>
        </w:tc>
      </w:tr>
      <w:tr w14:paraId="2A86D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417065B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1839" w:type="dxa"/>
            <w:vAlign w:val="center"/>
          </w:tcPr>
          <w:p w14:paraId="15EB040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踏勘现场</w:t>
            </w:r>
          </w:p>
        </w:tc>
        <w:tc>
          <w:tcPr>
            <w:tcW w:w="6554" w:type="dxa"/>
            <w:vAlign w:val="center"/>
          </w:tcPr>
          <w:p w14:paraId="7A12184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不组织</w:t>
            </w:r>
          </w:p>
        </w:tc>
      </w:tr>
      <w:tr w14:paraId="1584F1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0B5D41E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839" w:type="dxa"/>
            <w:vAlign w:val="center"/>
          </w:tcPr>
          <w:p w14:paraId="167F483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标前会议</w:t>
            </w:r>
          </w:p>
        </w:tc>
        <w:tc>
          <w:tcPr>
            <w:tcW w:w="6554" w:type="dxa"/>
            <w:vAlign w:val="center"/>
          </w:tcPr>
          <w:p w14:paraId="714FA8C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不组织</w:t>
            </w:r>
          </w:p>
        </w:tc>
      </w:tr>
      <w:tr w14:paraId="05A7F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1BB1005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12/13</w:t>
            </w:r>
          </w:p>
        </w:tc>
        <w:tc>
          <w:tcPr>
            <w:tcW w:w="1839" w:type="dxa"/>
            <w:vAlign w:val="center"/>
          </w:tcPr>
          <w:p w14:paraId="4C48CCA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招标文件的澄清和修改</w:t>
            </w:r>
          </w:p>
        </w:tc>
        <w:tc>
          <w:tcPr>
            <w:tcW w:w="6554" w:type="dxa"/>
            <w:vAlign w:val="center"/>
          </w:tcPr>
          <w:p w14:paraId="3D35A099">
            <w:pPr>
              <w:rPr>
                <w:rFonts w:hint="eastAsia" w:ascii="宋体" w:hAnsi="宋体" w:eastAsia="宋体" w:cs="宋体"/>
                <w:sz w:val="22"/>
                <w:szCs w:val="22"/>
                <w:highlight w:val="none"/>
              </w:rPr>
            </w:pPr>
            <w:r>
              <w:rPr>
                <w:rFonts w:hint="eastAsia" w:ascii="宋体" w:hAnsi="宋体" w:eastAsia="宋体" w:cs="宋体"/>
                <w:sz w:val="22"/>
                <w:szCs w:val="22"/>
                <w:highlight w:val="none"/>
              </w:rPr>
              <w:t>不晚于投标截止日三日前，投标人有义务在招标期间在本项目约定的信息公告腹部平台网站浏览与本项目有关的澄清和修改信息</w:t>
            </w:r>
          </w:p>
        </w:tc>
      </w:tr>
      <w:tr w14:paraId="556597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633C814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1839" w:type="dxa"/>
            <w:vAlign w:val="center"/>
          </w:tcPr>
          <w:p w14:paraId="49CAD381">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投标有效期</w:t>
            </w:r>
          </w:p>
        </w:tc>
        <w:tc>
          <w:tcPr>
            <w:tcW w:w="6554" w:type="dxa"/>
            <w:vAlign w:val="center"/>
          </w:tcPr>
          <w:p w14:paraId="6F6D40C1">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120个日历日</w:t>
            </w:r>
          </w:p>
        </w:tc>
      </w:tr>
      <w:tr w14:paraId="5B50E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614C2A6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22</w:t>
            </w:r>
          </w:p>
        </w:tc>
        <w:tc>
          <w:tcPr>
            <w:tcW w:w="1839" w:type="dxa"/>
            <w:vAlign w:val="center"/>
          </w:tcPr>
          <w:p w14:paraId="731AA8E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投标人的替代方案</w:t>
            </w:r>
          </w:p>
        </w:tc>
        <w:tc>
          <w:tcPr>
            <w:tcW w:w="6554" w:type="dxa"/>
            <w:vAlign w:val="center"/>
          </w:tcPr>
          <w:p w14:paraId="1CE8C15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不接受</w:t>
            </w:r>
          </w:p>
        </w:tc>
      </w:tr>
      <w:tr w14:paraId="386025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7802706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w:t>
            </w:r>
          </w:p>
        </w:tc>
        <w:tc>
          <w:tcPr>
            <w:tcW w:w="1839" w:type="dxa"/>
            <w:vAlign w:val="center"/>
          </w:tcPr>
          <w:p w14:paraId="6C1907E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投标文件的大小</w:t>
            </w:r>
          </w:p>
        </w:tc>
        <w:tc>
          <w:tcPr>
            <w:tcW w:w="6554" w:type="dxa"/>
            <w:vAlign w:val="center"/>
          </w:tcPr>
          <w:p w14:paraId="3940934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投标文件大小不得超过100MB</w:t>
            </w:r>
          </w:p>
        </w:tc>
      </w:tr>
      <w:tr w14:paraId="25206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4E16231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26</w:t>
            </w:r>
          </w:p>
        </w:tc>
        <w:tc>
          <w:tcPr>
            <w:tcW w:w="1839" w:type="dxa"/>
            <w:vAlign w:val="center"/>
          </w:tcPr>
          <w:p w14:paraId="7724EC6D">
            <w:pPr>
              <w:jc w:val="center"/>
              <w:rPr>
                <w:rFonts w:hint="eastAsia" w:ascii="宋体" w:hAnsi="宋体" w:eastAsia="宋体" w:cs="宋体"/>
                <w:sz w:val="22"/>
                <w:szCs w:val="22"/>
                <w:highlight w:val="none"/>
              </w:rPr>
            </w:pPr>
            <w:bookmarkStart w:id="1" w:name="_Hlk71664860"/>
            <w:r>
              <w:rPr>
                <w:rFonts w:hint="eastAsia" w:ascii="宋体" w:hAnsi="宋体" w:eastAsia="宋体" w:cs="宋体"/>
                <w:sz w:val="22"/>
                <w:szCs w:val="22"/>
                <w:highlight w:val="none"/>
              </w:rPr>
              <w:t>样品、现场演示、方案讲解</w:t>
            </w:r>
            <w:bookmarkEnd w:id="1"/>
          </w:p>
        </w:tc>
        <w:tc>
          <w:tcPr>
            <w:tcW w:w="6554" w:type="dxa"/>
            <w:vAlign w:val="center"/>
          </w:tcPr>
          <w:p w14:paraId="3C0C095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不需要</w:t>
            </w:r>
          </w:p>
        </w:tc>
      </w:tr>
      <w:tr w14:paraId="3FB7B4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3D2643C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37</w:t>
            </w:r>
          </w:p>
        </w:tc>
        <w:tc>
          <w:tcPr>
            <w:tcW w:w="1839" w:type="dxa"/>
            <w:vAlign w:val="center"/>
          </w:tcPr>
          <w:p w14:paraId="7B17154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评审方法</w:t>
            </w:r>
          </w:p>
        </w:tc>
        <w:tc>
          <w:tcPr>
            <w:tcW w:w="6554" w:type="dxa"/>
            <w:vAlign w:val="center"/>
          </w:tcPr>
          <w:p w14:paraId="38B9A7E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综合评分法</w:t>
            </w:r>
          </w:p>
        </w:tc>
      </w:tr>
      <w:tr w14:paraId="59003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1D54CFD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38.1</w:t>
            </w:r>
          </w:p>
        </w:tc>
        <w:tc>
          <w:tcPr>
            <w:tcW w:w="1839" w:type="dxa"/>
            <w:vAlign w:val="center"/>
          </w:tcPr>
          <w:p w14:paraId="0D3DF04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替补中标候选人</w:t>
            </w:r>
          </w:p>
        </w:tc>
        <w:tc>
          <w:tcPr>
            <w:tcW w:w="6554" w:type="dxa"/>
            <w:vAlign w:val="center"/>
          </w:tcPr>
          <w:p w14:paraId="5C03F7C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是</w:t>
            </w:r>
            <w:r>
              <w:rPr>
                <w:rFonts w:hint="eastAsia" w:ascii="宋体" w:hAnsi="宋体" w:eastAsia="宋体" w:cs="宋体"/>
                <w:sz w:val="22"/>
                <w:szCs w:val="22"/>
                <w:highlight w:val="none"/>
              </w:rPr>
              <w:t>；</w:t>
            </w:r>
          </w:p>
        </w:tc>
      </w:tr>
      <w:tr w14:paraId="5AFE67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77A659C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38.2</w:t>
            </w:r>
          </w:p>
        </w:tc>
        <w:tc>
          <w:tcPr>
            <w:tcW w:w="1839" w:type="dxa"/>
            <w:vAlign w:val="center"/>
          </w:tcPr>
          <w:p w14:paraId="0E9EBC2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定标方法</w:t>
            </w:r>
          </w:p>
        </w:tc>
        <w:tc>
          <w:tcPr>
            <w:tcW w:w="6554" w:type="dxa"/>
            <w:vAlign w:val="center"/>
          </w:tcPr>
          <w:p w14:paraId="0B228B9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非评定分离</w:t>
            </w:r>
          </w:p>
        </w:tc>
      </w:tr>
      <w:tr w14:paraId="58342E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18D95678">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46</w:t>
            </w:r>
          </w:p>
        </w:tc>
        <w:tc>
          <w:tcPr>
            <w:tcW w:w="1839" w:type="dxa"/>
            <w:vAlign w:val="center"/>
          </w:tcPr>
          <w:p w14:paraId="12897D0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履约担保</w:t>
            </w:r>
          </w:p>
        </w:tc>
        <w:tc>
          <w:tcPr>
            <w:tcW w:w="6554" w:type="dxa"/>
            <w:vAlign w:val="center"/>
          </w:tcPr>
          <w:p w14:paraId="6764861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不需要</w:t>
            </w:r>
          </w:p>
        </w:tc>
      </w:tr>
      <w:tr w14:paraId="0E43F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tcPr>
          <w:p w14:paraId="5D56FA9A">
            <w:pPr>
              <w:pStyle w:val="37"/>
              <w:rPr>
                <w:rFonts w:hint="eastAsia" w:ascii="宋体" w:hAnsi="宋体" w:eastAsia="宋体" w:cs="宋体"/>
                <w:b/>
                <w:sz w:val="22"/>
                <w:szCs w:val="22"/>
                <w:highlight w:val="none"/>
              </w:rPr>
            </w:pPr>
          </w:p>
          <w:p w14:paraId="466D2D87">
            <w:pPr>
              <w:pStyle w:val="37"/>
              <w:rPr>
                <w:rFonts w:hint="eastAsia" w:ascii="宋体" w:hAnsi="宋体" w:eastAsia="宋体" w:cs="宋体"/>
                <w:b/>
                <w:sz w:val="22"/>
                <w:szCs w:val="22"/>
                <w:highlight w:val="none"/>
              </w:rPr>
            </w:pPr>
          </w:p>
          <w:p w14:paraId="4169FD77">
            <w:pPr>
              <w:pStyle w:val="37"/>
              <w:rPr>
                <w:rFonts w:hint="eastAsia" w:ascii="宋体" w:hAnsi="宋体" w:eastAsia="宋体" w:cs="宋体"/>
                <w:b/>
                <w:sz w:val="22"/>
                <w:szCs w:val="22"/>
                <w:highlight w:val="none"/>
              </w:rPr>
            </w:pPr>
          </w:p>
          <w:p w14:paraId="441DD13F">
            <w:pPr>
              <w:pStyle w:val="37"/>
              <w:rPr>
                <w:rFonts w:hint="eastAsia" w:ascii="宋体" w:hAnsi="宋体" w:eastAsia="宋体" w:cs="宋体"/>
                <w:b/>
                <w:sz w:val="22"/>
                <w:szCs w:val="22"/>
                <w:highlight w:val="none"/>
              </w:rPr>
            </w:pPr>
          </w:p>
          <w:p w14:paraId="3C2BABB2">
            <w:pPr>
              <w:pStyle w:val="37"/>
              <w:rPr>
                <w:rFonts w:hint="eastAsia" w:ascii="宋体" w:hAnsi="宋体" w:eastAsia="宋体" w:cs="宋体"/>
                <w:b/>
                <w:sz w:val="22"/>
                <w:szCs w:val="22"/>
                <w:highlight w:val="none"/>
              </w:rPr>
            </w:pPr>
          </w:p>
          <w:p w14:paraId="1E73E825">
            <w:pPr>
              <w:pStyle w:val="37"/>
              <w:rPr>
                <w:rFonts w:hint="eastAsia" w:ascii="宋体" w:hAnsi="宋体" w:eastAsia="宋体" w:cs="宋体"/>
                <w:b/>
                <w:sz w:val="22"/>
                <w:szCs w:val="22"/>
                <w:highlight w:val="none"/>
              </w:rPr>
            </w:pPr>
          </w:p>
          <w:p w14:paraId="05AE818E">
            <w:pPr>
              <w:pStyle w:val="37"/>
              <w:rPr>
                <w:rFonts w:hint="eastAsia" w:ascii="宋体" w:hAnsi="宋体" w:eastAsia="宋体" w:cs="宋体"/>
                <w:b/>
                <w:sz w:val="22"/>
                <w:szCs w:val="22"/>
                <w:highlight w:val="none"/>
              </w:rPr>
            </w:pPr>
          </w:p>
          <w:p w14:paraId="13113303">
            <w:pPr>
              <w:pStyle w:val="37"/>
              <w:rPr>
                <w:rFonts w:hint="eastAsia" w:ascii="宋体" w:hAnsi="宋体" w:eastAsia="宋体" w:cs="宋体"/>
                <w:b/>
                <w:sz w:val="22"/>
                <w:szCs w:val="22"/>
                <w:highlight w:val="none"/>
              </w:rPr>
            </w:pPr>
          </w:p>
          <w:p w14:paraId="31455DCF">
            <w:pPr>
              <w:pStyle w:val="37"/>
              <w:rPr>
                <w:rFonts w:hint="eastAsia" w:ascii="宋体" w:hAnsi="宋体" w:eastAsia="宋体" w:cs="宋体"/>
                <w:b/>
                <w:sz w:val="22"/>
                <w:szCs w:val="22"/>
                <w:highlight w:val="none"/>
              </w:rPr>
            </w:pPr>
          </w:p>
          <w:p w14:paraId="427D071E">
            <w:pPr>
              <w:pStyle w:val="37"/>
              <w:ind w:left="222" w:right="10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rPr>
              <w:t>54</w:t>
            </w:r>
            <w:r>
              <w:rPr>
                <w:rFonts w:hint="eastAsia" w:ascii="宋体" w:hAnsi="宋体" w:eastAsia="宋体" w:cs="宋体"/>
                <w:sz w:val="22"/>
                <w:szCs w:val="22"/>
                <w:highlight w:val="none"/>
              </w:rPr>
              <w:t xml:space="preserve"> </w:t>
            </w:r>
          </w:p>
        </w:tc>
        <w:tc>
          <w:tcPr>
            <w:tcW w:w="1839" w:type="dxa"/>
          </w:tcPr>
          <w:p w14:paraId="4E242D98">
            <w:pPr>
              <w:pStyle w:val="37"/>
              <w:rPr>
                <w:rFonts w:hint="eastAsia" w:ascii="宋体" w:hAnsi="宋体" w:eastAsia="宋体" w:cs="宋体"/>
                <w:b/>
                <w:sz w:val="22"/>
                <w:szCs w:val="22"/>
                <w:highlight w:val="none"/>
              </w:rPr>
            </w:pPr>
          </w:p>
          <w:p w14:paraId="7B283F2C">
            <w:pPr>
              <w:pStyle w:val="37"/>
              <w:rPr>
                <w:rFonts w:hint="eastAsia" w:ascii="宋体" w:hAnsi="宋体" w:eastAsia="宋体" w:cs="宋体"/>
                <w:b/>
                <w:sz w:val="22"/>
                <w:szCs w:val="22"/>
                <w:highlight w:val="none"/>
              </w:rPr>
            </w:pPr>
          </w:p>
          <w:p w14:paraId="3C66265F">
            <w:pPr>
              <w:pStyle w:val="37"/>
              <w:rPr>
                <w:rFonts w:hint="eastAsia" w:ascii="宋体" w:hAnsi="宋体" w:eastAsia="宋体" w:cs="宋体"/>
                <w:b/>
                <w:sz w:val="22"/>
                <w:szCs w:val="22"/>
                <w:highlight w:val="none"/>
              </w:rPr>
            </w:pPr>
          </w:p>
          <w:p w14:paraId="236981CD">
            <w:pPr>
              <w:pStyle w:val="37"/>
              <w:rPr>
                <w:rFonts w:hint="eastAsia" w:ascii="宋体" w:hAnsi="宋体" w:eastAsia="宋体" w:cs="宋体"/>
                <w:b/>
                <w:sz w:val="22"/>
                <w:szCs w:val="22"/>
                <w:highlight w:val="none"/>
              </w:rPr>
            </w:pPr>
          </w:p>
          <w:p w14:paraId="614F8834">
            <w:pPr>
              <w:pStyle w:val="37"/>
              <w:rPr>
                <w:rFonts w:hint="eastAsia" w:ascii="宋体" w:hAnsi="宋体" w:eastAsia="宋体" w:cs="宋体"/>
                <w:b/>
                <w:sz w:val="22"/>
                <w:szCs w:val="22"/>
                <w:highlight w:val="none"/>
              </w:rPr>
            </w:pPr>
          </w:p>
          <w:p w14:paraId="3A2133C9">
            <w:pPr>
              <w:pStyle w:val="37"/>
              <w:rPr>
                <w:rFonts w:hint="eastAsia" w:ascii="宋体" w:hAnsi="宋体" w:eastAsia="宋体" w:cs="宋体"/>
                <w:b/>
                <w:sz w:val="22"/>
                <w:szCs w:val="22"/>
                <w:highlight w:val="none"/>
              </w:rPr>
            </w:pPr>
          </w:p>
          <w:p w14:paraId="017DD072">
            <w:pPr>
              <w:pStyle w:val="37"/>
              <w:rPr>
                <w:rFonts w:hint="eastAsia" w:ascii="宋体" w:hAnsi="宋体" w:eastAsia="宋体" w:cs="宋体"/>
                <w:b/>
                <w:sz w:val="22"/>
                <w:szCs w:val="22"/>
                <w:highlight w:val="none"/>
              </w:rPr>
            </w:pPr>
          </w:p>
          <w:p w14:paraId="1B4FADC8">
            <w:pPr>
              <w:pStyle w:val="37"/>
              <w:rPr>
                <w:rFonts w:hint="eastAsia" w:ascii="宋体" w:hAnsi="宋体" w:eastAsia="宋体" w:cs="宋体"/>
                <w:b/>
                <w:sz w:val="22"/>
                <w:szCs w:val="22"/>
                <w:highlight w:val="none"/>
              </w:rPr>
            </w:pPr>
          </w:p>
          <w:p w14:paraId="68370230">
            <w:pPr>
              <w:pStyle w:val="37"/>
              <w:rPr>
                <w:rFonts w:hint="eastAsia" w:ascii="宋体" w:hAnsi="宋体" w:eastAsia="宋体" w:cs="宋体"/>
                <w:b/>
                <w:sz w:val="22"/>
                <w:szCs w:val="22"/>
                <w:highlight w:val="none"/>
              </w:rPr>
            </w:pPr>
          </w:p>
          <w:p w14:paraId="4C5E42A0">
            <w:pPr>
              <w:pStyle w:val="37"/>
              <w:spacing w:before="18"/>
              <w:rPr>
                <w:rFonts w:hint="eastAsia" w:ascii="宋体" w:hAnsi="宋体" w:eastAsia="宋体" w:cs="宋体"/>
                <w:b/>
                <w:sz w:val="22"/>
                <w:szCs w:val="22"/>
                <w:highlight w:val="none"/>
              </w:rPr>
            </w:pPr>
          </w:p>
          <w:p w14:paraId="7DD65750">
            <w:pPr>
              <w:pStyle w:val="37"/>
              <w:ind w:left="115"/>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招标代理服务费</w:t>
            </w:r>
          </w:p>
        </w:tc>
        <w:tc>
          <w:tcPr>
            <w:tcW w:w="6554" w:type="dxa"/>
          </w:tcPr>
          <w:p w14:paraId="0B39FE82">
            <w:pPr>
              <w:pStyle w:val="37"/>
              <w:spacing w:before="77" w:line="321" w:lineRule="auto"/>
              <w:ind w:left="115" w:right="71" w:firstLine="440" w:firstLineChars="200"/>
              <w:rPr>
                <w:rFonts w:hint="eastAsia" w:ascii="宋体" w:hAnsi="宋体" w:eastAsia="宋体" w:cs="宋体"/>
                <w:sz w:val="22"/>
                <w:szCs w:val="22"/>
                <w:highlight w:val="none"/>
                <w:lang w:val="en-US" w:bidi="ar-SA"/>
              </w:rPr>
            </w:pPr>
            <w:r>
              <w:rPr>
                <w:rFonts w:hint="eastAsia" w:ascii="宋体" w:hAnsi="宋体" w:eastAsia="宋体" w:cs="宋体"/>
                <w:sz w:val="22"/>
                <w:szCs w:val="22"/>
                <w:highlight w:val="none"/>
                <w:lang w:val="en-US" w:bidi="ar-SA"/>
              </w:rPr>
              <w:t>本项目根据《深圳市财政委员会关于规范深圳市社会采购代理机构管理有关事项的补充通知》“深财购〔2018〕27号”的规定，本项目的招标代理服务费用由中标人支付，以中标价为计费基准，</w:t>
            </w:r>
            <w:r>
              <w:rPr>
                <w:rFonts w:hint="eastAsia" w:ascii="宋体" w:hAnsi="宋体" w:eastAsia="宋体" w:cs="宋体"/>
                <w:b/>
                <w:bCs/>
                <w:sz w:val="22"/>
                <w:szCs w:val="22"/>
                <w:highlight w:val="none"/>
                <w:lang w:val="en-US" w:bidi="ar-SA"/>
              </w:rPr>
              <w:t>按以下差额定率累进法计算收取作为中标服务费，最低收费标准按</w:t>
            </w:r>
            <w:r>
              <w:rPr>
                <w:rFonts w:hint="eastAsia" w:ascii="宋体" w:hAnsi="宋体" w:eastAsia="宋体" w:cs="宋体"/>
                <w:b/>
                <w:bCs/>
                <w:sz w:val="22"/>
                <w:szCs w:val="22"/>
                <w:highlight w:val="none"/>
                <w:lang w:val="en-US" w:eastAsia="zh-CN" w:bidi="ar-SA"/>
              </w:rPr>
              <w:t>陆</w:t>
            </w:r>
            <w:r>
              <w:rPr>
                <w:rFonts w:hint="eastAsia" w:ascii="宋体" w:hAnsi="宋体" w:eastAsia="宋体" w:cs="宋体"/>
                <w:b/>
                <w:bCs/>
                <w:sz w:val="22"/>
                <w:szCs w:val="22"/>
                <w:highlight w:val="none"/>
                <w:lang w:val="en-US" w:bidi="ar-SA"/>
              </w:rPr>
              <w:t>仟元整计取</w:t>
            </w:r>
            <w:r>
              <w:rPr>
                <w:rFonts w:hint="eastAsia" w:ascii="宋体" w:hAnsi="宋体" w:eastAsia="宋体" w:cs="宋体"/>
                <w:sz w:val="22"/>
                <w:szCs w:val="22"/>
                <w:highlight w:val="none"/>
                <w:lang w:val="en-US" w:bidi="ar-SA"/>
              </w:rPr>
              <w:t>。详见招标代理服务合同。中标供应商在领取《中标通知书》之前须向代理公司交纳代理服务费。若因中标供应商交纳代理服务费所产生的时间影响到合同签订的，由中标供应商自行承担责任。</w:t>
            </w:r>
          </w:p>
          <w:tbl>
            <w:tblPr>
              <w:tblStyle w:val="18"/>
              <w:tblW w:w="6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51"/>
              <w:gridCol w:w="1075"/>
              <w:gridCol w:w="1038"/>
              <w:gridCol w:w="1084"/>
            </w:tblGrid>
            <w:tr w14:paraId="34B7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3051" w:type="dxa"/>
                  <w:vMerge w:val="restart"/>
                  <w:tcBorders>
                    <w:tl2br w:val="single" w:color="auto" w:sz="2" w:space="0"/>
                  </w:tcBorders>
                  <w:vAlign w:val="center"/>
                </w:tcPr>
                <w:p w14:paraId="3C2A85B5">
                  <w:pPr>
                    <w:wordWrap w:val="0"/>
                    <w:adjustRightInd w:val="0"/>
                    <w:snapToGrid w:val="0"/>
                    <w:ind w:firstLine="1325" w:firstLineChars="600"/>
                    <w:textAlignment w:val="baseline"/>
                    <w:rPr>
                      <w:rFonts w:hint="eastAsia" w:ascii="宋体" w:hAnsi="宋体" w:eastAsia="宋体" w:cs="宋体"/>
                      <w:b/>
                      <w:bCs/>
                      <w:color w:val="333333"/>
                      <w:sz w:val="22"/>
                      <w:szCs w:val="22"/>
                      <w:highlight w:val="none"/>
                    </w:rPr>
                  </w:pPr>
                  <w:r>
                    <w:rPr>
                      <w:rFonts w:hint="eastAsia" w:ascii="宋体" w:hAnsi="宋体" w:eastAsia="宋体" w:cs="宋体"/>
                      <w:b/>
                      <w:bCs/>
                      <w:color w:val="333333"/>
                      <w:sz w:val="22"/>
                      <w:szCs w:val="22"/>
                      <w:highlight w:val="none"/>
                    </w:rPr>
                    <w:t>类型及费率</w:t>
                  </w:r>
                </w:p>
                <w:p w14:paraId="7A07BD7C">
                  <w:pPr>
                    <w:wordWrap w:val="0"/>
                    <w:adjustRightInd w:val="0"/>
                    <w:snapToGrid w:val="0"/>
                    <w:textAlignment w:val="baseline"/>
                    <w:rPr>
                      <w:rFonts w:hint="eastAsia" w:ascii="宋体" w:hAnsi="宋体" w:eastAsia="宋体" w:cs="宋体"/>
                      <w:b/>
                      <w:sz w:val="22"/>
                      <w:szCs w:val="22"/>
                      <w:highlight w:val="none"/>
                    </w:rPr>
                  </w:pPr>
                  <w:r>
                    <w:rPr>
                      <w:rFonts w:hint="eastAsia" w:ascii="宋体" w:hAnsi="宋体" w:eastAsia="宋体" w:cs="宋体"/>
                      <w:b/>
                      <w:bCs/>
                      <w:color w:val="333333"/>
                      <w:sz w:val="22"/>
                      <w:szCs w:val="22"/>
                      <w:highlight w:val="none"/>
                    </w:rPr>
                    <w:t>中标金额</w:t>
                  </w:r>
                </w:p>
              </w:tc>
              <w:tc>
                <w:tcPr>
                  <w:tcW w:w="3197" w:type="dxa"/>
                  <w:gridSpan w:val="3"/>
                  <w:vAlign w:val="center"/>
                </w:tcPr>
                <w:p w14:paraId="7156632B">
                  <w:pPr>
                    <w:pStyle w:val="37"/>
                    <w:adjustRightInd w:val="0"/>
                    <w:snapToGrid w:val="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各类型招标代理服务费计算费率</w:t>
                  </w:r>
                </w:p>
              </w:tc>
            </w:tr>
            <w:tr w14:paraId="0210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051" w:type="dxa"/>
                  <w:vMerge w:val="continue"/>
                  <w:vAlign w:val="center"/>
                </w:tcPr>
                <w:p w14:paraId="7C9D4C99">
                  <w:pPr>
                    <w:adjustRightInd w:val="0"/>
                    <w:snapToGrid w:val="0"/>
                    <w:jc w:val="center"/>
                    <w:rPr>
                      <w:rFonts w:hint="eastAsia" w:ascii="宋体" w:hAnsi="宋体" w:eastAsia="宋体" w:cs="宋体"/>
                      <w:sz w:val="22"/>
                      <w:szCs w:val="22"/>
                      <w:highlight w:val="none"/>
                    </w:rPr>
                  </w:pPr>
                </w:p>
              </w:tc>
              <w:tc>
                <w:tcPr>
                  <w:tcW w:w="1075" w:type="dxa"/>
                  <w:vAlign w:val="center"/>
                </w:tcPr>
                <w:p w14:paraId="4BBAAFC1">
                  <w:pPr>
                    <w:pStyle w:val="37"/>
                    <w:adjustRightInd w:val="0"/>
                    <w:snapToGrid w:val="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货物招标</w:t>
                  </w:r>
                </w:p>
              </w:tc>
              <w:tc>
                <w:tcPr>
                  <w:tcW w:w="1038" w:type="dxa"/>
                  <w:vAlign w:val="center"/>
                </w:tcPr>
                <w:p w14:paraId="44EFA987">
                  <w:pPr>
                    <w:pStyle w:val="37"/>
                    <w:adjustRightInd w:val="0"/>
                    <w:snapToGrid w:val="0"/>
                    <w:spacing w:before="85"/>
                    <w:ind w:right="107"/>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服务招标</w:t>
                  </w:r>
                </w:p>
              </w:tc>
              <w:tc>
                <w:tcPr>
                  <w:tcW w:w="1084" w:type="dxa"/>
                  <w:vAlign w:val="center"/>
                </w:tcPr>
                <w:p w14:paraId="6E06C0CE">
                  <w:pPr>
                    <w:pStyle w:val="37"/>
                    <w:adjustRightInd w:val="0"/>
                    <w:snapToGrid w:val="0"/>
                    <w:spacing w:before="85"/>
                    <w:ind w:right="148"/>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工程招标</w:t>
                  </w:r>
                </w:p>
              </w:tc>
            </w:tr>
            <w:tr w14:paraId="3DFB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04872390">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100万元以下</w:t>
                  </w:r>
                </w:p>
              </w:tc>
              <w:tc>
                <w:tcPr>
                  <w:tcW w:w="1075" w:type="dxa"/>
                  <w:vAlign w:val="center"/>
                </w:tcPr>
                <w:p w14:paraId="6DBDC58C">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1.5</w:t>
                  </w:r>
                </w:p>
              </w:tc>
              <w:tc>
                <w:tcPr>
                  <w:tcW w:w="1038" w:type="dxa"/>
                  <w:vAlign w:val="center"/>
                </w:tcPr>
                <w:p w14:paraId="332D8409">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1.5</w:t>
                  </w:r>
                </w:p>
              </w:tc>
              <w:tc>
                <w:tcPr>
                  <w:tcW w:w="1084" w:type="dxa"/>
                  <w:vAlign w:val="center"/>
                </w:tcPr>
                <w:p w14:paraId="37B04E51">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1.0</w:t>
                  </w:r>
                </w:p>
              </w:tc>
            </w:tr>
            <w:tr w14:paraId="28FE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58D0FD2B">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100万元（含）-500万元</w:t>
                  </w:r>
                </w:p>
              </w:tc>
              <w:tc>
                <w:tcPr>
                  <w:tcW w:w="1075" w:type="dxa"/>
                  <w:vAlign w:val="center"/>
                </w:tcPr>
                <w:p w14:paraId="1ECA5F94">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1.1</w:t>
                  </w:r>
                </w:p>
              </w:tc>
              <w:tc>
                <w:tcPr>
                  <w:tcW w:w="1038" w:type="dxa"/>
                  <w:vAlign w:val="center"/>
                </w:tcPr>
                <w:p w14:paraId="62B956F6">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0.8</w:t>
                  </w:r>
                </w:p>
              </w:tc>
              <w:tc>
                <w:tcPr>
                  <w:tcW w:w="1084" w:type="dxa"/>
                  <w:vAlign w:val="center"/>
                </w:tcPr>
                <w:p w14:paraId="22B92202">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0.7</w:t>
                  </w:r>
                </w:p>
              </w:tc>
            </w:tr>
            <w:tr w14:paraId="1B67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77EE3BB6">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500万元（含）-1000万元</w:t>
                  </w:r>
                </w:p>
              </w:tc>
              <w:tc>
                <w:tcPr>
                  <w:tcW w:w="1075" w:type="dxa"/>
                  <w:vAlign w:val="center"/>
                </w:tcPr>
                <w:p w14:paraId="30ECABD7">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0.8</w:t>
                  </w:r>
                </w:p>
              </w:tc>
              <w:tc>
                <w:tcPr>
                  <w:tcW w:w="1038" w:type="dxa"/>
                  <w:vAlign w:val="center"/>
                </w:tcPr>
                <w:p w14:paraId="6A6E1258">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0.45</w:t>
                  </w:r>
                </w:p>
              </w:tc>
              <w:tc>
                <w:tcPr>
                  <w:tcW w:w="1084" w:type="dxa"/>
                  <w:vAlign w:val="center"/>
                </w:tcPr>
                <w:p w14:paraId="4F0D856A">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0.55</w:t>
                  </w:r>
                </w:p>
              </w:tc>
            </w:tr>
            <w:tr w14:paraId="1B12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2DB724FC">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1000万元（含）-5000万元</w:t>
                  </w:r>
                </w:p>
              </w:tc>
              <w:tc>
                <w:tcPr>
                  <w:tcW w:w="1075" w:type="dxa"/>
                  <w:vAlign w:val="center"/>
                </w:tcPr>
                <w:p w14:paraId="27C9E78D">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0.5</w:t>
                  </w:r>
                </w:p>
              </w:tc>
              <w:tc>
                <w:tcPr>
                  <w:tcW w:w="1038" w:type="dxa"/>
                  <w:vAlign w:val="center"/>
                </w:tcPr>
                <w:p w14:paraId="140814D9">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0.25</w:t>
                  </w:r>
                </w:p>
              </w:tc>
              <w:tc>
                <w:tcPr>
                  <w:tcW w:w="1084" w:type="dxa"/>
                  <w:vAlign w:val="center"/>
                </w:tcPr>
                <w:p w14:paraId="6C4E99BD">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0.35</w:t>
                  </w:r>
                </w:p>
              </w:tc>
            </w:tr>
            <w:tr w14:paraId="42F1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04D9EB15">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5000万元（含）-1亿元</w:t>
                  </w:r>
                </w:p>
              </w:tc>
              <w:tc>
                <w:tcPr>
                  <w:tcW w:w="1075" w:type="dxa"/>
                  <w:vAlign w:val="center"/>
                </w:tcPr>
                <w:p w14:paraId="12BCBD31">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0.25</w:t>
                  </w:r>
                </w:p>
              </w:tc>
              <w:tc>
                <w:tcPr>
                  <w:tcW w:w="1038" w:type="dxa"/>
                  <w:vAlign w:val="center"/>
                </w:tcPr>
                <w:p w14:paraId="2991DA7C">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0.1</w:t>
                  </w:r>
                </w:p>
              </w:tc>
              <w:tc>
                <w:tcPr>
                  <w:tcW w:w="1084" w:type="dxa"/>
                  <w:vAlign w:val="center"/>
                </w:tcPr>
                <w:p w14:paraId="24B9CB04">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0.2</w:t>
                  </w:r>
                </w:p>
              </w:tc>
            </w:tr>
            <w:tr w14:paraId="5FCC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701A180B">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1亿元（含）-5亿元</w:t>
                  </w:r>
                </w:p>
              </w:tc>
              <w:tc>
                <w:tcPr>
                  <w:tcW w:w="1075" w:type="dxa"/>
                  <w:vAlign w:val="center"/>
                </w:tcPr>
                <w:p w14:paraId="4941C9B3">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0.05</w:t>
                  </w:r>
                </w:p>
              </w:tc>
              <w:tc>
                <w:tcPr>
                  <w:tcW w:w="1038" w:type="dxa"/>
                  <w:vAlign w:val="center"/>
                </w:tcPr>
                <w:p w14:paraId="2C8952E6">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0.05</w:t>
                  </w:r>
                </w:p>
              </w:tc>
              <w:tc>
                <w:tcPr>
                  <w:tcW w:w="1084" w:type="dxa"/>
                  <w:vAlign w:val="center"/>
                </w:tcPr>
                <w:p w14:paraId="309D7B55">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0.05</w:t>
                  </w:r>
                </w:p>
              </w:tc>
            </w:tr>
          </w:tbl>
          <w:p w14:paraId="0216795B">
            <w:pPr>
              <w:pStyle w:val="37"/>
              <w:spacing w:line="377" w:lineRule="exact"/>
              <w:ind w:left="115"/>
              <w:rPr>
                <w:rFonts w:hint="eastAsia" w:ascii="宋体" w:hAnsi="宋体" w:eastAsia="宋体" w:cs="宋体"/>
                <w:sz w:val="22"/>
                <w:szCs w:val="22"/>
                <w:highlight w:val="none"/>
              </w:rPr>
            </w:pPr>
            <w:r>
              <w:rPr>
                <w:rFonts w:hint="eastAsia" w:ascii="宋体" w:hAnsi="宋体" w:eastAsia="宋体" w:cs="宋体"/>
                <w:b/>
                <w:sz w:val="22"/>
                <w:szCs w:val="22"/>
                <w:highlight w:val="none"/>
              </w:rPr>
              <w:t>注：</w:t>
            </w:r>
            <w:r>
              <w:rPr>
                <w:rFonts w:hint="eastAsia" w:ascii="宋体" w:hAnsi="宋体" w:eastAsia="宋体" w:cs="宋体"/>
                <w:sz w:val="22"/>
                <w:szCs w:val="22"/>
                <w:highlight w:val="none"/>
              </w:rPr>
              <w:t>招标代理服务费缴纳至：</w:t>
            </w:r>
          </w:p>
          <w:p w14:paraId="4A3EC69C">
            <w:pPr>
              <w:pStyle w:val="37"/>
              <w:spacing w:line="266" w:lineRule="auto"/>
              <w:ind w:left="535" w:right="112"/>
              <w:rPr>
                <w:rFonts w:hint="eastAsia" w:ascii="宋体" w:hAnsi="宋体" w:eastAsia="宋体" w:cs="宋体"/>
                <w:sz w:val="22"/>
                <w:szCs w:val="22"/>
                <w:highlight w:val="none"/>
                <w:lang w:val="en-US"/>
              </w:rPr>
            </w:pPr>
            <w:r>
              <w:rPr>
                <w:rFonts w:hint="eastAsia" w:ascii="宋体" w:hAnsi="宋体" w:eastAsia="宋体" w:cs="宋体"/>
                <w:sz w:val="22"/>
                <w:szCs w:val="22"/>
                <w:highlight w:val="none"/>
              </w:rPr>
              <w:t>开户名称：</w:t>
            </w:r>
            <w:r>
              <w:rPr>
                <w:rFonts w:hint="eastAsia" w:ascii="宋体" w:hAnsi="宋体" w:eastAsia="宋体" w:cs="宋体"/>
                <w:sz w:val="22"/>
                <w:szCs w:val="22"/>
                <w:highlight w:val="none"/>
                <w:lang w:val="en-US"/>
              </w:rPr>
              <w:t>国采招标（深圳）有限公司</w:t>
            </w:r>
          </w:p>
          <w:p w14:paraId="4455385F">
            <w:pPr>
              <w:pStyle w:val="37"/>
              <w:spacing w:line="266" w:lineRule="auto"/>
              <w:ind w:left="535" w:right="112"/>
              <w:rPr>
                <w:rFonts w:hint="eastAsia" w:ascii="宋体" w:hAnsi="宋体" w:eastAsia="宋体" w:cs="宋体"/>
                <w:sz w:val="22"/>
                <w:szCs w:val="22"/>
                <w:highlight w:val="none"/>
              </w:rPr>
            </w:pPr>
            <w:r>
              <w:rPr>
                <w:rFonts w:hint="eastAsia" w:ascii="宋体" w:hAnsi="宋体" w:eastAsia="宋体" w:cs="宋体"/>
                <w:sz w:val="22"/>
                <w:szCs w:val="22"/>
                <w:highlight w:val="none"/>
              </w:rPr>
              <w:t>银行帐号：44250100016400002385</w:t>
            </w:r>
          </w:p>
          <w:p w14:paraId="47A223A3">
            <w:pPr>
              <w:pStyle w:val="37"/>
              <w:spacing w:line="252" w:lineRule="exact"/>
              <w:ind w:left="535"/>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开户银行：</w:t>
            </w:r>
            <w:r>
              <w:rPr>
                <w:rFonts w:hint="eastAsia" w:ascii="宋体" w:hAnsi="宋体" w:eastAsia="宋体" w:cs="宋体"/>
                <w:sz w:val="22"/>
                <w:szCs w:val="22"/>
                <w:highlight w:val="none"/>
                <w:lang w:val="en-US"/>
              </w:rPr>
              <w:t>中国建设银行股份有限公司深圳民治支行</w:t>
            </w:r>
          </w:p>
        </w:tc>
      </w:tr>
    </w:tbl>
    <w:p w14:paraId="753F0879">
      <w:pPr>
        <w:rPr>
          <w:rFonts w:hint="eastAsia" w:ascii="宋体" w:hAnsi="宋体" w:eastAsia="宋体" w:cs="宋体"/>
          <w:highlight w:val="none"/>
        </w:rPr>
      </w:pPr>
      <w:r>
        <w:rPr>
          <w:rFonts w:hint="eastAsia" w:ascii="宋体" w:hAnsi="宋体" w:eastAsia="宋体" w:cs="宋体"/>
          <w:highlight w:val="none"/>
        </w:rPr>
        <w:t>备注：本表为通用条款相关内容的补充和明确，如与通用条款相冲突的以本表为准。</w:t>
      </w:r>
    </w:p>
    <w:p w14:paraId="5FEEAFCC">
      <w:pPr>
        <w:rPr>
          <w:rFonts w:hint="eastAsia" w:ascii="宋体" w:hAnsi="宋体" w:eastAsia="宋体" w:cs="宋体"/>
          <w:highlight w:val="none"/>
        </w:rPr>
      </w:pPr>
    </w:p>
    <w:p w14:paraId="1F85BB4B">
      <w:pPr>
        <w:rPr>
          <w:rFonts w:hint="eastAsia" w:ascii="宋体" w:hAnsi="宋体" w:eastAsia="宋体" w:cs="宋体"/>
          <w:highlight w:val="none"/>
        </w:rPr>
      </w:pPr>
    </w:p>
    <w:p w14:paraId="1902CAA1">
      <w:pPr>
        <w:pStyle w:val="9"/>
        <w:numPr>
          <w:ilvl w:val="0"/>
          <w:numId w:val="11"/>
        </w:numPr>
        <w:rPr>
          <w:rFonts w:hint="eastAsia" w:ascii="宋体" w:hAnsi="宋体" w:eastAsia="宋体" w:cs="宋体"/>
          <w:highlight w:val="none"/>
        </w:rPr>
      </w:pPr>
      <w:r>
        <w:rPr>
          <w:rFonts w:hint="eastAsia" w:ascii="宋体" w:hAnsi="宋体" w:eastAsia="宋体" w:cs="宋体"/>
          <w:highlight w:val="none"/>
        </w:rPr>
        <w:t>其他关键信息</w:t>
      </w:r>
    </w:p>
    <w:p w14:paraId="74E6AEB4">
      <w:pPr>
        <w:spacing w:line="360" w:lineRule="auto"/>
        <w:rPr>
          <w:rFonts w:hint="eastAsia" w:ascii="宋体" w:hAnsi="宋体" w:eastAsia="宋体" w:cs="宋体"/>
          <w:b/>
          <w:bCs/>
          <w:highlight w:val="none"/>
        </w:rPr>
      </w:pPr>
      <w:r>
        <w:rPr>
          <w:rFonts w:hint="eastAsia" w:ascii="宋体" w:hAnsi="宋体" w:eastAsia="宋体" w:cs="宋体"/>
          <w:b/>
          <w:bCs/>
          <w:highlight w:val="none"/>
        </w:rPr>
        <w:t>（一）与“对通用条款的补充内容”章节相关的事项</w:t>
      </w:r>
    </w:p>
    <w:p w14:paraId="698BA623">
      <w:pPr>
        <w:spacing w:line="360" w:lineRule="auto"/>
        <w:ind w:firstLine="720" w:firstLineChars="300"/>
        <w:jc w:val="center"/>
        <w:rPr>
          <w:rFonts w:hint="eastAsia" w:ascii="宋体" w:hAnsi="宋体" w:eastAsia="宋体" w:cs="宋体"/>
          <w:bCs/>
          <w:highlight w:val="none"/>
        </w:rPr>
      </w:pPr>
      <w:bookmarkStart w:id="2" w:name="_Hlk72579465"/>
      <w:r>
        <w:rPr>
          <w:rFonts w:hint="eastAsia" w:ascii="宋体" w:hAnsi="宋体" w:eastAsia="宋体" w:cs="宋体"/>
          <w:bCs/>
          <w:highlight w:val="none"/>
        </w:rPr>
        <w:t>无</w:t>
      </w:r>
    </w:p>
    <w:p w14:paraId="6264FFD0">
      <w:pPr>
        <w:ind w:firstLine="480" w:firstLineChars="200"/>
        <w:rPr>
          <w:rFonts w:hint="eastAsia" w:ascii="宋体" w:hAnsi="宋体" w:eastAsia="宋体" w:cs="宋体"/>
          <w:bCs/>
          <w:highlight w:val="none"/>
        </w:rPr>
      </w:pPr>
    </w:p>
    <w:p w14:paraId="6389A899">
      <w:pPr>
        <w:spacing w:line="360" w:lineRule="auto"/>
        <w:jc w:val="center"/>
        <w:rPr>
          <w:rFonts w:hint="eastAsia" w:ascii="宋体" w:hAnsi="宋体" w:eastAsia="宋体" w:cs="宋体"/>
          <w:highlight w:val="none"/>
        </w:rPr>
      </w:pPr>
      <w:r>
        <w:rPr>
          <w:rFonts w:hint="eastAsia" w:ascii="宋体" w:hAnsi="宋体" w:eastAsia="宋体" w:cs="宋体"/>
          <w:b/>
          <w:highlight w:val="none"/>
        </w:rPr>
        <w:t>非评定分离项目</w:t>
      </w: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1"/>
        <w:gridCol w:w="4402"/>
      </w:tblGrid>
      <w:tr w14:paraId="6B2C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44C67198">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评标方法</w:t>
            </w:r>
          </w:p>
        </w:tc>
        <w:tc>
          <w:tcPr>
            <w:tcW w:w="4402" w:type="dxa"/>
            <w:vAlign w:val="center"/>
          </w:tcPr>
          <w:p w14:paraId="1A44C159">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综合评分法</w:t>
            </w:r>
          </w:p>
        </w:tc>
      </w:tr>
      <w:tr w14:paraId="6732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65DE9959">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候选中标供应商数量</w:t>
            </w:r>
          </w:p>
        </w:tc>
        <w:tc>
          <w:tcPr>
            <w:tcW w:w="4402" w:type="dxa"/>
            <w:vAlign w:val="center"/>
          </w:tcPr>
          <w:p w14:paraId="3FDB8699">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r>
      <w:tr w14:paraId="5617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11" w:type="dxa"/>
            <w:vAlign w:val="center"/>
          </w:tcPr>
          <w:p w14:paraId="565ED41B">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中标供应商数量</w:t>
            </w:r>
          </w:p>
        </w:tc>
        <w:tc>
          <w:tcPr>
            <w:tcW w:w="4402" w:type="dxa"/>
            <w:vAlign w:val="center"/>
          </w:tcPr>
          <w:p w14:paraId="189BE58D">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r>
    </w:tbl>
    <w:p w14:paraId="3FBBAD70">
      <w:pPr>
        <w:pStyle w:val="9"/>
        <w:rPr>
          <w:rFonts w:hint="eastAsia" w:ascii="宋体" w:hAnsi="宋体" w:eastAsia="宋体" w:cs="宋体"/>
          <w:highlight w:val="none"/>
        </w:rPr>
      </w:pPr>
    </w:p>
    <w:bookmarkEnd w:id="2"/>
    <w:p w14:paraId="5F976E61">
      <w:pPr>
        <w:ind w:firstLine="482" w:firstLineChars="200"/>
        <w:rPr>
          <w:rFonts w:hint="eastAsia" w:ascii="宋体" w:hAnsi="宋体" w:eastAsia="宋体" w:cs="宋体"/>
          <w:b/>
          <w:highlight w:val="none"/>
        </w:rPr>
      </w:pPr>
    </w:p>
    <w:p w14:paraId="1B0B3B91">
      <w:pPr>
        <w:rPr>
          <w:rFonts w:hint="eastAsia" w:ascii="宋体" w:hAnsi="宋体" w:eastAsia="宋体" w:cs="宋体"/>
          <w:b/>
          <w:highlight w:val="none"/>
        </w:rPr>
      </w:pPr>
      <w:r>
        <w:rPr>
          <w:rFonts w:hint="eastAsia" w:ascii="宋体" w:hAnsi="宋体" w:eastAsia="宋体" w:cs="宋体"/>
          <w:b/>
          <w:highlight w:val="none"/>
        </w:rPr>
        <w:t>（二）中小企业、残疾人福利性单位和监狱企业政策导向</w:t>
      </w:r>
    </w:p>
    <w:p w14:paraId="5687AEEB">
      <w:pPr>
        <w:rPr>
          <w:rFonts w:hint="eastAsia" w:ascii="宋体" w:hAnsi="宋体" w:eastAsia="宋体" w:cs="宋体"/>
          <w:highlight w:val="none"/>
        </w:rPr>
      </w:pPr>
    </w:p>
    <w:p w14:paraId="060F4BCC">
      <w:pPr>
        <w:tabs>
          <w:tab w:val="left" w:pos="640"/>
          <w:tab w:val="left" w:pos="840"/>
        </w:tabs>
        <w:autoSpaceDE w:val="0"/>
        <w:autoSpaceDN w:val="0"/>
        <w:ind w:right="26"/>
        <w:textAlignment w:val="bottom"/>
        <w:rPr>
          <w:rFonts w:hint="eastAsia" w:ascii="宋体" w:hAnsi="宋体" w:eastAsia="宋体" w:cs="宋体"/>
          <w:b/>
          <w:bCs/>
          <w:highlight w:val="none"/>
        </w:rPr>
      </w:pPr>
      <w:r>
        <w:rPr>
          <w:rFonts w:hint="eastAsia" w:ascii="宋体" w:hAnsi="宋体" w:eastAsia="宋体" w:cs="宋体"/>
          <w:b/>
          <w:bCs/>
          <w:highlight w:val="none"/>
        </w:rPr>
        <w:t>1、相关法律法规依据</w:t>
      </w:r>
    </w:p>
    <w:p w14:paraId="1F8014D3">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1.1财政部、工业和信息化部“关于印发《政府采购促进中小企业发展管理办法》的通知 ”财库〔2020〕46号。</w:t>
      </w:r>
    </w:p>
    <w:p w14:paraId="2BE244B7">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1.2工业和信息化部、国家统计局、国家发展和改革委员会、财政部“关于印发中小企业划型标准规定的通知”工信部联企业〔2011〕300号。</w:t>
      </w:r>
    </w:p>
    <w:p w14:paraId="25641453">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1.3《财政部 民政部 中国残疾人联合会关于促进残疾人就业政府采购政策的通知》（财库〔2017〕141号）</w:t>
      </w:r>
    </w:p>
    <w:p w14:paraId="43A365A6">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1.4财政部 司法部 《关于政府采购支持监狱企业发展有关问题的通知》（财库〔2014〕68号）</w:t>
      </w:r>
    </w:p>
    <w:p w14:paraId="2A2DBC2C">
      <w:pPr>
        <w:tabs>
          <w:tab w:val="left" w:pos="640"/>
          <w:tab w:val="left" w:pos="840"/>
        </w:tabs>
        <w:autoSpaceDE w:val="0"/>
        <w:autoSpaceDN w:val="0"/>
        <w:ind w:right="26"/>
        <w:textAlignment w:val="bottom"/>
        <w:rPr>
          <w:rFonts w:hint="eastAsia" w:ascii="宋体" w:hAnsi="宋体" w:eastAsia="宋体" w:cs="宋体"/>
          <w:b/>
          <w:bCs/>
          <w:highlight w:val="none"/>
        </w:rPr>
      </w:pPr>
      <w:r>
        <w:rPr>
          <w:rFonts w:hint="eastAsia" w:ascii="宋体" w:hAnsi="宋体" w:eastAsia="宋体" w:cs="宋体"/>
          <w:b/>
          <w:bCs/>
          <w:highlight w:val="none"/>
        </w:rPr>
        <w:t>2、关于提供证明材料的要求</w:t>
      </w:r>
    </w:p>
    <w:p w14:paraId="17521E4F">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2.1符合财库〔2020〕46号文件和工信部联企业〔2011〕300号要求的投标人如要参与价格扣除政策应提供《中小企业声明函》。（格式详见第三章）</w:t>
      </w:r>
    </w:p>
    <w:p w14:paraId="0BE59AAD">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2.2符合财库〔2017〕141号文件要求的投标人如要参与价格扣除政策应提供《残疾人福利性单位声明函》。（格式详见第三章）</w:t>
      </w:r>
    </w:p>
    <w:p w14:paraId="571631A7">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2.3符合财政部 司法部 《关于政府采购支持监狱企业发展有关问题的通知》（财库〔2014〕68号）文件要求的投标人如要参与价格扣除政策应提供由省级以上监狱管理局、戒毒管理局（含新疆生产建设兵团）出具的属于监狱企业的证明文件原件的扫描件，原件备查。</w:t>
      </w:r>
    </w:p>
    <w:p w14:paraId="0DBA6864">
      <w:pPr>
        <w:tabs>
          <w:tab w:val="left" w:pos="640"/>
          <w:tab w:val="left" w:pos="840"/>
        </w:tabs>
        <w:autoSpaceDE w:val="0"/>
        <w:autoSpaceDN w:val="0"/>
        <w:ind w:right="26"/>
        <w:textAlignment w:val="bottom"/>
        <w:rPr>
          <w:rFonts w:hint="eastAsia" w:ascii="宋体" w:hAnsi="宋体" w:eastAsia="宋体" w:cs="宋体"/>
          <w:b/>
          <w:bCs/>
          <w:highlight w:val="none"/>
        </w:rPr>
      </w:pPr>
      <w:r>
        <w:rPr>
          <w:rFonts w:hint="eastAsia" w:ascii="宋体" w:hAnsi="宋体" w:eastAsia="宋体" w:cs="宋体"/>
          <w:b/>
          <w:bCs/>
          <w:highlight w:val="none"/>
        </w:rPr>
        <w:t>3、关于小微型企业、残疾人福利性单位和监狱企业价格扣除政策的规定</w:t>
      </w:r>
    </w:p>
    <w:p w14:paraId="3F864F5B">
      <w:pPr>
        <w:spacing w:before="78" w:beforeLines="25" w:after="78" w:afterLines="25"/>
        <w:ind w:firstLine="448" w:firstLineChars="187"/>
        <w:rPr>
          <w:rFonts w:hint="eastAsia" w:ascii="宋体" w:hAnsi="宋体" w:eastAsia="宋体" w:cs="宋体"/>
          <w:highlight w:val="none"/>
        </w:rPr>
      </w:pPr>
      <w:r>
        <w:rPr>
          <w:rFonts w:hint="eastAsia" w:ascii="宋体" w:hAnsi="宋体" w:eastAsia="宋体" w:cs="宋体"/>
          <w:highlight w:val="none"/>
        </w:rPr>
        <w:t xml:space="preserve">（1）符合财库〔2020〕46号、财库〔2017〕141号和财库〔2014〕68号文件要求的投标人，关于小微型企业提供相关证明材料后，在评审过程中给予价格扣除，用扣除后的价格参与评审；关于残疾人福利性单位和监狱企业提供相关证明材料后，在评审过程中给予价格扣除，用扣除后的价格参与评审；对于同时符合多个价格扣除政策条件的投标人仅予以一次价格扣除。 </w:t>
      </w:r>
    </w:p>
    <w:p w14:paraId="540A6FCD">
      <w:pPr>
        <w:spacing w:before="78" w:beforeLines="25" w:after="78" w:afterLines="25"/>
        <w:ind w:firstLine="448" w:firstLineChars="187"/>
        <w:rPr>
          <w:rFonts w:hint="eastAsia" w:ascii="宋体" w:hAnsi="宋体" w:eastAsia="宋体" w:cs="宋体"/>
          <w:highlight w:val="none"/>
        </w:rPr>
      </w:pPr>
      <w:r>
        <w:rPr>
          <w:rFonts w:hint="eastAsia" w:ascii="宋体" w:hAnsi="宋体" w:eastAsia="宋体" w:cs="宋体"/>
          <w:highlight w:val="none"/>
        </w:rPr>
        <w:t>（2）根据《工业和信息化部、国家统计局、国家发展和改革委员会、财政部关于印发中小企业划型标准规定的通知》（工信部联企业〔2011〕300 号）。</w:t>
      </w:r>
    </w:p>
    <w:p w14:paraId="2EE11032">
      <w:pPr>
        <w:spacing w:before="78" w:beforeLines="25" w:after="78" w:afterLines="25"/>
        <w:ind w:firstLine="448" w:firstLineChars="187"/>
        <w:rPr>
          <w:rFonts w:hint="eastAsia" w:ascii="宋体" w:hAnsi="宋体" w:eastAsia="宋体" w:cs="宋体"/>
          <w:highlight w:val="none"/>
        </w:rPr>
      </w:pPr>
      <w:r>
        <w:rPr>
          <w:rFonts w:hint="eastAsia" w:ascii="宋体" w:hAnsi="宋体" w:eastAsia="宋体" w:cs="宋体"/>
          <w:highlight w:val="none"/>
        </w:rPr>
        <w:t>（3）享受价格扣除获得政府采购合同的，小微企业不得将合同分包给大中型企业。</w:t>
      </w:r>
    </w:p>
    <w:p w14:paraId="3BE2EBF6">
      <w:pPr>
        <w:tabs>
          <w:tab w:val="left" w:pos="640"/>
          <w:tab w:val="left" w:pos="840"/>
        </w:tabs>
        <w:autoSpaceDE w:val="0"/>
        <w:autoSpaceDN w:val="0"/>
        <w:ind w:right="26"/>
        <w:textAlignment w:val="bottom"/>
        <w:rPr>
          <w:rFonts w:hint="eastAsia" w:ascii="宋体" w:hAnsi="宋体" w:eastAsia="宋体" w:cs="宋体"/>
          <w:b/>
          <w:bCs/>
          <w:highlight w:val="none"/>
        </w:rPr>
      </w:pPr>
      <w:r>
        <w:rPr>
          <w:rFonts w:hint="eastAsia" w:ascii="宋体" w:hAnsi="宋体" w:eastAsia="宋体" w:cs="宋体"/>
          <w:b/>
          <w:bCs/>
          <w:highlight w:val="none"/>
        </w:rPr>
        <w:t>4、享受价格扣除政策的条件</w:t>
      </w:r>
    </w:p>
    <w:p w14:paraId="383915F8">
      <w:pPr>
        <w:pStyle w:val="7"/>
        <w:spacing w:before="78" w:beforeLines="25" w:after="78" w:afterLines="25"/>
        <w:ind w:firstLine="451" w:firstLineChars="187"/>
        <w:rPr>
          <w:rFonts w:hint="eastAsia" w:ascii="宋体" w:hAnsi="宋体" w:eastAsia="宋体" w:cs="宋体"/>
          <w:b/>
          <w:bCs/>
          <w:szCs w:val="24"/>
          <w:highlight w:val="none"/>
        </w:rPr>
      </w:pPr>
      <w:r>
        <w:rPr>
          <w:rFonts w:hint="eastAsia" w:ascii="宋体" w:hAnsi="宋体" w:eastAsia="宋体" w:cs="宋体"/>
          <w:b/>
          <w:bCs/>
          <w:szCs w:val="24"/>
          <w:highlight w:val="none"/>
        </w:rPr>
        <w:t>4.1享受价格扣除政策的小型、微型企业的应当满足的相关条件：</w:t>
      </w:r>
    </w:p>
    <w:p w14:paraId="143D6C0E">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1）小微型企业提供本企业制造的货物、承担的工程或服务，或者非小微企业提供（代理销售）小微企业制作的货物，均可享受价格扣除政策。此项中的货物是指单一产品采购项目中的货物，或者非单一产品采购项目中的核心产品（货物），不包括使用大型企业注册商标的货物。</w:t>
      </w:r>
    </w:p>
    <w:p w14:paraId="5BE3F0BB">
      <w:pPr>
        <w:spacing w:before="78" w:beforeLines="25" w:after="78" w:afterLines="25"/>
        <w:ind w:firstLine="448" w:firstLineChars="187"/>
        <w:rPr>
          <w:rFonts w:hint="eastAsia" w:ascii="宋体" w:hAnsi="宋体" w:eastAsia="宋体" w:cs="宋体"/>
          <w:highlight w:val="none"/>
        </w:rPr>
      </w:pPr>
      <w:r>
        <w:rPr>
          <w:rFonts w:hint="eastAsia" w:ascii="宋体" w:hAnsi="宋体" w:eastAsia="宋体" w:cs="宋体"/>
          <w:highlight w:val="none"/>
        </w:rPr>
        <w:t>2）投标人组成联合体投标的，如须享受小微企业价格扣除政策的，联合体各方均为小微企业；</w:t>
      </w:r>
    </w:p>
    <w:p w14:paraId="6C0BA30A">
      <w:pPr>
        <w:spacing w:before="78" w:beforeLines="25" w:after="78" w:afterLines="25"/>
        <w:ind w:firstLine="448" w:firstLineChars="187"/>
        <w:rPr>
          <w:rFonts w:hint="eastAsia" w:ascii="宋体" w:hAnsi="宋体" w:eastAsia="宋体" w:cs="宋体"/>
          <w:highlight w:val="none"/>
        </w:rPr>
      </w:pPr>
      <w:r>
        <w:rPr>
          <w:rFonts w:hint="eastAsia" w:ascii="宋体" w:hAnsi="宋体" w:eastAsia="宋体" w:cs="宋体"/>
          <w:highlight w:val="none"/>
        </w:rPr>
        <w:t>3）小微企业的认定采取承诺制。即由投标人出具《中小企业声明函》或《小型、微型企业的联合体声明函》等承诺性资料即可享受政策优惠；</w:t>
      </w:r>
    </w:p>
    <w:p w14:paraId="519484A0">
      <w:pPr>
        <w:pStyle w:val="7"/>
        <w:spacing w:before="78" w:beforeLines="25" w:after="78" w:afterLines="25"/>
        <w:ind w:firstLine="451" w:firstLineChars="187"/>
        <w:rPr>
          <w:rFonts w:hint="eastAsia" w:ascii="宋体" w:hAnsi="宋体" w:eastAsia="宋体" w:cs="宋体"/>
          <w:b/>
          <w:bCs/>
          <w:szCs w:val="24"/>
          <w:highlight w:val="none"/>
        </w:rPr>
      </w:pPr>
      <w:r>
        <w:rPr>
          <w:rFonts w:hint="eastAsia" w:ascii="宋体" w:hAnsi="宋体" w:eastAsia="宋体" w:cs="宋体"/>
          <w:b/>
          <w:bCs/>
          <w:szCs w:val="24"/>
          <w:highlight w:val="none"/>
        </w:rPr>
        <w:t>4.2享受政府采购支持政策的残疾人福利性单位应当同时满足以下条件：</w:t>
      </w:r>
    </w:p>
    <w:p w14:paraId="52B8B483">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1）安置的残疾人占本单位在职职工人数的比例不低于25%（含25%），并且安置的残疾人人数不少于10人（含10人）；</w:t>
      </w:r>
    </w:p>
    <w:p w14:paraId="2B399175">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2）依法与安置的每位残疾人签订了一年以上（含一年）的劳动合同或服务协议；</w:t>
      </w:r>
    </w:p>
    <w:p w14:paraId="4AE708E3">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3）为安置的每位残疾人按月足额缴纳了基本养老保险、基本医疗保险、失业保险、工伤保险和生育保险等社会保险费；</w:t>
      </w:r>
    </w:p>
    <w:p w14:paraId="15725BE3">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4）通过银行等金融机构向安置的每位残疾人，按月支付了不低于单位所在区县适用的经省级人民政府批准的月最低工资标准的工资；</w:t>
      </w:r>
    </w:p>
    <w:p w14:paraId="79DABA12">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5）提供本单位制造的货物、承担的工程或者服务（以下简称产品），或者提供其他残疾人福利性单位制造的货物（不包括使用非残疾人福利性单位注册商标的货物）。</w:t>
      </w:r>
    </w:p>
    <w:p w14:paraId="3D3E88BB">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6E79A29">
      <w:pPr>
        <w:pStyle w:val="7"/>
        <w:spacing w:before="78" w:beforeLines="25" w:after="78" w:afterLines="25"/>
        <w:ind w:firstLine="451" w:firstLineChars="187"/>
        <w:rPr>
          <w:rFonts w:hint="eastAsia" w:ascii="宋体" w:hAnsi="宋体" w:eastAsia="宋体" w:cs="宋体"/>
          <w:b/>
          <w:bCs/>
          <w:szCs w:val="24"/>
          <w:highlight w:val="none"/>
        </w:rPr>
      </w:pPr>
      <w:r>
        <w:rPr>
          <w:rFonts w:hint="eastAsia" w:ascii="宋体" w:hAnsi="宋体" w:eastAsia="宋体" w:cs="宋体"/>
          <w:b/>
          <w:bCs/>
          <w:szCs w:val="24"/>
          <w:highlight w:val="none"/>
        </w:rPr>
        <w:t>4.3享受政府采购支持政策的监狱企业应当同时满足以下条件：</w:t>
      </w:r>
    </w:p>
    <w:p w14:paraId="411BB9A1">
      <w:pPr>
        <w:pStyle w:val="7"/>
        <w:spacing w:before="78" w:beforeLines="25" w:after="78" w:afterLines="25"/>
        <w:ind w:firstLine="448" w:firstLineChars="187"/>
        <w:rPr>
          <w:rFonts w:hint="eastAsia" w:ascii="宋体" w:hAnsi="宋体" w:eastAsia="宋体" w:cs="宋体"/>
          <w:szCs w:val="24"/>
          <w:highlight w:val="none"/>
        </w:rPr>
      </w:pPr>
      <w:r>
        <w:rPr>
          <w:rFonts w:hint="eastAsia" w:ascii="宋体" w:hAnsi="宋体" w:eastAsia="宋体" w:cs="宋体"/>
          <w:szCs w:val="24"/>
          <w:highlight w:val="none"/>
        </w:rPr>
        <w:t>监狱企业应当提供由省级以上监狱管理局、戒毒管理局（含新疆生产建设兵团）出具的属于监狱企业的证明文件。</w:t>
      </w:r>
    </w:p>
    <w:p w14:paraId="219993DF">
      <w:pPr>
        <w:rPr>
          <w:rFonts w:hint="eastAsia" w:ascii="宋体" w:hAnsi="宋体" w:eastAsia="宋体" w:cs="宋体"/>
          <w:highlight w:val="none"/>
        </w:rPr>
      </w:pPr>
    </w:p>
    <w:p w14:paraId="396B36F7">
      <w:pPr>
        <w:pStyle w:val="4"/>
        <w:rPr>
          <w:rFonts w:hint="eastAsia" w:ascii="宋体" w:hAnsi="宋体" w:eastAsia="宋体" w:cs="宋体"/>
          <w:szCs w:val="24"/>
          <w:highlight w:val="none"/>
        </w:rPr>
      </w:pPr>
      <w:r>
        <w:rPr>
          <w:rFonts w:hint="eastAsia" w:ascii="宋体" w:hAnsi="宋体" w:eastAsia="宋体" w:cs="宋体"/>
          <w:szCs w:val="24"/>
          <w:highlight w:val="none"/>
        </w:rPr>
        <w:t>三、政府采购政策说明</w:t>
      </w:r>
    </w:p>
    <w:p w14:paraId="05B8C9CD">
      <w:pPr>
        <w:ind w:firstLine="480" w:firstLineChars="200"/>
        <w:rPr>
          <w:rFonts w:hint="eastAsia" w:ascii="宋体" w:hAnsi="宋体" w:eastAsia="宋体" w:cs="宋体"/>
          <w:highlight w:val="none"/>
        </w:rPr>
      </w:pPr>
      <w:r>
        <w:rPr>
          <w:rFonts w:hint="eastAsia" w:ascii="宋体" w:hAnsi="宋体" w:eastAsia="宋体" w:cs="宋体"/>
          <w:highlight w:val="none"/>
        </w:rPr>
        <w:t>1、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5046D65C">
      <w:pPr>
        <w:ind w:firstLine="480" w:firstLineChars="200"/>
        <w:rPr>
          <w:rFonts w:hint="eastAsia" w:ascii="宋体" w:hAnsi="宋体" w:eastAsia="宋体" w:cs="宋体"/>
          <w:highlight w:val="none"/>
        </w:rPr>
      </w:pPr>
      <w:r>
        <w:rPr>
          <w:rFonts w:hint="eastAsia" w:ascii="宋体" w:hAnsi="宋体" w:eastAsia="宋体" w:cs="宋体"/>
          <w:highlight w:val="none"/>
        </w:rPr>
        <w:t>2、根据省委办公厅、省府办公厅《关于促进民营经济高质量发展的若干政策措施》（粤办发〔2018〕43 号），对获得国家行政主管部门认定的中国质量奖、中国专利奖、中国版权金奖、中国商标金奖、制造业单项冠军、绿色工厂等的企业，在参与政府采购时，可以结合采购需求的实际需要，给予适当技术加分。落实国家有关创新产品政府采购政策，对首台套等创新产品采用首购、订购等方式采购，促进首台套产品研发和示范应用。</w:t>
      </w:r>
    </w:p>
    <w:p w14:paraId="3C4CA86B">
      <w:pPr>
        <w:ind w:firstLine="480" w:firstLineChars="200"/>
        <w:rPr>
          <w:rFonts w:hint="eastAsia" w:ascii="宋体" w:hAnsi="宋体" w:eastAsia="宋体" w:cs="宋体"/>
          <w:highlight w:val="none"/>
        </w:rPr>
      </w:pPr>
      <w:r>
        <w:rPr>
          <w:rFonts w:hint="eastAsia" w:ascii="宋体" w:hAnsi="宋体" w:eastAsia="宋体" w:cs="宋体"/>
          <w:highlight w:val="none"/>
        </w:rPr>
        <w:t>3、为缓解中小企业融资难题，我市推出政府采购订单融资改革举措。订单融资具体流程及试点金融机构订单融资服务承诺可参阅深圳市政府采购监管网（www.zfcg.sz.gov.cn）信息公开栏目或登录深圳交易集团融资服务平台（http://zfcg.szggzy.com:8081/financeplatform/）。</w:t>
      </w:r>
    </w:p>
    <w:p w14:paraId="7A491D93">
      <w:pPr>
        <w:ind w:firstLine="480" w:firstLineChars="200"/>
        <w:rPr>
          <w:rFonts w:hint="eastAsia" w:ascii="宋体" w:hAnsi="宋体" w:eastAsia="宋体" w:cs="宋体"/>
          <w:bCs/>
          <w:highlight w:val="none"/>
        </w:rPr>
      </w:pPr>
      <w:r>
        <w:rPr>
          <w:rFonts w:hint="eastAsia" w:ascii="宋体" w:hAnsi="宋体" w:eastAsia="宋体" w:cs="宋体"/>
          <w:bCs/>
          <w:highlight w:val="none"/>
        </w:rPr>
        <w:t>4、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0A012D09">
      <w:pPr>
        <w:ind w:firstLine="480" w:firstLineChars="200"/>
        <w:rPr>
          <w:rFonts w:hint="eastAsia" w:ascii="宋体" w:hAnsi="宋体" w:eastAsia="宋体" w:cs="宋体"/>
          <w:highlight w:val="none"/>
        </w:rPr>
      </w:pPr>
      <w:r>
        <w:rPr>
          <w:rFonts w:hint="eastAsia" w:ascii="宋体" w:hAnsi="宋体" w:eastAsia="宋体" w:cs="宋体"/>
          <w:bCs/>
          <w:highlight w:val="none"/>
        </w:rPr>
        <w:t>5、</w:t>
      </w:r>
      <w:r>
        <w:rPr>
          <w:rFonts w:hint="eastAsia" w:ascii="宋体" w:hAnsi="宋体" w:eastAsia="宋体" w:cs="宋体"/>
          <w:highlight w:val="none"/>
        </w:rPr>
        <w:t>其他政府采购政策详见第二册“相关政府采购政策文件”。</w:t>
      </w:r>
    </w:p>
    <w:p w14:paraId="152E7BBF">
      <w:pPr>
        <w:pStyle w:val="9"/>
        <w:spacing w:line="240" w:lineRule="auto"/>
        <w:rPr>
          <w:rFonts w:hint="eastAsia" w:ascii="宋体" w:hAnsi="宋体" w:eastAsia="宋体" w:cs="宋体"/>
          <w:highlight w:val="none"/>
        </w:rPr>
      </w:pPr>
    </w:p>
    <w:p w14:paraId="48194722">
      <w:pPr>
        <w:pStyle w:val="4"/>
        <w:rPr>
          <w:rFonts w:hint="eastAsia" w:ascii="宋体" w:hAnsi="宋体" w:eastAsia="宋体" w:cs="宋体"/>
          <w:szCs w:val="24"/>
          <w:highlight w:val="none"/>
        </w:rPr>
      </w:pPr>
      <w:r>
        <w:rPr>
          <w:rFonts w:hint="eastAsia" w:ascii="宋体" w:hAnsi="宋体" w:eastAsia="宋体" w:cs="宋体"/>
          <w:szCs w:val="24"/>
          <w:highlight w:val="none"/>
        </w:rPr>
        <w:t>四、其他</w:t>
      </w:r>
    </w:p>
    <w:p w14:paraId="5BF5BE56">
      <w:pPr>
        <w:ind w:firstLine="480" w:firstLineChars="200"/>
        <w:rPr>
          <w:rFonts w:hint="eastAsia" w:ascii="宋体" w:hAnsi="宋体" w:eastAsia="宋体" w:cs="宋体"/>
          <w:highlight w:val="none"/>
        </w:rPr>
      </w:pPr>
      <w:r>
        <w:rPr>
          <w:rFonts w:hint="eastAsia" w:ascii="宋体" w:hAnsi="宋体" w:eastAsia="宋体" w:cs="宋体"/>
          <w:highlight w:val="none"/>
        </w:rPr>
        <w:t xml:space="preserve">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                                                         </w:t>
      </w:r>
    </w:p>
    <w:p w14:paraId="57E512C0">
      <w:pPr>
        <w:ind w:firstLine="480" w:firstLineChars="200"/>
        <w:rPr>
          <w:rFonts w:hint="eastAsia" w:ascii="宋体" w:hAnsi="宋体" w:eastAsia="宋体" w:cs="宋体"/>
          <w:highlight w:val="none"/>
        </w:rPr>
      </w:pPr>
      <w:r>
        <w:rPr>
          <w:rFonts w:hint="eastAsia" w:ascii="宋体" w:hAnsi="宋体" w:eastAsia="宋体" w:cs="宋体"/>
          <w:highlight w:val="none"/>
        </w:rPr>
        <w:t>重要提示：</w:t>
      </w:r>
    </w:p>
    <w:p w14:paraId="16F4E7C0">
      <w:pPr>
        <w:ind w:firstLine="480" w:firstLineChars="200"/>
        <w:rPr>
          <w:rFonts w:hint="eastAsia" w:ascii="宋体" w:hAnsi="宋体" w:eastAsia="宋体" w:cs="宋体"/>
          <w:highlight w:val="none"/>
        </w:rPr>
      </w:pPr>
      <w:r>
        <w:rPr>
          <w:rFonts w:hint="eastAsia" w:ascii="宋体" w:hAnsi="宋体" w:eastAsia="宋体" w:cs="宋体"/>
          <w:highlight w:val="none"/>
        </w:rPr>
        <w:t>（1）使用电子营业执照功能时，请确保已经在手机微信安装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14:paraId="4622C84D">
      <w:pPr>
        <w:ind w:firstLine="480" w:firstLineChars="200"/>
        <w:rPr>
          <w:rFonts w:hint="eastAsia" w:ascii="宋体" w:hAnsi="宋体" w:eastAsia="宋体" w:cs="宋体"/>
          <w:highlight w:val="none"/>
        </w:rPr>
      </w:pPr>
      <w:r>
        <w:rPr>
          <w:rFonts w:hint="eastAsia" w:ascii="宋体" w:hAnsi="宋体" w:eastAsia="宋体" w:cs="宋体"/>
          <w:highlight w:val="none"/>
        </w:rPr>
        <w:t>（2）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428F5290">
      <w:pPr>
        <w:ind w:firstLine="480" w:firstLineChars="200"/>
        <w:rPr>
          <w:rFonts w:hint="eastAsia" w:ascii="宋体" w:hAnsi="宋体" w:eastAsia="宋体" w:cs="宋体"/>
          <w:highlight w:val="none"/>
        </w:rPr>
      </w:pPr>
      <w:r>
        <w:rPr>
          <w:rFonts w:hint="eastAsia" w:ascii="宋体" w:hAnsi="宋体" w:eastAsia="宋体" w:cs="宋体"/>
          <w:highlight w:val="none"/>
        </w:rPr>
        <w:t>（3）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14:paraId="4F6454CF">
      <w:pPr>
        <w:pStyle w:val="9"/>
        <w:rPr>
          <w:rFonts w:hint="eastAsia" w:ascii="宋体" w:hAnsi="宋体" w:eastAsia="宋体" w:cs="宋体"/>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p w14:paraId="6DF84837">
      <w:pPr>
        <w:pStyle w:val="3"/>
        <w:numPr>
          <w:ilvl w:val="0"/>
          <w:numId w:val="8"/>
        </w:numPr>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招标项目需求书</w:t>
      </w:r>
    </w:p>
    <w:p w14:paraId="1A35EB4B">
      <w:pPr>
        <w:pStyle w:val="4"/>
        <w:keepNext/>
        <w:keepLines/>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lang w:val="en-US" w:eastAsia="zh-CN" w:bidi="ar-SA"/>
        </w:rPr>
        <w:t>一、</w:t>
      </w:r>
      <w:r>
        <w:rPr>
          <w:rFonts w:hint="eastAsia" w:ascii="宋体" w:hAnsi="宋体" w:eastAsia="宋体" w:cs="宋体"/>
          <w:b/>
          <w:bCs/>
          <w:color w:val="auto"/>
          <w:kern w:val="2"/>
          <w:sz w:val="28"/>
          <w:szCs w:val="28"/>
          <w:highlight w:val="none"/>
          <w:lang w:val="en-US" w:eastAsia="zh-CN" w:bidi="ar-SA"/>
        </w:rPr>
        <w:t>项目需求主要内容</w:t>
      </w:r>
    </w:p>
    <w:tbl>
      <w:tblPr>
        <w:tblStyle w:val="18"/>
        <w:tblW w:w="4888" w:type="pct"/>
        <w:jc w:val="center"/>
        <w:tblLayout w:type="fixed"/>
        <w:tblCellMar>
          <w:top w:w="0" w:type="dxa"/>
          <w:left w:w="108" w:type="dxa"/>
          <w:bottom w:w="0" w:type="dxa"/>
          <w:right w:w="108" w:type="dxa"/>
        </w:tblCellMar>
      </w:tblPr>
      <w:tblGrid>
        <w:gridCol w:w="659"/>
        <w:gridCol w:w="1767"/>
        <w:gridCol w:w="2367"/>
        <w:gridCol w:w="594"/>
        <w:gridCol w:w="595"/>
        <w:gridCol w:w="1577"/>
        <w:gridCol w:w="1462"/>
      </w:tblGrid>
      <w:tr w14:paraId="5E1C8F63">
        <w:tblPrEx>
          <w:tblCellMar>
            <w:top w:w="0" w:type="dxa"/>
            <w:left w:w="108" w:type="dxa"/>
            <w:bottom w:w="0" w:type="dxa"/>
            <w:right w:w="108" w:type="dxa"/>
          </w:tblCellMar>
        </w:tblPrEx>
        <w:trPr>
          <w:trHeight w:val="716"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9431835">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7D3F8AC4">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p>
        </w:tc>
        <w:tc>
          <w:tcPr>
            <w:tcW w:w="2367" w:type="dxa"/>
            <w:tcBorders>
              <w:top w:val="single" w:color="000000" w:sz="4" w:space="0"/>
              <w:left w:val="single" w:color="000000" w:sz="4" w:space="0"/>
              <w:bottom w:val="single" w:color="000000" w:sz="4" w:space="0"/>
              <w:right w:val="single" w:color="000000" w:sz="4" w:space="0"/>
            </w:tcBorders>
            <w:noWrap/>
            <w:vAlign w:val="center"/>
          </w:tcPr>
          <w:p w14:paraId="4B458409">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7E9D951">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14C37A15">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9F595FA">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投标最高限价（元）</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321E5D46">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所属行业</w:t>
            </w:r>
          </w:p>
        </w:tc>
      </w:tr>
      <w:tr w14:paraId="6DBBDE26">
        <w:tblPrEx>
          <w:tblCellMar>
            <w:top w:w="0" w:type="dxa"/>
            <w:left w:w="108" w:type="dxa"/>
            <w:bottom w:w="0" w:type="dxa"/>
            <w:right w:w="108" w:type="dxa"/>
          </w:tblCellMar>
        </w:tblPrEx>
        <w:trPr>
          <w:trHeight w:val="1316"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4A37052E">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2C83615F">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GC2024ZX0032（QTZXCG-2024-00125）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25AB9CB">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教师食堂托管服务</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47150AB5">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61910406">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0C27E23">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477000元</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32927E9B">
            <w:pPr>
              <w:keepNext w:val="0"/>
              <w:keepLines w:val="0"/>
              <w:pageBreakBefore w:val="0"/>
              <w:widowControl/>
              <w:tabs>
                <w:tab w:val="left" w:pos="76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餐饮业</w:t>
            </w:r>
          </w:p>
        </w:tc>
      </w:tr>
    </w:tbl>
    <w:p w14:paraId="3353A44C">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auto"/>
          <w:sz w:val="22"/>
          <w:szCs w:val="22"/>
          <w:highlight w:val="none"/>
        </w:rPr>
        <w:t>提示：投标报价不得高于本项目最高限价，否则作为无效标处理。</w:t>
      </w:r>
      <w:r>
        <w:rPr>
          <w:rFonts w:hint="eastAsia" w:ascii="宋体" w:hAnsi="宋体" w:eastAsia="宋体" w:cs="宋体"/>
          <w:b/>
          <w:bCs/>
          <w:color w:val="auto"/>
          <w:sz w:val="22"/>
          <w:szCs w:val="22"/>
          <w:highlight w:val="none"/>
        </w:rPr>
        <w:br w:type="textWrapping"/>
      </w:r>
    </w:p>
    <w:p w14:paraId="4691E2E4">
      <w:pPr>
        <w:pStyle w:val="4"/>
        <w:keepNext/>
        <w:keepLines/>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bookmarkStart w:id="3" w:name="_Toc128884461"/>
      <w:r>
        <w:rPr>
          <w:rFonts w:hint="eastAsia" w:ascii="宋体" w:hAnsi="宋体" w:eastAsia="宋体" w:cs="宋体"/>
          <w:b/>
          <w:bCs/>
          <w:color w:val="auto"/>
          <w:kern w:val="2"/>
          <w:sz w:val="28"/>
          <w:szCs w:val="28"/>
          <w:lang w:val="en-US" w:eastAsia="zh-CN" w:bidi="ar-SA"/>
        </w:rPr>
        <w:t>二、</w:t>
      </w:r>
      <w:r>
        <w:rPr>
          <w:rFonts w:hint="eastAsia" w:ascii="宋体" w:hAnsi="宋体" w:eastAsia="宋体" w:cs="宋体"/>
          <w:b/>
          <w:bCs/>
          <w:color w:val="auto"/>
          <w:kern w:val="2"/>
          <w:sz w:val="28"/>
          <w:szCs w:val="28"/>
          <w:highlight w:val="none"/>
          <w:lang w:val="en-US" w:eastAsia="zh-CN" w:bidi="ar-SA"/>
        </w:rPr>
        <w:t>实质性条款</w:t>
      </w:r>
    </w:p>
    <w:bookmarkEnd w:id="3"/>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290"/>
      </w:tblGrid>
      <w:tr w14:paraId="298B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top"/>
          </w:tcPr>
          <w:p w14:paraId="70AF08E9">
            <w:pPr>
              <w:adjustRightInd w:val="0"/>
              <w:snapToGrid w:val="0"/>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7483" w:type="dxa"/>
            <w:noWrap w:val="0"/>
            <w:vAlign w:val="top"/>
          </w:tcPr>
          <w:p w14:paraId="040FCCCD">
            <w:pPr>
              <w:adjustRightInd w:val="0"/>
              <w:snapToGrid w:val="0"/>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具体内容</w:t>
            </w:r>
          </w:p>
        </w:tc>
      </w:tr>
      <w:tr w14:paraId="2D34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top"/>
          </w:tcPr>
          <w:p w14:paraId="057D5742">
            <w:pPr>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7483" w:type="dxa"/>
            <w:noWrap w:val="0"/>
            <w:vAlign w:val="top"/>
          </w:tcPr>
          <w:p w14:paraId="0AFC830F">
            <w:pPr>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第三章 招标项目需求中带“★”指标项为实质性条款</w:t>
            </w:r>
          </w:p>
        </w:tc>
      </w:tr>
      <w:tr w14:paraId="6F7C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top"/>
          </w:tcPr>
          <w:p w14:paraId="2C9E1455">
            <w:pPr>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7483" w:type="dxa"/>
            <w:noWrap w:val="0"/>
            <w:vAlign w:val="top"/>
          </w:tcPr>
          <w:p w14:paraId="3DF77DE5">
            <w:pPr>
              <w:adjustRightInd w:val="0"/>
              <w:snapToGrid w:val="0"/>
              <w:spacing w:line="360" w:lineRule="auto"/>
              <w:rPr>
                <w:rFonts w:hint="eastAsia" w:ascii="宋体" w:hAnsi="宋体" w:eastAsia="宋体" w:cs="宋体"/>
                <w:kern w:val="0"/>
                <w:sz w:val="24"/>
                <w:szCs w:val="24"/>
                <w:highlight w:val="none"/>
              </w:rPr>
            </w:pPr>
          </w:p>
        </w:tc>
      </w:tr>
      <w:tr w14:paraId="7CD3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top"/>
          </w:tcPr>
          <w:p w14:paraId="7094E424">
            <w:pPr>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7483" w:type="dxa"/>
            <w:noWrap w:val="0"/>
            <w:vAlign w:val="top"/>
          </w:tcPr>
          <w:p w14:paraId="138D7B98">
            <w:pPr>
              <w:adjustRightInd w:val="0"/>
              <w:snapToGrid w:val="0"/>
              <w:spacing w:line="360" w:lineRule="auto"/>
              <w:rPr>
                <w:rFonts w:hint="eastAsia" w:ascii="宋体" w:hAnsi="宋体" w:eastAsia="宋体" w:cs="宋体"/>
                <w:kern w:val="0"/>
                <w:sz w:val="24"/>
                <w:szCs w:val="24"/>
                <w:highlight w:val="none"/>
              </w:rPr>
            </w:pPr>
          </w:p>
        </w:tc>
      </w:tr>
    </w:tbl>
    <w:p w14:paraId="2FB96516">
      <w:pPr>
        <w:tabs>
          <w:tab w:val="left" w:pos="765"/>
        </w:tabs>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w:t>
      </w:r>
    </w:p>
    <w:p w14:paraId="386F6668">
      <w:pPr>
        <w:tabs>
          <w:tab w:val="left" w:pos="765"/>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1.投标人是否满足上表中招标文件实质性条款内容，详见第三章《实质性条款响应情况表》。</w:t>
      </w:r>
    </w:p>
    <w:p w14:paraId="69DC4C64">
      <w:pPr>
        <w:tabs>
          <w:tab w:val="left" w:pos="765"/>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2.说明：带“★”指标项为实质性条款，如出现负偏离，将被视为未实质性满足招标文件要求作投标无效处理。</w:t>
      </w:r>
    </w:p>
    <w:p w14:paraId="5B2B7619">
      <w:pPr>
        <w:tabs>
          <w:tab w:val="left" w:pos="765"/>
        </w:tabs>
        <w:spacing w:line="24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3.评分时，如对一项招标技术要求（以划分框为准）中的内容存在两处（或以上）负偏离的，在评分时只作一项负偏离扣分。</w:t>
      </w:r>
    </w:p>
    <w:p w14:paraId="57E8E897">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4.投标人应如实响应招标文件第二章“招标项目需求”内容，需按“第三章投标文件格式、附件”的“实质性条款响应情况表”格式填写,否则将导致投标无效。</w:t>
      </w:r>
    </w:p>
    <w:p w14:paraId="19105FAA">
      <w:pPr>
        <w:spacing w:line="360" w:lineRule="auto"/>
        <w:rPr>
          <w:rFonts w:hint="eastAsia" w:ascii="宋体" w:hAnsi="宋体" w:eastAsia="宋体" w:cs="宋体"/>
          <w:highlight w:val="none"/>
          <w:lang w:val="en-US"/>
        </w:rPr>
      </w:pPr>
    </w:p>
    <w:p w14:paraId="3358B432">
      <w:pPr>
        <w:pStyle w:val="4"/>
        <w:keepNext/>
        <w:keepLines/>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lang w:val="en-US" w:eastAsia="zh-CN" w:bidi="ar-SA"/>
        </w:rPr>
        <w:t>三、</w:t>
      </w:r>
      <w:r>
        <w:rPr>
          <w:rFonts w:hint="eastAsia" w:ascii="宋体" w:hAnsi="宋体" w:eastAsia="宋体" w:cs="宋体"/>
          <w:b/>
          <w:bCs/>
          <w:color w:val="auto"/>
          <w:kern w:val="2"/>
          <w:sz w:val="28"/>
          <w:szCs w:val="28"/>
          <w:highlight w:val="none"/>
          <w:lang w:val="en-US" w:eastAsia="zh-CN" w:bidi="ar-SA"/>
        </w:rPr>
        <w:t>项目概况</w:t>
      </w:r>
    </w:p>
    <w:p w14:paraId="051AB229">
      <w:pPr>
        <w:tabs>
          <w:tab w:val="left" w:pos="765"/>
        </w:tabs>
        <w:spacing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本项目拟招5位服务团队，厨师主管1人、面点师1人、切配1人、洗消2人，项目经费包含社保、住房公积金、加班福利、工作服装及培训费等。</w:t>
      </w:r>
    </w:p>
    <w:p w14:paraId="3AD324A9">
      <w:pPr>
        <w:rPr>
          <w:rFonts w:hint="eastAsia" w:ascii="宋体" w:hAnsi="宋体" w:eastAsia="宋体" w:cs="宋体"/>
          <w:lang w:val="en-US" w:eastAsia="zh-CN"/>
        </w:rPr>
      </w:pPr>
    </w:p>
    <w:p w14:paraId="2AE2CAC1">
      <w:pPr>
        <w:rPr>
          <w:rFonts w:hint="eastAsia" w:ascii="宋体" w:hAnsi="宋体" w:eastAsia="宋体" w:cs="宋体"/>
          <w:lang w:val="en-US" w:eastAsia="zh-CN"/>
        </w:rPr>
      </w:pPr>
    </w:p>
    <w:p w14:paraId="2F307E56">
      <w:pPr>
        <w:pStyle w:val="4"/>
        <w:keepNext/>
        <w:keepLines/>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lang w:val="en-US" w:eastAsia="zh-CN" w:bidi="ar-SA"/>
        </w:rPr>
        <w:t>四、</w:t>
      </w:r>
      <w:r>
        <w:rPr>
          <w:rFonts w:hint="eastAsia" w:ascii="宋体" w:hAnsi="宋体" w:eastAsia="宋体" w:cs="宋体"/>
          <w:b/>
          <w:bCs/>
          <w:color w:val="auto"/>
          <w:kern w:val="2"/>
          <w:sz w:val="28"/>
          <w:szCs w:val="28"/>
          <w:highlight w:val="none"/>
          <w:lang w:val="en-US" w:eastAsia="zh-CN" w:bidi="ar-SA"/>
        </w:rPr>
        <w:t>项目服务内容及服务技术要求</w:t>
      </w:r>
    </w:p>
    <w:p w14:paraId="530B9EB6">
      <w:pPr>
        <w:tabs>
          <w:tab w:val="left" w:pos="765"/>
        </w:tabs>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服务内容</w:t>
      </w:r>
    </w:p>
    <w:p w14:paraId="33704881">
      <w:pPr>
        <w:ind w:firstLine="480" w:firstLineChars="200"/>
        <w:jc w:val="left"/>
        <w:rPr>
          <w:rFonts w:hint="eastAsia" w:ascii="宋体" w:hAnsi="宋体" w:eastAsia="Times New Roman" w:cs="宋体"/>
          <w:lang w:val="en-US" w:eastAsia="zh-CN" w:bidi="ar"/>
        </w:rPr>
      </w:pPr>
      <w:r>
        <w:rPr>
          <w:rFonts w:hint="eastAsia" w:ascii="宋体" w:hAnsi="宋体" w:eastAsia="Times New Roman" w:cs="宋体"/>
          <w:lang w:val="en-US" w:eastAsia="zh-CN" w:bidi="ar"/>
        </w:rPr>
        <w:t>1.负责采购方全体员工的工作用餐和临时指定用餐(早餐、午餐、晚餐)，包括但不限于节假日值班，临时加班，寒暑假用餐等。如遇特殊情况需进行特别保障的，必须无条件进行保障。根据气候条件，定期煲煮凉茶、糖水、御寒姜汤。根据节日需求，如元宵节、端午节冬至等，提供汤圆、粽子、饺子等。</w:t>
      </w:r>
    </w:p>
    <w:p w14:paraId="2205941D">
      <w:pPr>
        <w:ind w:firstLine="480" w:firstLineChars="200"/>
        <w:jc w:val="left"/>
        <w:rPr>
          <w:rFonts w:hint="eastAsia" w:ascii="宋体" w:hAnsi="宋体" w:eastAsia="Times New Roman" w:cs="宋体"/>
          <w:lang w:val="en-US" w:eastAsia="zh-CN" w:bidi="ar"/>
        </w:rPr>
      </w:pPr>
      <w:r>
        <w:rPr>
          <w:rFonts w:hint="eastAsia" w:ascii="宋体" w:hAnsi="宋体" w:eastAsia="Times New Roman" w:cs="宋体"/>
          <w:lang w:val="en-US" w:eastAsia="zh-CN" w:bidi="ar"/>
        </w:rPr>
        <w:t>2.负责采购方食堂日常事务管理，保证全体教职工正常就餐和食品安全，对采购方的食堂日常事务管理，中标方应严格执行国家、广东省、深圳市的食品卫生安全法规的规范要求；食堂工作人员必须持有效健康证上岗；做好个人卫生、环境卫生和餐厨用具用品的消毒工作，保障食堂出品的食品卫生安全；严防食物中毒和食源性疾病；严格执行安全生产制度，做好防火防盗的预防工作，杜绝重大事故的发生。</w:t>
      </w:r>
    </w:p>
    <w:p w14:paraId="3B208A09">
      <w:pPr>
        <w:ind w:firstLine="480" w:firstLineChars="200"/>
        <w:jc w:val="left"/>
        <w:rPr>
          <w:rFonts w:hint="eastAsia" w:ascii="宋体" w:hAnsi="宋体" w:eastAsia="Times New Roman" w:cs="宋体"/>
          <w:lang w:val="en-US" w:eastAsia="zh-CN" w:bidi="ar"/>
        </w:rPr>
      </w:pPr>
      <w:r>
        <w:rPr>
          <w:rFonts w:hint="eastAsia" w:ascii="宋体" w:hAnsi="宋体" w:eastAsia="Times New Roman" w:cs="宋体"/>
          <w:lang w:val="en-US" w:eastAsia="zh-CN" w:bidi="ar"/>
        </w:rPr>
        <w:t>3.饭菜质量：食堂供应的食品，必须符合食品卫生安全规范的质量要求，注重食品营养结构和风味搭配，确保热饭热菜供应服务，努力提高烹调服务水平。</w:t>
      </w:r>
    </w:p>
    <w:p w14:paraId="6268281C">
      <w:pPr>
        <w:ind w:firstLine="480" w:firstLineChars="200"/>
        <w:jc w:val="left"/>
        <w:rPr>
          <w:rFonts w:hint="eastAsia" w:ascii="宋体" w:hAnsi="宋体" w:eastAsia="Times New Roman" w:cs="宋体"/>
          <w:lang w:val="en-US" w:eastAsia="zh-CN" w:bidi="ar"/>
        </w:rPr>
      </w:pPr>
      <w:r>
        <w:rPr>
          <w:rFonts w:hint="eastAsia" w:ascii="宋体" w:hAnsi="宋体" w:eastAsia="Times New Roman" w:cs="宋体"/>
          <w:lang w:val="en-US" w:eastAsia="zh-CN" w:bidi="ar"/>
        </w:rPr>
        <w:t>4.环境卫生：食堂环境卫生清洁要达到A级食堂标准和国家有关规定及行业规范的标准。食堂工作场所应做到每天及时清洁，每周彻底打扫一次。</w:t>
      </w:r>
    </w:p>
    <w:p w14:paraId="1B68A1EB">
      <w:pPr>
        <w:ind w:firstLine="480" w:firstLineChars="200"/>
        <w:jc w:val="left"/>
        <w:rPr>
          <w:rFonts w:hint="eastAsia" w:ascii="宋体" w:hAnsi="宋体" w:eastAsia="Times New Roman" w:cs="宋体"/>
          <w:lang w:val="en-US" w:eastAsia="zh-CN" w:bidi="ar"/>
        </w:rPr>
      </w:pPr>
      <w:r>
        <w:rPr>
          <w:rFonts w:hint="eastAsia" w:ascii="宋体" w:hAnsi="宋体" w:eastAsia="Times New Roman" w:cs="宋体"/>
          <w:lang w:val="en-US" w:eastAsia="zh-CN" w:bidi="ar"/>
        </w:rPr>
        <w:t>5.工作团队人员管理：所有人员的薪酬、福利、加班费、休假、健康管理及社会保障事务都由中标企业负责。对不适合在本项目团队中工作的人员，双方商议后可以调换，有离职时需立即补上合适的人员。接替人员应该具有被调换或主动离职人员相同的职业资格。所有人员都需持有既定的、有效的健康及卫生培训证明，该类证书在到期前由中标企业负责监督续办，不得延误。</w:t>
      </w:r>
    </w:p>
    <w:p w14:paraId="31209053">
      <w:pPr>
        <w:tabs>
          <w:tab w:val="left" w:pos="765"/>
        </w:tabs>
        <w:spacing w:line="360" w:lineRule="auto"/>
        <w:ind w:firstLine="482" w:firstLineChars="200"/>
        <w:rPr>
          <w:rFonts w:hint="eastAsia" w:ascii="宋体" w:hAnsi="宋体" w:eastAsia="宋体" w:cs="宋体"/>
          <w:b/>
          <w:bCs/>
          <w:sz w:val="24"/>
          <w:szCs w:val="24"/>
          <w:highlight w:val="none"/>
        </w:rPr>
      </w:pPr>
    </w:p>
    <w:p w14:paraId="0D67CF84">
      <w:pPr>
        <w:tabs>
          <w:tab w:val="left" w:pos="765"/>
        </w:tabs>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（二）服务要求</w:t>
      </w:r>
    </w:p>
    <w:p w14:paraId="2C36C368">
      <w:pPr>
        <w:ind w:firstLine="480" w:firstLineChars="200"/>
        <w:jc w:val="left"/>
        <w:rPr>
          <w:rFonts w:hint="eastAsia" w:ascii="宋体" w:hAnsi="宋体" w:eastAsia="Times New Roman" w:cs="宋体"/>
          <w:b w:val="0"/>
          <w:bCs w:val="0"/>
          <w:lang w:val="en-US" w:eastAsia="zh-CN" w:bidi="ar"/>
        </w:rPr>
      </w:pPr>
      <w:r>
        <w:rPr>
          <w:rFonts w:hint="eastAsia" w:ascii="宋体" w:hAnsi="宋体" w:eastAsia="Times New Roman" w:cs="宋体"/>
          <w:b w:val="0"/>
          <w:bCs w:val="0"/>
          <w:lang w:val="en-US" w:eastAsia="zh-CN" w:bidi="ar"/>
        </w:rPr>
        <w:t>1、中标方需提供每周食谱给采购方(含早、中、晚餐)：</w:t>
      </w:r>
    </w:p>
    <w:p w14:paraId="676BA4CE">
      <w:pPr>
        <w:ind w:firstLine="480" w:firstLineChars="200"/>
        <w:jc w:val="left"/>
        <w:rPr>
          <w:rFonts w:hint="eastAsia" w:ascii="宋体" w:hAnsi="宋体" w:eastAsia="Times New Roman" w:cs="宋体"/>
          <w:b w:val="0"/>
          <w:bCs w:val="0"/>
          <w:lang w:val="en-US" w:eastAsia="zh-CN" w:bidi="ar"/>
        </w:rPr>
      </w:pPr>
      <w:r>
        <w:rPr>
          <w:rFonts w:hint="eastAsia" w:ascii="宋体" w:hAnsi="宋体" w:eastAsia="Times New Roman" w:cs="宋体"/>
          <w:b w:val="0"/>
          <w:bCs w:val="0"/>
          <w:lang w:val="en-US" w:eastAsia="zh-CN" w:bidi="ar"/>
        </w:rPr>
        <w:t>(1)早餐：早餐要干稀搭配，有选择余地，提供8种菜品以上，如小菜、粥品、汤粉面、广式茶点、蛋类、豆浆、粗粮、青菜等供教职工选择。午、晚餐：中餐最低保证四荤两素，不得少于6种以上菜品、老火靓汤、米饭、粗粮等，配备甜点及水果。晚餐最低保证两荤两素。花色品种应经常变化，供应面食，夏季视气温情况不定期供应清凉饮料、凉茶或糖水，做到基本满足教职工人员需求。</w:t>
      </w:r>
    </w:p>
    <w:p w14:paraId="108BFAB0">
      <w:pPr>
        <w:ind w:firstLine="480" w:firstLineChars="200"/>
        <w:jc w:val="left"/>
        <w:rPr>
          <w:rFonts w:hint="eastAsia" w:ascii="宋体" w:hAnsi="宋体" w:eastAsia="Times New Roman" w:cs="宋体"/>
          <w:b w:val="0"/>
          <w:bCs w:val="0"/>
          <w:lang w:val="en-US" w:eastAsia="zh-CN" w:bidi="ar"/>
        </w:rPr>
      </w:pPr>
      <w:r>
        <w:rPr>
          <w:rFonts w:hint="eastAsia" w:ascii="宋体" w:hAnsi="宋体" w:eastAsia="Times New Roman" w:cs="宋体"/>
          <w:b w:val="0"/>
          <w:bCs w:val="0"/>
          <w:lang w:val="en-US" w:eastAsia="zh-CN" w:bidi="ar"/>
        </w:rPr>
        <w:t>(2)就餐时间：</w:t>
      </w:r>
    </w:p>
    <w:p w14:paraId="4E15BD33">
      <w:pPr>
        <w:ind w:firstLine="480" w:firstLineChars="200"/>
        <w:jc w:val="left"/>
        <w:rPr>
          <w:rFonts w:hint="eastAsia" w:ascii="宋体" w:hAnsi="宋体" w:eastAsia="Times New Roman" w:cs="宋体"/>
          <w:b w:val="0"/>
          <w:bCs w:val="0"/>
          <w:lang w:val="en-US" w:eastAsia="zh-CN" w:bidi="ar"/>
        </w:rPr>
      </w:pPr>
      <w:r>
        <w:rPr>
          <w:rFonts w:hint="eastAsia" w:ascii="宋体" w:hAnsi="宋体" w:eastAsia="Times New Roman" w:cs="宋体"/>
          <w:b w:val="0"/>
          <w:bCs w:val="0"/>
          <w:lang w:val="en-US" w:eastAsia="zh-CN" w:bidi="ar"/>
        </w:rPr>
        <w:t>早餐：7：00-8：00；中餐：11：20-12：50；晚餐：18：00-19：00。</w:t>
      </w:r>
    </w:p>
    <w:p w14:paraId="522465AB">
      <w:pPr>
        <w:ind w:firstLine="480" w:firstLineChars="200"/>
        <w:jc w:val="left"/>
        <w:rPr>
          <w:rFonts w:hint="eastAsia" w:ascii="宋体" w:hAnsi="宋体" w:eastAsia="Times New Roman" w:cs="宋体"/>
          <w:b w:val="0"/>
          <w:bCs w:val="0"/>
          <w:lang w:val="en-US" w:eastAsia="zh-CN" w:bidi="ar"/>
        </w:rPr>
      </w:pPr>
      <w:r>
        <w:rPr>
          <w:rFonts w:hint="eastAsia" w:ascii="宋体" w:hAnsi="宋体" w:eastAsia="Times New Roman" w:cs="宋体"/>
          <w:b w:val="0"/>
          <w:bCs w:val="0"/>
          <w:lang w:val="en-US" w:eastAsia="zh-CN" w:bidi="ar"/>
        </w:rPr>
        <w:t>如遇特殊情况需进行特别保障的(如节假日供餐、提前或延后开饭等有关情形)，中标方需无条件执行保障任务。中标方应按规定时间准时开餐，每餐所供应食品在开餐前15分钟布置完毕，如变更或其他情况，不能准时开餐，中标方应提前通知采购方，并留有充分时间做出补救。合理安排就餐人数，做好用餐人员分流工作，保持供餐器皿内食品在一半以上，不可出现用餐人员等候拥挤混乱现象。当招标方增加或减少餐费标准时，中标方应在招标方指定的时间内对饭菜做出调整，调整前必须提前制定出方案，经招标方审核、确认、批准后方可实施。</w:t>
      </w:r>
    </w:p>
    <w:p w14:paraId="231BBE29">
      <w:pPr>
        <w:ind w:firstLine="480" w:firstLineChars="200"/>
        <w:jc w:val="left"/>
        <w:rPr>
          <w:rFonts w:hint="eastAsia" w:ascii="宋体" w:hAnsi="宋体" w:eastAsia="Times New Roman" w:cs="宋体"/>
          <w:b/>
          <w:bCs/>
          <w:lang w:val="en-US" w:eastAsia="zh-CN" w:bidi="ar"/>
        </w:rPr>
      </w:pPr>
    </w:p>
    <w:p w14:paraId="523A6BA5">
      <w:pPr>
        <w:ind w:firstLine="480" w:firstLineChars="200"/>
        <w:jc w:val="left"/>
        <w:rPr>
          <w:rFonts w:hint="eastAsia" w:ascii="宋体" w:hAnsi="宋体" w:eastAsia="宋体" w:cs="宋体"/>
          <w:b/>
          <w:bCs/>
          <w:sz w:val="24"/>
          <w:szCs w:val="24"/>
          <w:highlight w:val="none"/>
        </w:rPr>
      </w:pPr>
      <w:r>
        <w:rPr>
          <w:rFonts w:hint="eastAsia" w:ascii="宋体" w:hAnsi="宋体" w:eastAsia="Times New Roman" w:cs="宋体"/>
          <w:b/>
          <w:bCs/>
          <w:lang w:val="en-US" w:eastAsia="zh-CN" w:bidi="ar"/>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）项目人员要求</w:t>
      </w:r>
    </w:p>
    <w:p w14:paraId="4347F015">
      <w:pPr>
        <w:tabs>
          <w:tab w:val="left" w:pos="765"/>
        </w:tabs>
        <w:spacing w:line="24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1、项目负责人</w:t>
      </w:r>
    </w:p>
    <w:p w14:paraId="120829AE">
      <w:pPr>
        <w:tabs>
          <w:tab w:val="left" w:pos="765"/>
        </w:tabs>
        <w:spacing w:line="24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厨师主管1人：负责菜品质量控制、卫生管理、日常员工餐制作监管等。有5年以上餐饮行业管理工作经验，熟悉大锅菜和小锅菜制作，工作责任心强，具有高度的自觉性和服务意识，有不同菜系烹饪特长，以粤菜和客家菜为主，其他菜式为辅。</w:t>
      </w:r>
    </w:p>
    <w:p w14:paraId="41378457">
      <w:pPr>
        <w:tabs>
          <w:tab w:val="left" w:pos="765"/>
        </w:tabs>
        <w:spacing w:line="24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2、项目团队成员</w:t>
      </w:r>
    </w:p>
    <w:p w14:paraId="5B8F0DAA">
      <w:pPr>
        <w:tabs>
          <w:tab w:val="left" w:pos="765"/>
        </w:tabs>
        <w:spacing w:line="24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面点师1人：负责日常工作餐制作，主要包括拟定菜谱、菜肴制作、卫生、配餐服务等工作。5年以上本岗位工作经验，熟悉大锅菜和小锅菜制作，工作责任心强，具有高度的自觉性和服务意识，有不同菜系烹饪特长，以粤菜和客家菜为主，其他菜式为辅。</w:t>
      </w:r>
    </w:p>
    <w:p w14:paraId="0CC18EC2">
      <w:pPr>
        <w:tabs>
          <w:tab w:val="left" w:pos="765"/>
        </w:tabs>
        <w:spacing w:line="24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(2)切配1人：负责原材料清洗、分拣。初中以上学历，2年以上本岗位工作经验，形象气质佳，具有高度的服务意识和责任心、自觉性。</w:t>
      </w:r>
    </w:p>
    <w:p w14:paraId="03F68A23">
      <w:pPr>
        <w:tabs>
          <w:tab w:val="left" w:pos="765"/>
        </w:tabs>
        <w:spacing w:line="24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(3)洗消2人：餐具用品清洁保养及协助厨房其他工作。初中以上学历，2年以上本岗位工作经验，形象气质佳，具有高度的服务意识和责任心、自觉性。</w:t>
      </w:r>
    </w:p>
    <w:p w14:paraId="42A776BD">
      <w:pPr>
        <w:tabs>
          <w:tab w:val="left" w:pos="765"/>
        </w:tabs>
        <w:spacing w:line="360" w:lineRule="auto"/>
        <w:ind w:firstLine="482" w:firstLineChars="200"/>
        <w:rPr>
          <w:rFonts w:hint="eastAsia" w:ascii="宋体" w:hAnsi="宋体" w:eastAsia="宋体" w:cs="宋体"/>
          <w:b/>
          <w:bCs/>
          <w:sz w:val="24"/>
          <w:szCs w:val="24"/>
          <w:highlight w:val="none"/>
        </w:rPr>
      </w:pPr>
    </w:p>
    <w:p w14:paraId="0D722138">
      <w:pPr>
        <w:tabs>
          <w:tab w:val="left" w:pos="765"/>
        </w:tabs>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）项目成果</w:t>
      </w:r>
    </w:p>
    <w:p w14:paraId="164F2E08">
      <w:pPr>
        <w:numPr>
          <w:ilvl w:val="0"/>
          <w:numId w:val="0"/>
        </w:numPr>
        <w:spacing w:line="240" w:lineRule="auto"/>
        <w:jc w:val="left"/>
        <w:rPr>
          <w:rFonts w:hint="eastAsia" w:ascii="宋体" w:hAnsi="宋体" w:cs="宋体"/>
          <w:lang w:val="en-US" w:eastAsia="zh-CN" w:bidi="ar"/>
        </w:rPr>
      </w:pPr>
      <w:r>
        <w:rPr>
          <w:rFonts w:hint="eastAsia" w:ascii="宋体" w:hAnsi="宋体" w:cs="宋体"/>
          <w:lang w:val="en-US" w:eastAsia="zh-CN" w:bidi="ar"/>
        </w:rPr>
        <w:t xml:space="preserve">    1、项目成果内容。</w:t>
      </w:r>
    </w:p>
    <w:p w14:paraId="0F80FDC7">
      <w:pPr>
        <w:numPr>
          <w:ilvl w:val="0"/>
          <w:numId w:val="0"/>
        </w:numPr>
        <w:spacing w:line="240" w:lineRule="auto"/>
        <w:ind w:left="0" w:leftChars="0" w:firstLine="480" w:firstLineChars="200"/>
        <w:jc w:val="left"/>
        <w:rPr>
          <w:rFonts w:hint="eastAsia" w:ascii="宋体" w:hAnsi="宋体" w:cs="宋体"/>
          <w:lang w:val="en-US" w:eastAsia="zh-CN" w:bidi="ar"/>
        </w:rPr>
      </w:pPr>
      <w:r>
        <w:rPr>
          <w:rFonts w:hint="eastAsia" w:ascii="宋体" w:hAnsi="宋体" w:cs="宋体"/>
          <w:lang w:val="en-US" w:eastAsia="zh-CN" w:bidi="ar"/>
        </w:rPr>
        <w:t>(1)严格执行《中华人民共和国食品安全法》，遵守卫生法规，严格做好厨房食品卫生及食品安全工作，有专业的高级食品安全员定期为相关从业人员培训相关食品安全操作及制度。工作人员严格按安全生产规定、要求、服务工作程序做好食堂早、中、晚餐饮服务工作，按计划公布每周就餐计划及菜式菜款，制定完善有效的食堂就餐及服务计划，服务规范，程序完善。根据气候条件和需求，定期煲煮凉茶、糖水、御寒姜汤。根据节日需求，如元宵节、端午节冬至等，提供汤圆、粽子、饺子等。</w:t>
      </w:r>
    </w:p>
    <w:p w14:paraId="2714D137">
      <w:pPr>
        <w:numPr>
          <w:ilvl w:val="0"/>
          <w:numId w:val="0"/>
        </w:numPr>
        <w:spacing w:line="240" w:lineRule="auto"/>
        <w:ind w:left="0" w:leftChars="0" w:firstLine="480" w:firstLineChars="200"/>
        <w:jc w:val="left"/>
        <w:rPr>
          <w:rFonts w:hint="eastAsia" w:ascii="宋体" w:hAnsi="宋体" w:cs="宋体"/>
          <w:lang w:val="en-US" w:eastAsia="zh-CN" w:bidi="ar"/>
        </w:rPr>
      </w:pPr>
      <w:r>
        <w:rPr>
          <w:rFonts w:hint="eastAsia" w:ascii="宋体" w:hAnsi="宋体" w:cs="宋体"/>
          <w:lang w:val="en-US" w:eastAsia="zh-CN" w:bidi="ar"/>
        </w:rPr>
        <w:t>(2)加工烹饪食品菜肴要精心制作，保证口味和质量做到饭热菜香。食材卫生：所有入仓食材均需安排专人检验，并按5S标准标识摆放，杜绝三无产品入库。厨房作业区分区明确，标注明晰，物品归类有序；生食物和熟食物的盛用容器、刀具等严格区分，不得混用。厨房每餐后台面地面要及时擦扫干净，刀具、机械用具、盛用器皿等用后热水洗净，擦干保存。厨房排水保持畅通，污水及时倒入污水池，不积存脏水污物，厨房地面、墙壁无污物。</w:t>
      </w:r>
    </w:p>
    <w:p w14:paraId="1F064A4F">
      <w:pPr>
        <w:numPr>
          <w:ilvl w:val="0"/>
          <w:numId w:val="0"/>
        </w:numPr>
        <w:spacing w:line="240" w:lineRule="auto"/>
        <w:ind w:left="0" w:leftChars="0" w:firstLine="480" w:firstLineChars="200"/>
        <w:jc w:val="left"/>
        <w:rPr>
          <w:rFonts w:hint="eastAsia" w:ascii="宋体" w:hAnsi="宋体" w:cs="宋体"/>
          <w:lang w:val="en-US" w:eastAsia="zh-CN" w:bidi="ar"/>
        </w:rPr>
      </w:pPr>
      <w:r>
        <w:rPr>
          <w:rFonts w:hint="eastAsia" w:ascii="宋体" w:hAnsi="宋体" w:cs="宋体"/>
          <w:lang w:val="en-US" w:eastAsia="zh-CN" w:bidi="ar"/>
        </w:rPr>
        <w:t>(3)按照节能指标考核要求，落实水、电、煤气等能耗管理，并制定和落实相关节能措施；坚持每月物资清点登记制度，做好设备财产和物资管理，无财产及物资外流、人为损坏和偷盗等现象发生。</w:t>
      </w:r>
    </w:p>
    <w:p w14:paraId="7F3DE143">
      <w:pPr>
        <w:numPr>
          <w:ilvl w:val="0"/>
          <w:numId w:val="0"/>
        </w:numPr>
        <w:spacing w:line="240" w:lineRule="auto"/>
        <w:ind w:left="0" w:leftChars="0" w:firstLine="480" w:firstLineChars="200"/>
        <w:jc w:val="left"/>
        <w:rPr>
          <w:rFonts w:hint="eastAsia" w:ascii="宋体" w:hAnsi="宋体" w:cs="宋体"/>
          <w:lang w:val="en-US" w:eastAsia="zh-CN" w:bidi="ar"/>
        </w:rPr>
      </w:pPr>
      <w:r>
        <w:rPr>
          <w:rFonts w:hint="eastAsia" w:ascii="宋体" w:hAnsi="宋体" w:cs="宋体"/>
          <w:lang w:val="en-US" w:eastAsia="zh-CN" w:bidi="ar"/>
        </w:rPr>
        <w:t>(4)人员卫生：所有人员都必须经过卫生食品常识培训,考核、彻底去除个人不良卫生习惯，确保食品在加工过程中因个人卫生不洁，间接污染食品，工作人员进入厨房作业区必须穿着统一的工作服装，工作服保持整洁干净，禁止穿工作服离开厨房、食堂或做与制作饭菜无关的工作；工作人员做好个人卫生，不留长指甲、涂指甲油、接触直接入口食品前双手应进行消毒，工作前或工作中接触脏物后必须洗手，不得对着食物咳嗽、打喷嚏，不能用工作服擦鼻涕、擦汗、擦手或厨具等，不能随地吐痰；工作人员穿着工作服，工作服保持整洁干净；工作人员搬送菜肴和餐具前必须洗手，成品分膳时必须配戴工帽、口罩、一次性手套。</w:t>
      </w:r>
    </w:p>
    <w:p w14:paraId="59DD5D25">
      <w:pPr>
        <w:numPr>
          <w:ilvl w:val="0"/>
          <w:numId w:val="0"/>
        </w:numPr>
        <w:spacing w:line="240" w:lineRule="auto"/>
        <w:ind w:left="0" w:leftChars="0" w:firstLine="480" w:firstLineChars="200"/>
        <w:jc w:val="left"/>
        <w:rPr>
          <w:rFonts w:hint="eastAsia" w:ascii="宋体" w:hAnsi="宋体" w:cs="宋体"/>
          <w:lang w:val="en-US" w:eastAsia="zh-CN" w:bidi="ar"/>
        </w:rPr>
      </w:pPr>
      <w:r>
        <w:rPr>
          <w:rFonts w:hint="eastAsia" w:ascii="宋体" w:hAnsi="宋体" w:cs="宋体"/>
          <w:lang w:val="en-US" w:eastAsia="zh-CN" w:bidi="ar"/>
        </w:rPr>
        <w:t>(5)食品加工制作：食品加工流程做到生进熟出一条龙，确保“四过关”(一洗、二刷、三冲、四消毒)；加工食品做到生与熟、成品与半成品、食品与杂物和药物、食品与天然冰隔离存放；生熟工用具、容器、冰箱要分开使用；食品原料新鲜，存放分类分架，离墙隔地，防尘防蝇；配菜与出菜盘专用，标志明显；刀具无锈，盖布洁净，正反标志清晰；使用公用餐、茶具及盛放直接入口食品的容器，采用物理或化学方法洗净、消毒，达到光、洁、涩、干，密闭存放；工用具保持清洁、定位存放，菜墩立式存放药品、苍蝇拍按规定位置存放；废弃物、垃圾及时清运、日产日清，盛放垃圾容器清洁、美观，定期消毒；操作间地面、墙壁、门窗、桌椅清洁无油污，无灰尘，无杂物，干净整齐个人物品集中摆放；每周定期对厨房所有厨具、设施进行大扫除及消毒，加工食品烧熟煮透隔夜隔顿或外购熟食品须重新加热，(公众餐厅一般杜绝使用隔顿食品)米饭温度保证在50℃以上，食用菜式的中心温度不低于60℃(使用专用食品温度计测量)。</w:t>
      </w:r>
    </w:p>
    <w:p w14:paraId="3EF0D58B">
      <w:pPr>
        <w:numPr>
          <w:ilvl w:val="0"/>
          <w:numId w:val="0"/>
        </w:numPr>
        <w:spacing w:line="240" w:lineRule="auto"/>
        <w:ind w:left="0" w:leftChars="0" w:firstLine="480" w:firstLineChars="200"/>
        <w:jc w:val="left"/>
        <w:rPr>
          <w:rFonts w:hint="eastAsia" w:ascii="宋体" w:hAnsi="宋体" w:cs="宋体"/>
          <w:lang w:val="en-US" w:eastAsia="zh-CN" w:bidi="ar"/>
        </w:rPr>
      </w:pPr>
      <w:r>
        <w:rPr>
          <w:rFonts w:hint="eastAsia" w:ascii="宋体" w:hAnsi="宋体" w:cs="宋体"/>
          <w:lang w:val="en-US" w:eastAsia="zh-CN" w:bidi="ar"/>
        </w:rPr>
        <w:t>(6)菜肴质量：全程控制菜肴主、辅料及制作过程安全卫生，无食物中毒或因食物引起的其他不良反应；所有当餐食用材料进行48小时留样制度。菜肴新鲜，色泽良好，无过期及腐烂变质的食物；菜肴口味好，咸淡适中，并保证饭菜热度，使用专业保温台进行保温工作；更新度：菜肴花色更新及时，一周内不出现2次以上完全相同品种菜肴，根据季节及工作需要调整就餐菜式，保证每月推出3款时令菜；控制油及其他调味品用量，菜肴品种齐全，营养搭配合理；根据就餐情况，及时更新添加菜肴，合理控制上菜节奏，杜绝浪费。</w:t>
      </w:r>
    </w:p>
    <w:p w14:paraId="3EA7A256">
      <w:pPr>
        <w:numPr>
          <w:ilvl w:val="0"/>
          <w:numId w:val="0"/>
        </w:numPr>
        <w:spacing w:line="240" w:lineRule="auto"/>
        <w:ind w:left="0" w:leftChars="0" w:firstLine="480" w:firstLineChars="200"/>
        <w:jc w:val="left"/>
        <w:rPr>
          <w:rFonts w:hint="eastAsia" w:ascii="宋体" w:hAnsi="宋体" w:cs="宋体"/>
          <w:lang w:val="en-US" w:eastAsia="zh-CN" w:bidi="ar"/>
        </w:rPr>
      </w:pPr>
      <w:r>
        <w:rPr>
          <w:rFonts w:hint="eastAsia" w:ascii="宋体" w:hAnsi="宋体" w:cs="宋体"/>
          <w:lang w:val="en-US" w:eastAsia="zh-CN" w:bidi="ar"/>
        </w:rPr>
        <w:t>(7)就餐区环境：餐厅餐桌椅摆放整齐、桌上物品摆放有序；餐厅地面、墙壁无污物；餐具整洁干净，摆放有序，每餐洗净后及时进行消毒，消毒、监测报告和消杀记录齐全。</w:t>
      </w:r>
    </w:p>
    <w:p w14:paraId="41D24750">
      <w:pPr>
        <w:numPr>
          <w:ilvl w:val="0"/>
          <w:numId w:val="0"/>
        </w:numPr>
        <w:spacing w:line="240" w:lineRule="auto"/>
        <w:ind w:left="0" w:leftChars="0" w:firstLine="480" w:firstLineChars="200"/>
        <w:jc w:val="left"/>
        <w:rPr>
          <w:rFonts w:hint="eastAsia" w:ascii="宋体" w:hAnsi="宋体" w:cs="宋体"/>
          <w:lang w:val="en-US" w:eastAsia="zh-CN" w:bidi="ar"/>
        </w:rPr>
      </w:pPr>
      <w:r>
        <w:rPr>
          <w:rFonts w:hint="eastAsia" w:ascii="宋体" w:hAnsi="宋体" w:cs="宋体"/>
          <w:lang w:val="en-US" w:eastAsia="zh-CN" w:bidi="ar"/>
        </w:rPr>
        <w:t>(8)就餐要求：教职工就餐期间，厨房工作人员要做好巡查，及时发现问题，及时清扫餐桌，及时补充就餐区各种饭菜、餐桌牙签、餐巾纸等，就餐介绍后及时清洁餐厅各项卫生，保持餐厅洁净；工作人员坚守岗位，按照分工做好本职工作，，文明礼貌，不粗言粗语和高声叫喊。积极主动，热情周到，细致入微。职工就餐过程中，坚持三勤服务，即“嘴勤、手勤、眼勤”，及时提供服务。</w:t>
      </w:r>
    </w:p>
    <w:p w14:paraId="0F0B82B2">
      <w:pPr>
        <w:numPr>
          <w:ilvl w:val="0"/>
          <w:numId w:val="0"/>
        </w:numPr>
        <w:spacing w:line="240" w:lineRule="auto"/>
        <w:ind w:left="0" w:leftChars="0" w:firstLine="480" w:firstLineChars="200"/>
        <w:jc w:val="left"/>
        <w:rPr>
          <w:rFonts w:hint="eastAsia" w:ascii="宋体" w:hAnsi="宋体" w:cs="宋体"/>
          <w:lang w:val="en-US" w:eastAsia="zh-CN" w:bidi="ar"/>
        </w:rPr>
      </w:pPr>
      <w:r>
        <w:rPr>
          <w:rFonts w:hint="eastAsia" w:ascii="宋体" w:hAnsi="宋体" w:cs="宋体"/>
          <w:lang w:val="en-US" w:eastAsia="zh-CN" w:bidi="ar"/>
        </w:rPr>
        <w:t>(9)关于中标人厨师团队的住宿问题，采购人免费提供1间宿舍。</w:t>
      </w:r>
    </w:p>
    <w:p w14:paraId="35A36D36">
      <w:pPr>
        <w:tabs>
          <w:tab w:val="left" w:pos="765"/>
        </w:tabs>
        <w:spacing w:line="360" w:lineRule="auto"/>
        <w:ind w:firstLine="482" w:firstLineChars="200"/>
        <w:rPr>
          <w:rFonts w:hint="eastAsia" w:ascii="宋体" w:hAnsi="宋体" w:eastAsia="宋体" w:cs="宋体"/>
          <w:b/>
          <w:bCs/>
          <w:sz w:val="24"/>
          <w:szCs w:val="24"/>
          <w:highlight w:val="none"/>
        </w:rPr>
      </w:pPr>
    </w:p>
    <w:p w14:paraId="02276857">
      <w:pPr>
        <w:tabs>
          <w:tab w:val="left" w:pos="765"/>
        </w:tabs>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）其他服务内容及要求</w:t>
      </w:r>
    </w:p>
    <w:p w14:paraId="0DAB5E36">
      <w:pPr>
        <w:keepNext w:val="0"/>
        <w:keepLines w:val="0"/>
        <w:pageBreakBefore w:val="0"/>
        <w:widowControl/>
        <w:kinsoku/>
        <w:wordWrap/>
        <w:overflowPunct/>
        <w:topLinePunct w:val="0"/>
        <w:autoSpaceDE/>
        <w:autoSpaceDN/>
        <w:bidi w:val="0"/>
        <w:adjustRightInd/>
        <w:snapToGrid/>
        <w:spacing w:line="240" w:lineRule="auto"/>
        <w:ind w:firstLine="512"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pacing w:val="8"/>
          <w:position w:val="8"/>
          <w:szCs w:val="21"/>
          <w:lang w:val="en-US" w:eastAsia="zh-CN"/>
        </w:rPr>
        <w:t>1、</w:t>
      </w:r>
      <w:r>
        <w:rPr>
          <w:rFonts w:hint="eastAsia" w:asciiTheme="majorEastAsia" w:hAnsiTheme="majorEastAsia" w:eastAsiaTheme="majorEastAsia" w:cstheme="majorEastAsia"/>
          <w:spacing w:val="8"/>
          <w:position w:val="8"/>
          <w:szCs w:val="21"/>
        </w:rPr>
        <w:t>中标方每周五前出下周菜单给校方审核，通过后并公示在学校食堂菜单</w:t>
      </w:r>
      <w:r>
        <w:rPr>
          <w:rFonts w:hint="eastAsia" w:asciiTheme="majorEastAsia" w:hAnsiTheme="majorEastAsia" w:eastAsiaTheme="majorEastAsia" w:cstheme="majorEastAsia"/>
          <w:spacing w:val="8"/>
          <w:position w:val="8"/>
          <w:szCs w:val="21"/>
          <w:lang w:val="en-US" w:eastAsia="zh-CN"/>
        </w:rPr>
        <w:t>公示</w:t>
      </w:r>
      <w:r>
        <w:rPr>
          <w:rFonts w:hint="eastAsia" w:asciiTheme="majorEastAsia" w:hAnsiTheme="majorEastAsia" w:eastAsiaTheme="majorEastAsia" w:cstheme="majorEastAsia"/>
          <w:spacing w:val="8"/>
          <w:position w:val="8"/>
          <w:szCs w:val="21"/>
        </w:rPr>
        <w:t>处。</w:t>
      </w:r>
    </w:p>
    <w:p w14:paraId="0249F3B8">
      <w:pPr>
        <w:keepNext w:val="0"/>
        <w:keepLines w:val="0"/>
        <w:pageBreakBefore w:val="0"/>
        <w:widowControl/>
        <w:kinsoku/>
        <w:wordWrap/>
        <w:overflowPunct/>
        <w:topLinePunct w:val="0"/>
        <w:autoSpaceDE/>
        <w:autoSpaceDN/>
        <w:bidi w:val="0"/>
        <w:adjustRightInd/>
        <w:snapToGrid/>
        <w:spacing w:line="240" w:lineRule="auto"/>
        <w:ind w:firstLine="512"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pacing w:val="8"/>
          <w:szCs w:val="21"/>
          <w:lang w:val="en-US" w:eastAsia="zh-CN"/>
        </w:rPr>
        <w:t>2、</w:t>
      </w:r>
      <w:r>
        <w:rPr>
          <w:rFonts w:hint="eastAsia" w:asciiTheme="majorEastAsia" w:hAnsiTheme="majorEastAsia" w:eastAsiaTheme="majorEastAsia" w:cstheme="majorEastAsia"/>
          <w:spacing w:val="8"/>
          <w:szCs w:val="21"/>
        </w:rPr>
        <w:t>中标方不得将服务项目非法分包或转包</w:t>
      </w:r>
      <w:r>
        <w:rPr>
          <w:rFonts w:hint="eastAsia" w:asciiTheme="majorEastAsia" w:hAnsiTheme="majorEastAsia" w:eastAsiaTheme="majorEastAsia" w:cstheme="majorEastAsia"/>
          <w:spacing w:val="7"/>
          <w:szCs w:val="21"/>
        </w:rPr>
        <w:t>给任何单位和个人。</w:t>
      </w:r>
    </w:p>
    <w:p w14:paraId="6A1792DD">
      <w:pPr>
        <w:keepNext w:val="0"/>
        <w:keepLines w:val="0"/>
        <w:pageBreakBefore w:val="0"/>
        <w:widowControl/>
        <w:kinsoku/>
        <w:wordWrap/>
        <w:overflowPunct/>
        <w:topLinePunct w:val="0"/>
        <w:autoSpaceDE/>
        <w:autoSpaceDN/>
        <w:bidi w:val="0"/>
        <w:adjustRightInd/>
        <w:snapToGrid/>
        <w:spacing w:line="240" w:lineRule="auto"/>
        <w:ind w:firstLine="516"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pacing w:val="9"/>
          <w:szCs w:val="21"/>
          <w:lang w:val="en-US" w:eastAsia="zh-CN"/>
        </w:rPr>
        <w:t>3、</w:t>
      </w:r>
      <w:r>
        <w:rPr>
          <w:rFonts w:hint="eastAsia" w:asciiTheme="majorEastAsia" w:hAnsiTheme="majorEastAsia" w:eastAsiaTheme="majorEastAsia" w:cstheme="majorEastAsia"/>
          <w:spacing w:val="9"/>
          <w:szCs w:val="21"/>
        </w:rPr>
        <w:t>如因中标方团队工作人员操作不当，出现任何安全事故，中标方</w:t>
      </w:r>
      <w:r>
        <w:rPr>
          <w:rFonts w:hint="eastAsia" w:asciiTheme="majorEastAsia" w:hAnsiTheme="majorEastAsia" w:eastAsiaTheme="majorEastAsia" w:cstheme="majorEastAsia"/>
          <w:spacing w:val="8"/>
          <w:szCs w:val="21"/>
        </w:rPr>
        <w:t>自行负责，如因</w:t>
      </w:r>
      <w:r>
        <w:rPr>
          <w:rFonts w:hint="eastAsia" w:asciiTheme="majorEastAsia" w:hAnsiTheme="majorEastAsia" w:eastAsiaTheme="majorEastAsia" w:cstheme="majorEastAsia"/>
          <w:spacing w:val="9"/>
          <w:szCs w:val="21"/>
        </w:rPr>
        <w:t>此给采购方造成损失的，中标方需承担全部责任。</w:t>
      </w:r>
    </w:p>
    <w:p w14:paraId="256A0AE5">
      <w:pPr>
        <w:keepNext w:val="0"/>
        <w:keepLines w:val="0"/>
        <w:pageBreakBefore w:val="0"/>
        <w:widowControl/>
        <w:kinsoku/>
        <w:wordWrap/>
        <w:overflowPunct/>
        <w:topLinePunct w:val="0"/>
        <w:autoSpaceDE/>
        <w:autoSpaceDN/>
        <w:bidi w:val="0"/>
        <w:adjustRightInd/>
        <w:snapToGrid/>
        <w:spacing w:line="240" w:lineRule="auto"/>
        <w:ind w:firstLine="540"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pacing w:val="15"/>
          <w:szCs w:val="21"/>
          <w:lang w:val="en-US" w:eastAsia="zh-CN"/>
        </w:rPr>
        <w:t>4、</w:t>
      </w:r>
      <w:r>
        <w:rPr>
          <w:rFonts w:hint="eastAsia" w:asciiTheme="majorEastAsia" w:hAnsiTheme="majorEastAsia" w:eastAsiaTheme="majorEastAsia" w:cstheme="majorEastAsia"/>
          <w:spacing w:val="15"/>
          <w:szCs w:val="21"/>
        </w:rPr>
        <w:t>因中标方团队工作人员加工过程操作不当而导致采购方用</w:t>
      </w:r>
      <w:r>
        <w:rPr>
          <w:rFonts w:hint="eastAsia" w:asciiTheme="majorEastAsia" w:hAnsiTheme="majorEastAsia" w:eastAsiaTheme="majorEastAsia" w:cstheme="majorEastAsia"/>
          <w:spacing w:val="14"/>
          <w:szCs w:val="21"/>
        </w:rPr>
        <w:t>餐职工食物中毒(依据用</w:t>
      </w:r>
      <w:r>
        <w:rPr>
          <w:rFonts w:hint="eastAsia" w:asciiTheme="majorEastAsia" w:hAnsiTheme="majorEastAsia" w:eastAsiaTheme="majorEastAsia" w:cstheme="majorEastAsia"/>
          <w:spacing w:val="9"/>
          <w:szCs w:val="21"/>
        </w:rPr>
        <w:t>餐留样检测且经相应权威部门确认)，由中标</w:t>
      </w:r>
      <w:r>
        <w:rPr>
          <w:rFonts w:hint="eastAsia" w:asciiTheme="majorEastAsia" w:hAnsiTheme="majorEastAsia" w:eastAsiaTheme="majorEastAsia" w:cstheme="majorEastAsia"/>
          <w:spacing w:val="8"/>
          <w:szCs w:val="21"/>
        </w:rPr>
        <w:t>方负责由此引起的相关经济及法律责任。</w:t>
      </w:r>
    </w:p>
    <w:p w14:paraId="54424AE3">
      <w:pPr>
        <w:tabs>
          <w:tab w:val="left" w:pos="765"/>
        </w:tabs>
        <w:spacing w:line="360" w:lineRule="auto"/>
        <w:ind w:firstLine="482" w:firstLineChars="200"/>
        <w:rPr>
          <w:rFonts w:hint="eastAsia" w:ascii="宋体" w:hAnsi="宋体" w:eastAsia="宋体" w:cs="宋体"/>
          <w:b/>
          <w:bCs/>
          <w:sz w:val="24"/>
          <w:szCs w:val="24"/>
          <w:highlight w:val="none"/>
        </w:rPr>
      </w:pPr>
    </w:p>
    <w:p w14:paraId="07013597">
      <w:pPr>
        <w:pStyle w:val="4"/>
        <w:keepNext/>
        <w:keepLines/>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lang w:val="en-US" w:eastAsia="zh-CN" w:bidi="ar-SA"/>
        </w:rPr>
        <w:t>五、</w:t>
      </w:r>
      <w:r>
        <w:rPr>
          <w:rFonts w:hint="eastAsia" w:ascii="宋体" w:hAnsi="宋体" w:eastAsia="宋体" w:cs="宋体"/>
          <w:b/>
          <w:bCs/>
          <w:color w:val="auto"/>
          <w:kern w:val="2"/>
          <w:sz w:val="28"/>
          <w:szCs w:val="28"/>
          <w:highlight w:val="none"/>
          <w:lang w:val="en-US" w:eastAsia="zh-CN" w:bidi="ar-SA"/>
        </w:rPr>
        <w:t>商务要求</w:t>
      </w:r>
    </w:p>
    <w:p w14:paraId="2930F76B">
      <w:pPr>
        <w:pStyle w:val="36"/>
        <w:numPr>
          <w:ilvl w:val="0"/>
          <w:numId w:val="12"/>
        </w:numPr>
        <w:adjustRightInd w:val="0"/>
        <w:snapToGrid w:val="0"/>
        <w:spacing w:line="360" w:lineRule="auto"/>
        <w:ind w:left="1045" w:leftChars="0" w:firstLineChars="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b/>
          <w:sz w:val="24"/>
          <w:szCs w:val="24"/>
          <w:highlight w:val="none"/>
        </w:rPr>
        <w:t>服务期限</w:t>
      </w:r>
      <w:r>
        <w:rPr>
          <w:rFonts w:hint="eastAsia" w:ascii="宋体" w:hAnsi="宋体" w:eastAsia="宋体" w:cs="宋体"/>
          <w:sz w:val="24"/>
          <w:szCs w:val="24"/>
          <w:highlight w:val="none"/>
        </w:rPr>
        <w:t>：</w:t>
      </w:r>
    </w:p>
    <w:p w14:paraId="18565C70">
      <w:pPr>
        <w:tabs>
          <w:tab w:val="left" w:pos="76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自签订合同之日起至一年。履约评价等级为优或满意的合同可续签不超过2次，每次不超过12个月。续期的合同实质性内容不得改变。</w:t>
      </w:r>
    </w:p>
    <w:p w14:paraId="6B7A615E">
      <w:pPr>
        <w:pStyle w:val="36"/>
        <w:adjustRightInd w:val="0"/>
        <w:snapToGrid w:val="0"/>
        <w:spacing w:line="360" w:lineRule="auto"/>
        <w:ind w:firstLine="361" w:firstLineChars="150"/>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r>
        <w:rPr>
          <w:rFonts w:hint="eastAsia" w:ascii="宋体" w:hAnsi="宋体" w:eastAsia="宋体" w:cs="宋体"/>
          <w:kern w:val="0"/>
          <w:sz w:val="24"/>
          <w:szCs w:val="24"/>
          <w:highlight w:val="none"/>
        </w:rPr>
        <w:t>★</w:t>
      </w:r>
      <w:r>
        <w:rPr>
          <w:rFonts w:hint="eastAsia" w:ascii="宋体" w:hAnsi="宋体" w:eastAsia="宋体" w:cs="宋体"/>
          <w:b/>
          <w:sz w:val="24"/>
          <w:szCs w:val="24"/>
          <w:highlight w:val="none"/>
        </w:rPr>
        <w:t>付款方式：</w:t>
      </w:r>
    </w:p>
    <w:p w14:paraId="344F7088">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420" w:firstLineChars="0"/>
        <w:jc w:val="left"/>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1、按月支付，每月服务完成后10天内，经采购人(可以委托协议的方式聘请第三方检测机构协助开展验收)验收合格后，采购人向中标供应商支付该月服务费用。</w:t>
      </w:r>
    </w:p>
    <w:p w14:paraId="0A5722B1">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420" w:firstLineChars="0"/>
        <w:jc w:val="left"/>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7BD69081">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3、人员安排根据学校要求结合学校实际需求，按照实际情况据实结算。</w:t>
      </w:r>
    </w:p>
    <w:p w14:paraId="7CF17060">
      <w:pPr>
        <w:pStyle w:val="4"/>
        <w:keepNext/>
        <w:keepLines/>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lang w:val="en-US" w:eastAsia="zh-CN" w:bidi="ar-SA"/>
        </w:rPr>
        <w:t>八、</w:t>
      </w:r>
      <w:r>
        <w:rPr>
          <w:rFonts w:hint="eastAsia" w:ascii="宋体" w:hAnsi="宋体" w:eastAsia="宋体" w:cs="宋体"/>
          <w:b/>
          <w:bCs/>
          <w:color w:val="auto"/>
          <w:kern w:val="2"/>
          <w:sz w:val="28"/>
          <w:szCs w:val="28"/>
          <w:highlight w:val="none"/>
          <w:lang w:val="en-US" w:eastAsia="zh-CN" w:bidi="ar-SA"/>
        </w:rPr>
        <w:t>投标报价要求</w:t>
      </w:r>
    </w:p>
    <w:p w14:paraId="47B1693B">
      <w:pPr>
        <w:pStyle w:val="7"/>
        <w:spacing w:before="78" w:beforeLines="25" w:after="78" w:afterLines="25" w:line="24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项目服务费采用包干制，应包括服务成本、法定税费和利润。由投标人根据采购文件所提供的资料自行测算投标报价；一经中选，投标报价总价作为中选单位与采购单位签定的合同金额，合同期限内不做调整；</w:t>
      </w:r>
    </w:p>
    <w:p w14:paraId="5E2E8606">
      <w:pPr>
        <w:pStyle w:val="7"/>
        <w:spacing w:before="78" w:beforeLines="25" w:after="78" w:afterLines="25" w:line="24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标小组应将其作为无效投标处理。若评审小组对是否须由投标人作出报价合理性说明，以及书面说明是否采纳等判断不一致的，按照“少数服从多数”的原则确定评审小组的意见。</w:t>
      </w:r>
    </w:p>
    <w:p w14:paraId="447B5CA3">
      <w:pPr>
        <w:pStyle w:val="7"/>
        <w:spacing w:before="78" w:beforeLines="25" w:after="78" w:afterLines="25" w:line="24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3、如果中选价低于财政预算限额的70%，该项目将被列为优先实施履约检查的项目。</w:t>
      </w:r>
    </w:p>
    <w:p w14:paraId="5005BD31">
      <w:pPr>
        <w:pStyle w:val="7"/>
        <w:spacing w:before="78" w:beforeLines="25" w:after="78" w:afterLines="25" w:line="24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4、投标人的投标报价不得超过财政预算限额，如设投标最高限价的，报价不得超过最高限价；</w:t>
      </w:r>
    </w:p>
    <w:p w14:paraId="77F2B891">
      <w:pPr>
        <w:pStyle w:val="7"/>
        <w:spacing w:before="78" w:beforeLines="25" w:after="78" w:afterLines="25" w:line="24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5、投标人的投标报价，应是本项目采购范围和采购文件及合同条款上所列的各项内容中所述的全部，不得以任何理由予以重复，并以投标人在中提出的综合单价或总价为依据；</w:t>
      </w:r>
    </w:p>
    <w:p w14:paraId="107BD36C">
      <w:pPr>
        <w:pStyle w:val="7"/>
        <w:spacing w:before="78" w:beforeLines="25" w:after="78" w:afterLines="25" w:line="24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除非龙华区教育系统通过修改采购文件予以更正，否则，投标人应毫无例外地按采购文件所列的清单中项目和数量填报综合单价和合价。投标人未填综合单价或合价的项目，视作该项费用已包括在其它有价款的综合单价或合价内；</w:t>
      </w:r>
    </w:p>
    <w:p w14:paraId="703F9AC4">
      <w:pPr>
        <w:pStyle w:val="7"/>
        <w:spacing w:before="78" w:beforeLines="25" w:after="78" w:afterLines="25" w:line="24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7、投标人应先到项目地点踏勘以充分了解项目的位置、情况、道路及任何其它足以影响投标报价的情况，任何因忽视或误解项目情况而导致的索赔或服务期限延长申请将不获批准；</w:t>
      </w:r>
    </w:p>
    <w:p w14:paraId="73D8207A">
      <w:pPr>
        <w:pStyle w:val="7"/>
        <w:spacing w:before="78" w:beforeLines="25" w:after="78" w:afterLines="25" w:line="24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14:paraId="40E92BD0">
      <w:pPr>
        <w:pStyle w:val="7"/>
        <w:spacing w:before="78" w:beforeLines="25" w:after="78" w:afterLines="25" w:line="360" w:lineRule="auto"/>
        <w:ind w:left="0" w:leftChars="0" w:firstLine="480" w:firstLineChars="200"/>
        <w:rPr>
          <w:rFonts w:hint="eastAsia" w:ascii="宋体" w:hAnsi="宋体" w:eastAsia="宋体" w:cs="宋体"/>
          <w:kern w:val="2"/>
          <w:sz w:val="24"/>
          <w:szCs w:val="24"/>
          <w:highlight w:val="none"/>
          <w:lang w:val="en-US" w:eastAsia="zh-CN" w:bidi="ar-SA"/>
        </w:rPr>
      </w:pPr>
    </w:p>
    <w:p w14:paraId="5025B71C">
      <w:pPr>
        <w:pStyle w:val="4"/>
        <w:keepNext/>
        <w:keepLines/>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lang w:val="en-US" w:eastAsia="zh-CN" w:bidi="ar-SA"/>
        </w:rPr>
        <w:t>九、</w:t>
      </w:r>
      <w:r>
        <w:rPr>
          <w:rFonts w:hint="eastAsia" w:ascii="宋体" w:hAnsi="宋体" w:eastAsia="宋体" w:cs="宋体"/>
          <w:b/>
          <w:bCs/>
          <w:color w:val="auto"/>
          <w:kern w:val="2"/>
          <w:sz w:val="28"/>
          <w:szCs w:val="28"/>
          <w:highlight w:val="none"/>
          <w:lang w:val="en-US" w:eastAsia="zh-CN" w:bidi="ar-SA"/>
        </w:rPr>
        <w:t>注意事项</w:t>
      </w:r>
    </w:p>
    <w:p w14:paraId="4CF3436E">
      <w:pPr>
        <w:spacing w:before="24" w:line="24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1、中标人不得将项目非法分包或转包给任何单位和个人。否则，采购单位有权即刻终止合同，并要求中标人赔偿相应损失。</w:t>
      </w:r>
    </w:p>
    <w:p w14:paraId="58C74405">
      <w:pPr>
        <w:spacing w:before="24" w:line="24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2、投标人使用的标准必须是国际公认或国家、或地方政府颁布的同等或更高的标准，如投标人使用的标准低于上述标准,评标小组将有权不予接受，投标人必须列表将明显的差异详细说明。</w:t>
      </w:r>
    </w:p>
    <w:p w14:paraId="1B7CBE72">
      <w:pPr>
        <w:spacing w:before="24" w:line="240" w:lineRule="auto"/>
        <w:ind w:left="428"/>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3、投标人须在质疑期内一次性提出针对同一采购程序环节的质疑。</w:t>
      </w:r>
    </w:p>
    <w:p w14:paraId="42D55DD0">
      <w:pPr>
        <w:spacing w:before="24" w:line="24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4、本项目按照深圳市龙华区教育局的相关采购规定执行，招标文件未明确的事项，参照政府采购有关法律法规执行。</w:t>
      </w:r>
    </w:p>
    <w:p w14:paraId="38D7C2BA">
      <w:pPr>
        <w:spacing w:line="240" w:lineRule="auto"/>
        <w:rPr>
          <w:rFonts w:hint="eastAsia" w:ascii="宋体" w:hAnsi="宋体" w:eastAsia="宋体" w:cs="宋体"/>
          <w:kern w:val="2"/>
          <w:sz w:val="24"/>
          <w:szCs w:val="24"/>
          <w:highlight w:val="none"/>
          <w:lang w:val="en-US" w:eastAsia="zh-CN" w:bidi="ar-SA"/>
        </w:rPr>
        <w:sectPr>
          <w:footerReference r:id="rId5" w:type="default"/>
          <w:pgSz w:w="11907" w:h="16840"/>
          <w:pgMar w:top="1431" w:right="1488" w:bottom="1156" w:left="1408" w:header="0" w:footer="993" w:gutter="0"/>
          <w:pgNumType w:fmt="decimal"/>
          <w:cols w:space="720" w:num="1"/>
        </w:sectPr>
      </w:pPr>
    </w:p>
    <w:p w14:paraId="7723C97F">
      <w:pPr>
        <w:pStyle w:val="3"/>
        <w:numPr>
          <w:ilvl w:val="0"/>
          <w:numId w:val="8"/>
        </w:numPr>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 xml:space="preserve"> 投标文件组成及格式</w:t>
      </w:r>
    </w:p>
    <w:p w14:paraId="746EB27F">
      <w:pPr>
        <w:rPr>
          <w:rFonts w:hint="eastAsia" w:ascii="宋体" w:hAnsi="宋体" w:eastAsia="宋体" w:cs="宋体"/>
          <w:highlight w:val="none"/>
        </w:rPr>
      </w:pPr>
    </w:p>
    <w:p w14:paraId="52DF4C59">
      <w:pPr>
        <w:rPr>
          <w:rFonts w:hint="eastAsia" w:ascii="宋体" w:hAnsi="宋体" w:eastAsia="宋体" w:cs="宋体"/>
          <w:highlight w:val="none"/>
        </w:rPr>
      </w:pPr>
      <w:r>
        <w:rPr>
          <w:rFonts w:hint="eastAsia" w:ascii="宋体" w:hAnsi="宋体" w:eastAsia="宋体" w:cs="宋体"/>
          <w:highlight w:val="none"/>
        </w:rPr>
        <w:t>投标文件组成：</w:t>
      </w:r>
    </w:p>
    <w:p w14:paraId="2231D29E">
      <w:pPr>
        <w:pStyle w:val="4"/>
        <w:rPr>
          <w:rFonts w:hint="eastAsia" w:ascii="宋体" w:hAnsi="宋体" w:eastAsia="宋体" w:cs="宋体"/>
          <w:highlight w:val="none"/>
        </w:rPr>
      </w:pPr>
      <w:r>
        <w:rPr>
          <w:rFonts w:hint="eastAsia" w:ascii="宋体" w:hAnsi="宋体" w:eastAsia="宋体" w:cs="宋体"/>
          <w:highlight w:val="none"/>
        </w:rPr>
        <w:t>一、投标文件</w:t>
      </w:r>
      <w:r>
        <w:rPr>
          <w:rFonts w:hint="eastAsia" w:cs="宋体"/>
          <w:highlight w:val="none"/>
          <w:lang w:val="en-US" w:eastAsia="zh-CN"/>
        </w:rPr>
        <w:t>正文</w:t>
      </w:r>
      <w:r>
        <w:rPr>
          <w:rFonts w:hint="eastAsia" w:ascii="宋体" w:hAnsi="宋体" w:eastAsia="宋体" w:cs="宋体"/>
          <w:highlight w:val="none"/>
        </w:rPr>
        <w:t>，主要包括以下内容：</w:t>
      </w:r>
    </w:p>
    <w:p w14:paraId="78D271CE">
      <w:pPr>
        <w:numPr>
          <w:ilvl w:val="0"/>
          <w:numId w:val="13"/>
        </w:numPr>
        <w:rPr>
          <w:rFonts w:hint="eastAsia" w:ascii="宋体" w:hAnsi="宋体" w:eastAsia="宋体" w:cs="宋体"/>
          <w:highlight w:val="none"/>
        </w:rPr>
      </w:pPr>
      <w:r>
        <w:rPr>
          <w:rFonts w:hint="eastAsia" w:ascii="宋体" w:hAnsi="宋体" w:eastAsia="宋体" w:cs="宋体"/>
          <w:highlight w:val="none"/>
        </w:rPr>
        <w:t>投标函</w:t>
      </w:r>
    </w:p>
    <w:p w14:paraId="53D9A659">
      <w:pPr>
        <w:numPr>
          <w:ilvl w:val="0"/>
          <w:numId w:val="13"/>
        </w:numPr>
        <w:rPr>
          <w:rFonts w:hint="eastAsia" w:ascii="宋体" w:hAnsi="宋体" w:eastAsia="宋体" w:cs="宋体"/>
          <w:highlight w:val="none"/>
        </w:rPr>
      </w:pPr>
      <w:r>
        <w:rPr>
          <w:rFonts w:hint="eastAsia" w:ascii="宋体" w:hAnsi="宋体" w:eastAsia="宋体" w:cs="宋体"/>
          <w:highlight w:val="none"/>
          <w:lang w:eastAsia="zh-CN"/>
        </w:rPr>
        <w:t>龙华区教育局自行采购投标及履约承诺函</w:t>
      </w:r>
    </w:p>
    <w:p w14:paraId="2F9FD6AA">
      <w:pPr>
        <w:numPr>
          <w:ilvl w:val="0"/>
          <w:numId w:val="13"/>
        </w:numPr>
        <w:rPr>
          <w:rFonts w:hint="eastAsia" w:ascii="宋体" w:hAnsi="宋体" w:eastAsia="宋体" w:cs="宋体"/>
          <w:highlight w:val="none"/>
        </w:rPr>
      </w:pPr>
      <w:r>
        <w:rPr>
          <w:rFonts w:hint="eastAsia" w:ascii="宋体" w:hAnsi="宋体" w:eastAsia="宋体" w:cs="宋体"/>
          <w:highlight w:val="none"/>
        </w:rPr>
        <w:t>投标人情况介绍及资格要求</w:t>
      </w:r>
    </w:p>
    <w:p w14:paraId="1A0280E0">
      <w:pPr>
        <w:numPr>
          <w:ilvl w:val="0"/>
          <w:numId w:val="13"/>
        </w:numPr>
        <w:rPr>
          <w:rFonts w:hint="eastAsia" w:ascii="宋体" w:hAnsi="宋体" w:eastAsia="宋体" w:cs="宋体"/>
          <w:highlight w:val="none"/>
        </w:rPr>
      </w:pPr>
      <w:r>
        <w:rPr>
          <w:rFonts w:hint="eastAsia" w:ascii="宋体" w:hAnsi="宋体" w:eastAsia="宋体" w:cs="宋体"/>
          <w:highlight w:val="none"/>
        </w:rPr>
        <w:t>项目详细报价</w:t>
      </w:r>
    </w:p>
    <w:p w14:paraId="5CCCC879">
      <w:pPr>
        <w:numPr>
          <w:ilvl w:val="0"/>
          <w:numId w:val="13"/>
        </w:numPr>
        <w:rPr>
          <w:rFonts w:hint="eastAsia" w:ascii="宋体" w:hAnsi="宋体" w:eastAsia="宋体" w:cs="宋体"/>
          <w:highlight w:val="none"/>
        </w:rPr>
      </w:pPr>
      <w:r>
        <w:rPr>
          <w:rFonts w:hint="eastAsia" w:ascii="宋体" w:hAnsi="宋体" w:eastAsia="宋体" w:cs="宋体"/>
          <w:highlight w:val="none"/>
        </w:rPr>
        <w:t>投标人通过相关认证情况</w:t>
      </w:r>
    </w:p>
    <w:p w14:paraId="27481C86">
      <w:pPr>
        <w:numPr>
          <w:ilvl w:val="0"/>
          <w:numId w:val="13"/>
        </w:numPr>
        <w:rPr>
          <w:rFonts w:hint="eastAsia" w:ascii="宋体" w:hAnsi="宋体" w:eastAsia="宋体" w:cs="宋体"/>
          <w:highlight w:val="none"/>
        </w:rPr>
      </w:pPr>
      <w:r>
        <w:rPr>
          <w:rFonts w:hint="eastAsia" w:ascii="宋体" w:hAnsi="宋体" w:eastAsia="宋体" w:cs="宋体"/>
          <w:highlight w:val="none"/>
        </w:rPr>
        <w:t>食品安全保险</w:t>
      </w:r>
    </w:p>
    <w:p w14:paraId="24B2B5CE">
      <w:pPr>
        <w:numPr>
          <w:ilvl w:val="0"/>
          <w:numId w:val="13"/>
        </w:numPr>
        <w:rPr>
          <w:rFonts w:hint="eastAsia" w:ascii="宋体" w:hAnsi="宋体" w:eastAsia="宋体" w:cs="宋体"/>
          <w:highlight w:val="none"/>
        </w:rPr>
      </w:pPr>
      <w:r>
        <w:rPr>
          <w:rFonts w:hint="eastAsia" w:ascii="宋体" w:hAnsi="宋体" w:eastAsia="宋体" w:cs="宋体"/>
          <w:highlight w:val="none"/>
        </w:rPr>
        <w:t>服务网点</w:t>
      </w:r>
    </w:p>
    <w:p w14:paraId="282DFBF9">
      <w:pPr>
        <w:numPr>
          <w:ilvl w:val="0"/>
          <w:numId w:val="13"/>
        </w:numPr>
        <w:rPr>
          <w:rFonts w:hint="eastAsia" w:ascii="宋体" w:hAnsi="宋体" w:eastAsia="宋体" w:cs="宋体"/>
          <w:highlight w:val="none"/>
        </w:rPr>
      </w:pPr>
      <w:r>
        <w:rPr>
          <w:rFonts w:hint="eastAsia" w:ascii="宋体" w:hAnsi="宋体" w:eastAsia="宋体" w:cs="宋体"/>
          <w:highlight w:val="none"/>
        </w:rPr>
        <w:t>同类项目业绩</w:t>
      </w:r>
    </w:p>
    <w:p w14:paraId="40EAF1C6">
      <w:pPr>
        <w:numPr>
          <w:ilvl w:val="0"/>
          <w:numId w:val="13"/>
        </w:numPr>
        <w:rPr>
          <w:rFonts w:hint="eastAsia" w:ascii="宋体" w:hAnsi="宋体" w:eastAsia="宋体" w:cs="宋体"/>
          <w:highlight w:val="none"/>
        </w:rPr>
      </w:pPr>
      <w:r>
        <w:rPr>
          <w:rFonts w:hint="eastAsia" w:ascii="宋体" w:hAnsi="宋体" w:eastAsia="宋体" w:cs="宋体"/>
          <w:highlight w:val="none"/>
        </w:rPr>
        <w:t>履约评价情况</w:t>
      </w:r>
    </w:p>
    <w:p w14:paraId="42E0D643">
      <w:pPr>
        <w:numPr>
          <w:ilvl w:val="0"/>
          <w:numId w:val="13"/>
        </w:numPr>
        <w:rPr>
          <w:rFonts w:hint="eastAsia" w:ascii="宋体" w:hAnsi="宋体" w:eastAsia="宋体" w:cs="宋体"/>
          <w:highlight w:val="none"/>
        </w:rPr>
      </w:pPr>
      <w:r>
        <w:rPr>
          <w:rFonts w:hint="eastAsia" w:ascii="宋体" w:hAnsi="宋体" w:eastAsia="宋体" w:cs="宋体"/>
          <w:highlight w:val="none"/>
        </w:rPr>
        <w:t>政府采购违法行为风险知悉确认书</w:t>
      </w:r>
    </w:p>
    <w:p w14:paraId="7A647918">
      <w:pPr>
        <w:numPr>
          <w:ilvl w:val="0"/>
          <w:numId w:val="13"/>
        </w:numPr>
        <w:rPr>
          <w:rFonts w:hint="eastAsia" w:ascii="宋体" w:hAnsi="宋体" w:eastAsia="宋体" w:cs="宋体"/>
          <w:highlight w:val="none"/>
        </w:rPr>
      </w:pPr>
      <w:r>
        <w:rPr>
          <w:rFonts w:hint="eastAsia" w:ascii="宋体" w:hAnsi="宋体" w:eastAsia="宋体" w:cs="宋体"/>
          <w:highlight w:val="none"/>
        </w:rPr>
        <w:t>诚信</w:t>
      </w:r>
      <w:r>
        <w:rPr>
          <w:rFonts w:hint="eastAsia" w:ascii="宋体" w:hAnsi="宋体" w:eastAsia="宋体" w:cs="宋体"/>
          <w:highlight w:val="none"/>
          <w:lang w:val="en-US" w:eastAsia="zh-CN"/>
        </w:rPr>
        <w:t>情况</w:t>
      </w:r>
    </w:p>
    <w:p w14:paraId="1258471D">
      <w:pPr>
        <w:numPr>
          <w:ilvl w:val="0"/>
          <w:numId w:val="13"/>
        </w:numPr>
        <w:rPr>
          <w:rFonts w:hint="eastAsia" w:ascii="宋体" w:hAnsi="宋体" w:eastAsia="宋体" w:cs="宋体"/>
          <w:highlight w:val="none"/>
        </w:rPr>
      </w:pPr>
      <w:r>
        <w:rPr>
          <w:rFonts w:hint="eastAsia" w:ascii="宋体" w:hAnsi="宋体" w:eastAsia="宋体" w:cs="宋体"/>
          <w:highlight w:val="none"/>
        </w:rPr>
        <w:t>投标人认为需要加以说明的其他内容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正文</w:t>
      </w:r>
      <w:r>
        <w:rPr>
          <w:rFonts w:hint="eastAsia" w:ascii="宋体" w:hAnsi="宋体" w:eastAsia="宋体" w:cs="宋体"/>
          <w:highlight w:val="none"/>
          <w:lang w:eastAsia="zh-CN"/>
        </w:rPr>
        <w:t>）</w:t>
      </w:r>
    </w:p>
    <w:p w14:paraId="04346BF2">
      <w:pPr>
        <w:pStyle w:val="4"/>
        <w:rPr>
          <w:rFonts w:hint="eastAsia" w:ascii="宋体" w:hAnsi="宋体" w:eastAsia="宋体" w:cs="宋体"/>
          <w:highlight w:val="none"/>
        </w:rPr>
      </w:pPr>
      <w:r>
        <w:rPr>
          <w:rFonts w:hint="eastAsia" w:ascii="宋体" w:hAnsi="宋体" w:eastAsia="宋体" w:cs="宋体"/>
          <w:highlight w:val="none"/>
        </w:rPr>
        <w:t>二、投标文件</w:t>
      </w:r>
      <w:r>
        <w:rPr>
          <w:rFonts w:hint="eastAsia" w:cs="宋体"/>
          <w:highlight w:val="none"/>
          <w:lang w:val="en-US" w:eastAsia="zh-CN"/>
        </w:rPr>
        <w:t>附件</w:t>
      </w:r>
      <w:r>
        <w:rPr>
          <w:rFonts w:hint="eastAsia" w:ascii="宋体" w:hAnsi="宋体" w:eastAsia="宋体" w:cs="宋体"/>
          <w:highlight w:val="none"/>
        </w:rPr>
        <w:t>：主要包括以下内容：</w:t>
      </w:r>
    </w:p>
    <w:p w14:paraId="3D7A1648">
      <w:pPr>
        <w:numPr>
          <w:ilvl w:val="0"/>
          <w:numId w:val="14"/>
        </w:numPr>
        <w:rPr>
          <w:rFonts w:hint="eastAsia" w:ascii="宋体" w:hAnsi="宋体" w:eastAsia="宋体" w:cs="宋体"/>
          <w:highlight w:val="none"/>
        </w:rPr>
      </w:pPr>
      <w:r>
        <w:rPr>
          <w:rFonts w:hint="eastAsia" w:ascii="宋体" w:hAnsi="宋体" w:eastAsia="宋体" w:cs="宋体"/>
          <w:highlight w:val="none"/>
        </w:rPr>
        <w:t>法定代表人证明书</w:t>
      </w:r>
    </w:p>
    <w:p w14:paraId="1C07DCF2">
      <w:pPr>
        <w:numPr>
          <w:ilvl w:val="0"/>
          <w:numId w:val="14"/>
        </w:numPr>
        <w:rPr>
          <w:rFonts w:hint="eastAsia" w:ascii="宋体" w:hAnsi="宋体" w:eastAsia="宋体" w:cs="宋体"/>
          <w:highlight w:val="none"/>
        </w:rPr>
      </w:pPr>
      <w:r>
        <w:rPr>
          <w:rFonts w:hint="eastAsia" w:ascii="宋体" w:hAnsi="宋体" w:eastAsia="宋体" w:cs="宋体"/>
          <w:highlight w:val="none"/>
        </w:rPr>
        <w:t>投标文件签署授权委托书</w:t>
      </w:r>
    </w:p>
    <w:p w14:paraId="66CD1608">
      <w:pPr>
        <w:numPr>
          <w:ilvl w:val="0"/>
          <w:numId w:val="14"/>
        </w:numPr>
        <w:rPr>
          <w:rFonts w:hint="eastAsia" w:ascii="宋体" w:hAnsi="宋体" w:eastAsia="宋体" w:cs="宋体"/>
          <w:highlight w:val="none"/>
        </w:rPr>
      </w:pPr>
      <w:r>
        <w:rPr>
          <w:rFonts w:hint="eastAsia" w:ascii="宋体" w:hAnsi="宋体" w:eastAsia="宋体" w:cs="宋体"/>
          <w:highlight w:val="none"/>
        </w:rPr>
        <w:t>实质性条款响应情况表</w:t>
      </w:r>
    </w:p>
    <w:p w14:paraId="3CA8DCD6">
      <w:pPr>
        <w:numPr>
          <w:ilvl w:val="0"/>
          <w:numId w:val="14"/>
        </w:numPr>
        <w:rPr>
          <w:rFonts w:hint="eastAsia" w:ascii="宋体" w:hAnsi="宋体" w:eastAsia="宋体" w:cs="宋体"/>
          <w:highlight w:val="none"/>
        </w:rPr>
      </w:pP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实施方案</w:t>
      </w:r>
    </w:p>
    <w:p w14:paraId="29294003">
      <w:pPr>
        <w:numPr>
          <w:ilvl w:val="0"/>
          <w:numId w:val="14"/>
        </w:numPr>
        <w:rPr>
          <w:rFonts w:hint="eastAsia" w:ascii="宋体" w:hAnsi="宋体" w:eastAsia="宋体" w:cs="宋体"/>
          <w:highlight w:val="none"/>
        </w:rPr>
      </w:pPr>
      <w:r>
        <w:rPr>
          <w:rFonts w:hint="eastAsia" w:ascii="宋体" w:hAnsi="宋体" w:eastAsia="宋体" w:cs="宋体"/>
          <w:sz w:val="24"/>
          <w:szCs w:val="24"/>
          <w:highlight w:val="none"/>
        </w:rPr>
        <w:t>项目重点难点分析、应对措施及相关的合理化建议</w:t>
      </w:r>
    </w:p>
    <w:p w14:paraId="6F580480">
      <w:pPr>
        <w:numPr>
          <w:ilvl w:val="0"/>
          <w:numId w:val="14"/>
        </w:numPr>
        <w:rPr>
          <w:rFonts w:hint="eastAsia" w:ascii="宋体" w:hAnsi="宋体" w:eastAsia="宋体" w:cs="宋体"/>
          <w:highlight w:val="none"/>
        </w:rPr>
      </w:pPr>
      <w:r>
        <w:rPr>
          <w:rFonts w:hint="eastAsia" w:ascii="宋体" w:hAnsi="宋体" w:eastAsia="宋体" w:cs="宋体"/>
          <w:sz w:val="24"/>
          <w:szCs w:val="24"/>
          <w:highlight w:val="none"/>
        </w:rPr>
        <w:t>质量（完成时间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安全、</w:t>
      </w:r>
      <w:r>
        <w:rPr>
          <w:rFonts w:hint="eastAsia" w:ascii="宋体" w:hAnsi="宋体" w:eastAsia="宋体" w:cs="宋体"/>
          <w:sz w:val="24"/>
          <w:szCs w:val="24"/>
          <w:highlight w:val="none"/>
          <w:lang w:val="en-US" w:eastAsia="zh-CN"/>
        </w:rPr>
        <w:t>环保</w:t>
      </w:r>
      <w:r>
        <w:rPr>
          <w:rFonts w:hint="eastAsia" w:ascii="宋体" w:hAnsi="宋体" w:eastAsia="宋体" w:cs="宋体"/>
          <w:sz w:val="24"/>
          <w:szCs w:val="24"/>
          <w:highlight w:val="none"/>
        </w:rPr>
        <w:t>）保障措施及方案</w:t>
      </w:r>
    </w:p>
    <w:p w14:paraId="72421143">
      <w:pPr>
        <w:numPr>
          <w:ilvl w:val="0"/>
          <w:numId w:val="14"/>
        </w:numPr>
        <w:rPr>
          <w:rFonts w:hint="eastAsia" w:ascii="宋体" w:hAnsi="宋体" w:eastAsia="宋体" w:cs="宋体"/>
          <w:highlight w:val="none"/>
        </w:rPr>
      </w:pPr>
      <w:r>
        <w:rPr>
          <w:rFonts w:hint="eastAsia" w:ascii="宋体" w:hAnsi="宋体" w:eastAsia="宋体" w:cs="宋体"/>
          <w:highlight w:val="none"/>
        </w:rPr>
        <w:t>项目完成（服务期满）后的服务承诺</w:t>
      </w:r>
    </w:p>
    <w:p w14:paraId="4DBB3DA9">
      <w:pPr>
        <w:numPr>
          <w:ilvl w:val="0"/>
          <w:numId w:val="14"/>
        </w:numPr>
        <w:rPr>
          <w:rFonts w:hint="eastAsia" w:ascii="宋体" w:hAnsi="宋体" w:eastAsia="宋体" w:cs="宋体"/>
          <w:highlight w:val="none"/>
        </w:rPr>
      </w:pPr>
      <w:r>
        <w:rPr>
          <w:rFonts w:hint="eastAsia" w:ascii="宋体" w:hAnsi="宋体" w:eastAsia="宋体" w:cs="宋体"/>
          <w:highlight w:val="none"/>
        </w:rPr>
        <w:t>违约承诺</w:t>
      </w:r>
    </w:p>
    <w:p w14:paraId="1CE8289B">
      <w:pPr>
        <w:numPr>
          <w:ilvl w:val="0"/>
          <w:numId w:val="14"/>
        </w:numPr>
        <w:rPr>
          <w:rFonts w:hint="eastAsia" w:ascii="宋体" w:hAnsi="宋体" w:eastAsia="宋体" w:cs="宋体"/>
          <w:highlight w:val="none"/>
        </w:rPr>
      </w:pPr>
      <w:r>
        <w:rPr>
          <w:rFonts w:hint="eastAsia" w:ascii="宋体" w:hAnsi="宋体" w:eastAsia="宋体" w:cs="宋体"/>
          <w:highlight w:val="none"/>
        </w:rPr>
        <w:t>拟安排项目负责人情况（仅限1人）</w:t>
      </w:r>
    </w:p>
    <w:p w14:paraId="3ABC6727">
      <w:pPr>
        <w:numPr>
          <w:ilvl w:val="0"/>
          <w:numId w:val="14"/>
        </w:numPr>
        <w:rPr>
          <w:rFonts w:hint="eastAsia" w:ascii="宋体" w:hAnsi="宋体" w:eastAsia="宋体" w:cs="宋体"/>
          <w:highlight w:val="none"/>
        </w:rPr>
      </w:pPr>
      <w:r>
        <w:rPr>
          <w:rFonts w:hint="eastAsia" w:ascii="宋体" w:hAnsi="宋体" w:eastAsia="宋体" w:cs="宋体"/>
          <w:highlight w:val="none"/>
        </w:rPr>
        <w:t>拟安排的项目团队成员（项目负责人除外）情况</w:t>
      </w:r>
    </w:p>
    <w:p w14:paraId="295ADF38">
      <w:pPr>
        <w:numPr>
          <w:ilvl w:val="0"/>
          <w:numId w:val="14"/>
        </w:numPr>
        <w:rPr>
          <w:rFonts w:hint="eastAsia" w:ascii="宋体" w:hAnsi="宋体" w:eastAsia="宋体" w:cs="宋体"/>
          <w:highlight w:val="none"/>
        </w:rPr>
      </w:pPr>
      <w:r>
        <w:rPr>
          <w:rFonts w:hint="eastAsia" w:ascii="宋体" w:hAnsi="宋体" w:eastAsia="宋体" w:cs="宋体"/>
          <w:highlight w:val="none"/>
        </w:rPr>
        <w:t>投标人认为需要加以说明的其他内容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附件</w:t>
      </w:r>
      <w:r>
        <w:rPr>
          <w:rFonts w:hint="eastAsia" w:ascii="宋体" w:hAnsi="宋体" w:eastAsia="宋体" w:cs="宋体"/>
          <w:highlight w:val="none"/>
          <w:lang w:eastAsia="zh-CN"/>
        </w:rPr>
        <w:t>）</w:t>
      </w:r>
    </w:p>
    <w:p w14:paraId="3609C469">
      <w:pPr>
        <w:rPr>
          <w:rFonts w:hint="eastAsia" w:ascii="宋体" w:hAnsi="宋体" w:eastAsia="宋体" w:cs="宋体"/>
          <w:highlight w:val="none"/>
        </w:rPr>
      </w:pPr>
    </w:p>
    <w:p w14:paraId="3AD44A4F">
      <w:pPr>
        <w:ind w:firstLine="487" w:firstLineChars="202"/>
        <w:rPr>
          <w:rFonts w:hint="eastAsia" w:ascii="宋体" w:hAnsi="宋体" w:eastAsia="宋体" w:cs="宋体"/>
          <w:b/>
          <w:highlight w:val="none"/>
        </w:rPr>
      </w:pPr>
      <w:r>
        <w:rPr>
          <w:rFonts w:hint="eastAsia" w:ascii="宋体" w:hAnsi="宋体" w:eastAsia="宋体" w:cs="宋体"/>
          <w:b/>
          <w:highlight w:val="none"/>
        </w:rPr>
        <w:t>备注：</w:t>
      </w:r>
    </w:p>
    <w:p w14:paraId="4DD5BF1F">
      <w:pPr>
        <w:ind w:firstLine="487" w:firstLineChars="202"/>
        <w:rPr>
          <w:rFonts w:hint="eastAsia" w:ascii="宋体" w:hAnsi="宋体" w:eastAsia="宋体" w:cs="宋体"/>
          <w:b/>
          <w:highlight w:val="none"/>
        </w:rPr>
      </w:pPr>
      <w:r>
        <w:rPr>
          <w:rFonts w:hint="eastAsia" w:ascii="宋体" w:hAnsi="宋体" w:eastAsia="宋体" w:cs="宋体"/>
          <w:b/>
          <w:highlight w:val="none"/>
        </w:rPr>
        <w:t>1.本项目为网上电子投标项目，投标文件不需法人或授权委托人另行签字，无需加盖单位公章，招标文件专用条款另有规定的除外。</w:t>
      </w:r>
    </w:p>
    <w:p w14:paraId="04092E70">
      <w:pPr>
        <w:ind w:firstLine="487" w:firstLineChars="202"/>
        <w:rPr>
          <w:rFonts w:hint="eastAsia" w:ascii="宋体" w:hAnsi="宋体" w:eastAsia="宋体" w:cs="宋体"/>
          <w:b/>
          <w:highlight w:val="none"/>
        </w:rPr>
      </w:pPr>
      <w:r>
        <w:rPr>
          <w:rFonts w:hint="eastAsia" w:ascii="宋体" w:hAnsi="宋体" w:eastAsia="宋体" w:cs="宋体"/>
          <w:b/>
          <w:highlight w:val="none"/>
        </w:rPr>
        <w:t>2.关于填写“开标一览表”的说明：“开标一览表”中除“投标总价”外，其他信息不作评审依据。</w:t>
      </w:r>
    </w:p>
    <w:p w14:paraId="0FB94A56">
      <w:pPr>
        <w:ind w:firstLine="487" w:firstLineChars="202"/>
        <w:rPr>
          <w:rFonts w:hint="eastAsia" w:ascii="宋体" w:hAnsi="宋体" w:eastAsia="宋体" w:cs="宋体"/>
          <w:b/>
          <w:highlight w:val="none"/>
        </w:rPr>
      </w:pPr>
    </w:p>
    <w:p w14:paraId="3367D591">
      <w:pPr>
        <w:rPr>
          <w:rFonts w:hint="eastAsia" w:ascii="宋体" w:hAnsi="宋体" w:eastAsia="宋体" w:cs="宋体"/>
          <w:b/>
          <w:color w:val="auto"/>
          <w:sz w:val="36"/>
          <w:szCs w:val="36"/>
          <w:highlight w:val="none"/>
        </w:rPr>
      </w:pPr>
      <w:r>
        <w:rPr>
          <w:rFonts w:hint="eastAsia" w:ascii="宋体" w:hAnsi="宋体" w:eastAsia="宋体" w:cs="宋体"/>
          <w:b/>
          <w:color w:val="FF0000"/>
          <w:sz w:val="36"/>
          <w:szCs w:val="36"/>
          <w:highlight w:val="none"/>
        </w:rPr>
        <w:br w:type="page"/>
      </w:r>
      <w:r>
        <w:rPr>
          <w:rFonts w:hint="eastAsia" w:ascii="宋体" w:hAnsi="宋体" w:eastAsia="宋体" w:cs="宋体"/>
          <w:b/>
          <w:color w:val="auto"/>
          <w:sz w:val="36"/>
          <w:szCs w:val="36"/>
          <w:highlight w:val="none"/>
        </w:rPr>
        <w:t>一、投标文件</w:t>
      </w:r>
      <w:r>
        <w:rPr>
          <w:rFonts w:hint="eastAsia" w:ascii="宋体" w:hAnsi="宋体" w:eastAsia="宋体" w:cs="宋体"/>
          <w:b/>
          <w:color w:val="auto"/>
          <w:sz w:val="36"/>
          <w:szCs w:val="36"/>
          <w:highlight w:val="none"/>
          <w:lang w:val="en-US" w:eastAsia="zh-CN"/>
        </w:rPr>
        <w:t>正文</w:t>
      </w:r>
      <w:r>
        <w:rPr>
          <w:rFonts w:hint="eastAsia" w:ascii="宋体" w:hAnsi="宋体" w:eastAsia="宋体" w:cs="宋体"/>
          <w:b/>
          <w:color w:val="auto"/>
          <w:sz w:val="36"/>
          <w:szCs w:val="36"/>
          <w:highlight w:val="none"/>
        </w:rPr>
        <w:t>，主要包括以下内容：</w:t>
      </w:r>
    </w:p>
    <w:p w14:paraId="18A12F6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(1)投标函</w:t>
      </w:r>
    </w:p>
    <w:p w14:paraId="65A604E9">
      <w:pPr>
        <w:spacing w:line="360" w:lineRule="auto"/>
        <w:rPr>
          <w:rFonts w:hint="eastAsia" w:ascii="宋体" w:hAnsi="宋体" w:eastAsia="宋体" w:cs="宋体"/>
          <w:highlight w:val="none"/>
        </w:rPr>
      </w:pPr>
    </w:p>
    <w:p w14:paraId="6A3B521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投标函</w:t>
      </w:r>
    </w:p>
    <w:p w14:paraId="57A667C9">
      <w:pPr>
        <w:spacing w:line="360" w:lineRule="auto"/>
        <w:rPr>
          <w:rFonts w:hint="eastAsia" w:ascii="宋体" w:hAnsi="宋体" w:eastAsia="宋体" w:cs="宋体"/>
          <w:highlight w:val="none"/>
          <w:lang w:eastAsia="zh-CN"/>
        </w:rPr>
      </w:pPr>
      <w:r>
        <w:rPr>
          <w:rFonts w:hint="eastAsia" w:ascii="宋体" w:hAnsi="宋体" w:eastAsia="宋体" w:cs="宋体"/>
          <w:highlight w:val="none"/>
        </w:rPr>
        <w:t>致：</w:t>
      </w:r>
      <w:r>
        <w:rPr>
          <w:rFonts w:hint="eastAsia" w:ascii="宋体" w:hAnsi="宋体" w:eastAsia="宋体" w:cs="宋体"/>
          <w:highlight w:val="none"/>
          <w:lang w:eastAsia="zh-CN"/>
        </w:rPr>
        <w:t xml:space="preserve">国采招标（深圳）有限公司、深圳市龙华区教育科学研究院第二附属学校第二附属学校 </w:t>
      </w:r>
    </w:p>
    <w:p w14:paraId="76D680AE">
      <w:pPr>
        <w:spacing w:after="156" w:afterLines="50"/>
        <w:ind w:firstLine="470" w:firstLineChars="196"/>
        <w:rPr>
          <w:rFonts w:hint="eastAsia" w:ascii="宋体" w:hAnsi="宋体" w:eastAsia="宋体" w:cs="宋体"/>
          <w:highlight w:val="none"/>
        </w:rPr>
      </w:pPr>
      <w:r>
        <w:rPr>
          <w:rFonts w:hint="eastAsia" w:ascii="宋体" w:hAnsi="宋体" w:eastAsia="宋体" w:cs="宋体"/>
          <w:highlight w:val="none"/>
        </w:rPr>
        <w:t>1、根据已收到贵单位的项目编号为</w:t>
      </w:r>
      <w:r>
        <w:rPr>
          <w:rFonts w:hint="eastAsia" w:ascii="宋体" w:hAnsi="宋体" w:eastAsia="宋体" w:cs="宋体"/>
          <w:highlight w:val="none"/>
          <w:u w:val="single"/>
        </w:rPr>
        <w:t xml:space="preserve">          </w:t>
      </w:r>
      <w:r>
        <w:rPr>
          <w:rFonts w:hint="eastAsia" w:ascii="宋体" w:hAnsi="宋体" w:eastAsia="宋体" w:cs="宋体"/>
          <w:highlight w:val="none"/>
        </w:rPr>
        <w:t>的</w:t>
      </w:r>
      <w:r>
        <w:rPr>
          <w:rFonts w:hint="eastAsia" w:ascii="宋体" w:hAnsi="宋体" w:eastAsia="宋体" w:cs="宋体"/>
          <w:highlight w:val="none"/>
          <w:u w:val="single"/>
        </w:rPr>
        <w:t xml:space="preserve">               </w:t>
      </w:r>
      <w:r>
        <w:rPr>
          <w:rFonts w:hint="eastAsia" w:ascii="宋体" w:hAnsi="宋体" w:eastAsia="宋体" w:cs="宋体"/>
          <w:highlight w:val="none"/>
        </w:rPr>
        <w:t>项目的招标文件，遵照《深圳经济特区政府采购条例》和《深圳网上政府采购管理暂行办法》等有关规定，我单位经研究上述招标文件的专用条款及通用条款后，</w:t>
      </w:r>
      <w:bookmarkStart w:id="4" w:name="_Hlk72263588"/>
      <w:r>
        <w:rPr>
          <w:rFonts w:hint="eastAsia" w:ascii="宋体" w:hAnsi="宋体" w:eastAsia="宋体" w:cs="宋体"/>
          <w:highlight w:val="none"/>
        </w:rPr>
        <w:t>愿意按照招标文件要求承包上述项目并修补其任何缺陷。</w:t>
      </w:r>
      <w:bookmarkEnd w:id="4"/>
    </w:p>
    <w:p w14:paraId="5740839F">
      <w:pPr>
        <w:spacing w:after="156" w:afterLines="50"/>
        <w:ind w:firstLine="470" w:firstLineChars="196"/>
        <w:rPr>
          <w:rFonts w:hint="eastAsia" w:ascii="宋体" w:hAnsi="宋体" w:eastAsia="宋体" w:cs="宋体"/>
          <w:highlight w:val="none"/>
        </w:rPr>
      </w:pPr>
      <w:r>
        <w:rPr>
          <w:rFonts w:hint="eastAsia" w:ascii="宋体" w:hAnsi="宋体" w:eastAsia="宋体" w:cs="宋体"/>
          <w:highlight w:val="none"/>
        </w:rPr>
        <w:t>2、</w:t>
      </w:r>
      <w:bookmarkStart w:id="5" w:name="_Hlk73819847"/>
      <w:r>
        <w:rPr>
          <w:rFonts w:hint="eastAsia" w:ascii="宋体" w:hAnsi="宋体" w:eastAsia="宋体" w:cs="宋体"/>
          <w:highlight w:val="none"/>
        </w:rPr>
        <w:t>投标价格见投标书编制软件中《开标一览表》中填写的投标总价。</w:t>
      </w:r>
      <w:bookmarkEnd w:id="5"/>
    </w:p>
    <w:p w14:paraId="66473E27">
      <w:pPr>
        <w:spacing w:after="156" w:afterLines="50"/>
        <w:ind w:firstLine="470" w:firstLineChars="196"/>
        <w:rPr>
          <w:rFonts w:hint="eastAsia" w:ascii="宋体" w:hAnsi="宋体" w:eastAsia="宋体" w:cs="宋体"/>
          <w:highlight w:val="none"/>
        </w:rPr>
      </w:pPr>
      <w:r>
        <w:rPr>
          <w:rFonts w:hint="eastAsia" w:ascii="宋体" w:hAnsi="宋体" w:eastAsia="宋体" w:cs="宋体"/>
          <w:highlight w:val="none"/>
        </w:rPr>
        <w:t>3、我方同意所递交的投标文件在“对通用条款的补充内容”中的投标有效期内有效，在此期间内我方的投标有可能中选，我方将受此约束。</w:t>
      </w:r>
    </w:p>
    <w:p w14:paraId="560A6980">
      <w:pPr>
        <w:spacing w:after="156" w:afterLines="50"/>
        <w:ind w:firstLine="470" w:firstLineChars="196"/>
        <w:rPr>
          <w:rFonts w:hint="eastAsia" w:ascii="宋体" w:hAnsi="宋体" w:eastAsia="宋体" w:cs="宋体"/>
          <w:highlight w:val="none"/>
        </w:rPr>
      </w:pPr>
      <w:r>
        <w:rPr>
          <w:rFonts w:hint="eastAsia" w:ascii="宋体" w:hAnsi="宋体" w:eastAsia="宋体" w:cs="宋体"/>
          <w:highlight w:val="none"/>
        </w:rPr>
        <w:t>4、除非另外达成协议并生效，贵方的中选通知书和本投标文件将构成约束我们双方的合同。</w:t>
      </w:r>
    </w:p>
    <w:p w14:paraId="2855C948">
      <w:pPr>
        <w:spacing w:after="156" w:afterLines="50"/>
        <w:ind w:firstLine="470" w:firstLineChars="196"/>
        <w:rPr>
          <w:rFonts w:hint="eastAsia" w:ascii="宋体" w:hAnsi="宋体" w:eastAsia="宋体" w:cs="宋体"/>
          <w:highlight w:val="none"/>
        </w:rPr>
      </w:pPr>
      <w:r>
        <w:rPr>
          <w:rFonts w:hint="eastAsia" w:ascii="宋体" w:hAnsi="宋体" w:eastAsia="宋体" w:cs="宋体"/>
          <w:highlight w:val="none"/>
        </w:rPr>
        <w:t>5、我方理解贵方将不受必须接受你们所收到的最低标价或其它任何投标文件的约束。</w:t>
      </w:r>
    </w:p>
    <w:p w14:paraId="4F5C39EB">
      <w:pPr>
        <w:ind w:firstLine="480" w:firstLineChars="200"/>
        <w:rPr>
          <w:rFonts w:hint="eastAsia" w:ascii="宋体" w:hAnsi="宋体" w:eastAsia="宋体" w:cs="宋体"/>
          <w:color w:val="0000FF"/>
          <w:highlight w:val="none"/>
        </w:rPr>
      </w:pPr>
      <w:r>
        <w:rPr>
          <w:rFonts w:hint="eastAsia" w:ascii="宋体" w:hAnsi="宋体" w:eastAsia="宋体" w:cs="宋体"/>
          <w:color w:val="0000FF"/>
          <w:highlight w:val="none"/>
        </w:rPr>
        <w:t>6、我方已知晓本次投标报价中已包含招标代理服务费（招标代理服务费将按照招标文件“对通用条款的补充内容”中“招标代理服务费”所列收费标准计算），并承诺向贵单位足额支付。</w:t>
      </w:r>
    </w:p>
    <w:p w14:paraId="591D6DD1">
      <w:pPr>
        <w:pStyle w:val="9"/>
        <w:rPr>
          <w:rFonts w:hint="eastAsia" w:ascii="宋体" w:hAnsi="宋体" w:eastAsia="宋体" w:cs="宋体"/>
          <w:highlight w:val="none"/>
        </w:rPr>
      </w:pPr>
    </w:p>
    <w:p w14:paraId="58436C3F">
      <w:pPr>
        <w:ind w:left="617" w:leftChars="257"/>
        <w:rPr>
          <w:rFonts w:hint="eastAsia" w:ascii="宋体" w:hAnsi="宋体" w:eastAsia="宋体" w:cs="宋体"/>
          <w:highlight w:val="none"/>
        </w:rPr>
      </w:pPr>
    </w:p>
    <w:p w14:paraId="55E40E6E">
      <w:pPr>
        <w:ind w:firstLine="1200" w:firstLineChars="500"/>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18DD641C">
      <w:pPr>
        <w:ind w:firstLine="1200" w:firstLineChars="500"/>
        <w:rPr>
          <w:rFonts w:hint="eastAsia" w:ascii="宋体" w:hAnsi="宋体" w:eastAsia="宋体" w:cs="宋体"/>
          <w:highlight w:val="none"/>
          <w:u w:val="single"/>
        </w:rPr>
      </w:pPr>
      <w:r>
        <w:rPr>
          <w:rFonts w:hint="eastAsia" w:ascii="宋体" w:hAnsi="宋体" w:eastAsia="宋体" w:cs="宋体"/>
          <w:highlight w:val="none"/>
        </w:rPr>
        <w:t>单位地址：</w:t>
      </w:r>
      <w:r>
        <w:rPr>
          <w:rFonts w:hint="eastAsia" w:ascii="宋体" w:hAnsi="宋体" w:eastAsia="宋体" w:cs="宋体"/>
          <w:highlight w:val="none"/>
          <w:u w:val="single"/>
        </w:rPr>
        <w:t xml:space="preserve">                 </w:t>
      </w:r>
    </w:p>
    <w:p w14:paraId="6144504E">
      <w:pPr>
        <w:ind w:left="1200" w:leftChars="500"/>
        <w:rPr>
          <w:rFonts w:hint="eastAsia" w:ascii="宋体" w:hAnsi="宋体" w:eastAsia="宋体" w:cs="宋体"/>
          <w:highlight w:val="none"/>
          <w:u w:val="singl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p>
    <w:p w14:paraId="7E7496D0">
      <w:pPr>
        <w:ind w:left="1200" w:leftChars="500"/>
        <w:rPr>
          <w:rFonts w:hint="eastAsia" w:ascii="宋体" w:hAnsi="宋体" w:eastAsia="宋体" w:cs="宋体"/>
          <w:highlight w:val="none"/>
          <w:u w:val="single"/>
        </w:rPr>
      </w:pPr>
      <w:r>
        <w:rPr>
          <w:rFonts w:hint="eastAsia" w:ascii="宋体" w:hAnsi="宋体" w:eastAsia="宋体" w:cs="宋体"/>
          <w:highlight w:val="none"/>
        </w:rPr>
        <w:t>企业信用代码：</w:t>
      </w:r>
      <w:r>
        <w:rPr>
          <w:rFonts w:hint="eastAsia" w:ascii="宋体" w:hAnsi="宋体" w:eastAsia="宋体" w:cs="宋体"/>
          <w:highlight w:val="none"/>
          <w:u w:val="single"/>
        </w:rPr>
        <w:t xml:space="preserve">                   </w:t>
      </w:r>
    </w:p>
    <w:p w14:paraId="76970603">
      <w:pPr>
        <w:ind w:firstLine="1200" w:firstLineChars="500"/>
        <w:rPr>
          <w:rFonts w:hint="eastAsia" w:ascii="宋体" w:hAnsi="宋体" w:eastAsia="宋体" w:cs="宋体"/>
          <w:highlight w:val="none"/>
        </w:rPr>
      </w:pPr>
      <w:r>
        <w:rPr>
          <w:rFonts w:hint="eastAsia" w:ascii="宋体" w:hAnsi="宋体" w:eastAsia="宋体" w:cs="宋体"/>
          <w:highlight w:val="none"/>
        </w:rPr>
        <w:t>联系邮箱：</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6F65A2AD">
      <w:pPr>
        <w:ind w:firstLine="1200" w:firstLineChars="500"/>
        <w:rPr>
          <w:rFonts w:hint="eastAsia" w:ascii="宋体" w:hAnsi="宋体" w:eastAsia="宋体" w:cs="宋体"/>
          <w:highlight w:val="none"/>
          <w:u w:val="single"/>
        </w:rPr>
      </w:pPr>
      <w:r>
        <w:rPr>
          <w:rFonts w:hint="eastAsia" w:ascii="宋体" w:hAnsi="宋体" w:eastAsia="宋体" w:cs="宋体"/>
          <w:highlight w:val="none"/>
        </w:rPr>
        <w:t>邮政编码：</w:t>
      </w:r>
      <w:r>
        <w:rPr>
          <w:rFonts w:hint="eastAsia" w:ascii="宋体" w:hAnsi="宋体" w:eastAsia="宋体" w:cs="宋体"/>
          <w:highlight w:val="none"/>
          <w:u w:val="single"/>
        </w:rPr>
        <w:t xml:space="preserve">                       </w:t>
      </w:r>
    </w:p>
    <w:p w14:paraId="3E60B9A7">
      <w:pPr>
        <w:ind w:firstLine="1200" w:firstLineChars="500"/>
        <w:rPr>
          <w:rFonts w:hint="eastAsia" w:ascii="宋体" w:hAnsi="宋体" w:eastAsia="宋体" w:cs="宋体"/>
          <w:highlight w:val="none"/>
        </w:rPr>
      </w:pPr>
      <w:r>
        <w:rPr>
          <w:rFonts w:hint="eastAsia" w:ascii="宋体" w:hAnsi="宋体" w:eastAsia="宋体" w:cs="宋体"/>
          <w:highlight w:val="none"/>
        </w:rPr>
        <w:t>开户银行名称：</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ab/>
      </w:r>
    </w:p>
    <w:p w14:paraId="50DC7C44">
      <w:pPr>
        <w:ind w:firstLine="1200" w:firstLineChars="500"/>
        <w:rPr>
          <w:rFonts w:hint="eastAsia" w:ascii="宋体" w:hAnsi="宋体" w:eastAsia="宋体" w:cs="宋体"/>
          <w:highlight w:val="none"/>
        </w:rPr>
      </w:pPr>
      <w:r>
        <w:rPr>
          <w:rFonts w:hint="eastAsia" w:ascii="宋体" w:hAnsi="宋体" w:eastAsia="宋体" w:cs="宋体"/>
          <w:highlight w:val="none"/>
        </w:rPr>
        <w:t>开户银行帐号：</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p>
    <w:p w14:paraId="7ED23108">
      <w:pPr>
        <w:ind w:firstLine="1200" w:firstLineChars="500"/>
        <w:rPr>
          <w:rFonts w:hint="eastAsia" w:ascii="宋体" w:hAnsi="宋体" w:eastAsia="宋体" w:cs="宋体"/>
          <w:highlight w:val="none"/>
        </w:rPr>
      </w:pPr>
      <w:r>
        <w:rPr>
          <w:rFonts w:hint="eastAsia" w:ascii="宋体" w:hAnsi="宋体" w:eastAsia="宋体" w:cs="宋体"/>
          <w:highlight w:val="none"/>
        </w:rPr>
        <w:t>开户银行地址：</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ab/>
      </w:r>
      <w:r>
        <w:rPr>
          <w:rFonts w:hint="eastAsia" w:ascii="宋体" w:hAnsi="宋体" w:eastAsia="宋体" w:cs="宋体"/>
          <w:highlight w:val="none"/>
        </w:rPr>
        <w:tab/>
      </w:r>
    </w:p>
    <w:p w14:paraId="11CB4422">
      <w:pPr>
        <w:ind w:firstLine="1200" w:firstLineChars="500"/>
        <w:rPr>
          <w:rFonts w:hint="eastAsia" w:ascii="宋体" w:hAnsi="宋体" w:eastAsia="宋体" w:cs="宋体"/>
          <w:highlight w:val="none"/>
        </w:rPr>
      </w:pPr>
      <w:r>
        <w:rPr>
          <w:rFonts w:hint="eastAsia" w:ascii="宋体" w:hAnsi="宋体" w:eastAsia="宋体" w:cs="宋体"/>
          <w:highlight w:val="none"/>
        </w:rPr>
        <w:t>开户银行电话：</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ab/>
      </w:r>
    </w:p>
    <w:p w14:paraId="081966CC">
      <w:pPr>
        <w:ind w:firstLine="480" w:firstLineChars="200"/>
        <w:rPr>
          <w:rFonts w:hint="eastAsia" w:ascii="宋体" w:hAnsi="宋体" w:eastAsia="宋体" w:cs="宋体"/>
          <w:highlight w:val="none"/>
        </w:rPr>
      </w:pPr>
    </w:p>
    <w:p w14:paraId="3BD25C07">
      <w:pPr>
        <w:ind w:firstLine="1200" w:firstLineChars="5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 xml:space="preserve">日                  </w:t>
      </w:r>
    </w:p>
    <w:p w14:paraId="363FC5E3">
      <w:pPr>
        <w:ind w:firstLine="616" w:firstLineChars="257"/>
        <w:rPr>
          <w:rFonts w:hint="eastAsia" w:ascii="宋体" w:hAnsi="宋体" w:eastAsia="宋体" w:cs="宋体"/>
          <w:highlight w:val="none"/>
        </w:rPr>
      </w:pPr>
      <w:r>
        <w:rPr>
          <w:rFonts w:hint="eastAsia" w:ascii="宋体" w:hAnsi="宋体" w:eastAsia="宋体" w:cs="宋体"/>
          <w:highlight w:val="none"/>
        </w:rPr>
        <w:t xml:space="preserve"> </w:t>
      </w:r>
    </w:p>
    <w:p w14:paraId="2D7EF190">
      <w:pPr>
        <w:spacing w:line="360" w:lineRule="auto"/>
        <w:ind w:left="617" w:leftChars="257"/>
        <w:rPr>
          <w:rFonts w:hint="eastAsia" w:ascii="宋体" w:hAnsi="宋体" w:eastAsia="宋体" w:cs="宋体"/>
          <w:b/>
          <w:bCs/>
          <w:highlight w:val="none"/>
        </w:rPr>
      </w:pPr>
      <w:r>
        <w:rPr>
          <w:rFonts w:hint="eastAsia" w:ascii="宋体" w:hAnsi="宋体" w:eastAsia="宋体" w:cs="宋体"/>
          <w:b/>
          <w:bCs/>
          <w:highlight w:val="none"/>
        </w:rPr>
        <w:t xml:space="preserve"> </w:t>
      </w:r>
    </w:p>
    <w:p w14:paraId="47BDBF87">
      <w:pPr>
        <w:numPr>
          <w:ilvl w:val="0"/>
          <w:numId w:val="15"/>
        </w:numP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龙华区教育局自行采购投标及履约承诺函</w:t>
      </w:r>
    </w:p>
    <w:p w14:paraId="50BFF632">
      <w:pPr>
        <w:jc w:val="center"/>
        <w:rPr>
          <w:rFonts w:hint="eastAsia" w:ascii="宋体" w:hAnsi="宋体" w:eastAsia="宋体" w:cs="宋体"/>
          <w:b/>
          <w:bCs/>
          <w:highlight w:val="none"/>
        </w:rPr>
      </w:pPr>
    </w:p>
    <w:p w14:paraId="07CFEEC5">
      <w:pPr>
        <w:jc w:val="center"/>
        <w:rPr>
          <w:rFonts w:hint="eastAsia" w:ascii="宋体" w:hAnsi="宋体" w:eastAsia="宋体" w:cs="宋体"/>
          <w:sz w:val="22"/>
          <w:szCs w:val="22"/>
          <w:highlight w:val="none"/>
        </w:rPr>
      </w:pPr>
      <w:r>
        <w:rPr>
          <w:rFonts w:hint="eastAsia" w:ascii="宋体" w:hAnsi="宋体" w:eastAsia="宋体" w:cs="宋体"/>
          <w:b/>
          <w:kern w:val="2"/>
          <w:sz w:val="28"/>
          <w:szCs w:val="36"/>
          <w:lang w:eastAsia="zh-CN"/>
        </w:rPr>
        <w:t>龙华区教育局自行采购投标及履约承诺函</w:t>
      </w:r>
    </w:p>
    <w:p w14:paraId="6B22BD4F">
      <w:pPr>
        <w:spacing w:after="156" w:afterLines="50"/>
        <w:ind w:firstLine="470" w:firstLineChars="196"/>
        <w:rPr>
          <w:rFonts w:hint="eastAsia" w:ascii="宋体" w:hAnsi="宋体" w:eastAsia="宋体" w:cs="宋体"/>
          <w:highlight w:val="none"/>
          <w:lang w:eastAsia="zh-CN"/>
        </w:rPr>
      </w:pPr>
    </w:p>
    <w:p w14:paraId="1372DEC4">
      <w:pPr>
        <w:spacing w:after="156" w:afterLines="50"/>
        <w:ind w:firstLine="470" w:firstLineChars="196"/>
        <w:rPr>
          <w:rFonts w:hint="eastAsia" w:ascii="宋体" w:hAnsi="宋体" w:eastAsia="宋体" w:cs="宋体"/>
          <w:highlight w:val="none"/>
          <w:lang w:val="en-US" w:eastAsia="zh-CN"/>
        </w:rPr>
      </w:pPr>
      <w:r>
        <w:rPr>
          <w:rFonts w:hint="eastAsia" w:ascii="宋体" w:hAnsi="宋体" w:eastAsia="宋体" w:cs="宋体"/>
          <w:highlight w:val="none"/>
          <w:lang w:eastAsia="zh-CN"/>
        </w:rPr>
        <w:t xml:space="preserve">致：国采招标（深圳）有限公司、深圳市龙华区教育科学研究院第二附属学校第二附属学校 </w:t>
      </w:r>
    </w:p>
    <w:p w14:paraId="0F66AA37">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我单位承诺：</w:t>
      </w:r>
    </w:p>
    <w:p w14:paraId="1C2CF3D4">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lang w:eastAsia="zh-CN"/>
        </w:rPr>
        <w:t>1.我单位本招标项目所提供的货物或服务未侵犯知识产权。</w:t>
      </w:r>
    </w:p>
    <w:p w14:paraId="2FE625CB">
      <w:pPr>
        <w:spacing w:after="156" w:afterLines="50"/>
        <w:ind w:firstLine="472" w:firstLineChars="196"/>
        <w:rPr>
          <w:rFonts w:hint="eastAsia" w:ascii="宋体" w:hAnsi="宋体" w:eastAsia="宋体" w:cs="宋体"/>
          <w:b/>
          <w:bCs/>
          <w:highlight w:val="none"/>
          <w:lang w:eastAsia="zh-CN"/>
        </w:rPr>
      </w:pPr>
      <w:r>
        <w:rPr>
          <w:rFonts w:hint="eastAsia" w:ascii="宋体" w:hAnsi="宋体" w:eastAsia="宋体" w:cs="宋体"/>
          <w:b/>
          <w:bCs/>
          <w:highlight w:val="none"/>
          <w:lang w:eastAsia="zh-CN"/>
        </w:rPr>
        <w:t>2.我单位参与本项目投标前三年内，在经营活动中没有重大违法记录。</w:t>
      </w:r>
    </w:p>
    <w:p w14:paraId="4E8028E2">
      <w:pPr>
        <w:spacing w:after="156" w:afterLines="50"/>
        <w:ind w:firstLine="472" w:firstLineChars="196"/>
        <w:rPr>
          <w:rFonts w:hint="eastAsia" w:ascii="宋体" w:hAnsi="宋体" w:eastAsia="宋体" w:cs="宋体"/>
          <w:b/>
          <w:bCs/>
          <w:highlight w:val="none"/>
          <w:lang w:eastAsia="zh-CN"/>
        </w:rPr>
      </w:pPr>
      <w:r>
        <w:rPr>
          <w:rFonts w:hint="eastAsia" w:ascii="宋体" w:hAnsi="宋体" w:eastAsia="宋体" w:cs="宋体"/>
          <w:b/>
          <w:bCs/>
          <w:highlight w:val="none"/>
          <w:lang w:eastAsia="zh-CN"/>
        </w:rPr>
        <w:t>3.我单位参与本项目政府采购活动时不存在被有关部门禁止参与政府采购活动且在有效期内的情况。</w:t>
      </w:r>
    </w:p>
    <w:p w14:paraId="493FE595">
      <w:pPr>
        <w:spacing w:after="156" w:afterLines="50"/>
        <w:ind w:firstLine="472" w:firstLineChars="196"/>
        <w:rPr>
          <w:rFonts w:hint="eastAsia" w:ascii="宋体" w:hAnsi="宋体" w:eastAsia="宋体" w:cs="宋体"/>
          <w:b/>
          <w:bCs/>
          <w:highlight w:val="none"/>
          <w:lang w:eastAsia="zh-CN"/>
        </w:rPr>
      </w:pPr>
      <w:r>
        <w:rPr>
          <w:rFonts w:hint="eastAsia" w:ascii="宋体" w:hAnsi="宋体" w:eastAsia="宋体" w:cs="宋体"/>
          <w:b/>
          <w:bCs/>
          <w:highlight w:val="none"/>
          <w:lang w:eastAsia="zh-CN"/>
        </w:rPr>
        <w:t>4.我单位具备《中华人民共和国政府采购法》第二十二条第一款规定的六项条件。</w:t>
      </w:r>
    </w:p>
    <w:p w14:paraId="6A7401CE">
      <w:pPr>
        <w:spacing w:after="156" w:afterLines="50"/>
        <w:ind w:firstLine="472" w:firstLineChars="196"/>
        <w:rPr>
          <w:rFonts w:hint="eastAsia" w:ascii="宋体" w:hAnsi="宋体" w:eastAsia="宋体" w:cs="宋体"/>
          <w:b/>
          <w:bCs/>
          <w:highlight w:val="none"/>
          <w:lang w:eastAsia="zh-CN"/>
        </w:rPr>
      </w:pPr>
      <w:r>
        <w:rPr>
          <w:rFonts w:hint="eastAsia" w:ascii="宋体" w:hAnsi="宋体" w:eastAsia="宋体" w:cs="宋体"/>
          <w:b/>
          <w:bCs/>
          <w:highlight w:val="none"/>
          <w:lang w:eastAsia="zh-CN"/>
        </w:rPr>
        <w:t>5.我单位未被列入失信被执行人、重大税收违法案件当事人名单（税收违法黑名单）、政府采购严重违法失信行为记录名单。</w:t>
      </w:r>
    </w:p>
    <w:p w14:paraId="195302C6">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lang w:eastAsia="zh-CN"/>
        </w:rPr>
        <w:t>6.</w:t>
      </w:r>
      <w:bookmarkStart w:id="6" w:name="_Hlk72587269"/>
      <w:bookmarkStart w:id="7" w:name="_Hlk72587299"/>
      <w:r>
        <w:rPr>
          <w:rFonts w:hint="eastAsia" w:ascii="宋体" w:hAnsi="宋体" w:eastAsia="宋体" w:cs="宋体"/>
          <w:highlight w:val="none"/>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6"/>
      <w:r>
        <w:rPr>
          <w:rFonts w:hint="eastAsia" w:ascii="宋体" w:hAnsi="宋体" w:eastAsia="宋体" w:cs="宋体"/>
          <w:highlight w:val="none"/>
          <w:lang w:eastAsia="zh-CN"/>
        </w:rPr>
        <w:t>。我单位严格遵守政府采购相关法律，投标做到诚实，不造假，不围 标、串标、陪标，不存在编制、加密或上传标书的设备 mac 地址与其他投标人相同的情形。</w:t>
      </w:r>
    </w:p>
    <w:bookmarkEnd w:id="7"/>
    <w:p w14:paraId="6F4E54AC">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55E4074">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E449B21">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C225D2A">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lang w:eastAsia="zh-CN"/>
        </w:rPr>
        <w:t>9.我单位承诺中标后项目不转包，未经采购人同意不进行分包。</w:t>
      </w:r>
    </w:p>
    <w:p w14:paraId="6733B216">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lang w:eastAsia="zh-CN"/>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5EA19A0">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lang w:eastAsia="zh-CN"/>
        </w:rPr>
        <w:t>11.我单位保证，若所投货物涉及《财政部生态环境部关于印发节能产品政府采购品目清单的通知》（财库〔2019〕19 号）列明的政府采购强制产品，则所投该产品符合节能产品的认证要求，则所投该产品符合节能产品的认证要求。若所投产品包括数据中心相关设备的，应满足财政部《绿色数据中心政府采购需求标准（试行）》（财办库〔2023〕7 号）要求。</w:t>
      </w:r>
    </w:p>
    <w:p w14:paraId="44FC1536">
      <w:pPr>
        <w:spacing w:after="156" w:afterLines="50"/>
        <w:ind w:firstLine="472" w:firstLineChars="196"/>
        <w:rPr>
          <w:rFonts w:hint="eastAsia" w:ascii="宋体" w:hAnsi="宋体" w:eastAsia="宋体" w:cs="宋体"/>
          <w:b/>
          <w:bCs/>
          <w:highlight w:val="none"/>
          <w:lang w:eastAsia="zh-CN"/>
        </w:rPr>
      </w:pPr>
      <w:r>
        <w:rPr>
          <w:rFonts w:hint="eastAsia" w:ascii="宋体" w:hAnsi="宋体" w:eastAsia="宋体" w:cs="宋体"/>
          <w:b/>
          <w:bCs/>
          <w:highlight w:val="none"/>
          <w:lang w:eastAsia="zh-CN"/>
        </w:rPr>
        <w:t>12.我单位承诺，符合《中华人民共和国政府采购法实施条例》第十八条第一款规定，不存在我单位与其他供应商的负责人为同一人或者存在直接控股、管理关系的情况。</w:t>
      </w:r>
    </w:p>
    <w:p w14:paraId="1A2E699A">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lang w:eastAsia="zh-CN"/>
        </w:rPr>
        <w:t>13.所投标（响应）的货物、工程或服务，不存在侵犯知识产权的情况；已知悉并同意中标（成交）结果信息公示（公开）的内容。</w:t>
      </w:r>
    </w:p>
    <w:p w14:paraId="785B29F7">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14.本单位（公司）不存在《深圳市财政局政府采购供应商信用信息管理办法》（深财规〔2023〕3 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14:paraId="59FBF361">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lang w:eastAsia="zh-CN"/>
        </w:rPr>
        <w:t>15.我单位自愿遵照龙华区教育自行采购的有关管理制度和规定，并自愿接受龙华区教育局和财政部门的有关监督。</w:t>
      </w:r>
    </w:p>
    <w:p w14:paraId="17B8B3B3">
      <w:pPr>
        <w:spacing w:after="156" w:afterLines="50"/>
        <w:ind w:firstLine="472" w:firstLineChars="196"/>
        <w:rPr>
          <w:rFonts w:hint="eastAsia" w:ascii="宋体" w:hAnsi="宋体" w:eastAsia="宋体" w:cs="宋体"/>
          <w:b/>
          <w:bCs/>
          <w:highlight w:val="none"/>
        </w:rPr>
      </w:pPr>
      <w:r>
        <w:rPr>
          <w:rFonts w:hint="eastAsia" w:ascii="宋体" w:hAnsi="宋体" w:eastAsia="宋体" w:cs="宋体"/>
          <w:b/>
          <w:bCs/>
          <w:highlight w:val="none"/>
          <w:lang w:eastAsia="zh-CN"/>
        </w:rPr>
        <w:t>以上承诺，如有违反，采购单位或龙华区教育局或财政部门可暂停我方两年内参与龙华区教育</w:t>
      </w:r>
      <w:r>
        <w:rPr>
          <w:rFonts w:hint="eastAsia" w:ascii="宋体" w:hAnsi="宋体" w:eastAsia="宋体" w:cs="宋体"/>
          <w:b/>
          <w:bCs/>
          <w:highlight w:val="none"/>
          <w:lang w:val="en-US" w:eastAsia="zh-CN"/>
        </w:rPr>
        <w:t>局</w:t>
      </w:r>
      <w:r>
        <w:rPr>
          <w:rFonts w:hint="eastAsia" w:ascii="宋体" w:hAnsi="宋体" w:eastAsia="宋体" w:cs="宋体"/>
          <w:b/>
          <w:bCs/>
          <w:highlight w:val="none"/>
          <w:lang w:eastAsia="zh-CN"/>
        </w:rPr>
        <w:t>自行采购和深圳政府采购智慧平台深圳政府采购自行采购系统的投标资格</w:t>
      </w:r>
    </w:p>
    <w:p w14:paraId="489DB721">
      <w:pPr>
        <w:pStyle w:val="9"/>
        <w:rPr>
          <w:rFonts w:hint="eastAsia" w:ascii="宋体" w:hAnsi="宋体" w:eastAsia="宋体" w:cs="宋体"/>
          <w:highlight w:val="none"/>
        </w:rPr>
      </w:pPr>
    </w:p>
    <w:p w14:paraId="5DD76E05">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投标单位名称：</w:t>
      </w:r>
      <w:r>
        <w:rPr>
          <w:rFonts w:hint="eastAsia" w:ascii="宋体" w:hAnsi="宋体" w:eastAsia="宋体" w:cs="宋体"/>
          <w:szCs w:val="21"/>
          <w:highlight w:val="none"/>
          <w:u w:val="single"/>
        </w:rPr>
        <w:t>            </w:t>
      </w:r>
    </w:p>
    <w:p w14:paraId="3CAD8E04">
      <w:pPr>
        <w:spacing w:line="360" w:lineRule="auto"/>
        <w:rPr>
          <w:rFonts w:hint="eastAsia" w:ascii="宋体" w:hAnsi="宋体" w:eastAsia="宋体" w:cs="宋体"/>
          <w:szCs w:val="21"/>
          <w:highlight w:val="none"/>
        </w:rPr>
      </w:pPr>
    </w:p>
    <w:p w14:paraId="1B8515AD">
      <w:pPr>
        <w:spacing w:line="360" w:lineRule="auto"/>
        <w:rPr>
          <w:rFonts w:hint="eastAsia" w:ascii="宋体" w:hAnsi="宋体" w:eastAsia="宋体" w:cs="宋体"/>
          <w:highlight w:val="none"/>
        </w:rPr>
      </w:pPr>
      <w:r>
        <w:rPr>
          <w:rFonts w:hint="eastAsia" w:ascii="宋体" w:hAnsi="宋体" w:eastAsia="宋体" w:cs="宋体"/>
          <w:szCs w:val="21"/>
          <w:highlight w:val="none"/>
        </w:rPr>
        <w:t>日期：      年    月    日</w:t>
      </w:r>
    </w:p>
    <w:p w14:paraId="1267B9DC">
      <w:pPr>
        <w:pStyle w:val="9"/>
        <w:rPr>
          <w:rFonts w:hint="eastAsia" w:ascii="宋体" w:hAnsi="宋体" w:eastAsia="宋体" w:cs="宋体"/>
          <w:highlight w:val="none"/>
        </w:rPr>
      </w:pPr>
    </w:p>
    <w:p w14:paraId="5BBD2BF1">
      <w:pPr>
        <w:rPr>
          <w:rFonts w:hint="eastAsia" w:ascii="宋体" w:hAnsi="宋体" w:eastAsia="宋体" w:cs="宋体"/>
          <w:highlight w:val="none"/>
        </w:rPr>
      </w:pPr>
    </w:p>
    <w:p w14:paraId="677BD1AD">
      <w:pPr>
        <w:pStyle w:val="9"/>
        <w:rPr>
          <w:rFonts w:hint="eastAsia" w:ascii="宋体" w:hAnsi="宋体" w:eastAsia="宋体" w:cs="宋体"/>
          <w:highlight w:val="none"/>
        </w:rPr>
      </w:pPr>
    </w:p>
    <w:p w14:paraId="0C321452">
      <w:pPr>
        <w:rPr>
          <w:rFonts w:hint="eastAsia" w:ascii="宋体" w:hAnsi="宋体" w:eastAsia="宋体" w:cs="宋体"/>
          <w:highlight w:val="none"/>
        </w:rPr>
      </w:pPr>
    </w:p>
    <w:p w14:paraId="28F11211">
      <w:pPr>
        <w:pStyle w:val="9"/>
        <w:rPr>
          <w:rFonts w:hint="eastAsia" w:ascii="宋体" w:hAnsi="宋体" w:eastAsia="宋体" w:cs="宋体"/>
          <w:highlight w:val="none"/>
        </w:rPr>
      </w:pPr>
    </w:p>
    <w:p w14:paraId="626ED6A7">
      <w:pPr>
        <w:rPr>
          <w:rFonts w:hint="eastAsia" w:ascii="宋体" w:hAnsi="宋体" w:eastAsia="宋体" w:cs="宋体"/>
          <w:highlight w:val="none"/>
        </w:rPr>
      </w:pPr>
    </w:p>
    <w:p w14:paraId="4085F99F">
      <w:pPr>
        <w:numPr>
          <w:ilvl w:val="0"/>
          <w:numId w:val="15"/>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投标人情况介绍及资格要求</w:t>
      </w:r>
    </w:p>
    <w:p w14:paraId="759D544A">
      <w:pPr>
        <w:rPr>
          <w:rFonts w:hint="eastAsia" w:ascii="宋体" w:hAnsi="宋体" w:eastAsia="宋体" w:cs="宋体"/>
          <w:highlight w:val="none"/>
        </w:rPr>
      </w:pPr>
    </w:p>
    <w:p w14:paraId="7745A5E1">
      <w:pPr>
        <w:ind w:firstLine="2880" w:firstLineChars="1200"/>
        <w:rPr>
          <w:rFonts w:hint="eastAsia" w:ascii="宋体" w:hAnsi="宋体" w:eastAsia="宋体" w:cs="宋体"/>
          <w:bCs/>
          <w:szCs w:val="32"/>
          <w:highlight w:val="none"/>
        </w:rPr>
      </w:pPr>
      <w:r>
        <w:rPr>
          <w:rFonts w:hint="eastAsia" w:ascii="宋体" w:hAnsi="宋体" w:eastAsia="宋体" w:cs="宋体"/>
          <w:bCs/>
          <w:szCs w:val="32"/>
          <w:highlight w:val="none"/>
          <w:lang w:val="en-US" w:eastAsia="zh-CN"/>
        </w:rPr>
        <w:t>一、</w:t>
      </w:r>
      <w:r>
        <w:rPr>
          <w:rFonts w:hint="eastAsia" w:ascii="宋体" w:hAnsi="宋体" w:eastAsia="宋体" w:cs="宋体"/>
          <w:bCs/>
          <w:szCs w:val="32"/>
          <w:highlight w:val="none"/>
        </w:rPr>
        <w:t>投标人资格证明文件</w:t>
      </w:r>
    </w:p>
    <w:p w14:paraId="33C5DAB6">
      <w:pPr>
        <w:spacing w:before="156" w:beforeLines="50"/>
        <w:ind w:firstLine="482" w:firstLineChars="200"/>
        <w:rPr>
          <w:rFonts w:hint="eastAsia" w:ascii="宋体" w:hAnsi="宋体" w:eastAsia="宋体" w:cs="宋体"/>
          <w:b/>
          <w:bCs/>
          <w:color w:val="FF0000"/>
          <w:highlight w:val="none"/>
        </w:rPr>
      </w:pPr>
      <w:r>
        <w:rPr>
          <w:rFonts w:hint="eastAsia" w:ascii="宋体" w:hAnsi="宋体" w:eastAsia="宋体" w:cs="宋体"/>
          <w:b/>
          <w:bCs/>
          <w:color w:val="FF0000"/>
          <w:highlight w:val="none"/>
        </w:rPr>
        <w:t>（特别提示：投标人须按本招标文件第一册第一章招标公告“申请人的资格要求”（即投标人资格要求）提供相关的资格证明资料，未提供或提供不完整、不符合要求的，将作投标无效处理。）</w:t>
      </w:r>
    </w:p>
    <w:p w14:paraId="3AE618BE">
      <w:pPr>
        <w:spacing w:before="156" w:beforeLines="50"/>
        <w:ind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1、提供投标人所在地的市场监督管理部门“商事登记簿查询</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商事主体登记及备案信息查询</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”，参考示例“深圳市市场监督管理局--商事登记薄查询(商事主体登记及备案信息询)</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https:</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amr</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sz.gov</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outer</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entSelect</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gs.html”</w:t>
      </w:r>
      <w:r>
        <w:rPr>
          <w:rFonts w:hint="eastAsia" w:ascii="宋体" w:hAnsi="宋体" w:eastAsia="宋体" w:cs="宋体"/>
          <w:b/>
          <w:bCs/>
          <w:color w:val="auto"/>
          <w:highlight w:val="none"/>
          <w:lang w:eastAsia="zh-CN"/>
        </w:rPr>
        <w:t>。</w:t>
      </w:r>
    </w:p>
    <w:p w14:paraId="0A61CC1B">
      <w:pPr>
        <w:spacing w:before="156" w:beforeLines="50"/>
        <w:ind w:firstLine="482" w:firstLineChars="200"/>
        <w:rPr>
          <w:rFonts w:hint="eastAsia" w:ascii="宋体" w:hAnsi="宋体" w:eastAsia="宋体" w:cs="宋体"/>
          <w:b/>
          <w:bCs/>
          <w:color w:val="FF0000"/>
          <w:highlight w:val="none"/>
        </w:rPr>
      </w:pPr>
      <w:r>
        <w:rPr>
          <w:rFonts w:hint="eastAsia" w:ascii="宋体" w:hAnsi="宋体" w:eastAsia="宋体" w:cs="宋体"/>
          <w:b/>
          <w:bCs/>
          <w:color w:val="FF0000"/>
          <w:highlight w:val="none"/>
        </w:rPr>
        <w:t>提示:如果投标供应商存在单位负责人为同一人，或者存在直接控股、间接控股、管理关系等情形，将被纳入交易监管平台产生示警信息，由此产生的负面影响，由投标人自行承担。</w:t>
      </w:r>
    </w:p>
    <w:p w14:paraId="7C819005">
      <w:pPr>
        <w:ind w:firstLine="2880" w:firstLineChars="1200"/>
        <w:jc w:val="center"/>
        <w:rPr>
          <w:rFonts w:hint="eastAsia" w:ascii="宋体" w:hAnsi="宋体" w:eastAsia="宋体" w:cs="宋体"/>
          <w:bCs/>
          <w:color w:val="FF0000"/>
          <w:szCs w:val="32"/>
          <w:highlight w:val="none"/>
          <w:lang w:val="en-US" w:eastAsia="zh-CN"/>
        </w:rPr>
      </w:pPr>
      <w:r>
        <w:rPr>
          <w:rFonts w:hint="eastAsia" w:ascii="宋体" w:hAnsi="宋体" w:eastAsia="宋体" w:cs="宋体"/>
          <w:bCs/>
          <w:color w:val="FF0000"/>
          <w:szCs w:val="32"/>
          <w:highlight w:val="none"/>
          <w:lang w:val="en-US" w:eastAsia="zh-CN"/>
        </w:rPr>
        <w:br w:type="textWrapping"/>
      </w:r>
      <w:r>
        <w:rPr>
          <w:rFonts w:hint="eastAsia" w:ascii="宋体" w:hAnsi="宋体" w:eastAsia="宋体" w:cs="宋体"/>
          <w:bCs/>
          <w:color w:val="FF0000"/>
          <w:szCs w:val="32"/>
          <w:highlight w:val="none"/>
          <w:lang w:val="en-US" w:eastAsia="zh-CN"/>
        </w:rPr>
        <w:t>二、股东构成审查表要求★</w:t>
      </w:r>
    </w:p>
    <w:p w14:paraId="7F44C872">
      <w:pPr>
        <w:pStyle w:val="9"/>
        <w:spacing w:before="271" w:line="228" w:lineRule="auto"/>
        <w:ind w:left="823"/>
        <w:outlineLvl w:val="3"/>
        <w:rPr>
          <w:sz w:val="20"/>
          <w:szCs w:val="20"/>
        </w:rPr>
      </w:pPr>
      <w:r>
        <w:rPr>
          <w:spacing w:val="7"/>
          <w:sz w:val="20"/>
          <w:szCs w:val="20"/>
        </w:rPr>
        <w:t>（如不提供则作废标处理。）</w:t>
      </w:r>
    </w:p>
    <w:p w14:paraId="47447961">
      <w:pPr>
        <w:spacing w:line="94" w:lineRule="exact"/>
      </w:pPr>
    </w:p>
    <w:tbl>
      <w:tblPr>
        <w:tblStyle w:val="53"/>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7"/>
        <w:gridCol w:w="6714"/>
      </w:tblGrid>
      <w:tr w14:paraId="1AACD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2357" w:type="dxa"/>
            <w:shd w:val="clear" w:color="auto" w:fill="D9E2F3"/>
            <w:vAlign w:val="top"/>
          </w:tcPr>
          <w:p w14:paraId="6442FB16">
            <w:pPr>
              <w:spacing w:line="307" w:lineRule="auto"/>
              <w:rPr>
                <w:rFonts w:ascii="Arial"/>
                <w:sz w:val="21"/>
              </w:rPr>
            </w:pPr>
          </w:p>
          <w:p w14:paraId="425DBF4C">
            <w:pPr>
              <w:pStyle w:val="54"/>
              <w:spacing w:before="65" w:line="229" w:lineRule="auto"/>
              <w:ind w:left="118"/>
            </w:pPr>
            <w:r>
              <w:rPr>
                <w:b/>
                <w:bCs/>
                <w:spacing w:val="6"/>
              </w:rPr>
              <w:t>投标人名称</w:t>
            </w:r>
          </w:p>
        </w:tc>
        <w:tc>
          <w:tcPr>
            <w:tcW w:w="6714" w:type="dxa"/>
            <w:vAlign w:val="top"/>
          </w:tcPr>
          <w:p w14:paraId="30D90CB1">
            <w:pPr>
              <w:rPr>
                <w:rFonts w:ascii="Arial"/>
                <w:sz w:val="21"/>
              </w:rPr>
            </w:pPr>
          </w:p>
        </w:tc>
      </w:tr>
      <w:tr w14:paraId="6FF7F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2357" w:type="dxa"/>
            <w:shd w:val="clear" w:color="auto" w:fill="D9E2F3"/>
            <w:vAlign w:val="top"/>
          </w:tcPr>
          <w:p w14:paraId="126AC9E5">
            <w:pPr>
              <w:spacing w:line="400" w:lineRule="auto"/>
              <w:rPr>
                <w:rFonts w:ascii="Arial"/>
                <w:sz w:val="21"/>
              </w:rPr>
            </w:pPr>
          </w:p>
          <w:p w14:paraId="00D09830">
            <w:pPr>
              <w:pStyle w:val="54"/>
              <w:spacing w:before="65" w:line="239" w:lineRule="auto"/>
              <w:ind w:left="115" w:right="208" w:firstLine="1"/>
            </w:pPr>
            <w:r>
              <w:rPr>
                <w:b/>
                <w:bCs/>
                <w:spacing w:val="7"/>
              </w:rPr>
              <w:t>本单位负责人（法定</w:t>
            </w:r>
            <w:r>
              <w:rPr>
                <w:spacing w:val="4"/>
              </w:rPr>
              <w:t xml:space="preserve"> </w:t>
            </w:r>
            <w:r>
              <w:rPr>
                <w:b/>
                <w:bCs/>
                <w:spacing w:val="7"/>
              </w:rPr>
              <w:t>代表人）姓名</w:t>
            </w:r>
          </w:p>
        </w:tc>
        <w:tc>
          <w:tcPr>
            <w:tcW w:w="6714" w:type="dxa"/>
            <w:vAlign w:val="top"/>
          </w:tcPr>
          <w:p w14:paraId="5CDE72FF">
            <w:pPr>
              <w:rPr>
                <w:rFonts w:ascii="Arial"/>
                <w:sz w:val="21"/>
              </w:rPr>
            </w:pPr>
          </w:p>
        </w:tc>
      </w:tr>
      <w:tr w14:paraId="100FB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2357" w:type="dxa"/>
            <w:shd w:val="clear" w:color="auto" w:fill="D9E2F3"/>
            <w:vAlign w:val="top"/>
          </w:tcPr>
          <w:p w14:paraId="51820E92">
            <w:pPr>
              <w:spacing w:line="401" w:lineRule="auto"/>
              <w:rPr>
                <w:rFonts w:ascii="Arial"/>
                <w:sz w:val="21"/>
              </w:rPr>
            </w:pPr>
          </w:p>
          <w:p w14:paraId="174C821E">
            <w:pPr>
              <w:pStyle w:val="54"/>
              <w:spacing w:before="65" w:line="239" w:lineRule="auto"/>
              <w:ind w:left="115" w:right="208" w:firstLine="3"/>
            </w:pPr>
            <w:r>
              <w:rPr>
                <w:b/>
                <w:bCs/>
                <w:spacing w:val="7"/>
              </w:rPr>
              <w:t>是否存在本单位的控</w:t>
            </w:r>
            <w:r>
              <w:rPr>
                <w:spacing w:val="1"/>
              </w:rPr>
              <w:t xml:space="preserve"> </w:t>
            </w:r>
            <w:r>
              <w:rPr>
                <w:b/>
                <w:bCs/>
                <w:spacing w:val="5"/>
              </w:rPr>
              <w:t>股股东</w:t>
            </w:r>
          </w:p>
        </w:tc>
        <w:tc>
          <w:tcPr>
            <w:tcW w:w="6714" w:type="dxa"/>
            <w:vAlign w:val="top"/>
          </w:tcPr>
          <w:p w14:paraId="442758B6">
            <w:pPr>
              <w:spacing w:line="264" w:lineRule="auto"/>
              <w:rPr>
                <w:rFonts w:ascii="Arial"/>
                <w:sz w:val="21"/>
              </w:rPr>
            </w:pPr>
          </w:p>
          <w:p w14:paraId="65D6FBBD">
            <w:pPr>
              <w:pStyle w:val="54"/>
              <w:spacing w:before="65" w:line="244" w:lineRule="auto"/>
              <w:ind w:left="112" w:right="46" w:firstLine="20"/>
              <w:jc w:val="both"/>
              <w:rPr>
                <w:spacing w:val="5"/>
              </w:rPr>
            </w:pPr>
            <w:r>
              <w:rPr>
                <w:spacing w:val="7"/>
              </w:rPr>
              <w:t>□是，其控股股东为</w:t>
            </w:r>
            <w:r>
              <w:rPr>
                <w:spacing w:val="-3"/>
              </w:rPr>
              <w:t>：</w:t>
            </w:r>
            <w:r>
              <w:rPr>
                <w:spacing w:val="5"/>
                <w:u w:val="single" w:color="auto"/>
              </w:rPr>
              <w:t xml:space="preserve">              </w:t>
            </w:r>
            <w:r>
              <w:rPr>
                <w:spacing w:val="-73"/>
              </w:rPr>
              <w:t xml:space="preserve"> </w:t>
            </w:r>
            <w:r>
              <w:rPr>
                <w:spacing w:val="-3"/>
              </w:rPr>
              <w:t>，</w:t>
            </w:r>
            <w:r>
              <w:rPr>
                <w:spacing w:val="7"/>
              </w:rPr>
              <w:t>股份占比</w:t>
            </w:r>
            <w:r>
              <w:rPr>
                <w:spacing w:val="-3"/>
              </w:rPr>
              <w:t>：</w:t>
            </w:r>
            <w:r>
              <w:rPr>
                <w:spacing w:val="4"/>
                <w:u w:val="single" w:color="auto"/>
              </w:rPr>
              <w:t xml:space="preserve">           </w:t>
            </w:r>
            <w:r>
              <w:rPr>
                <w:spacing w:val="-3"/>
              </w:rPr>
              <w:t>；</w:t>
            </w:r>
            <w:r>
              <w:rPr>
                <w:spacing w:val="10"/>
              </w:rPr>
              <w:t xml:space="preserve"> </w:t>
            </w:r>
            <w:r>
              <w:rPr>
                <w:spacing w:val="6"/>
              </w:rPr>
              <w:t>其他主要股东及其股份占比：</w:t>
            </w:r>
            <w:r>
              <w:rPr>
                <w:spacing w:val="6"/>
                <w:u w:val="single" w:color="auto"/>
              </w:rPr>
              <w:t xml:space="preserve">            </w:t>
            </w:r>
            <w:r>
              <w:rPr>
                <w:spacing w:val="5"/>
                <w:u w:val="single" w:color="auto"/>
              </w:rPr>
              <w:t xml:space="preserve">                   </w:t>
            </w:r>
            <w:r>
              <w:rPr>
                <w:spacing w:val="5"/>
              </w:rPr>
              <w:t>。</w:t>
            </w:r>
          </w:p>
          <w:p w14:paraId="2DD22952">
            <w:pPr>
              <w:pStyle w:val="54"/>
              <w:spacing w:before="65" w:line="244" w:lineRule="auto"/>
              <w:ind w:left="112" w:right="46" w:firstLine="20"/>
              <w:jc w:val="both"/>
            </w:pPr>
            <w:r>
              <w:t xml:space="preserve"> </w:t>
            </w:r>
            <w:r>
              <w:rPr>
                <w:spacing w:val="5"/>
              </w:rPr>
              <w:t>□否</w:t>
            </w:r>
          </w:p>
        </w:tc>
      </w:tr>
      <w:tr w14:paraId="23151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2357" w:type="dxa"/>
            <w:shd w:val="clear" w:color="auto" w:fill="D9E2F3"/>
            <w:vAlign w:val="top"/>
          </w:tcPr>
          <w:p w14:paraId="4C188730">
            <w:pPr>
              <w:spacing w:line="266" w:lineRule="auto"/>
              <w:rPr>
                <w:rFonts w:ascii="Arial"/>
                <w:sz w:val="21"/>
              </w:rPr>
            </w:pPr>
          </w:p>
          <w:p w14:paraId="73CD188E">
            <w:pPr>
              <w:pStyle w:val="54"/>
              <w:spacing w:before="65"/>
              <w:ind w:left="115" w:right="208" w:firstLine="4"/>
            </w:pPr>
            <w:r>
              <w:rPr>
                <w:b/>
                <w:bCs/>
                <w:spacing w:val="7"/>
              </w:rPr>
              <w:t>是否存在“与本单位</w:t>
            </w:r>
            <w:r>
              <w:rPr>
                <w:spacing w:val="1"/>
              </w:rPr>
              <w:t xml:space="preserve"> </w:t>
            </w:r>
            <w:r>
              <w:rPr>
                <w:b/>
                <w:bCs/>
                <w:spacing w:val="7"/>
              </w:rPr>
              <w:t>存在管理关系的单</w:t>
            </w:r>
          </w:p>
          <w:p w14:paraId="6BD9A975">
            <w:pPr>
              <w:pStyle w:val="54"/>
              <w:spacing w:before="23" w:line="230" w:lineRule="auto"/>
              <w:ind w:left="115"/>
            </w:pPr>
            <w:r>
              <w:rPr>
                <w:b/>
                <w:bCs/>
                <w:spacing w:val="38"/>
              </w:rPr>
              <w:t>位</w:t>
            </w:r>
            <w:r>
              <w:rPr>
                <w:spacing w:val="-72"/>
              </w:rPr>
              <w:t xml:space="preserve"> </w:t>
            </w:r>
            <w:r>
              <w:rPr>
                <w:b/>
                <w:bCs/>
                <w:spacing w:val="38"/>
              </w:rPr>
              <w:t>”</w:t>
            </w:r>
          </w:p>
        </w:tc>
        <w:tc>
          <w:tcPr>
            <w:tcW w:w="6714" w:type="dxa"/>
            <w:vAlign w:val="top"/>
          </w:tcPr>
          <w:p w14:paraId="1747C4AB">
            <w:pPr>
              <w:spacing w:line="401" w:lineRule="auto"/>
              <w:rPr>
                <w:rFonts w:ascii="Arial"/>
                <w:sz w:val="21"/>
              </w:rPr>
            </w:pPr>
          </w:p>
          <w:p w14:paraId="4E86D532">
            <w:pPr>
              <w:pStyle w:val="54"/>
              <w:spacing w:before="65"/>
              <w:ind w:left="133" w:right="116"/>
              <w:rPr>
                <w:spacing w:val="12"/>
              </w:rPr>
            </w:pPr>
            <w:r>
              <w:rPr>
                <w:spacing w:val="6"/>
              </w:rPr>
              <w:t>□是，该单位为：</w:t>
            </w:r>
            <w:r>
              <w:rPr>
                <w:u w:val="single" w:color="auto"/>
              </w:rPr>
              <w:t xml:space="preserve">                                            </w:t>
            </w:r>
            <w:r>
              <w:rPr>
                <w:spacing w:val="12"/>
              </w:rPr>
              <w:t xml:space="preserve"> </w:t>
            </w:r>
          </w:p>
          <w:p w14:paraId="7DE49B11">
            <w:pPr>
              <w:pStyle w:val="54"/>
              <w:spacing w:before="65"/>
              <w:ind w:left="133" w:right="116"/>
            </w:pPr>
            <w:r>
              <w:rPr>
                <w:spacing w:val="-5"/>
              </w:rPr>
              <w:t>□否</w:t>
            </w:r>
          </w:p>
        </w:tc>
      </w:tr>
      <w:tr w14:paraId="0702E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jc w:val="center"/>
        </w:trPr>
        <w:tc>
          <w:tcPr>
            <w:tcW w:w="2357" w:type="dxa"/>
            <w:shd w:val="clear" w:color="auto" w:fill="D9E2F3"/>
            <w:vAlign w:val="top"/>
          </w:tcPr>
          <w:p w14:paraId="7C45E209">
            <w:pPr>
              <w:spacing w:line="402" w:lineRule="auto"/>
              <w:rPr>
                <w:rFonts w:ascii="Arial"/>
                <w:sz w:val="21"/>
              </w:rPr>
            </w:pPr>
          </w:p>
          <w:p w14:paraId="00E49452">
            <w:pPr>
              <w:pStyle w:val="54"/>
              <w:spacing w:before="65"/>
              <w:ind w:left="116" w:right="208" w:firstLine="2"/>
            </w:pPr>
            <w:r>
              <w:rPr>
                <w:b/>
                <w:bCs/>
                <w:spacing w:val="7"/>
              </w:rPr>
              <w:t>是否存在“与招标人</w:t>
            </w:r>
            <w:r>
              <w:rPr>
                <w:spacing w:val="1"/>
              </w:rPr>
              <w:t xml:space="preserve"> </w:t>
            </w:r>
            <w:r>
              <w:rPr>
                <w:b/>
                <w:bCs/>
                <w:spacing w:val="4"/>
              </w:rPr>
              <w:t>有利害关系</w:t>
            </w:r>
            <w:r>
              <w:rPr>
                <w:spacing w:val="-69"/>
              </w:rPr>
              <w:t xml:space="preserve"> </w:t>
            </w:r>
            <w:r>
              <w:rPr>
                <w:b/>
                <w:bCs/>
                <w:spacing w:val="4"/>
              </w:rPr>
              <w:t>”的情况</w:t>
            </w:r>
          </w:p>
        </w:tc>
        <w:tc>
          <w:tcPr>
            <w:tcW w:w="6714" w:type="dxa"/>
            <w:vAlign w:val="top"/>
          </w:tcPr>
          <w:p w14:paraId="3A4928B7">
            <w:pPr>
              <w:spacing w:line="402" w:lineRule="auto"/>
              <w:rPr>
                <w:rFonts w:ascii="Arial"/>
                <w:sz w:val="21"/>
              </w:rPr>
            </w:pPr>
          </w:p>
          <w:p w14:paraId="4B0DAE1A">
            <w:pPr>
              <w:pStyle w:val="54"/>
              <w:spacing w:before="65"/>
              <w:ind w:left="133" w:right="107"/>
              <w:rPr>
                <w:spacing w:val="15"/>
              </w:rPr>
            </w:pPr>
            <w:r>
              <w:rPr>
                <w:spacing w:val="7"/>
              </w:rPr>
              <w:t>□是，与招标人的关系为：</w:t>
            </w:r>
            <w:r>
              <w:rPr>
                <w:spacing w:val="2"/>
                <w:u w:val="single" w:color="auto"/>
              </w:rPr>
              <w:t xml:space="preserve">                                   </w:t>
            </w:r>
            <w:r>
              <w:rPr>
                <w:spacing w:val="15"/>
              </w:rPr>
              <w:t xml:space="preserve"> </w:t>
            </w:r>
          </w:p>
          <w:p w14:paraId="5DF5D000">
            <w:pPr>
              <w:pStyle w:val="54"/>
              <w:spacing w:before="65"/>
              <w:ind w:left="133" w:right="107"/>
            </w:pPr>
            <w:r>
              <w:rPr>
                <w:spacing w:val="-5"/>
              </w:rPr>
              <w:t>□否</w:t>
            </w:r>
          </w:p>
        </w:tc>
      </w:tr>
    </w:tbl>
    <w:p w14:paraId="6F946A7F">
      <w:pPr>
        <w:pStyle w:val="9"/>
        <w:spacing w:before="29" w:line="233" w:lineRule="auto"/>
        <w:ind w:left="813"/>
        <w:rPr>
          <w:sz w:val="20"/>
          <w:szCs w:val="20"/>
        </w:rPr>
      </w:pPr>
      <w:r>
        <w:rPr>
          <w:b/>
          <w:bCs/>
          <w:spacing w:val="-2"/>
          <w:sz w:val="20"/>
          <w:szCs w:val="20"/>
        </w:rPr>
        <w:t>注：</w:t>
      </w:r>
    </w:p>
    <w:p w14:paraId="12EC96D8">
      <w:pPr>
        <w:pStyle w:val="9"/>
        <w:spacing w:before="21" w:line="246" w:lineRule="auto"/>
        <w:ind w:left="811" w:right="756" w:firstLine="17"/>
        <w:jc w:val="both"/>
        <w:rPr>
          <w:sz w:val="20"/>
          <w:szCs w:val="20"/>
        </w:rPr>
      </w:pPr>
      <w:r>
        <w:rPr>
          <w:spacing w:val="9"/>
          <w:sz w:val="20"/>
          <w:szCs w:val="20"/>
        </w:rPr>
        <w:t>1、控股是指：其出资额占有限责任公司资本总额百分之五十以上或其持有的股份占股份有 限公司股本总额百分之五十以上的股东；出资</w:t>
      </w:r>
      <w:r>
        <w:rPr>
          <w:spacing w:val="8"/>
          <w:sz w:val="20"/>
          <w:szCs w:val="20"/>
        </w:rPr>
        <w:t>额或者持有股份的比例虽然不足百分之五十，</w:t>
      </w:r>
      <w:r>
        <w:rPr>
          <w:sz w:val="20"/>
          <w:szCs w:val="20"/>
        </w:rPr>
        <w:t xml:space="preserve"> </w:t>
      </w:r>
      <w:r>
        <w:rPr>
          <w:spacing w:val="7"/>
          <w:sz w:val="20"/>
          <w:szCs w:val="20"/>
        </w:rPr>
        <w:t>但依其出资额或者或其持有的股份享有的表决权已足以对股东会、股东大会的决议产生重大</w:t>
      </w:r>
      <w:r>
        <w:rPr>
          <w:spacing w:val="16"/>
          <w:sz w:val="20"/>
          <w:szCs w:val="20"/>
        </w:rPr>
        <w:t xml:space="preserve"> </w:t>
      </w:r>
      <w:r>
        <w:rPr>
          <w:spacing w:val="7"/>
          <w:sz w:val="20"/>
          <w:szCs w:val="20"/>
        </w:rPr>
        <w:t>影响的股东；</w:t>
      </w:r>
    </w:p>
    <w:p w14:paraId="4D906F9A">
      <w:pPr>
        <w:pStyle w:val="9"/>
        <w:spacing w:before="24" w:line="239" w:lineRule="auto"/>
        <w:ind w:left="832" w:right="810" w:hanging="17"/>
        <w:rPr>
          <w:sz w:val="20"/>
          <w:szCs w:val="20"/>
        </w:rPr>
      </w:pPr>
      <w:r>
        <w:rPr>
          <w:spacing w:val="10"/>
          <w:sz w:val="20"/>
          <w:szCs w:val="20"/>
        </w:rPr>
        <w:t>2、投标人需如实填写上述信息，如查实上述信息</w:t>
      </w:r>
      <w:r>
        <w:rPr>
          <w:spacing w:val="9"/>
          <w:sz w:val="20"/>
          <w:szCs w:val="20"/>
        </w:rPr>
        <w:t>与实际不符，视为提供虚假证明材料骗取</w:t>
      </w:r>
      <w:r>
        <w:rPr>
          <w:sz w:val="20"/>
          <w:szCs w:val="20"/>
        </w:rPr>
        <w:t xml:space="preserve"> </w:t>
      </w:r>
      <w:r>
        <w:rPr>
          <w:spacing w:val="7"/>
          <w:sz w:val="20"/>
          <w:szCs w:val="20"/>
        </w:rPr>
        <w:t>中标，投标人应承担相应法律后果。</w:t>
      </w:r>
    </w:p>
    <w:p w14:paraId="0285712E">
      <w:pPr>
        <w:ind w:firstLine="2880" w:firstLineChars="1200"/>
        <w:rPr>
          <w:rFonts w:hint="eastAsia" w:ascii="宋体" w:hAnsi="宋体" w:eastAsia="宋体" w:cs="宋体"/>
          <w:bCs/>
          <w:szCs w:val="32"/>
          <w:highlight w:val="none"/>
          <w:lang w:val="en-US" w:eastAsia="zh-CN"/>
        </w:rPr>
      </w:pPr>
    </w:p>
    <w:p w14:paraId="00985898">
      <w:pPr>
        <w:ind w:firstLine="482" w:firstLineChars="200"/>
        <w:rPr>
          <w:rFonts w:hint="eastAsia" w:ascii="宋体" w:hAnsi="宋体" w:eastAsia="宋体" w:cs="宋体"/>
          <w:b/>
          <w:highlight w:val="none"/>
        </w:rPr>
      </w:pPr>
    </w:p>
    <w:p w14:paraId="71E63224">
      <w:pPr>
        <w:ind w:firstLine="720" w:firstLineChars="300"/>
        <w:rPr>
          <w:rFonts w:hint="eastAsia" w:ascii="宋体" w:hAnsi="宋体" w:eastAsia="宋体" w:cs="宋体"/>
          <w:bCs/>
          <w:szCs w:val="32"/>
          <w:highlight w:val="none"/>
        </w:rPr>
      </w:pPr>
      <w:r>
        <w:rPr>
          <w:rFonts w:hint="eastAsia" w:ascii="宋体" w:hAnsi="宋体" w:eastAsia="宋体" w:cs="宋体"/>
          <w:bCs/>
          <w:szCs w:val="32"/>
          <w:highlight w:val="none"/>
          <w:lang w:val="en-US" w:eastAsia="zh-CN"/>
        </w:rPr>
        <w:t>三、</w:t>
      </w:r>
      <w:r>
        <w:rPr>
          <w:rFonts w:hint="eastAsia" w:ascii="宋体" w:hAnsi="宋体" w:eastAsia="宋体" w:cs="宋体"/>
          <w:bCs/>
          <w:szCs w:val="32"/>
          <w:highlight w:val="none"/>
        </w:rPr>
        <w:t>中小企业声明函、残疾人福利性单位声明函及监狱企业声明函</w:t>
      </w:r>
    </w:p>
    <w:p w14:paraId="5FF0236D">
      <w:pPr>
        <w:ind w:firstLine="48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填写指引：</w:t>
      </w:r>
    </w:p>
    <w:p w14:paraId="13207B6F">
      <w:pPr>
        <w:ind w:firstLine="480" w:firstLineChars="200"/>
        <w:rPr>
          <w:rFonts w:hint="eastAsia" w:ascii="宋体" w:hAnsi="宋体" w:eastAsia="宋体" w:cs="宋体"/>
          <w:color w:val="FF0000"/>
          <w:szCs w:val="21"/>
          <w:highlight w:val="none"/>
        </w:rPr>
      </w:pPr>
      <w:r>
        <w:rPr>
          <w:rFonts w:hint="eastAsia" w:ascii="宋体" w:hAnsi="宋体" w:eastAsia="宋体" w:cs="宋体"/>
          <w:bCs/>
          <w:color w:val="FF0000"/>
          <w:szCs w:val="21"/>
          <w:highlight w:val="none"/>
        </w:rPr>
        <w:t>1、该部分内容由投标人根据自身实际情况填写，不符合要求的投标人可以不填写或直接删除相应的声明函。</w:t>
      </w:r>
      <w:r>
        <w:rPr>
          <w:rFonts w:hint="eastAsia" w:ascii="宋体" w:hAnsi="宋体" w:eastAsia="宋体" w:cs="宋体"/>
          <w:color w:val="FF0000"/>
          <w:szCs w:val="21"/>
          <w:highlight w:val="none"/>
        </w:rPr>
        <w:t>投标人提供的声明函不属实的，属于提供虚假资料谋取中标，依照《中华人民共和国政府采购法》等国家有关规定追究相应责任。</w:t>
      </w:r>
    </w:p>
    <w:p w14:paraId="4AD8266F">
      <w:pPr>
        <w:ind w:firstLine="48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2、该部分内容填写需要参考的相关文件：(1)财政部《政府采购促进中小企业发展管理办法》（财库〔2020〕46号）；(2)</w:t>
      </w:r>
      <w:bookmarkStart w:id="8" w:name="_Hlk71925120"/>
      <w:r>
        <w:rPr>
          <w:rFonts w:hint="eastAsia" w:ascii="宋体" w:hAnsi="宋体" w:eastAsia="宋体" w:cs="宋体"/>
          <w:color w:val="FF0000"/>
          <w:szCs w:val="21"/>
          <w:highlight w:val="none"/>
        </w:rPr>
        <w:t>《工业和信息化部、国家统计局、国家发展和改革委员会、财政部关于印发中小企业划型标准规定的通知》（工信部联企业〔2011〕300号</w:t>
      </w:r>
      <w:bookmarkEnd w:id="8"/>
      <w:r>
        <w:rPr>
          <w:rFonts w:hint="eastAsia" w:ascii="宋体" w:hAnsi="宋体" w:eastAsia="宋体" w:cs="宋体"/>
          <w:color w:val="FF0000"/>
          <w:szCs w:val="21"/>
          <w:highlight w:val="none"/>
        </w:rPr>
        <w:t>，以下简称300号文）。</w:t>
      </w:r>
    </w:p>
    <w:p w14:paraId="170B6A96">
      <w:pPr>
        <w:ind w:firstLine="48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(1)《政府采购促进中小企业发展管理办法》（财库〔2020〕46号），链接：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"http://www.ccgp.gov.cn/news/202012/t20201229_15715888.htm" </w:instrText>
      </w:r>
      <w:r>
        <w:rPr>
          <w:rFonts w:hint="eastAsia" w:ascii="宋体" w:hAnsi="宋体" w:eastAsia="宋体" w:cs="宋体"/>
          <w:highlight w:val="none"/>
        </w:rPr>
        <w:fldChar w:fldCharType="separate"/>
      </w:r>
      <w:r>
        <w:rPr>
          <w:rStyle w:val="28"/>
          <w:rFonts w:hint="eastAsia" w:ascii="宋体" w:hAnsi="宋体" w:eastAsia="宋体" w:cs="宋体"/>
          <w:szCs w:val="21"/>
          <w:highlight w:val="none"/>
        </w:rPr>
        <w:t>www.ccgp.gov.cn/news/202012/t20201229_15715888.htm</w:t>
      </w:r>
      <w:r>
        <w:rPr>
          <w:rStyle w:val="28"/>
          <w:rFonts w:hint="eastAsia" w:ascii="宋体" w:hAnsi="宋体" w:eastAsia="宋体" w:cs="宋体"/>
          <w:szCs w:val="21"/>
          <w:highlight w:val="none"/>
        </w:rPr>
        <w:fldChar w:fldCharType="end"/>
      </w:r>
    </w:p>
    <w:p w14:paraId="6AD2F815">
      <w:pPr>
        <w:ind w:firstLine="48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(2)《关于印发中小企业划型标准规定的通知》（工信部联企业〔2011〕300 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"http://www.gov.cn/zwgk/2011-07/04/content_1898747.htm" </w:instrText>
      </w:r>
      <w:r>
        <w:rPr>
          <w:rFonts w:hint="eastAsia" w:ascii="宋体" w:hAnsi="宋体" w:eastAsia="宋体" w:cs="宋体"/>
          <w:highlight w:val="none"/>
        </w:rPr>
        <w:fldChar w:fldCharType="separate"/>
      </w:r>
      <w:r>
        <w:rPr>
          <w:rStyle w:val="28"/>
          <w:rFonts w:hint="eastAsia" w:ascii="宋体" w:hAnsi="宋体" w:eastAsia="宋体" w:cs="宋体"/>
          <w:szCs w:val="21"/>
          <w:highlight w:val="none"/>
        </w:rPr>
        <w:t>www.gov.cn/zwgk/2011-07/04/content_1898747.htm</w:t>
      </w:r>
      <w:r>
        <w:rPr>
          <w:rStyle w:val="28"/>
          <w:rFonts w:hint="eastAsia" w:ascii="宋体" w:hAnsi="宋体" w:eastAsia="宋体" w:cs="宋体"/>
          <w:szCs w:val="21"/>
          <w:highlight w:val="none"/>
        </w:rPr>
        <w:fldChar w:fldCharType="end"/>
      </w:r>
    </w:p>
    <w:p w14:paraId="2FCA597D">
      <w:pPr>
        <w:ind w:firstLine="48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(3)《统计上大中小微型企业划分办法(2017)》（国统字〔2017〕213 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"http://www.stats.gov.cn/tjsj/tjbz/201801/t20180103_1569357.html" </w:instrText>
      </w:r>
      <w:r>
        <w:rPr>
          <w:rFonts w:hint="eastAsia" w:ascii="宋体" w:hAnsi="宋体" w:eastAsia="宋体" w:cs="宋体"/>
          <w:highlight w:val="none"/>
        </w:rPr>
        <w:fldChar w:fldCharType="separate"/>
      </w:r>
      <w:r>
        <w:rPr>
          <w:rStyle w:val="28"/>
          <w:rFonts w:hint="eastAsia" w:ascii="宋体" w:hAnsi="宋体" w:eastAsia="宋体" w:cs="宋体"/>
          <w:szCs w:val="21"/>
          <w:highlight w:val="none"/>
        </w:rPr>
        <w:t>www.stats.gov.cn/tjsj/tjbz/201801/t20180103_1569357.html</w:t>
      </w:r>
      <w:r>
        <w:rPr>
          <w:rStyle w:val="28"/>
          <w:rFonts w:hint="eastAsia" w:ascii="宋体" w:hAnsi="宋体" w:eastAsia="宋体" w:cs="宋体"/>
          <w:szCs w:val="21"/>
          <w:highlight w:val="none"/>
        </w:rPr>
        <w:fldChar w:fldCharType="end"/>
      </w:r>
    </w:p>
    <w:p w14:paraId="2DCC20AB">
      <w:pPr>
        <w:ind w:firstLine="48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(4)《关于促进残疾人就业政府采购政策的通知》（财库〔2017〕141号），链接：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"http://www.ccgp.gov.cn/zcfg/mof/201709/t20170904_8787205.shtml" </w:instrText>
      </w:r>
      <w:r>
        <w:rPr>
          <w:rFonts w:hint="eastAsia" w:ascii="宋体" w:hAnsi="宋体" w:eastAsia="宋体" w:cs="宋体"/>
          <w:highlight w:val="none"/>
        </w:rPr>
        <w:fldChar w:fldCharType="separate"/>
      </w:r>
      <w:r>
        <w:rPr>
          <w:rStyle w:val="28"/>
          <w:rFonts w:hint="eastAsia" w:ascii="宋体" w:hAnsi="宋体" w:eastAsia="宋体" w:cs="宋体"/>
          <w:szCs w:val="21"/>
          <w:highlight w:val="none"/>
        </w:rPr>
        <w:t>www.ccgp.gov.cn/zcfg/mof/201709/t20170904_8787205.shtml</w:t>
      </w:r>
      <w:r>
        <w:rPr>
          <w:rStyle w:val="28"/>
          <w:rFonts w:hint="eastAsia" w:ascii="宋体" w:hAnsi="宋体" w:eastAsia="宋体" w:cs="宋体"/>
          <w:szCs w:val="21"/>
          <w:highlight w:val="none"/>
        </w:rPr>
        <w:fldChar w:fldCharType="end"/>
      </w:r>
    </w:p>
    <w:p w14:paraId="14A7C4F8">
      <w:pPr>
        <w:ind w:firstLine="48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(5)《关于政府采购支持监狱企业发展有关问题的通知》（财库〔2014〕68号），链接：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"http://www.ccgp.gov.cn/zcfg/mof/201406/t20140616_4619272.htm" </w:instrText>
      </w:r>
      <w:r>
        <w:rPr>
          <w:rFonts w:hint="eastAsia" w:ascii="宋体" w:hAnsi="宋体" w:eastAsia="宋体" w:cs="宋体"/>
          <w:highlight w:val="none"/>
        </w:rPr>
        <w:fldChar w:fldCharType="separate"/>
      </w:r>
      <w:r>
        <w:rPr>
          <w:rStyle w:val="28"/>
          <w:rFonts w:hint="eastAsia" w:ascii="宋体" w:hAnsi="宋体" w:eastAsia="宋体" w:cs="宋体"/>
          <w:szCs w:val="21"/>
          <w:highlight w:val="none"/>
        </w:rPr>
        <w:t>www.ccgp.gov.cn/zcfg/mof/201406/t20140616_4619272.htm</w:t>
      </w:r>
      <w:r>
        <w:rPr>
          <w:rStyle w:val="28"/>
          <w:rFonts w:hint="eastAsia" w:ascii="宋体" w:hAnsi="宋体" w:eastAsia="宋体" w:cs="宋体"/>
          <w:szCs w:val="21"/>
          <w:highlight w:val="none"/>
        </w:rPr>
        <w:fldChar w:fldCharType="end"/>
      </w:r>
    </w:p>
    <w:p w14:paraId="29BA9D79">
      <w:pPr>
        <w:ind w:firstLine="48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3、请依照提供的格式和内容填写声明函，不要随意变更格式；声明函不需要盖章或签字；</w:t>
      </w:r>
      <w:r>
        <w:rPr>
          <w:rFonts w:hint="eastAsia" w:ascii="宋体" w:hAnsi="宋体" w:eastAsia="宋体" w:cs="宋体"/>
          <w:color w:val="FF0000"/>
          <w:szCs w:val="21"/>
          <w:highlight w:val="none"/>
        </w:rPr>
        <w:t>满足多项优惠政策的投标人，不重复享受多项价格扣除政策。</w:t>
      </w:r>
    </w:p>
    <w:p w14:paraId="39DCC341">
      <w:pPr>
        <w:ind w:firstLine="48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4、声明函具体填写要求：</w:t>
      </w:r>
    </w:p>
    <w:p w14:paraId="6E056C2C">
      <w:pPr>
        <w:ind w:firstLine="48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（1）声明是中小企业须填写《中小企业声明函》的以下内容：</w:t>
      </w:r>
    </w:p>
    <w:p w14:paraId="27CD5A93">
      <w:pPr>
        <w:ind w:firstLine="48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第一处，在“单位名称”下划线处如实填写采购人名称（深圳公共资源交易中心不是本项目的采购人，而是组织实施机构）；</w:t>
      </w:r>
    </w:p>
    <w:p w14:paraId="35168439">
      <w:pPr>
        <w:ind w:firstLine="48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第二处，在“项目名称”下划线处如实填写采购项目名称；</w:t>
      </w:r>
    </w:p>
    <w:p w14:paraId="58A2099F">
      <w:pPr>
        <w:ind w:firstLine="48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第三处，在“标的名称”下划线处填写所采购服务（标的）的具体名称（以</w:t>
      </w:r>
      <w:bookmarkStart w:id="9" w:name="_Hlk72259001"/>
      <w:r>
        <w:rPr>
          <w:rFonts w:hint="eastAsia" w:ascii="宋体" w:hAnsi="宋体" w:eastAsia="宋体" w:cs="宋体"/>
          <w:bCs/>
          <w:color w:val="FF0000"/>
          <w:szCs w:val="21"/>
          <w:highlight w:val="none"/>
        </w:rPr>
        <w:t>招标文件第一册第三章</w:t>
      </w:r>
      <w:bookmarkEnd w:id="9"/>
      <w:r>
        <w:rPr>
          <w:rFonts w:hint="eastAsia" w:ascii="宋体" w:hAnsi="宋体" w:eastAsia="宋体" w:cs="宋体"/>
          <w:bCs/>
          <w:color w:val="FF0000"/>
          <w:szCs w:val="21"/>
          <w:highlight w:val="none"/>
        </w:rPr>
        <w:t>用户需求书“服务需求明细”的“服务需求名称”一栏为准）；如果涉及多个服务需求（标的）由同一企业承接，“标的名称”下划线处可以如实填写多个服务需求（标的）；</w:t>
      </w:r>
    </w:p>
    <w:p w14:paraId="6238CF74">
      <w:pPr>
        <w:ind w:firstLine="48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第四处，在“招标文件中明确的所属行业”下划线处填写采购标的对应的中小企业划分标准所属行业（所属行业可在招标文件第一册第二章“对通用条款的补充内容及其他关键信息”章节查看）；</w:t>
      </w:r>
    </w:p>
    <w:p w14:paraId="1ED74D93">
      <w:pPr>
        <w:ind w:firstLine="48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5E8D9B7D">
      <w:pPr>
        <w:ind w:firstLine="48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（2）声明是残疾人福利性单位须填写《残疾人福利性单位声明函》的相关内容（填写位置的字体已加粗），具体参照以上《中小企业声明函》填写要求执行。</w:t>
      </w:r>
    </w:p>
    <w:p w14:paraId="12DD1183">
      <w:pPr>
        <w:ind w:firstLine="48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（3）声明是监狱企业须填写《监狱企业声明函》的相关内容（填写位置的字体已加粗），具体参照以上《中小企业声明函》填写要求执行。</w:t>
      </w:r>
    </w:p>
    <w:p w14:paraId="3628F8B0">
      <w:pPr>
        <w:ind w:firstLine="480" w:firstLineChars="200"/>
        <w:rPr>
          <w:rFonts w:hint="eastAsia" w:ascii="宋体" w:hAnsi="宋体" w:eastAsia="宋体" w:cs="宋体"/>
          <w:highlight w:val="none"/>
        </w:rPr>
      </w:pPr>
      <w:r>
        <w:rPr>
          <w:rFonts w:hint="eastAsia" w:ascii="宋体" w:hAnsi="宋体" w:eastAsia="宋体" w:cs="宋体"/>
          <w:bCs/>
          <w:color w:val="FF0000"/>
          <w:szCs w:val="21"/>
          <w:highlight w:val="none"/>
        </w:rPr>
        <w:t>5、声明函的有效性最终由评审委员会判定；如评审委员会判定声明函无效，相关供应商不享受</w:t>
      </w:r>
      <w:r>
        <w:rPr>
          <w:rFonts w:hint="eastAsia" w:ascii="宋体" w:hAnsi="宋体" w:eastAsia="宋体" w:cs="宋体"/>
          <w:color w:val="FF0000"/>
          <w:szCs w:val="21"/>
          <w:highlight w:val="none"/>
        </w:rPr>
        <w:t>价格扣除</w:t>
      </w:r>
      <w:r>
        <w:rPr>
          <w:rFonts w:hint="eastAsia" w:ascii="宋体" w:hAnsi="宋体" w:eastAsia="宋体" w:cs="宋体"/>
          <w:bCs/>
          <w:color w:val="FF0000"/>
          <w:szCs w:val="21"/>
          <w:highlight w:val="none"/>
        </w:rPr>
        <w:t>（但不作投标无效处理）。</w:t>
      </w:r>
    </w:p>
    <w:p w14:paraId="75E4FA01">
      <w:pPr>
        <w:ind w:firstLine="480" w:firstLineChars="200"/>
        <w:rPr>
          <w:rFonts w:hint="eastAsia" w:ascii="宋体" w:hAnsi="宋体" w:eastAsia="宋体" w:cs="宋体"/>
          <w:highlight w:val="none"/>
        </w:rPr>
      </w:pPr>
    </w:p>
    <w:p w14:paraId="7A25BD6A">
      <w:pPr>
        <w:ind w:firstLine="480" w:firstLineChars="200"/>
        <w:rPr>
          <w:rFonts w:hint="eastAsia" w:ascii="宋体" w:hAnsi="宋体" w:eastAsia="宋体" w:cs="宋体"/>
          <w:highlight w:val="none"/>
        </w:rPr>
      </w:pPr>
    </w:p>
    <w:p w14:paraId="41AEEFBC">
      <w:pPr>
        <w:jc w:val="center"/>
        <w:rPr>
          <w:rFonts w:hint="eastAsia" w:ascii="宋体" w:hAnsi="宋体" w:eastAsia="宋体" w:cs="宋体"/>
          <w:b/>
          <w:highlight w:val="none"/>
        </w:rPr>
      </w:pPr>
      <w:r>
        <w:rPr>
          <w:rFonts w:hint="eastAsia" w:ascii="宋体" w:hAnsi="宋体" w:eastAsia="宋体" w:cs="宋体"/>
          <w:b/>
          <w:highlight w:val="none"/>
        </w:rPr>
        <w:t>1、中小企业声明函（服务</w:t>
      </w:r>
      <w:r>
        <w:rPr>
          <w:rFonts w:hint="eastAsia" w:ascii="宋体" w:hAnsi="宋体" w:eastAsia="宋体" w:cs="宋体"/>
          <w:b/>
          <w:highlight w:val="none"/>
          <w:lang w:val="en-US" w:eastAsia="zh-CN"/>
        </w:rPr>
        <w:t>类</w:t>
      </w:r>
      <w:r>
        <w:rPr>
          <w:rFonts w:hint="eastAsia" w:ascii="宋体" w:hAnsi="宋体" w:eastAsia="宋体" w:cs="宋体"/>
          <w:b/>
          <w:highlight w:val="none"/>
        </w:rPr>
        <w:t>）</w:t>
      </w:r>
    </w:p>
    <w:p w14:paraId="01DC47F2">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本投标人郑重声明，根据《政府采购促进中小企业发展管理办法》（财库﹝2020﹞46号）的规定，本投标人参加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采购活动，服务全部由符合政策要求的中小企业承接。相关企业的具体情况如下：</w:t>
      </w:r>
    </w:p>
    <w:p w14:paraId="4701F954">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（招标文件中明确的所属行业）</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万元，属于</w:t>
      </w:r>
      <w:r>
        <w:rPr>
          <w:rFonts w:hint="eastAsia" w:ascii="宋体" w:hAnsi="宋体" w:eastAsia="宋体" w:cs="宋体"/>
          <w:b/>
          <w:bCs/>
          <w:szCs w:val="21"/>
          <w:highlight w:val="none"/>
          <w:u w:val="single"/>
        </w:rPr>
        <w:t>（中型企业、小型企业、微型企业）</w:t>
      </w:r>
      <w:r>
        <w:rPr>
          <w:rFonts w:hint="eastAsia" w:ascii="宋体" w:hAnsi="宋体" w:eastAsia="宋体" w:cs="宋体"/>
          <w:szCs w:val="21"/>
          <w:highlight w:val="none"/>
        </w:rPr>
        <w:t>；</w:t>
      </w:r>
    </w:p>
    <w:p w14:paraId="795A821F">
      <w:pPr>
        <w:ind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（招标文件中明确的所属行业）</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万元，属于</w:t>
      </w:r>
      <w:r>
        <w:rPr>
          <w:rFonts w:hint="eastAsia" w:ascii="宋体" w:hAnsi="宋体" w:eastAsia="宋体" w:cs="宋体"/>
          <w:b/>
          <w:bCs/>
          <w:szCs w:val="21"/>
          <w:highlight w:val="none"/>
          <w:u w:val="single"/>
        </w:rPr>
        <w:t>（中型企业、小型企业、微型企业）</w:t>
      </w:r>
      <w:r>
        <w:rPr>
          <w:rFonts w:hint="eastAsia" w:ascii="宋体" w:hAnsi="宋体" w:eastAsia="宋体" w:cs="宋体"/>
          <w:szCs w:val="21"/>
          <w:highlight w:val="none"/>
        </w:rPr>
        <w:t>；</w:t>
      </w:r>
    </w:p>
    <w:p w14:paraId="1CF34861">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w:t>
      </w:r>
    </w:p>
    <w:p w14:paraId="7A1A925C">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以上企业，不属于大企业的分支机构，不存在控股股东为大企业的情形，也不存在与大企业的负责人为同一人的情形。</w:t>
      </w:r>
    </w:p>
    <w:p w14:paraId="30D87845">
      <w:pPr>
        <w:ind w:firstLine="480" w:firstLineChars="200"/>
        <w:rPr>
          <w:rFonts w:hint="eastAsia" w:ascii="宋体" w:hAnsi="宋体" w:eastAsia="宋体" w:cs="宋体"/>
          <w:bCs/>
          <w:color w:val="FF0000"/>
          <w:szCs w:val="21"/>
          <w:highlight w:val="none"/>
        </w:rPr>
      </w:pPr>
      <w:bookmarkStart w:id="10" w:name="_Hlk73562275"/>
      <w:r>
        <w:rPr>
          <w:rFonts w:hint="eastAsia" w:ascii="宋体" w:hAnsi="宋体" w:eastAsia="宋体" w:cs="宋体"/>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10"/>
    </w:p>
    <w:p w14:paraId="072EF56D">
      <w:pPr>
        <w:ind w:firstLine="480" w:firstLineChars="200"/>
        <w:rPr>
          <w:rFonts w:hint="eastAsia" w:ascii="宋体" w:hAnsi="宋体" w:eastAsia="宋体" w:cs="宋体"/>
          <w:szCs w:val="21"/>
          <w:highlight w:val="none"/>
        </w:rPr>
      </w:pPr>
    </w:p>
    <w:p w14:paraId="14C2CEAB">
      <w:pPr>
        <w:spacing w:after="78" w:afterLines="25" w:line="300" w:lineRule="auto"/>
        <w:ind w:firstLine="482" w:firstLineChars="200"/>
        <w:rPr>
          <w:rFonts w:hint="eastAsia" w:ascii="宋体" w:hAnsi="宋体" w:eastAsia="宋体" w:cs="宋体"/>
          <w:color w:val="FF0000"/>
          <w:szCs w:val="21"/>
          <w:highlight w:val="none"/>
        </w:rPr>
      </w:pPr>
      <w:r>
        <w:rPr>
          <w:rFonts w:hint="eastAsia" w:ascii="宋体" w:hAnsi="宋体" w:eastAsia="宋体" w:cs="宋体"/>
          <w:b/>
          <w:color w:val="FF0000"/>
          <w:szCs w:val="21"/>
          <w:highlight w:val="none"/>
        </w:rPr>
        <w:t>说明：</w:t>
      </w:r>
      <w:r>
        <w:rPr>
          <w:rFonts w:hint="eastAsia" w:ascii="宋体" w:hAnsi="宋体" w:eastAsia="宋体" w:cs="宋体"/>
          <w:color w:val="FF0000"/>
          <w:szCs w:val="21"/>
          <w:highlight w:val="none"/>
        </w:rPr>
        <w:t>对中小企业的认定，由货物制造商或者工程、服务供应商注册登记所在地的县级以上人民政府中小企业主管部门负责。</w:t>
      </w:r>
      <w:r>
        <w:rPr>
          <w:rFonts w:hint="eastAsia" w:ascii="宋体" w:hAnsi="宋体" w:eastAsia="宋体" w:cs="宋体"/>
          <w:color w:val="0000FF"/>
          <w:szCs w:val="21"/>
          <w:highlight w:val="none"/>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06B44988">
      <w:pPr>
        <w:ind w:firstLine="480" w:firstLineChars="200"/>
        <w:rPr>
          <w:rFonts w:hint="eastAsia" w:ascii="宋体" w:hAnsi="宋体" w:eastAsia="宋体" w:cs="宋体"/>
          <w:highlight w:val="none"/>
        </w:rPr>
      </w:pPr>
    </w:p>
    <w:p w14:paraId="5C513267">
      <w:pPr>
        <w:jc w:val="center"/>
        <w:rPr>
          <w:rFonts w:hint="eastAsia" w:ascii="宋体" w:hAnsi="宋体" w:eastAsia="宋体" w:cs="宋体"/>
          <w:b/>
          <w:highlight w:val="none"/>
        </w:rPr>
      </w:pPr>
      <w:r>
        <w:rPr>
          <w:rFonts w:hint="eastAsia" w:ascii="宋体" w:hAnsi="宋体" w:eastAsia="宋体" w:cs="宋体"/>
          <w:b/>
          <w:highlight w:val="none"/>
        </w:rPr>
        <w:t>2、残疾人福利性单位声明函（服务类）</w:t>
      </w:r>
    </w:p>
    <w:p w14:paraId="031BAF7C">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本投标人郑重声明，根据《财政部民政部中国残疾人联合会关于促进残疾人就业政府采购政策的通知》（财库〔2017〕141号）的规定，本投标人参加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采购活动，服务全部由符合政策要求的残疾人福利性单位承接。相关残疾人福利性单位的具体情况如下：</w:t>
      </w:r>
    </w:p>
    <w:p w14:paraId="3C583C41">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，承接企业为</w:t>
      </w:r>
      <w:r>
        <w:rPr>
          <w:rFonts w:hint="eastAsia" w:ascii="宋体" w:hAnsi="宋体" w:eastAsia="宋体" w:cs="宋体"/>
          <w:b/>
          <w:bCs/>
          <w:szCs w:val="21"/>
          <w:highlight w:val="none"/>
          <w:u w:val="single"/>
        </w:rPr>
        <w:t>（单位名称）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残疾人福利性单位</w:t>
      </w:r>
      <w:r>
        <w:rPr>
          <w:rFonts w:hint="eastAsia" w:ascii="宋体" w:hAnsi="宋体" w:eastAsia="宋体" w:cs="宋体"/>
          <w:szCs w:val="21"/>
          <w:highlight w:val="none"/>
        </w:rPr>
        <w:t>；</w:t>
      </w:r>
    </w:p>
    <w:p w14:paraId="46AEDC0B">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，承接企业为</w:t>
      </w:r>
      <w:r>
        <w:rPr>
          <w:rFonts w:hint="eastAsia" w:ascii="宋体" w:hAnsi="宋体" w:eastAsia="宋体" w:cs="宋体"/>
          <w:b/>
          <w:bCs/>
          <w:szCs w:val="21"/>
          <w:highlight w:val="none"/>
          <w:u w:val="single"/>
        </w:rPr>
        <w:t>（单位名称）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残疾人福利性单位</w:t>
      </w:r>
      <w:r>
        <w:rPr>
          <w:rFonts w:hint="eastAsia" w:ascii="宋体" w:hAnsi="宋体" w:eastAsia="宋体" w:cs="宋体"/>
          <w:szCs w:val="21"/>
          <w:highlight w:val="none"/>
        </w:rPr>
        <w:t>。</w:t>
      </w:r>
    </w:p>
    <w:p w14:paraId="19B2AA9D">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w:t>
      </w:r>
    </w:p>
    <w:p w14:paraId="6669A752">
      <w:pPr>
        <w:ind w:firstLine="480" w:firstLineChars="200"/>
        <w:rPr>
          <w:rFonts w:hint="eastAsia" w:ascii="宋体" w:hAnsi="宋体" w:eastAsia="宋体" w:cs="宋体"/>
          <w:szCs w:val="21"/>
          <w:highlight w:val="none"/>
        </w:rPr>
      </w:pPr>
      <w:r>
        <w:rPr>
          <w:rFonts w:hint="eastAsia" w:ascii="宋体" w:hAnsi="宋体" w:eastAsia="宋体" w:cs="宋体"/>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9E0A26">
      <w:pPr>
        <w:ind w:firstLine="480" w:firstLineChars="200"/>
        <w:rPr>
          <w:rFonts w:hint="eastAsia" w:ascii="宋体" w:hAnsi="宋体" w:eastAsia="宋体" w:cs="宋体"/>
          <w:szCs w:val="21"/>
          <w:highlight w:val="none"/>
        </w:rPr>
      </w:pPr>
    </w:p>
    <w:p w14:paraId="0BE84EFB">
      <w:pPr>
        <w:spacing w:after="78" w:afterLines="25" w:line="300" w:lineRule="auto"/>
        <w:ind w:firstLine="482" w:firstLineChars="200"/>
        <w:rPr>
          <w:rFonts w:hint="eastAsia" w:ascii="宋体" w:hAnsi="宋体" w:eastAsia="宋体" w:cs="宋体"/>
          <w:color w:val="FF0000"/>
          <w:szCs w:val="21"/>
          <w:highlight w:val="none"/>
        </w:rPr>
      </w:pPr>
      <w:r>
        <w:rPr>
          <w:rFonts w:hint="eastAsia" w:ascii="宋体" w:hAnsi="宋体" w:eastAsia="宋体" w:cs="宋体"/>
          <w:b/>
          <w:color w:val="FF0000"/>
          <w:szCs w:val="21"/>
          <w:highlight w:val="none"/>
        </w:rPr>
        <w:t>说明：</w:t>
      </w:r>
      <w:r>
        <w:rPr>
          <w:rFonts w:hint="eastAsia" w:ascii="宋体" w:hAnsi="宋体" w:eastAsia="宋体" w:cs="宋体"/>
          <w:color w:val="FF0000"/>
          <w:szCs w:val="21"/>
          <w:highlight w:val="none"/>
        </w:rPr>
        <w:t>根据财库〔2017〕141号文件的规定,享受政府采购支持政策的残疾人福利性单位应当同时满足以下条件：</w:t>
      </w:r>
    </w:p>
    <w:p w14:paraId="0073298D">
      <w:pPr>
        <w:spacing w:after="78" w:afterLines="25" w:line="300" w:lineRule="auto"/>
        <w:ind w:firstLine="48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（一）</w:t>
      </w:r>
      <w:r>
        <w:rPr>
          <w:rFonts w:hint="eastAsia" w:ascii="宋体" w:hAnsi="宋体" w:eastAsia="宋体" w:cs="宋体"/>
          <w:b/>
          <w:color w:val="FF0000"/>
          <w:szCs w:val="21"/>
          <w:highlight w:val="none"/>
        </w:rPr>
        <w:t>安置的残疾人占本单位在职职工人数的比例不低于25（含25），并且安置的残疾人人数不少于10人（含10人）</w:t>
      </w:r>
      <w:r>
        <w:rPr>
          <w:rFonts w:hint="eastAsia" w:ascii="宋体" w:hAnsi="宋体" w:eastAsia="宋体" w:cs="宋体"/>
          <w:color w:val="FF0000"/>
          <w:szCs w:val="21"/>
          <w:highlight w:val="none"/>
        </w:rPr>
        <w:t>；</w:t>
      </w:r>
    </w:p>
    <w:p w14:paraId="47FB127E">
      <w:pPr>
        <w:spacing w:after="78" w:afterLines="25" w:line="300" w:lineRule="auto"/>
        <w:ind w:firstLine="48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（二）依法与安置的每位残疾人签订了一年以上（含一年）的劳动合同或服务协议；</w:t>
      </w:r>
    </w:p>
    <w:p w14:paraId="193DCD8C">
      <w:pPr>
        <w:spacing w:after="78" w:afterLines="25" w:line="300" w:lineRule="auto"/>
        <w:ind w:firstLine="48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（三）为安置的每位残疾人按月足额缴纳了基本养老保险、基本医疗保险、失业保险、工伤保险和生育保险等社会保险费；</w:t>
      </w:r>
    </w:p>
    <w:p w14:paraId="5A078FBA">
      <w:pPr>
        <w:spacing w:after="78" w:afterLines="25" w:line="300" w:lineRule="auto"/>
        <w:ind w:firstLine="48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（四）通过银行等金融机构向安置的每位残疾人，按月支付了不低于单位所在区县适用的经省级人民政府批准的月最低工资标准的工资；</w:t>
      </w:r>
    </w:p>
    <w:p w14:paraId="6052763C">
      <w:pPr>
        <w:ind w:firstLine="48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B3AC58C">
      <w:pPr>
        <w:ind w:firstLine="480" w:firstLineChars="200"/>
        <w:rPr>
          <w:rFonts w:hint="eastAsia" w:ascii="宋体" w:hAnsi="宋体" w:eastAsia="宋体" w:cs="宋体"/>
          <w:szCs w:val="21"/>
          <w:highlight w:val="none"/>
        </w:rPr>
      </w:pPr>
    </w:p>
    <w:p w14:paraId="477D69F0">
      <w:pPr>
        <w:ind w:firstLine="480" w:firstLineChars="200"/>
        <w:rPr>
          <w:rFonts w:hint="eastAsia" w:ascii="宋体" w:hAnsi="宋体" w:eastAsia="宋体" w:cs="宋体"/>
          <w:szCs w:val="21"/>
          <w:highlight w:val="none"/>
        </w:rPr>
      </w:pPr>
    </w:p>
    <w:p w14:paraId="2ABB3ABC">
      <w:pPr>
        <w:jc w:val="center"/>
        <w:rPr>
          <w:rFonts w:hint="eastAsia" w:ascii="宋体" w:hAnsi="宋体" w:eastAsia="宋体" w:cs="宋体"/>
          <w:b/>
          <w:highlight w:val="none"/>
        </w:rPr>
      </w:pPr>
      <w:r>
        <w:rPr>
          <w:rFonts w:hint="eastAsia" w:ascii="宋体" w:hAnsi="宋体" w:eastAsia="宋体" w:cs="宋体"/>
          <w:b/>
          <w:highlight w:val="none"/>
        </w:rPr>
        <w:t>3、监狱企业声明函【服务类，监狱企业如需享受优惠政策，还须另行提供省级以上监狱管理局、戒毒管理局（含新疆生产建设兵团）出具的监狱企业证明文件】</w:t>
      </w:r>
    </w:p>
    <w:p w14:paraId="1B6204CF">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本投标人郑重声明，根据《财政部司法部关于政府采购支持监狱企业发展有关问题的通知》（财库〔2014〕68号）的规定，本投标人参加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采购活动，服务全部由符合政策要求的监狱企业承接。相关监狱企业的具体情况如下：</w:t>
      </w:r>
    </w:p>
    <w:p w14:paraId="705B82CD">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，承接单位为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监狱企业</w:t>
      </w:r>
      <w:r>
        <w:rPr>
          <w:rFonts w:hint="eastAsia" w:ascii="宋体" w:hAnsi="宋体" w:eastAsia="宋体" w:cs="宋体"/>
          <w:szCs w:val="21"/>
          <w:highlight w:val="none"/>
        </w:rPr>
        <w:t>；</w:t>
      </w:r>
    </w:p>
    <w:p w14:paraId="49DEF224">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，承接单位为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监狱企业</w:t>
      </w:r>
      <w:r>
        <w:rPr>
          <w:rFonts w:hint="eastAsia" w:ascii="宋体" w:hAnsi="宋体" w:eastAsia="宋体" w:cs="宋体"/>
          <w:szCs w:val="21"/>
          <w:highlight w:val="none"/>
        </w:rPr>
        <w:t>。</w:t>
      </w:r>
    </w:p>
    <w:p w14:paraId="3536CCA2">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w:t>
      </w:r>
    </w:p>
    <w:p w14:paraId="3D95015A">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本投标人对上述声明内容的真实性负责。如有虚假，将依法承担相应责任。</w:t>
      </w:r>
    </w:p>
    <w:p w14:paraId="01B34961">
      <w:pPr>
        <w:ind w:firstLine="480" w:firstLineChars="200"/>
        <w:rPr>
          <w:rFonts w:hint="eastAsia" w:ascii="宋体" w:hAnsi="宋体" w:eastAsia="宋体" w:cs="宋体"/>
          <w:b/>
          <w:highlight w:val="none"/>
        </w:rPr>
      </w:pPr>
      <w:r>
        <w:rPr>
          <w:rFonts w:hint="eastAsia" w:ascii="宋体" w:hAnsi="宋体" w:eastAsia="宋体" w:cs="宋体"/>
          <w:szCs w:val="21"/>
          <w:highlight w:val="none"/>
        </w:rPr>
        <w:t>附：省级以上监狱管理局、戒毒管理局（含新疆生产建设兵团）出具的监狱企业证明文件。</w:t>
      </w:r>
    </w:p>
    <w:p w14:paraId="08B6CABA">
      <w:pPr>
        <w:spacing w:after="78" w:afterLines="25" w:line="300" w:lineRule="auto"/>
        <w:ind w:firstLine="482" w:firstLineChars="200"/>
        <w:jc w:val="center"/>
        <w:rPr>
          <w:rFonts w:hint="eastAsia" w:ascii="宋体" w:hAnsi="宋体" w:eastAsia="宋体" w:cs="宋体"/>
          <w:b/>
          <w:highlight w:val="none"/>
        </w:rPr>
      </w:pPr>
      <w:r>
        <w:rPr>
          <w:rFonts w:hint="eastAsia" w:ascii="宋体" w:hAnsi="宋体" w:eastAsia="宋体" w:cs="宋体"/>
          <w:b/>
          <w:highlight w:val="none"/>
        </w:rPr>
        <w:t>4、含有优惠主体的联合体声明函</w:t>
      </w:r>
    </w:p>
    <w:p w14:paraId="6B1119FB">
      <w:pPr>
        <w:spacing w:after="78" w:afterLines="25" w:line="30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（供应商名称、供应商名称）  </w:t>
      </w:r>
      <w:r>
        <w:rPr>
          <w:rFonts w:hint="eastAsia" w:ascii="宋体" w:hAnsi="宋体" w:eastAsia="宋体" w:cs="宋体"/>
          <w:szCs w:val="21"/>
          <w:highlight w:val="none"/>
        </w:rPr>
        <w:t>共同组成联合体（详见联合体协议）。本联合体参加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采购活动，郑重声明：</w:t>
      </w:r>
    </w:p>
    <w:p w14:paraId="1C583564">
      <w:pPr>
        <w:spacing w:after="78" w:afterLines="25" w:line="30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 xml:space="preserve">（招标文件中明确的所属行业） </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 ，属于</w:t>
      </w:r>
      <w:r>
        <w:rPr>
          <w:rFonts w:hint="eastAsia" w:ascii="宋体" w:hAnsi="宋体" w:eastAsia="宋体" w:cs="宋体"/>
          <w:b/>
          <w:bCs/>
          <w:szCs w:val="21"/>
          <w:highlight w:val="none"/>
          <w:u w:val="single"/>
        </w:rPr>
        <w:t>（小型企业、微型企业、监狱企业、残疾人福利性单位）</w:t>
      </w:r>
      <w:r>
        <w:rPr>
          <w:rFonts w:hint="eastAsia" w:ascii="宋体" w:hAnsi="宋体" w:eastAsia="宋体" w:cs="宋体"/>
          <w:szCs w:val="21"/>
          <w:highlight w:val="none"/>
        </w:rPr>
        <w:t xml:space="preserve">； </w:t>
      </w:r>
    </w:p>
    <w:p w14:paraId="4DBC6D7B">
      <w:pPr>
        <w:spacing w:after="78" w:afterLines="25" w:line="300" w:lineRule="auto"/>
        <w:ind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 xml:space="preserve">（招标文件中明确的所属行业） </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 ，属于</w:t>
      </w:r>
      <w:r>
        <w:rPr>
          <w:rFonts w:hint="eastAsia" w:ascii="宋体" w:hAnsi="宋体" w:eastAsia="宋体" w:cs="宋体"/>
          <w:b/>
          <w:bCs/>
          <w:szCs w:val="21"/>
          <w:highlight w:val="none"/>
          <w:u w:val="single"/>
        </w:rPr>
        <w:t>（小型企业、微型企业、监狱企业、残疾人福利性单位）</w:t>
      </w:r>
      <w:r>
        <w:rPr>
          <w:rFonts w:hint="eastAsia" w:ascii="宋体" w:hAnsi="宋体" w:eastAsia="宋体" w:cs="宋体"/>
          <w:szCs w:val="21"/>
          <w:highlight w:val="none"/>
        </w:rPr>
        <w:t>；</w:t>
      </w:r>
    </w:p>
    <w:p w14:paraId="7EBCF974">
      <w:pPr>
        <w:spacing w:after="78" w:afterLines="25" w:line="30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0FFE6DF">
      <w:pPr>
        <w:spacing w:after="78" w:afterLines="25" w:line="30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上述优惠主体均符合《政府采购促进中小企业发展管理办法》（财库〔2020〕46号）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cs="宋体"/>
          <w:szCs w:val="21"/>
          <w:highlight w:val="none"/>
          <w:u w:val="single"/>
        </w:rPr>
        <w:t>_____</w:t>
      </w:r>
      <w:r>
        <w:rPr>
          <w:rFonts w:hint="eastAsia" w:ascii="宋体" w:hAnsi="宋体" w:eastAsia="宋体" w:cs="宋体"/>
          <w:szCs w:val="21"/>
          <w:highlight w:val="none"/>
        </w:rPr>
        <w:t>。</w:t>
      </w:r>
    </w:p>
    <w:p w14:paraId="4F1A93D2">
      <w:pPr>
        <w:spacing w:after="78" w:afterLines="25" w:line="30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本联合体对上述声明的真实性负责。如有虚假，将依法承担相应责任。</w:t>
      </w:r>
    </w:p>
    <w:p w14:paraId="73E739D3">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2DA7912">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供应商名称：                              供应商名称： </w:t>
      </w:r>
    </w:p>
    <w:p w14:paraId="3C25752D">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日期：                                    日期： </w:t>
      </w:r>
    </w:p>
    <w:p w14:paraId="6B7DAE7F">
      <w:pPr>
        <w:spacing w:after="78" w:afterLines="25" w:line="300" w:lineRule="auto"/>
        <w:rPr>
          <w:rFonts w:hint="eastAsia" w:ascii="宋体" w:hAnsi="宋体" w:eastAsia="宋体" w:cs="宋体"/>
          <w:highlight w:val="none"/>
        </w:rPr>
      </w:pPr>
    </w:p>
    <w:p w14:paraId="053B4D89">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供应商名称：       </w:t>
      </w:r>
    </w:p>
    <w:p w14:paraId="6E452EEB">
      <w:pPr>
        <w:spacing w:after="78" w:afterLines="25" w:line="300" w:lineRule="auto"/>
        <w:rPr>
          <w:rFonts w:hint="eastAsia" w:ascii="宋体" w:hAnsi="宋体" w:eastAsia="宋体" w:cs="宋体"/>
          <w:highlight w:val="none"/>
        </w:rPr>
      </w:pPr>
      <w:r>
        <w:rPr>
          <w:rFonts w:hint="eastAsia" w:ascii="宋体" w:hAnsi="宋体" w:eastAsia="宋体" w:cs="宋体"/>
          <w:szCs w:val="21"/>
          <w:highlight w:val="none"/>
        </w:rPr>
        <w:t xml:space="preserve">日期：       </w:t>
      </w:r>
    </w:p>
    <w:p w14:paraId="22957014">
      <w:pPr>
        <w:snapToGrid w:val="0"/>
        <w:spacing w:after="78" w:afterLines="25" w:line="300" w:lineRule="auto"/>
        <w:ind w:firstLine="482" w:firstLineChars="200"/>
        <w:rPr>
          <w:rFonts w:hint="eastAsia" w:ascii="宋体" w:hAnsi="宋体" w:eastAsia="宋体" w:cs="宋体"/>
          <w:highlight w:val="none"/>
        </w:rPr>
      </w:pPr>
      <w:r>
        <w:rPr>
          <w:rFonts w:hint="eastAsia" w:ascii="宋体" w:hAnsi="宋体" w:eastAsia="宋体" w:cs="宋体"/>
          <w:b/>
          <w:color w:val="FF0000"/>
          <w:highlight w:val="none"/>
        </w:rPr>
        <w:t>说明：本声明函仅针对允许联合体投标的项目（联合体数量上限以资格要求为准），非联合体投标的供应商或不符合优惠政策的供应商无需提供。</w:t>
      </w:r>
      <w:r>
        <w:rPr>
          <w:rFonts w:hint="eastAsia" w:ascii="宋体" w:hAnsi="宋体" w:eastAsia="宋体" w:cs="宋体"/>
          <w:color w:val="FF0000"/>
          <w:highlight w:val="none"/>
        </w:rPr>
        <w:t>符合条件的供应商，请仔细填写声明函中需填写内容，</w:t>
      </w:r>
      <w:r>
        <w:rPr>
          <w:rFonts w:hint="eastAsia" w:ascii="宋体" w:hAnsi="宋体" w:eastAsia="宋体" w:cs="宋体"/>
          <w:b/>
          <w:color w:val="0070C0"/>
          <w:highlight w:val="none"/>
        </w:rPr>
        <w:t>供应商可根据自身联合体数量及</w:t>
      </w:r>
      <w:r>
        <w:rPr>
          <w:rFonts w:hint="eastAsia" w:ascii="宋体" w:hAnsi="宋体" w:eastAsia="宋体" w:cs="宋体"/>
          <w:b/>
          <w:color w:val="FF0000"/>
          <w:sz w:val="28"/>
          <w:szCs w:val="28"/>
          <w:highlight w:val="none"/>
        </w:rPr>
        <w:t>优惠主体类型</w:t>
      </w:r>
      <w:r>
        <w:rPr>
          <w:rFonts w:hint="eastAsia" w:ascii="宋体" w:hAnsi="宋体" w:eastAsia="宋体" w:cs="宋体"/>
          <w:b/>
          <w:color w:val="0070C0"/>
          <w:highlight w:val="none"/>
        </w:rPr>
        <w:t>进行调整本声明函格式</w:t>
      </w:r>
      <w:r>
        <w:rPr>
          <w:rFonts w:hint="eastAsia" w:ascii="宋体" w:hAnsi="宋体" w:eastAsia="宋体" w:cs="宋体"/>
          <w:color w:val="FF0000"/>
          <w:highlight w:val="none"/>
        </w:rPr>
        <w:t>，</w:t>
      </w:r>
      <w:r>
        <w:rPr>
          <w:rFonts w:hint="eastAsia" w:ascii="宋体" w:hAnsi="宋体" w:eastAsia="宋体" w:cs="宋体"/>
          <w:b/>
          <w:color w:val="0070C0"/>
          <w:highlight w:val="none"/>
        </w:rPr>
        <w:t>如内容填写不全</w:t>
      </w:r>
      <w:r>
        <w:rPr>
          <w:rFonts w:hint="eastAsia" w:ascii="宋体" w:hAnsi="宋体" w:eastAsia="宋体" w:cs="宋体"/>
          <w:color w:val="FF0000"/>
          <w:highlight w:val="none"/>
        </w:rPr>
        <w:t>，评委会有权认定该声明函无效，并做出对供应商不予享受优惠政策的决定。</w:t>
      </w:r>
    </w:p>
    <w:p w14:paraId="34C3E0F7">
      <w:pPr>
        <w:rPr>
          <w:rFonts w:hint="eastAsia" w:ascii="宋体" w:hAnsi="宋体" w:eastAsia="宋体" w:cs="宋体"/>
          <w:highlight w:val="none"/>
        </w:rPr>
      </w:pPr>
    </w:p>
    <w:p w14:paraId="757524F8">
      <w:pPr>
        <w:rPr>
          <w:rFonts w:hint="eastAsia" w:ascii="宋体" w:hAnsi="宋体" w:eastAsia="宋体" w:cs="宋体"/>
          <w:highlight w:val="none"/>
        </w:rPr>
      </w:pPr>
    </w:p>
    <w:p w14:paraId="7B212799">
      <w:pPr>
        <w:pStyle w:val="9"/>
        <w:rPr>
          <w:rFonts w:hint="eastAsia" w:ascii="宋体" w:hAnsi="宋体" w:eastAsia="宋体" w:cs="宋体"/>
          <w:highlight w:val="none"/>
        </w:rPr>
      </w:pPr>
    </w:p>
    <w:p w14:paraId="1540CE6B">
      <w:pPr>
        <w:pStyle w:val="9"/>
        <w:rPr>
          <w:rFonts w:hint="eastAsia" w:ascii="宋体" w:hAnsi="宋体" w:eastAsia="宋体" w:cs="宋体"/>
          <w:highlight w:val="none"/>
        </w:rPr>
      </w:pPr>
    </w:p>
    <w:p w14:paraId="734A9F69">
      <w:pPr>
        <w:pStyle w:val="9"/>
        <w:rPr>
          <w:rFonts w:hint="eastAsia" w:ascii="宋体" w:hAnsi="宋体" w:eastAsia="宋体" w:cs="宋体"/>
          <w:highlight w:val="none"/>
        </w:rPr>
      </w:pPr>
    </w:p>
    <w:p w14:paraId="529B2711">
      <w:pPr>
        <w:pStyle w:val="9"/>
        <w:rPr>
          <w:rFonts w:hint="eastAsia" w:ascii="宋体" w:hAnsi="宋体" w:eastAsia="宋体" w:cs="宋体"/>
          <w:highlight w:val="none"/>
        </w:rPr>
      </w:pPr>
    </w:p>
    <w:p w14:paraId="4648D15A">
      <w:pPr>
        <w:numPr>
          <w:ilvl w:val="0"/>
          <w:numId w:val="15"/>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项目详细报价</w:t>
      </w:r>
    </w:p>
    <w:p w14:paraId="6AA8E54C">
      <w:pPr>
        <w:rPr>
          <w:rFonts w:hint="eastAsia" w:ascii="宋体" w:hAnsi="宋体" w:eastAsia="宋体" w:cs="宋体"/>
          <w:highlight w:val="none"/>
        </w:rPr>
      </w:pPr>
    </w:p>
    <w:p w14:paraId="3DFAC91E">
      <w:pPr>
        <w:jc w:val="center"/>
        <w:rPr>
          <w:rFonts w:hint="eastAsia" w:ascii="宋体" w:hAnsi="宋体" w:eastAsia="宋体" w:cs="宋体"/>
          <w:sz w:val="21"/>
          <w:szCs w:val="21"/>
          <w:highlight w:val="none"/>
        </w:rPr>
      </w:pPr>
      <w:r>
        <w:rPr>
          <w:rFonts w:hint="eastAsia" w:ascii="宋体" w:hAnsi="宋体" w:eastAsia="宋体" w:cs="宋体"/>
          <w:b/>
          <w:sz w:val="28"/>
          <w:szCs w:val="28"/>
          <w:highlight w:val="none"/>
        </w:rPr>
        <w:t>项目详细报价</w:t>
      </w:r>
    </w:p>
    <w:p w14:paraId="510BA09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68413C6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595D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3943DA57">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94" w:type="pct"/>
            <w:noWrap w:val="0"/>
            <w:vAlign w:val="center"/>
          </w:tcPr>
          <w:p w14:paraId="17B77995">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项目内容</w:t>
            </w:r>
          </w:p>
        </w:tc>
        <w:tc>
          <w:tcPr>
            <w:tcW w:w="1135" w:type="pct"/>
            <w:noWrap w:val="0"/>
            <w:vAlign w:val="center"/>
          </w:tcPr>
          <w:p w14:paraId="2E1702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金额（元）</w:t>
            </w:r>
          </w:p>
        </w:tc>
        <w:tc>
          <w:tcPr>
            <w:tcW w:w="1155" w:type="pct"/>
            <w:noWrap w:val="0"/>
            <w:vAlign w:val="center"/>
          </w:tcPr>
          <w:p w14:paraId="33F0CC3B">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7EF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3E6C3A13">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4" w:type="pct"/>
            <w:noWrap w:val="0"/>
            <w:vAlign w:val="top"/>
          </w:tcPr>
          <w:p w14:paraId="719CA5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35" w:type="pct"/>
            <w:noWrap w:val="0"/>
            <w:vAlign w:val="center"/>
          </w:tcPr>
          <w:p w14:paraId="2A0433C1">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55" w:type="pct"/>
            <w:noWrap w:val="0"/>
            <w:vAlign w:val="center"/>
          </w:tcPr>
          <w:p w14:paraId="66008B07">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0E1A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A203B85">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4" w:type="pct"/>
            <w:noWrap w:val="0"/>
            <w:vAlign w:val="top"/>
          </w:tcPr>
          <w:p w14:paraId="73DA90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35" w:type="pct"/>
            <w:noWrap w:val="0"/>
            <w:vAlign w:val="center"/>
          </w:tcPr>
          <w:p w14:paraId="28E8A7AC">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55" w:type="pct"/>
            <w:noWrap w:val="0"/>
            <w:vAlign w:val="center"/>
          </w:tcPr>
          <w:p w14:paraId="7DCE751F">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438D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641D42F">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4" w:type="pct"/>
            <w:noWrap w:val="0"/>
            <w:vAlign w:val="top"/>
          </w:tcPr>
          <w:p w14:paraId="0A7FCD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35" w:type="pct"/>
            <w:noWrap w:val="0"/>
            <w:vAlign w:val="center"/>
          </w:tcPr>
          <w:p w14:paraId="6104129F">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55" w:type="pct"/>
            <w:noWrap w:val="0"/>
            <w:vAlign w:val="center"/>
          </w:tcPr>
          <w:p w14:paraId="2DF4B04F">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42F2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C3D713F">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94" w:type="pct"/>
            <w:noWrap w:val="0"/>
            <w:vAlign w:val="top"/>
          </w:tcPr>
          <w:p w14:paraId="11DFA6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35" w:type="pct"/>
            <w:noWrap w:val="0"/>
            <w:vAlign w:val="center"/>
          </w:tcPr>
          <w:p w14:paraId="5CFD47E8">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55" w:type="pct"/>
            <w:noWrap w:val="0"/>
            <w:vAlign w:val="center"/>
          </w:tcPr>
          <w:p w14:paraId="0EB0EA05">
            <w:pPr>
              <w:pStyle w:val="5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18E3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0B8E3BD9">
            <w:pPr>
              <w:pStyle w:val="5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投标总价（元）</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ab/>
            </w:r>
          </w:p>
        </w:tc>
        <w:tc>
          <w:tcPr>
            <w:tcW w:w="1155" w:type="pct"/>
            <w:noWrap w:val="0"/>
            <w:vAlign w:val="center"/>
          </w:tcPr>
          <w:p w14:paraId="10DF4A93">
            <w:pPr>
              <w:pStyle w:val="5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p>
        </w:tc>
      </w:tr>
    </w:tbl>
    <w:p w14:paraId="185BC07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3791354F">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1.本表格仅为指导性范本，供应商应根据项目具体情况对各分项内容进行调整提供详细分项报价。</w:t>
      </w:r>
    </w:p>
    <w:p w14:paraId="3536780C">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2.分项报价的汇总价等于“开标一览表”中的报价总价。</w:t>
      </w:r>
    </w:p>
    <w:p w14:paraId="40F4D78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color w:val="auto"/>
          <w:sz w:val="24"/>
          <w:szCs w:val="24"/>
          <w:highlight w:val="none"/>
        </w:rPr>
        <w:t>如果以上内容无法满足投标人对报价描述，可自行添加包含在价格因素内的一切内容，但不提供详细分项报价将视为没有实质性响应招标文件</w:t>
      </w:r>
      <w:r>
        <w:rPr>
          <w:rFonts w:hint="eastAsia" w:ascii="宋体" w:hAnsi="宋体" w:eastAsia="宋体" w:cs="宋体"/>
          <w:b w:val="0"/>
          <w:color w:val="auto"/>
          <w:sz w:val="24"/>
          <w:szCs w:val="24"/>
          <w:highlight w:val="none"/>
        </w:rPr>
        <w:t>。</w:t>
      </w:r>
    </w:p>
    <w:p w14:paraId="191A2F86">
      <w:pPr>
        <w:numPr>
          <w:ilvl w:val="0"/>
          <w:numId w:val="0"/>
        </w:numPr>
        <w:rPr>
          <w:rFonts w:hint="eastAsia" w:ascii="宋体" w:hAnsi="宋体" w:eastAsia="宋体" w:cs="宋体"/>
          <w:b/>
          <w:sz w:val="36"/>
          <w:szCs w:val="36"/>
          <w:highlight w:val="none"/>
        </w:rPr>
      </w:pPr>
    </w:p>
    <w:p w14:paraId="2DFCE171">
      <w:pPr>
        <w:numPr>
          <w:ilvl w:val="0"/>
          <w:numId w:val="0"/>
        </w:numPr>
        <w:rPr>
          <w:rFonts w:hint="eastAsia" w:ascii="宋体" w:hAnsi="宋体" w:eastAsia="宋体" w:cs="宋体"/>
          <w:b/>
          <w:sz w:val="36"/>
          <w:szCs w:val="36"/>
          <w:highlight w:val="none"/>
        </w:rPr>
      </w:pPr>
    </w:p>
    <w:p w14:paraId="3D01147B">
      <w:pPr>
        <w:numPr>
          <w:ilvl w:val="0"/>
          <w:numId w:val="0"/>
        </w:numPr>
        <w:rPr>
          <w:rFonts w:hint="eastAsia" w:ascii="宋体" w:hAnsi="宋体" w:eastAsia="宋体" w:cs="宋体"/>
          <w:b/>
          <w:sz w:val="36"/>
          <w:szCs w:val="36"/>
          <w:highlight w:val="none"/>
        </w:rPr>
      </w:pPr>
    </w:p>
    <w:p w14:paraId="571FBE87">
      <w:pPr>
        <w:numPr>
          <w:ilvl w:val="0"/>
          <w:numId w:val="0"/>
        </w:numPr>
        <w:rPr>
          <w:rFonts w:hint="eastAsia" w:ascii="宋体" w:hAnsi="宋体" w:eastAsia="宋体" w:cs="宋体"/>
          <w:b/>
          <w:sz w:val="36"/>
          <w:szCs w:val="36"/>
          <w:highlight w:val="none"/>
        </w:rPr>
      </w:pPr>
    </w:p>
    <w:p w14:paraId="64091B1B">
      <w:pPr>
        <w:numPr>
          <w:ilvl w:val="0"/>
          <w:numId w:val="0"/>
        </w:numPr>
        <w:rPr>
          <w:rFonts w:hint="eastAsia" w:ascii="宋体" w:hAnsi="宋体" w:eastAsia="宋体" w:cs="宋体"/>
          <w:b/>
          <w:sz w:val="36"/>
          <w:szCs w:val="36"/>
          <w:highlight w:val="none"/>
        </w:rPr>
      </w:pPr>
    </w:p>
    <w:p w14:paraId="19DD2AD8">
      <w:pPr>
        <w:numPr>
          <w:ilvl w:val="0"/>
          <w:numId w:val="0"/>
        </w:numPr>
        <w:rPr>
          <w:rFonts w:hint="eastAsia" w:ascii="宋体" w:hAnsi="宋体" w:eastAsia="宋体" w:cs="宋体"/>
          <w:b/>
          <w:sz w:val="36"/>
          <w:szCs w:val="36"/>
          <w:highlight w:val="none"/>
        </w:rPr>
      </w:pPr>
    </w:p>
    <w:p w14:paraId="6CF281C1">
      <w:pPr>
        <w:numPr>
          <w:ilvl w:val="0"/>
          <w:numId w:val="0"/>
        </w:numPr>
        <w:rPr>
          <w:rFonts w:hint="eastAsia" w:ascii="宋体" w:hAnsi="宋体" w:eastAsia="宋体" w:cs="宋体"/>
          <w:b/>
          <w:sz w:val="36"/>
          <w:szCs w:val="36"/>
          <w:highlight w:val="none"/>
        </w:rPr>
      </w:pPr>
    </w:p>
    <w:p w14:paraId="678138AC">
      <w:pPr>
        <w:numPr>
          <w:ilvl w:val="0"/>
          <w:numId w:val="0"/>
        </w:numPr>
        <w:rPr>
          <w:rFonts w:hint="eastAsia" w:ascii="宋体" w:hAnsi="宋体" w:eastAsia="宋体" w:cs="宋体"/>
          <w:b/>
          <w:sz w:val="36"/>
          <w:szCs w:val="36"/>
          <w:highlight w:val="none"/>
        </w:rPr>
      </w:pPr>
    </w:p>
    <w:p w14:paraId="3A3FEFB5">
      <w:pPr>
        <w:numPr>
          <w:ilvl w:val="0"/>
          <w:numId w:val="0"/>
        </w:numPr>
        <w:rPr>
          <w:rFonts w:hint="eastAsia" w:ascii="宋体" w:hAnsi="宋体" w:eastAsia="宋体" w:cs="宋体"/>
          <w:b/>
          <w:sz w:val="36"/>
          <w:szCs w:val="36"/>
          <w:highlight w:val="none"/>
        </w:rPr>
      </w:pPr>
    </w:p>
    <w:p w14:paraId="28B4DF0C">
      <w:pPr>
        <w:numPr>
          <w:ilvl w:val="0"/>
          <w:numId w:val="0"/>
        </w:numPr>
        <w:rPr>
          <w:rFonts w:hint="eastAsia" w:ascii="宋体" w:hAnsi="宋体" w:eastAsia="宋体" w:cs="宋体"/>
          <w:b/>
          <w:sz w:val="36"/>
          <w:szCs w:val="36"/>
          <w:highlight w:val="none"/>
        </w:rPr>
      </w:pPr>
    </w:p>
    <w:p w14:paraId="239E0F84">
      <w:pPr>
        <w:numPr>
          <w:ilvl w:val="0"/>
          <w:numId w:val="0"/>
        </w:numPr>
        <w:rPr>
          <w:rFonts w:hint="eastAsia" w:ascii="宋体" w:hAnsi="宋体" w:eastAsia="宋体" w:cs="宋体"/>
          <w:b/>
          <w:sz w:val="36"/>
          <w:szCs w:val="36"/>
          <w:highlight w:val="none"/>
        </w:rPr>
      </w:pPr>
    </w:p>
    <w:p w14:paraId="2A3C5885">
      <w:pPr>
        <w:numPr>
          <w:ilvl w:val="0"/>
          <w:numId w:val="15"/>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投标人通过相关认证情况</w:t>
      </w:r>
    </w:p>
    <w:p w14:paraId="7D02385C">
      <w:pPr>
        <w:numPr>
          <w:ilvl w:val="0"/>
          <w:numId w:val="15"/>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食品安全保险</w:t>
      </w:r>
    </w:p>
    <w:p w14:paraId="4B4EB98F">
      <w:pPr>
        <w:numPr>
          <w:ilvl w:val="0"/>
          <w:numId w:val="15"/>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服务网点</w:t>
      </w:r>
    </w:p>
    <w:p w14:paraId="6E2E85EF">
      <w:pPr>
        <w:numPr>
          <w:ilvl w:val="0"/>
          <w:numId w:val="15"/>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同类项目业绩</w:t>
      </w:r>
    </w:p>
    <w:p w14:paraId="5D4656E9">
      <w:pPr>
        <w:numPr>
          <w:ilvl w:val="0"/>
          <w:numId w:val="15"/>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履约评价情况</w:t>
      </w:r>
    </w:p>
    <w:p w14:paraId="09DC7B0C">
      <w:pPr>
        <w:rPr>
          <w:rFonts w:hint="eastAsia" w:ascii="宋体" w:hAnsi="宋体" w:eastAsia="宋体" w:cs="宋体"/>
          <w:highlight w:val="none"/>
        </w:rPr>
        <w:sectPr>
          <w:footerReference r:id="rId6" w:type="default"/>
          <w:pgSz w:w="11906" w:h="16838"/>
          <w:pgMar w:top="1440" w:right="1800" w:bottom="1440" w:left="1800" w:header="851" w:footer="992" w:gutter="0"/>
          <w:pgNumType w:fmt="decimal"/>
          <w:cols w:space="425" w:num="1"/>
          <w:docGrid w:type="lines" w:linePitch="312" w:charSpace="0"/>
        </w:sectPr>
      </w:pPr>
    </w:p>
    <w:p w14:paraId="14381C6A">
      <w:pPr>
        <w:numPr>
          <w:ilvl w:val="0"/>
          <w:numId w:val="15"/>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政府采购违法行为风险知悉确认书</w:t>
      </w:r>
    </w:p>
    <w:p w14:paraId="418A2C7A">
      <w:pPr>
        <w:autoSpaceDE w:val="0"/>
        <w:autoSpaceDN w:val="0"/>
        <w:ind w:firstLine="464" w:firstLineChars="200"/>
        <w:rPr>
          <w:rFonts w:hint="eastAsia" w:ascii="宋体" w:hAnsi="宋体" w:eastAsia="宋体" w:cs="宋体"/>
          <w:spacing w:val="-4"/>
          <w:highlight w:val="none"/>
        </w:rPr>
      </w:pPr>
    </w:p>
    <w:p w14:paraId="7EBBAF8F">
      <w:pPr>
        <w:autoSpaceDE w:val="0"/>
        <w:autoSpaceDN w:val="0"/>
        <w:ind w:firstLine="464" w:firstLineChars="200"/>
        <w:rPr>
          <w:rFonts w:hint="eastAsia" w:ascii="宋体" w:hAnsi="宋体" w:eastAsia="宋体" w:cs="宋体"/>
          <w:spacing w:val="-4"/>
          <w:highlight w:val="none"/>
        </w:rPr>
      </w:pPr>
    </w:p>
    <w:p w14:paraId="399A9BD9">
      <w:pPr>
        <w:autoSpaceDE w:val="0"/>
        <w:autoSpaceDN w:val="0"/>
        <w:jc w:val="center"/>
        <w:rPr>
          <w:rFonts w:hint="eastAsia" w:ascii="宋体" w:hAnsi="宋体" w:eastAsia="宋体" w:cs="宋体"/>
          <w:spacing w:val="-4"/>
          <w:sz w:val="22"/>
          <w:szCs w:val="22"/>
          <w:highlight w:val="none"/>
        </w:rPr>
      </w:pPr>
      <w:r>
        <w:rPr>
          <w:rFonts w:hint="eastAsia" w:ascii="宋体" w:hAnsi="宋体" w:eastAsia="宋体" w:cs="宋体"/>
          <w:b/>
          <w:sz w:val="32"/>
          <w:szCs w:val="32"/>
          <w:highlight w:val="none"/>
        </w:rPr>
        <w:t>政府采购违法行为风险知悉确认书</w:t>
      </w:r>
    </w:p>
    <w:p w14:paraId="734B76F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本公司在投标前已充分知悉以下情形为参与政府采购活动时的重大风险事项，并承诺已对下述风险提示事项重点排查，做到严谨、诚信、依法依规参与政府采购活动。</w:t>
      </w:r>
    </w:p>
    <w:p w14:paraId="51A42806">
      <w:pPr>
        <w:ind w:firstLine="482" w:firstLineChars="200"/>
        <w:rPr>
          <w:rFonts w:hint="eastAsia" w:ascii="宋体" w:hAnsi="宋体" w:eastAsia="宋体" w:cs="宋体"/>
          <w:b/>
          <w:bCs/>
          <w:highlight w:val="none"/>
        </w:rPr>
      </w:pPr>
      <w:r>
        <w:rPr>
          <w:rFonts w:hint="eastAsia" w:ascii="宋体" w:hAnsi="宋体" w:eastAsia="宋体" w:cs="宋体"/>
          <w:b/>
          <w:bCs/>
          <w:highlight w:val="none"/>
        </w:rPr>
        <w:t>一、本公司已充分知悉“隐瞒真实情况，提供虚假资料”的法定情形，相关情形包括但不限于：</w:t>
      </w:r>
    </w:p>
    <w:p w14:paraId="54EE702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（一）通过转让或者租借等方式从其他单位获取资格或者资质证书投标的。</w:t>
      </w:r>
    </w:p>
    <w:p w14:paraId="10708F5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（二）由其他单位或者其他单位负责人在投标供应商编制的投标文件上加盖印章或者签字的。</w:t>
      </w:r>
    </w:p>
    <w:p w14:paraId="40037FB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（三）项目负责人或者主要技术人员不是本单位人员的。</w:t>
      </w:r>
    </w:p>
    <w:p w14:paraId="2A82AE8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（四）投标保证金不是从投标供应商基本账户转出的。</w:t>
      </w:r>
    </w:p>
    <w:p w14:paraId="790E8DC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（五）其他隐瞒真实情况、提供虚假资料的行为。</w:t>
      </w:r>
    </w:p>
    <w:p w14:paraId="1A549DAF">
      <w:pPr>
        <w:ind w:firstLine="482" w:firstLineChars="200"/>
        <w:rPr>
          <w:rFonts w:hint="eastAsia" w:ascii="宋体" w:hAnsi="宋体" w:eastAsia="宋体" w:cs="宋体"/>
          <w:b/>
          <w:bCs/>
          <w:highlight w:val="none"/>
        </w:rPr>
      </w:pPr>
      <w:r>
        <w:rPr>
          <w:rFonts w:hint="eastAsia" w:ascii="宋体" w:hAnsi="宋体" w:eastAsia="宋体" w:cs="宋体"/>
          <w:b/>
          <w:bCs/>
          <w:highlight w:val="none"/>
        </w:rPr>
        <w:t>二、本公司已充分知悉“与其他采购参加人串通投标”的法定情形，相关情形包括但不限于：</w:t>
      </w:r>
    </w:p>
    <w:p w14:paraId="2BF1912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（一）投标供应商之间相互约定给予未中标的供应商利益补偿。</w:t>
      </w:r>
    </w:p>
    <w:p w14:paraId="316FC30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（二）不同投标供应商的法定代表人、主要经营负责人、项目投标授权代表人、项目负责人、主要技术人员为同一人、属同一单位或者在同一单位缴纳社会保险。</w:t>
      </w:r>
    </w:p>
    <w:p w14:paraId="5D5BC80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（三）不同投标供应商的投标文件由同一单位或者同一人编制，或者由同一人分阶段参与编制的。</w:t>
      </w:r>
    </w:p>
    <w:p w14:paraId="220E5DA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（四）不同投标供应商的投标文件或部分投标文件相互混装。</w:t>
      </w:r>
    </w:p>
    <w:p w14:paraId="05FDC5D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（五）不同投标供应商的投标文件内容存在非正常一致。</w:t>
      </w:r>
    </w:p>
    <w:p w14:paraId="6C254C3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（六）由同一单位工作人员为两家以上（含两家）供应商进行同一项投标活动的。</w:t>
      </w:r>
    </w:p>
    <w:p w14:paraId="6BCCE71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（七）不同投标人的投标报价呈规律性差异。</w:t>
      </w:r>
    </w:p>
    <w:p w14:paraId="3ABF7CB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（八）不同投标人的投标保证金从同一单位或者个人的账户转出。</w:t>
      </w:r>
    </w:p>
    <w:p w14:paraId="62283B2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（九）主管部门依照法律、法规认定的其他情形。</w:t>
      </w:r>
    </w:p>
    <w:p w14:paraId="5F727C8E">
      <w:pPr>
        <w:ind w:firstLine="482" w:firstLineChars="200"/>
        <w:rPr>
          <w:rFonts w:hint="eastAsia" w:ascii="宋体" w:hAnsi="宋体" w:eastAsia="宋体" w:cs="宋体"/>
          <w:b/>
          <w:bCs/>
          <w:highlight w:val="none"/>
        </w:rPr>
      </w:pPr>
      <w:r>
        <w:rPr>
          <w:rFonts w:hint="eastAsia" w:ascii="宋体" w:hAnsi="宋体" w:eastAsia="宋体" w:cs="宋体"/>
          <w:b/>
          <w:bCs/>
          <w:highlight w:val="none"/>
        </w:rPr>
        <w:t>三、本公司已充分知悉下列情形所对应的法律风险，并在投标前已对相关风险事项进行排查。</w:t>
      </w:r>
    </w:p>
    <w:p w14:paraId="769A3984">
      <w:pPr>
        <w:autoSpaceDE w:val="0"/>
        <w:autoSpaceDN w:val="0"/>
        <w:ind w:firstLine="464" w:firstLineChars="200"/>
        <w:rPr>
          <w:rFonts w:hint="eastAsia" w:ascii="宋体" w:hAnsi="宋体" w:eastAsia="宋体" w:cs="宋体"/>
          <w:b/>
          <w:bCs/>
          <w:spacing w:val="-4"/>
          <w:highlight w:val="none"/>
        </w:rPr>
      </w:pPr>
      <w:r>
        <w:rPr>
          <w:rFonts w:hint="eastAsia" w:ascii="宋体" w:hAnsi="宋体" w:eastAsia="宋体" w:cs="宋体"/>
          <w:spacing w:val="-4"/>
          <w:highlight w:val="none"/>
        </w:rPr>
        <w:t>（一）对于从其他主体获取的投标资料，供应商应审慎核查，确保投标资料的真实性。</w:t>
      </w:r>
      <w:r>
        <w:rPr>
          <w:rFonts w:hint="eastAsia" w:ascii="宋体" w:hAnsi="宋体" w:eastAsia="宋体" w:cs="宋体"/>
          <w:b/>
          <w:bCs/>
          <w:spacing w:val="-4"/>
          <w:highlight w:val="none"/>
        </w:rPr>
        <w:t>如主管部门查实投标文件中存在虚假资料的，无论相关资料是否由第三方或本公司员工提供，均不影响主管部门对供应商存在“隐瞒真实情况，提供虚假资料”违法行为的认定。</w:t>
      </w:r>
    </w:p>
    <w:p w14:paraId="022226A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5280BD5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（三）对于涉及安全生产、特种作业、抢险救灾、防疫等政府采购项目，供应商实施提供虚假资料、串通投标等违法行为的，主管部门将依法从严处理。</w:t>
      </w:r>
    </w:p>
    <w:p w14:paraId="10A75CA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85E05C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94E9C3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31AA6390">
      <w:pPr>
        <w:autoSpaceDE w:val="0"/>
        <w:autoSpaceDN w:val="0"/>
        <w:ind w:firstLine="482" w:firstLineChars="200"/>
        <w:rPr>
          <w:rFonts w:hint="eastAsia" w:ascii="宋体" w:hAnsi="宋体" w:eastAsia="宋体" w:cs="宋体"/>
          <w:b/>
          <w:bCs/>
          <w:highlight w:val="none"/>
        </w:rPr>
      </w:pPr>
      <w:r>
        <w:rPr>
          <w:rFonts w:hint="eastAsia" w:ascii="宋体" w:hAnsi="宋体" w:eastAsia="宋体" w:cs="宋体"/>
          <w:b/>
          <w:bCs/>
          <w:highlight w:val="none"/>
        </w:rPr>
        <w:t>四、本公司已充分知悉政府采购违法、违规行为的法律后果。</w:t>
      </w:r>
    </w:p>
    <w:p w14:paraId="38E3330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1C77831">
      <w:pPr>
        <w:autoSpaceDE w:val="0"/>
        <w:autoSpaceDN w:val="0"/>
        <w:ind w:firstLine="466" w:firstLineChars="200"/>
        <w:rPr>
          <w:rFonts w:hint="eastAsia" w:ascii="宋体" w:hAnsi="宋体" w:eastAsia="宋体" w:cs="宋体"/>
          <w:b/>
          <w:bCs/>
          <w:spacing w:val="-4"/>
          <w:highlight w:val="none"/>
        </w:rPr>
      </w:pPr>
      <w:r>
        <w:rPr>
          <w:rFonts w:hint="eastAsia" w:ascii="宋体" w:hAnsi="宋体" w:eastAsia="宋体" w:cs="宋体"/>
          <w:b/>
          <w:bCs/>
          <w:spacing w:val="-4"/>
          <w:highlight w:val="none"/>
        </w:rPr>
        <w:t>以下文字请投标供应商抄写并确认：“本公司已仔细阅读《政府采购违法行为风险知悉确认书》，充分知悉违法行为的法律后果，并承诺将严谨、诚信、依法依规参与政府采购活动”。</w:t>
      </w:r>
    </w:p>
    <w:tbl>
      <w:tblPr>
        <w:tblStyle w:val="4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18C8100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9423D12">
            <w:pPr>
              <w:widowControl w:val="0"/>
              <w:autoSpaceDE w:val="0"/>
              <w:autoSpaceDN w:val="0"/>
              <w:spacing w:line="400" w:lineRule="exact"/>
              <w:jc w:val="left"/>
              <w:rPr>
                <w:rFonts w:hint="eastAsia" w:ascii="宋体" w:hAnsi="宋体" w:eastAsia="宋体" w:cs="宋体"/>
                <w:spacing w:val="-4"/>
                <w:highlight w:val="none"/>
              </w:rPr>
            </w:pPr>
          </w:p>
        </w:tc>
      </w:tr>
      <w:tr w14:paraId="7EC4B50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7281790">
            <w:pPr>
              <w:widowControl w:val="0"/>
              <w:autoSpaceDE w:val="0"/>
              <w:autoSpaceDN w:val="0"/>
              <w:spacing w:line="400" w:lineRule="exact"/>
              <w:jc w:val="left"/>
              <w:rPr>
                <w:rFonts w:hint="eastAsia" w:ascii="宋体" w:hAnsi="宋体" w:eastAsia="宋体" w:cs="宋体"/>
                <w:spacing w:val="-4"/>
                <w:highlight w:val="none"/>
              </w:rPr>
            </w:pPr>
          </w:p>
        </w:tc>
      </w:tr>
      <w:tr w14:paraId="610C72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3498CD1">
            <w:pPr>
              <w:widowControl w:val="0"/>
              <w:autoSpaceDE w:val="0"/>
              <w:autoSpaceDN w:val="0"/>
              <w:spacing w:line="400" w:lineRule="exact"/>
              <w:jc w:val="left"/>
              <w:rPr>
                <w:rFonts w:hint="eastAsia" w:ascii="宋体" w:hAnsi="宋体" w:eastAsia="宋体" w:cs="宋体"/>
                <w:spacing w:val="-4"/>
                <w:highlight w:val="none"/>
              </w:rPr>
            </w:pPr>
          </w:p>
        </w:tc>
      </w:tr>
      <w:tr w14:paraId="3FB1B8F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470D42C">
            <w:pPr>
              <w:widowControl w:val="0"/>
              <w:autoSpaceDE w:val="0"/>
              <w:autoSpaceDN w:val="0"/>
              <w:spacing w:line="400" w:lineRule="exact"/>
              <w:jc w:val="left"/>
              <w:rPr>
                <w:rFonts w:hint="eastAsia" w:ascii="宋体" w:hAnsi="宋体" w:eastAsia="宋体" w:cs="宋体"/>
                <w:spacing w:val="-4"/>
                <w:highlight w:val="none"/>
              </w:rPr>
            </w:pPr>
          </w:p>
        </w:tc>
      </w:tr>
    </w:tbl>
    <w:p w14:paraId="258E1031">
      <w:pPr>
        <w:autoSpaceDE w:val="0"/>
        <w:autoSpaceDN w:val="0"/>
        <w:ind w:firstLine="464" w:firstLineChars="200"/>
        <w:rPr>
          <w:rFonts w:hint="eastAsia" w:ascii="宋体" w:hAnsi="宋体" w:eastAsia="宋体" w:cs="宋体"/>
          <w:color w:val="FF0000"/>
          <w:spacing w:val="-4"/>
          <w:highlight w:val="none"/>
        </w:rPr>
      </w:pPr>
    </w:p>
    <w:p w14:paraId="34885608">
      <w:pPr>
        <w:autoSpaceDE w:val="0"/>
        <w:autoSpaceDN w:val="0"/>
        <w:ind w:right="1180" w:firstLine="464" w:firstLineChars="200"/>
        <w:jc w:val="center"/>
        <w:rPr>
          <w:rFonts w:hint="eastAsia" w:ascii="宋体" w:hAnsi="宋体" w:eastAsia="宋体" w:cs="宋体"/>
          <w:spacing w:val="-4"/>
          <w:highlight w:val="none"/>
        </w:rPr>
      </w:pPr>
      <w:r>
        <w:rPr>
          <w:rFonts w:hint="eastAsia" w:ascii="宋体" w:hAnsi="宋体" w:eastAsia="宋体" w:cs="宋体"/>
          <w:spacing w:val="-4"/>
          <w:highlight w:val="none"/>
        </w:rPr>
        <w:t xml:space="preserve">                    负责人/投标授权代表签名：                </w:t>
      </w:r>
    </w:p>
    <w:p w14:paraId="038C0561">
      <w:pPr>
        <w:wordWrap w:val="0"/>
        <w:autoSpaceDE w:val="0"/>
        <w:autoSpaceDN w:val="0"/>
        <w:ind w:right="1652" w:firstLine="3480" w:firstLineChars="1500"/>
        <w:rPr>
          <w:rFonts w:hint="eastAsia" w:ascii="宋体" w:hAnsi="宋体" w:eastAsia="宋体" w:cs="宋体"/>
          <w:spacing w:val="-4"/>
          <w:highlight w:val="none"/>
        </w:rPr>
      </w:pPr>
      <w:r>
        <w:rPr>
          <w:rFonts w:hint="eastAsia" w:ascii="宋体" w:hAnsi="宋体" w:eastAsia="宋体" w:cs="宋体"/>
          <w:spacing w:val="-4"/>
          <w:highlight w:val="none"/>
        </w:rPr>
        <w:t xml:space="preserve">知悉人（公章）：     </w:t>
      </w:r>
    </w:p>
    <w:p w14:paraId="26C90F3F">
      <w:pPr>
        <w:wordWrap w:val="0"/>
        <w:autoSpaceDE w:val="0"/>
        <w:autoSpaceDN w:val="0"/>
        <w:ind w:right="1888" w:firstLine="464" w:firstLineChars="200"/>
        <w:jc w:val="center"/>
        <w:rPr>
          <w:rFonts w:hint="eastAsia" w:ascii="宋体" w:hAnsi="宋体" w:eastAsia="宋体" w:cs="宋体"/>
          <w:spacing w:val="-4"/>
          <w:highlight w:val="none"/>
        </w:rPr>
      </w:pPr>
      <w:r>
        <w:rPr>
          <w:rFonts w:hint="eastAsia" w:ascii="宋体" w:hAnsi="宋体" w:eastAsia="宋体" w:cs="宋体"/>
          <w:spacing w:val="-4"/>
          <w:highlight w:val="none"/>
        </w:rPr>
        <w:t xml:space="preserve">                     日期：   年  月  日</w:t>
      </w:r>
    </w:p>
    <w:p w14:paraId="2C4E9CE3">
      <w:pPr>
        <w:autoSpaceDE w:val="0"/>
        <w:autoSpaceDN w:val="0"/>
        <w:ind w:right="1888" w:firstLine="464" w:firstLineChars="200"/>
        <w:rPr>
          <w:rFonts w:hint="eastAsia" w:ascii="宋体" w:hAnsi="宋体" w:eastAsia="宋体" w:cs="宋体"/>
          <w:spacing w:val="-4"/>
          <w:highlight w:val="none"/>
        </w:rPr>
      </w:pPr>
    </w:p>
    <w:p w14:paraId="40CCDF10">
      <w:pPr>
        <w:autoSpaceDE w:val="0"/>
        <w:autoSpaceDN w:val="0"/>
        <w:ind w:right="1888" w:firstLine="464" w:firstLineChars="200"/>
        <w:rPr>
          <w:rFonts w:hint="eastAsia" w:ascii="宋体" w:hAnsi="宋体" w:eastAsia="宋体" w:cs="宋体"/>
          <w:spacing w:val="-4"/>
          <w:highlight w:val="none"/>
        </w:rPr>
      </w:pPr>
    </w:p>
    <w:p w14:paraId="62479BFC">
      <w:pPr>
        <w:autoSpaceDE w:val="0"/>
        <w:autoSpaceDN w:val="0"/>
        <w:ind w:right="1888" w:firstLine="464" w:firstLineChars="200"/>
        <w:rPr>
          <w:rFonts w:hint="eastAsia" w:ascii="宋体" w:hAnsi="宋体" w:eastAsia="宋体" w:cs="宋体"/>
          <w:spacing w:val="-4"/>
          <w:highlight w:val="none"/>
        </w:rPr>
      </w:pPr>
    </w:p>
    <w:p w14:paraId="59C215DE">
      <w:pPr>
        <w:autoSpaceDE w:val="0"/>
        <w:autoSpaceDN w:val="0"/>
        <w:ind w:right="1888" w:firstLine="464" w:firstLineChars="200"/>
        <w:rPr>
          <w:rFonts w:hint="eastAsia" w:ascii="宋体" w:hAnsi="宋体" w:eastAsia="宋体" w:cs="宋体"/>
          <w:spacing w:val="-4"/>
          <w:highlight w:val="none"/>
        </w:rPr>
      </w:pPr>
    </w:p>
    <w:p w14:paraId="25326ED7">
      <w:pPr>
        <w:autoSpaceDE w:val="0"/>
        <w:autoSpaceDN w:val="0"/>
        <w:ind w:firstLine="466" w:firstLineChars="200"/>
        <w:rPr>
          <w:rFonts w:hint="eastAsia" w:ascii="宋体" w:hAnsi="宋体" w:eastAsia="宋体" w:cs="宋体"/>
          <w:b/>
          <w:bCs/>
          <w:color w:val="FF0000"/>
          <w:spacing w:val="-4"/>
          <w:highlight w:val="none"/>
        </w:rPr>
      </w:pPr>
      <w:r>
        <w:rPr>
          <w:rFonts w:hint="eastAsia" w:ascii="宋体" w:hAnsi="宋体" w:eastAsia="宋体" w:cs="宋体"/>
          <w:b/>
          <w:bCs/>
          <w:color w:val="FF0000"/>
          <w:spacing w:val="-4"/>
          <w:highlight w:val="none"/>
        </w:rPr>
        <w:t>注：</w:t>
      </w:r>
    </w:p>
    <w:p w14:paraId="4867DEA1">
      <w:pPr>
        <w:autoSpaceDE w:val="0"/>
        <w:autoSpaceDN w:val="0"/>
        <w:ind w:firstLine="466" w:firstLineChars="200"/>
        <w:rPr>
          <w:rFonts w:hint="eastAsia" w:ascii="宋体" w:hAnsi="宋体" w:eastAsia="宋体" w:cs="宋体"/>
          <w:b/>
          <w:bCs/>
          <w:color w:val="FF0000"/>
          <w:spacing w:val="-4"/>
          <w:highlight w:val="none"/>
        </w:rPr>
      </w:pPr>
      <w:r>
        <w:rPr>
          <w:rFonts w:hint="eastAsia" w:ascii="宋体" w:hAnsi="宋体" w:eastAsia="宋体" w:cs="宋体"/>
          <w:b/>
          <w:bCs/>
          <w:color w:val="FF0000"/>
          <w:spacing w:val="-4"/>
          <w:highlight w:val="none"/>
        </w:rPr>
        <w:t>1.政府采购违法行为风险知悉确认书不作为资格性审查及符合性审查条件。</w:t>
      </w:r>
    </w:p>
    <w:p w14:paraId="529C77AD">
      <w:pPr>
        <w:autoSpaceDE w:val="0"/>
        <w:autoSpaceDN w:val="0"/>
        <w:ind w:firstLine="466" w:firstLineChars="200"/>
        <w:rPr>
          <w:rFonts w:hint="eastAsia" w:ascii="宋体" w:hAnsi="宋体" w:eastAsia="宋体" w:cs="宋体"/>
          <w:b/>
          <w:bCs/>
          <w:color w:val="FF0000"/>
          <w:spacing w:val="-4"/>
          <w:highlight w:val="none"/>
        </w:rPr>
      </w:pPr>
      <w:r>
        <w:rPr>
          <w:rFonts w:hint="eastAsia" w:ascii="宋体" w:hAnsi="宋体" w:eastAsia="宋体" w:cs="宋体"/>
          <w:b/>
          <w:bCs/>
          <w:color w:val="FF0000"/>
          <w:spacing w:val="-4"/>
          <w:highlight w:val="none"/>
        </w:rPr>
        <w:t>2.投标供应商负责人或投标授权代表签字并加盖单位公章后，扫描上传至投标文件一并提交。</w:t>
      </w:r>
    </w:p>
    <w:p w14:paraId="75CC0B66">
      <w:pPr>
        <w:pStyle w:val="9"/>
        <w:rPr>
          <w:rFonts w:hint="eastAsia" w:ascii="宋体" w:hAnsi="宋体" w:eastAsia="宋体" w:cs="宋体"/>
          <w:highlight w:val="none"/>
        </w:rPr>
      </w:pPr>
    </w:p>
    <w:p w14:paraId="79E828DE">
      <w:pPr>
        <w:rPr>
          <w:rFonts w:hint="eastAsia" w:ascii="宋体" w:hAnsi="宋体" w:eastAsia="宋体" w:cs="宋体"/>
          <w:b/>
          <w:sz w:val="36"/>
          <w:szCs w:val="36"/>
          <w:highlight w:val="none"/>
        </w:rPr>
      </w:pPr>
    </w:p>
    <w:p w14:paraId="2E0DAE05">
      <w:pPr>
        <w:rPr>
          <w:rFonts w:hint="eastAsia" w:ascii="宋体" w:hAnsi="宋体" w:eastAsia="宋体" w:cs="宋体"/>
          <w:b/>
          <w:sz w:val="36"/>
          <w:szCs w:val="36"/>
          <w:highlight w:val="none"/>
        </w:rPr>
      </w:pPr>
    </w:p>
    <w:p w14:paraId="4279AA29">
      <w:pPr>
        <w:rPr>
          <w:rFonts w:hint="eastAsia" w:ascii="宋体" w:hAnsi="宋体" w:eastAsia="宋体" w:cs="宋体"/>
          <w:b/>
          <w:sz w:val="36"/>
          <w:szCs w:val="36"/>
          <w:highlight w:val="none"/>
        </w:rPr>
      </w:pPr>
    </w:p>
    <w:p w14:paraId="5FFD11E8">
      <w:pPr>
        <w:numPr>
          <w:ilvl w:val="0"/>
          <w:numId w:val="15"/>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诚信</w:t>
      </w:r>
      <w:r>
        <w:rPr>
          <w:rFonts w:hint="eastAsia" w:ascii="宋体" w:hAnsi="宋体" w:eastAsia="宋体" w:cs="宋体"/>
          <w:b/>
          <w:sz w:val="36"/>
          <w:szCs w:val="36"/>
          <w:highlight w:val="none"/>
          <w:lang w:val="en-US" w:eastAsia="zh-CN"/>
        </w:rPr>
        <w:t>情况</w:t>
      </w:r>
    </w:p>
    <w:p w14:paraId="39C98AD6">
      <w:pPr>
        <w:wordWrap w:val="0"/>
        <w:spacing w:line="360" w:lineRule="auto"/>
        <w:rPr>
          <w:rFonts w:hint="eastAsia" w:ascii="宋体" w:hAnsi="宋体" w:eastAsia="宋体" w:cs="宋体"/>
          <w:b/>
          <w:bCs/>
          <w:color w:val="0000FF"/>
          <w:highlight w:val="none"/>
        </w:rPr>
      </w:pPr>
    </w:p>
    <w:p w14:paraId="6FAAC6AC">
      <w:pPr>
        <w:wordWrap w:val="0"/>
        <w:spacing w:line="360" w:lineRule="auto"/>
        <w:rPr>
          <w:rFonts w:hint="eastAsia" w:ascii="宋体" w:hAnsi="宋体" w:eastAsia="宋体" w:cs="宋体"/>
          <w:b/>
          <w:bCs/>
          <w:color w:val="0000FF"/>
          <w:highlight w:val="none"/>
        </w:rPr>
      </w:pPr>
      <w:r>
        <w:rPr>
          <w:rFonts w:hint="eastAsia" w:ascii="宋体" w:hAnsi="宋体" w:eastAsia="宋体" w:cs="宋体"/>
          <w:b/>
          <w:bCs/>
          <w:color w:val="0000FF"/>
          <w:highlight w:val="none"/>
        </w:rPr>
        <w:t>主要内容应包括但不限于以下内容（格式自定）</w:t>
      </w:r>
    </w:p>
    <w:p w14:paraId="46DF936B">
      <w:pPr>
        <w:wordWrap w:val="0"/>
        <w:spacing w:line="360" w:lineRule="auto"/>
        <w:rPr>
          <w:rFonts w:hint="eastAsia" w:ascii="宋体" w:hAnsi="宋体" w:eastAsia="宋体" w:cs="宋体"/>
          <w:b/>
          <w:bCs/>
          <w:highlight w:val="none"/>
        </w:rPr>
      </w:pPr>
      <w:r>
        <w:rPr>
          <w:rFonts w:hint="eastAsia" w:ascii="宋体" w:hAnsi="宋体" w:eastAsia="宋体" w:cs="宋体"/>
          <w:b/>
          <w:bCs/>
          <w:highlight w:val="none"/>
        </w:rPr>
        <w:t>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国采招标（深圳）有限公司、</w:t>
      </w:r>
      <w:r>
        <w:rPr>
          <w:rFonts w:hint="eastAsia" w:ascii="宋体" w:hAnsi="宋体" w:eastAsia="宋体" w:cs="宋体"/>
          <w:b/>
          <w:bCs/>
          <w:highlight w:val="none"/>
          <w:lang w:eastAsia="zh-CN"/>
        </w:rPr>
        <w:t>深圳市龙华区教育科学研究院第二附属学校第二附属学校</w:t>
      </w:r>
      <w:r>
        <w:rPr>
          <w:rFonts w:hint="eastAsia" w:ascii="宋体" w:hAnsi="宋体" w:eastAsia="宋体" w:cs="宋体"/>
          <w:b/>
          <w:bCs/>
          <w:highlight w:val="none"/>
        </w:rPr>
        <w:t xml:space="preserve"> ：</w:t>
      </w:r>
    </w:p>
    <w:p w14:paraId="0C318673">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在参与贵公司组织的</w:t>
      </w:r>
      <w:r>
        <w:rPr>
          <w:rFonts w:hint="eastAsia" w:ascii="宋体" w:hAnsi="宋体" w:eastAsia="宋体" w:cs="宋体"/>
          <w:highlight w:val="none"/>
          <w:u w:val="single"/>
        </w:rPr>
        <w:t xml:space="preserve">       （项目名称）    （项目编号：      ） </w:t>
      </w:r>
      <w:r>
        <w:rPr>
          <w:rFonts w:hint="eastAsia" w:ascii="宋体" w:hAnsi="宋体" w:eastAsia="宋体" w:cs="宋体"/>
          <w:highlight w:val="none"/>
        </w:rPr>
        <w:t>政府采购活动中，</w:t>
      </w:r>
      <w:r>
        <w:rPr>
          <w:rFonts w:hint="eastAsia" w:ascii="宋体" w:hAnsi="宋体" w:eastAsia="宋体" w:cs="宋体"/>
          <w:b/>
          <w:bCs/>
          <w:color w:val="FF0000"/>
          <w:highlight w:val="none"/>
        </w:rPr>
        <w:t>本公司不存在因违法违规行为被记入诚信档案且在相关主管部门处理措施实施期限内的情形。</w:t>
      </w:r>
    </w:p>
    <w:p w14:paraId="4AA580D6">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我公司对该承诺的真实性负责，如有不实，自愿接受相关法律法规的处罚及其他一切后果（含自愿接受将此不良行为记入供应商诚信档案和自愿接受虚假响应导致禁止参加政府采购活动的处罚等）。</w:t>
      </w:r>
    </w:p>
    <w:p w14:paraId="5ABCB775">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特此承诺。</w:t>
      </w:r>
    </w:p>
    <w:p w14:paraId="444E33DA">
      <w:pPr>
        <w:spacing w:line="360" w:lineRule="auto"/>
        <w:rPr>
          <w:rFonts w:hint="eastAsia" w:ascii="宋体" w:hAnsi="宋体" w:eastAsia="宋体" w:cs="宋体"/>
          <w:highlight w:val="none"/>
        </w:rPr>
      </w:pPr>
    </w:p>
    <w:p w14:paraId="42CB2606">
      <w:pPr>
        <w:spacing w:line="360" w:lineRule="auto"/>
        <w:jc w:val="right"/>
        <w:rPr>
          <w:rFonts w:hint="eastAsia" w:ascii="宋体" w:hAnsi="宋体" w:eastAsia="宋体" w:cs="宋体"/>
          <w:highlight w:val="none"/>
        </w:rPr>
      </w:pPr>
      <w:r>
        <w:rPr>
          <w:rFonts w:hint="eastAsia" w:ascii="宋体" w:hAnsi="宋体" w:eastAsia="宋体" w:cs="宋体"/>
          <w:highlight w:val="none"/>
        </w:rPr>
        <w:t xml:space="preserve">投标单位： </w:t>
      </w:r>
    </w:p>
    <w:p w14:paraId="42E8F256">
      <w:pPr>
        <w:spacing w:line="360" w:lineRule="auto"/>
        <w:jc w:val="right"/>
        <w:rPr>
          <w:rFonts w:hint="eastAsia" w:ascii="宋体" w:hAnsi="宋体" w:eastAsia="宋体" w:cs="宋体"/>
          <w:highlight w:val="none"/>
        </w:rPr>
      </w:pPr>
      <w:r>
        <w:rPr>
          <w:rFonts w:hint="eastAsia" w:ascii="宋体" w:hAnsi="宋体" w:eastAsia="宋体" w:cs="宋体"/>
          <w:highlight w:val="none"/>
        </w:rPr>
        <w:t>日期：    年   月   日</w:t>
      </w:r>
    </w:p>
    <w:p w14:paraId="03CE863F">
      <w:pPr>
        <w:pStyle w:val="9"/>
        <w:rPr>
          <w:rFonts w:hint="eastAsia" w:ascii="宋体" w:hAnsi="宋体" w:eastAsia="宋体" w:cs="宋体"/>
          <w:highlight w:val="none"/>
        </w:rPr>
      </w:pPr>
    </w:p>
    <w:p w14:paraId="217A9A57">
      <w:pPr>
        <w:rPr>
          <w:rFonts w:hint="eastAsia" w:ascii="宋体" w:hAnsi="宋体" w:eastAsia="宋体" w:cs="宋体"/>
          <w:highlight w:val="none"/>
        </w:rPr>
      </w:pPr>
    </w:p>
    <w:p w14:paraId="389973E4">
      <w:pPr>
        <w:numPr>
          <w:ilvl w:val="0"/>
          <w:numId w:val="15"/>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投标人认为需要加以说明的其他内容（正文）</w:t>
      </w:r>
    </w:p>
    <w:p w14:paraId="55899E92">
      <w:pPr>
        <w:rPr>
          <w:rFonts w:hint="eastAsia" w:ascii="宋体" w:hAnsi="宋体" w:eastAsia="宋体" w:cs="宋体"/>
          <w:b/>
          <w:sz w:val="36"/>
          <w:szCs w:val="36"/>
          <w:highlight w:val="none"/>
        </w:rPr>
      </w:pPr>
    </w:p>
    <w:p w14:paraId="1A61E756">
      <w:pPr>
        <w:pStyle w:val="9"/>
        <w:rPr>
          <w:rFonts w:hint="eastAsia" w:ascii="宋体" w:hAnsi="宋体" w:eastAsia="宋体" w:cs="宋体"/>
          <w:sz w:val="36"/>
          <w:szCs w:val="36"/>
          <w:highlight w:val="none"/>
        </w:rPr>
      </w:pPr>
    </w:p>
    <w:p w14:paraId="2A46064C">
      <w:pPr>
        <w:rPr>
          <w:rFonts w:hint="eastAsia" w:ascii="宋体" w:hAnsi="宋体" w:eastAsia="宋体" w:cs="宋体"/>
          <w:b/>
          <w:sz w:val="36"/>
          <w:szCs w:val="36"/>
          <w:highlight w:val="none"/>
        </w:rPr>
      </w:pPr>
    </w:p>
    <w:p w14:paraId="2E9EB21B">
      <w:pPr>
        <w:pStyle w:val="9"/>
        <w:rPr>
          <w:rFonts w:hint="eastAsia" w:ascii="宋体" w:hAnsi="宋体" w:eastAsia="宋体" w:cs="宋体"/>
          <w:sz w:val="36"/>
          <w:szCs w:val="36"/>
          <w:highlight w:val="none"/>
        </w:rPr>
      </w:pPr>
    </w:p>
    <w:p w14:paraId="0B6352A5">
      <w:pPr>
        <w:rPr>
          <w:rFonts w:hint="eastAsia" w:ascii="宋体" w:hAnsi="宋体" w:eastAsia="宋体" w:cs="宋体"/>
          <w:b/>
          <w:sz w:val="36"/>
          <w:szCs w:val="36"/>
          <w:highlight w:val="none"/>
        </w:rPr>
      </w:pPr>
    </w:p>
    <w:p w14:paraId="77828C54">
      <w:pPr>
        <w:rPr>
          <w:rFonts w:hint="eastAsia" w:ascii="宋体" w:hAnsi="宋体" w:eastAsia="宋体" w:cs="宋体"/>
          <w:b/>
          <w:sz w:val="36"/>
          <w:szCs w:val="36"/>
          <w:highlight w:val="none"/>
        </w:rPr>
      </w:pPr>
    </w:p>
    <w:p w14:paraId="0BC617D0">
      <w:pPr>
        <w:rPr>
          <w:rFonts w:hint="eastAsia" w:ascii="宋体" w:hAnsi="宋体" w:eastAsia="宋体" w:cs="宋体"/>
          <w:b/>
          <w:sz w:val="36"/>
          <w:szCs w:val="36"/>
          <w:highlight w:val="none"/>
        </w:rPr>
      </w:pPr>
    </w:p>
    <w:p w14:paraId="3A285A54">
      <w:pPr>
        <w:pStyle w:val="9"/>
        <w:rPr>
          <w:rFonts w:hint="eastAsia" w:ascii="宋体" w:hAnsi="宋体" w:eastAsia="宋体" w:cs="宋体"/>
          <w:sz w:val="36"/>
          <w:szCs w:val="36"/>
          <w:highlight w:val="none"/>
        </w:rPr>
      </w:pPr>
    </w:p>
    <w:p w14:paraId="42A9736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二、投标文件</w:t>
      </w:r>
      <w:r>
        <w:rPr>
          <w:rFonts w:hint="eastAsia" w:ascii="宋体" w:hAnsi="宋体" w:eastAsia="宋体" w:cs="宋体"/>
          <w:b/>
          <w:color w:val="auto"/>
          <w:sz w:val="36"/>
          <w:szCs w:val="36"/>
          <w:highlight w:val="none"/>
          <w:lang w:val="en-US" w:eastAsia="zh-CN"/>
        </w:rPr>
        <w:t>附件</w:t>
      </w:r>
      <w:r>
        <w:rPr>
          <w:rFonts w:hint="eastAsia" w:ascii="宋体" w:hAnsi="宋体" w:eastAsia="宋体" w:cs="宋体"/>
          <w:b/>
          <w:color w:val="auto"/>
          <w:sz w:val="36"/>
          <w:szCs w:val="36"/>
          <w:highlight w:val="none"/>
        </w:rPr>
        <w:t>：主要包括以下内容：</w:t>
      </w:r>
    </w:p>
    <w:p w14:paraId="33507A61">
      <w:pPr>
        <w:rPr>
          <w:rFonts w:hint="eastAsia" w:ascii="宋体" w:hAnsi="宋体" w:eastAsia="宋体" w:cs="宋体"/>
          <w:b/>
          <w:sz w:val="36"/>
          <w:szCs w:val="36"/>
          <w:highlight w:val="none"/>
        </w:rPr>
      </w:pPr>
      <w:r>
        <w:rPr>
          <w:rFonts w:hint="eastAsia" w:ascii="宋体" w:hAnsi="宋体" w:eastAsia="宋体" w:cs="宋体"/>
          <w:b/>
          <w:sz w:val="36"/>
          <w:szCs w:val="36"/>
          <w:highlight w:val="none"/>
        </w:rPr>
        <w:t>(1)法定代表人证明书</w:t>
      </w:r>
    </w:p>
    <w:p w14:paraId="4572E968">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185709B1">
      <w:pPr>
        <w:spacing w:line="360" w:lineRule="auto"/>
        <w:jc w:val="center"/>
        <w:rPr>
          <w:rFonts w:hint="eastAsia" w:ascii="宋体" w:hAnsi="宋体" w:eastAsia="宋体" w:cs="宋体"/>
          <w:sz w:val="22"/>
          <w:szCs w:val="22"/>
          <w:highlight w:val="none"/>
        </w:rPr>
      </w:pPr>
      <w:r>
        <w:rPr>
          <w:rFonts w:hint="eastAsia" w:ascii="宋体" w:hAnsi="宋体" w:eastAsia="宋体" w:cs="宋体"/>
          <w:b/>
          <w:sz w:val="32"/>
          <w:szCs w:val="32"/>
          <w:highlight w:val="none"/>
        </w:rPr>
        <w:t>法定代表人证明书</w:t>
      </w:r>
    </w:p>
    <w:p w14:paraId="0CECC555">
      <w:pPr>
        <w:spacing w:line="360" w:lineRule="auto"/>
        <w:rPr>
          <w:rFonts w:hint="eastAsia" w:ascii="宋体" w:hAnsi="宋体" w:eastAsia="宋体" w:cs="宋体"/>
          <w:szCs w:val="21"/>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同志，现任我单位</w:t>
      </w:r>
      <w:r>
        <w:rPr>
          <w:rFonts w:hint="eastAsia" w:ascii="宋体" w:hAnsi="宋体" w:eastAsia="宋体" w:cs="宋体"/>
          <w:highlight w:val="none"/>
          <w:u w:val="single"/>
        </w:rPr>
        <w:t xml:space="preserve">         </w:t>
      </w:r>
      <w:r>
        <w:rPr>
          <w:rFonts w:hint="eastAsia" w:ascii="宋体" w:hAnsi="宋体" w:eastAsia="宋体" w:cs="宋体"/>
          <w:highlight w:val="none"/>
        </w:rPr>
        <w:t>职务，为法定代表人，特此证明。</w:t>
      </w:r>
    </w:p>
    <w:p w14:paraId="370C546C">
      <w:pPr>
        <w:pStyle w:val="9"/>
        <w:rPr>
          <w:rFonts w:hint="eastAsia" w:ascii="宋体" w:hAnsi="宋体" w:eastAsia="宋体" w:cs="宋体"/>
          <w:highlight w:val="none"/>
        </w:rPr>
      </w:pPr>
    </w:p>
    <w:p w14:paraId="65C06711">
      <w:pPr>
        <w:spacing w:line="360" w:lineRule="auto"/>
        <w:ind w:firstLine="482" w:firstLineChars="200"/>
        <w:rPr>
          <w:rFonts w:hint="eastAsia" w:ascii="宋体" w:hAnsi="宋体" w:eastAsia="宋体" w:cs="宋体"/>
          <w:b/>
          <w:szCs w:val="21"/>
          <w:highlight w:val="none"/>
        </w:rPr>
      </w:pPr>
      <w:r>
        <w:rPr>
          <w:rFonts w:hint="eastAsia" w:ascii="宋体" w:hAnsi="宋体" w:eastAsia="宋体" w:cs="宋体"/>
          <w:b/>
          <w:szCs w:val="21"/>
          <w:highlight w:val="none"/>
        </w:rPr>
        <w:t>附： 请提供法定代表人身份证扫描件（正反两面）</w:t>
      </w:r>
    </w:p>
    <w:p w14:paraId="251A10D8">
      <w:pPr>
        <w:pStyle w:val="9"/>
        <w:rPr>
          <w:rFonts w:hint="eastAsia" w:ascii="宋体" w:hAnsi="宋体" w:eastAsia="宋体" w:cs="宋体"/>
          <w:highlight w:val="none"/>
        </w:rPr>
      </w:pPr>
    </w:p>
    <w:p w14:paraId="1C70B47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说明：</w:t>
      </w:r>
    </w:p>
    <w:p w14:paraId="1B7F762C">
      <w:pPr>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1、法定代表人为企业事业单位、国家机关、社会团体的主要行政负责人。</w:t>
      </w:r>
    </w:p>
    <w:p w14:paraId="4D9182F9">
      <w:pPr>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2、内容必须填写真实、清楚，涂改无效，不得转让、买卖。</w:t>
      </w:r>
    </w:p>
    <w:p w14:paraId="162F752D">
      <w:pPr>
        <w:spacing w:line="360" w:lineRule="auto"/>
        <w:ind w:firstLine="602" w:firstLineChars="250"/>
        <w:rPr>
          <w:rFonts w:hint="eastAsia" w:ascii="宋体" w:hAnsi="宋体" w:eastAsia="宋体" w:cs="宋体"/>
          <w:b/>
          <w:bCs/>
          <w:highlight w:val="none"/>
        </w:rPr>
      </w:pPr>
      <w:r>
        <w:rPr>
          <w:rFonts w:hint="eastAsia" w:ascii="宋体" w:hAnsi="宋体" w:eastAsia="宋体" w:cs="宋体"/>
          <w:b/>
          <w:bCs/>
          <w:highlight w:val="none"/>
        </w:rPr>
        <w:t>3、投标人需提供《法定代表人资格证明书》和</w:t>
      </w:r>
      <w:r>
        <w:rPr>
          <w:rFonts w:hint="eastAsia" w:ascii="宋体" w:hAnsi="宋体" w:eastAsia="宋体" w:cs="宋体"/>
          <w:b/>
          <w:szCs w:val="21"/>
          <w:highlight w:val="none"/>
        </w:rPr>
        <w:t>法定代表人身份证扫描件（身份证正反两面；若为港澳台居民可提供来往通行证扫描件；若为非中国国籍管辖范围人员，可提供公安部门认可的身份证明材料扫描件）</w:t>
      </w:r>
      <w:r>
        <w:rPr>
          <w:rFonts w:hint="eastAsia" w:ascii="宋体" w:hAnsi="宋体" w:eastAsia="宋体" w:cs="宋体"/>
          <w:b/>
          <w:bCs/>
          <w:highlight w:val="none"/>
        </w:rPr>
        <w:t>，如未提供视为投标文件组成不完整，其投标文件将被否决。</w:t>
      </w:r>
    </w:p>
    <w:p w14:paraId="4B8447EC">
      <w:pPr>
        <w:rPr>
          <w:rFonts w:hint="eastAsia" w:ascii="宋体" w:hAnsi="宋体" w:eastAsia="宋体" w:cs="宋体"/>
          <w:highlight w:val="none"/>
        </w:rPr>
      </w:pPr>
      <w:r>
        <w:rPr>
          <w:rFonts w:hint="eastAsia" w:ascii="宋体" w:hAnsi="宋体" w:eastAsia="宋体" w:cs="宋体"/>
          <w:highlight w:val="none"/>
        </w:rPr>
        <w:t xml:space="preserve"> </w:t>
      </w:r>
    </w:p>
    <w:p w14:paraId="38FFC7CD">
      <w:pPr>
        <w:pStyle w:val="9"/>
        <w:rPr>
          <w:rFonts w:hint="eastAsia" w:ascii="宋体" w:hAnsi="宋体" w:eastAsia="宋体" w:cs="宋体"/>
          <w:highlight w:val="none"/>
        </w:rPr>
      </w:pPr>
    </w:p>
    <w:p w14:paraId="2BD593E5">
      <w:pPr>
        <w:ind w:firstLine="3600" w:firstLineChars="1500"/>
        <w:rPr>
          <w:rFonts w:hint="eastAsia" w:ascii="宋体" w:hAnsi="宋体" w:eastAsia="宋体" w:cs="宋体"/>
          <w:highlight w:val="none"/>
        </w:rPr>
      </w:pPr>
    </w:p>
    <w:p w14:paraId="76B3AA30">
      <w:pPr>
        <w:ind w:firstLine="3600" w:firstLineChars="1500"/>
        <w:rPr>
          <w:rFonts w:hint="eastAsia" w:ascii="宋体" w:hAnsi="宋体" w:eastAsia="宋体" w:cs="宋体"/>
          <w:highlight w:val="none"/>
        </w:rPr>
      </w:pPr>
      <w:r>
        <w:rPr>
          <w:rFonts w:hint="eastAsia" w:ascii="宋体" w:hAnsi="宋体" w:eastAsia="宋体" w:cs="宋体"/>
          <w:highlight w:val="none"/>
        </w:rPr>
        <w:t>投标单位：</w:t>
      </w:r>
    </w:p>
    <w:p w14:paraId="348B45B0">
      <w:pPr>
        <w:pStyle w:val="9"/>
        <w:rPr>
          <w:rFonts w:hint="eastAsia" w:ascii="宋体" w:hAnsi="宋体" w:eastAsia="宋体" w:cs="宋体"/>
          <w:highlight w:val="none"/>
        </w:rPr>
      </w:pPr>
    </w:p>
    <w:p w14:paraId="4BC6B3C8">
      <w:pPr>
        <w:jc w:val="center"/>
        <w:rPr>
          <w:rFonts w:hint="eastAsia" w:ascii="宋体" w:hAnsi="宋体" w:eastAsia="宋体" w:cs="宋体"/>
          <w:highlight w:val="none"/>
        </w:rPr>
      </w:pPr>
      <w:r>
        <w:rPr>
          <w:rFonts w:hint="eastAsia" w:ascii="宋体" w:hAnsi="宋体" w:eastAsia="宋体" w:cs="宋体"/>
          <w:highlight w:val="none"/>
        </w:rPr>
        <w:t xml:space="preserve">           日期：   年  月  日</w:t>
      </w:r>
    </w:p>
    <w:p w14:paraId="4987186F">
      <w:pPr>
        <w:pStyle w:val="9"/>
        <w:rPr>
          <w:rFonts w:hint="eastAsia" w:ascii="宋体" w:hAnsi="宋体" w:eastAsia="宋体" w:cs="宋体"/>
          <w:highlight w:val="none"/>
        </w:rPr>
      </w:pPr>
    </w:p>
    <w:p w14:paraId="115D7833">
      <w:pPr>
        <w:rPr>
          <w:rFonts w:hint="eastAsia" w:ascii="宋体" w:hAnsi="宋体" w:eastAsia="宋体" w:cs="宋体"/>
          <w:highlight w:val="none"/>
        </w:rPr>
      </w:pPr>
    </w:p>
    <w:p w14:paraId="0123F162">
      <w:pPr>
        <w:pStyle w:val="9"/>
        <w:rPr>
          <w:rFonts w:hint="eastAsia" w:ascii="宋体" w:hAnsi="宋体" w:eastAsia="宋体" w:cs="宋体"/>
          <w:highlight w:val="none"/>
        </w:rPr>
      </w:pPr>
    </w:p>
    <w:p w14:paraId="7E0031A2">
      <w:pPr>
        <w:rPr>
          <w:rFonts w:hint="eastAsia" w:ascii="宋体" w:hAnsi="宋体" w:eastAsia="宋体" w:cs="宋体"/>
          <w:highlight w:val="none"/>
        </w:rPr>
      </w:pPr>
    </w:p>
    <w:p w14:paraId="48798431">
      <w:pPr>
        <w:pStyle w:val="9"/>
        <w:rPr>
          <w:rFonts w:hint="eastAsia" w:ascii="宋体" w:hAnsi="宋体" w:eastAsia="宋体" w:cs="宋体"/>
          <w:highlight w:val="none"/>
        </w:rPr>
      </w:pPr>
    </w:p>
    <w:p w14:paraId="1F5C7A68">
      <w:pPr>
        <w:rPr>
          <w:rFonts w:hint="eastAsia" w:ascii="宋体" w:hAnsi="宋体" w:eastAsia="宋体" w:cs="宋体"/>
          <w:highlight w:val="none"/>
        </w:rPr>
      </w:pPr>
    </w:p>
    <w:p w14:paraId="324B74FA">
      <w:pPr>
        <w:pStyle w:val="9"/>
        <w:rPr>
          <w:rFonts w:hint="eastAsia" w:ascii="宋体" w:hAnsi="宋体" w:eastAsia="宋体" w:cs="宋体"/>
          <w:highlight w:val="none"/>
        </w:rPr>
      </w:pPr>
    </w:p>
    <w:p w14:paraId="1FA1854C">
      <w:pPr>
        <w:rPr>
          <w:rFonts w:hint="eastAsia"/>
        </w:rPr>
      </w:pPr>
    </w:p>
    <w:p w14:paraId="2BD7A520">
      <w:pPr>
        <w:rPr>
          <w:rFonts w:hint="eastAsia"/>
        </w:rPr>
      </w:pPr>
    </w:p>
    <w:p w14:paraId="4EF31F24">
      <w:pPr>
        <w:rPr>
          <w:rFonts w:hint="eastAsia" w:ascii="宋体" w:hAnsi="宋体" w:eastAsia="宋体" w:cs="宋体"/>
          <w:highlight w:val="none"/>
        </w:rPr>
      </w:pPr>
    </w:p>
    <w:p w14:paraId="25556FE6">
      <w:pPr>
        <w:pStyle w:val="9"/>
        <w:rPr>
          <w:rFonts w:hint="eastAsia" w:ascii="宋体" w:hAnsi="宋体" w:eastAsia="宋体" w:cs="宋体"/>
          <w:highlight w:val="none"/>
        </w:rPr>
      </w:pPr>
    </w:p>
    <w:p w14:paraId="416040CB">
      <w:pPr>
        <w:numPr>
          <w:ilvl w:val="0"/>
          <w:numId w:val="16"/>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投标文件签署授权委托书</w:t>
      </w:r>
    </w:p>
    <w:p w14:paraId="23CB651A">
      <w:pPr>
        <w:rPr>
          <w:rFonts w:hint="eastAsia" w:ascii="宋体" w:hAnsi="宋体" w:eastAsia="宋体" w:cs="宋体"/>
          <w:szCs w:val="21"/>
          <w:highlight w:val="none"/>
        </w:rPr>
      </w:pPr>
    </w:p>
    <w:p w14:paraId="00933486">
      <w:pPr>
        <w:rPr>
          <w:rFonts w:hint="eastAsia" w:ascii="宋体" w:hAnsi="宋体" w:eastAsia="宋体" w:cs="宋体"/>
          <w:szCs w:val="21"/>
          <w:highlight w:val="none"/>
        </w:rPr>
      </w:pPr>
    </w:p>
    <w:p w14:paraId="4D51FD0D">
      <w:pPr>
        <w:jc w:val="center"/>
        <w:rPr>
          <w:rFonts w:hint="eastAsia" w:ascii="宋体" w:hAnsi="宋体" w:eastAsia="宋体" w:cs="宋体"/>
          <w:sz w:val="21"/>
          <w:szCs w:val="18"/>
          <w:highlight w:val="none"/>
        </w:rPr>
      </w:pPr>
      <w:r>
        <w:rPr>
          <w:rFonts w:hint="eastAsia" w:ascii="宋体" w:hAnsi="宋体" w:eastAsia="宋体" w:cs="宋体"/>
          <w:b/>
          <w:sz w:val="28"/>
          <w:szCs w:val="28"/>
          <w:highlight w:val="none"/>
        </w:rPr>
        <w:t>授权委托书</w:t>
      </w:r>
    </w:p>
    <w:p w14:paraId="12AA217D">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本授权委托书声明：我</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（投标人名称）的法定代表人，现授权委托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（单位名称）的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（姓名）为我公司签署本项目已递交的投标文件的法定代表人的</w:t>
      </w:r>
      <w:r>
        <w:rPr>
          <w:rFonts w:hint="eastAsia" w:ascii="宋体" w:hAnsi="宋体" w:eastAsia="宋体" w:cs="宋体"/>
          <w:b/>
          <w:bCs/>
          <w:szCs w:val="21"/>
          <w:highlight w:val="none"/>
        </w:rPr>
        <w:t>授权委托代理人</w:t>
      </w:r>
      <w:r>
        <w:rPr>
          <w:rFonts w:hint="eastAsia" w:ascii="宋体" w:hAnsi="宋体" w:eastAsia="宋体" w:cs="宋体"/>
          <w:szCs w:val="21"/>
          <w:highlight w:val="none"/>
        </w:rPr>
        <w:t>，代理人全权代表我所签署的本项目已递交的投标文件内容我均承认。</w:t>
      </w:r>
    </w:p>
    <w:p w14:paraId="6CB211FE">
      <w:pPr>
        <w:pStyle w:val="7"/>
        <w:spacing w:line="360" w:lineRule="auto"/>
        <w:rPr>
          <w:rFonts w:hint="eastAsia" w:ascii="宋体" w:hAnsi="宋体" w:eastAsia="宋体" w:cs="宋体"/>
          <w:szCs w:val="21"/>
          <w:highlight w:val="none"/>
        </w:rPr>
      </w:pPr>
      <w:r>
        <w:rPr>
          <w:rFonts w:hint="eastAsia" w:ascii="宋体" w:hAnsi="宋体" w:eastAsia="宋体" w:cs="宋体"/>
          <w:szCs w:val="21"/>
          <w:highlight w:val="none"/>
        </w:rPr>
        <w:t>代理人无转委托权，特此委托。</w:t>
      </w:r>
    </w:p>
    <w:p w14:paraId="4C9AA11A">
      <w:pPr>
        <w:rPr>
          <w:rFonts w:hint="eastAsia" w:ascii="宋体" w:hAnsi="宋体" w:eastAsia="宋体" w:cs="宋体"/>
          <w:szCs w:val="21"/>
          <w:highlight w:val="none"/>
        </w:rPr>
      </w:pPr>
    </w:p>
    <w:p w14:paraId="6909EA9D">
      <w:pPr>
        <w:spacing w:line="360" w:lineRule="auto"/>
        <w:ind w:left="617" w:leftChars="257"/>
        <w:rPr>
          <w:rFonts w:hint="eastAsia" w:ascii="宋体" w:hAnsi="宋体" w:eastAsia="宋体" w:cs="宋体"/>
          <w:szCs w:val="21"/>
          <w:highlight w:val="none"/>
          <w:u w:val="single"/>
        </w:rPr>
      </w:pPr>
      <w:r>
        <w:rPr>
          <w:rFonts w:hint="eastAsia" w:ascii="宋体" w:hAnsi="宋体" w:eastAsia="宋体" w:cs="宋体"/>
          <w:szCs w:val="21"/>
          <w:highlight w:val="none"/>
        </w:rPr>
        <w:t>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14:paraId="76E23FDC">
      <w:pPr>
        <w:spacing w:line="360" w:lineRule="auto"/>
        <w:ind w:left="617" w:leftChars="257"/>
        <w:rPr>
          <w:rFonts w:hint="eastAsia" w:ascii="宋体" w:hAnsi="宋体" w:eastAsia="宋体" w:cs="宋体"/>
          <w:szCs w:val="21"/>
          <w:highlight w:val="none"/>
        </w:rPr>
      </w:pPr>
      <w:r>
        <w:rPr>
          <w:rFonts w:hint="eastAsia" w:ascii="宋体" w:hAnsi="宋体" w:eastAsia="宋体" w:cs="宋体"/>
          <w:szCs w:val="21"/>
          <w:highlight w:val="none"/>
        </w:rPr>
        <w:t>联系电话：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手机：</w:t>
      </w:r>
      <w:r>
        <w:rPr>
          <w:rFonts w:hint="eastAsia" w:ascii="宋体" w:hAnsi="宋体" w:eastAsia="宋体" w:cs="宋体"/>
          <w:szCs w:val="21"/>
          <w:highlight w:val="none"/>
          <w:u w:val="single"/>
        </w:rPr>
        <w:t xml:space="preserve">                   </w:t>
      </w:r>
    </w:p>
    <w:p w14:paraId="36402E36">
      <w:pPr>
        <w:spacing w:line="360" w:lineRule="auto"/>
        <w:rPr>
          <w:rFonts w:hint="eastAsia" w:ascii="宋体" w:hAnsi="宋体" w:eastAsia="宋体" w:cs="宋体"/>
          <w:highlight w:val="none"/>
        </w:rPr>
      </w:pPr>
    </w:p>
    <w:p w14:paraId="5335E74A">
      <w:pPr>
        <w:spacing w:line="360" w:lineRule="auto"/>
        <w:ind w:firstLine="482" w:firstLineChars="200"/>
        <w:rPr>
          <w:rFonts w:hint="eastAsia" w:ascii="宋体" w:hAnsi="宋体" w:eastAsia="宋体" w:cs="宋体"/>
          <w:b/>
          <w:szCs w:val="21"/>
          <w:highlight w:val="none"/>
        </w:rPr>
      </w:pPr>
      <w:r>
        <w:rPr>
          <w:rFonts w:hint="eastAsia" w:ascii="宋体" w:hAnsi="宋体" w:eastAsia="宋体" w:cs="宋体"/>
          <w:b/>
          <w:szCs w:val="21"/>
          <w:highlight w:val="none"/>
        </w:rPr>
        <w:t>附： 请提供授权委托代理人身份证扫描件（正反两面）</w:t>
      </w:r>
    </w:p>
    <w:p w14:paraId="7C6218D8">
      <w:pPr>
        <w:pStyle w:val="9"/>
        <w:rPr>
          <w:rFonts w:hint="eastAsia" w:ascii="宋体" w:hAnsi="宋体" w:eastAsia="宋体" w:cs="宋体"/>
          <w:highlight w:val="none"/>
        </w:rPr>
      </w:pPr>
    </w:p>
    <w:p w14:paraId="74F5A24A">
      <w:pPr>
        <w:pStyle w:val="9"/>
        <w:rPr>
          <w:rFonts w:hint="eastAsia" w:ascii="宋体" w:hAnsi="宋体" w:eastAsia="宋体" w:cs="宋体"/>
          <w:highlight w:val="none"/>
        </w:rPr>
      </w:pPr>
    </w:p>
    <w:p w14:paraId="0248D90C">
      <w:pPr>
        <w:spacing w:line="360" w:lineRule="auto"/>
        <w:rPr>
          <w:rFonts w:hint="eastAsia" w:ascii="宋体" w:hAnsi="宋体" w:eastAsia="宋体" w:cs="宋体"/>
          <w:highlight w:val="none"/>
        </w:rPr>
      </w:pPr>
      <w:r>
        <w:rPr>
          <w:rFonts w:hint="eastAsia" w:ascii="宋体" w:hAnsi="宋体" w:eastAsia="宋体" w:cs="宋体"/>
          <w:highlight w:val="none"/>
        </w:rPr>
        <w:t>说明：</w:t>
      </w:r>
    </w:p>
    <w:p w14:paraId="0E5AA932">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1、内容必须填写真实、清楚，涂改无效，不得转让、买卖。</w:t>
      </w:r>
    </w:p>
    <w:p w14:paraId="48CB7F0E">
      <w:pPr>
        <w:spacing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2、投标人需提供《投标文件签署授权委托书》和</w:t>
      </w:r>
      <w:r>
        <w:rPr>
          <w:rFonts w:hint="eastAsia" w:ascii="宋体" w:hAnsi="宋体" w:eastAsia="宋体" w:cs="宋体"/>
          <w:b/>
          <w:szCs w:val="21"/>
          <w:highlight w:val="none"/>
        </w:rPr>
        <w:t>授权委托代理人身份证扫描件（身份证正反两面；若为港澳台居民可提供来往通行证扫描件；若为非中国国籍管辖范围人员，可提供公安部门认可的身份证明材料扫描件）</w:t>
      </w:r>
      <w:r>
        <w:rPr>
          <w:rFonts w:hint="eastAsia" w:ascii="宋体" w:hAnsi="宋体" w:eastAsia="宋体" w:cs="宋体"/>
          <w:b/>
          <w:bCs/>
          <w:highlight w:val="none"/>
        </w:rPr>
        <w:t>，如为法定代表人投标也需提供该授权委托书（可授权委托自己签署投标文件），如未提供视为投标文件组成不完整，其投标文件将被否决。</w:t>
      </w:r>
    </w:p>
    <w:p w14:paraId="6F73D7ED">
      <w:pPr>
        <w:spacing w:line="360" w:lineRule="auto"/>
        <w:rPr>
          <w:rFonts w:hint="eastAsia" w:ascii="宋体" w:hAnsi="宋体" w:eastAsia="宋体" w:cs="宋体"/>
          <w:szCs w:val="21"/>
          <w:highlight w:val="none"/>
        </w:rPr>
      </w:pPr>
    </w:p>
    <w:p w14:paraId="52B141B6">
      <w:pPr>
        <w:rPr>
          <w:rFonts w:hint="eastAsia" w:ascii="宋体" w:hAnsi="宋体" w:eastAsia="宋体" w:cs="宋体"/>
          <w:highlight w:val="none"/>
        </w:rPr>
      </w:pPr>
    </w:p>
    <w:p w14:paraId="1C6D16F6">
      <w:pPr>
        <w:ind w:firstLine="3600" w:firstLineChars="1500"/>
        <w:rPr>
          <w:rFonts w:hint="eastAsia" w:ascii="宋体" w:hAnsi="宋体" w:eastAsia="宋体" w:cs="宋体"/>
          <w:highlight w:val="none"/>
        </w:rPr>
      </w:pPr>
      <w:r>
        <w:rPr>
          <w:rFonts w:hint="eastAsia" w:ascii="宋体" w:hAnsi="宋体" w:eastAsia="宋体" w:cs="宋体"/>
          <w:highlight w:val="none"/>
        </w:rPr>
        <w:t>投标单位：</w:t>
      </w:r>
    </w:p>
    <w:p w14:paraId="696802EB">
      <w:pPr>
        <w:pStyle w:val="9"/>
        <w:rPr>
          <w:rFonts w:hint="eastAsia" w:ascii="宋体" w:hAnsi="宋体" w:eastAsia="宋体" w:cs="宋体"/>
          <w:highlight w:val="none"/>
        </w:rPr>
      </w:pPr>
    </w:p>
    <w:p w14:paraId="49CF9535">
      <w:pPr>
        <w:pStyle w:val="9"/>
        <w:jc w:val="center"/>
        <w:rPr>
          <w:rFonts w:hint="eastAsia" w:ascii="宋体" w:hAnsi="宋体" w:eastAsia="宋体" w:cs="宋体"/>
          <w:highlight w:val="none"/>
        </w:rPr>
      </w:pPr>
      <w:r>
        <w:rPr>
          <w:rFonts w:hint="eastAsia" w:ascii="宋体" w:hAnsi="宋体" w:eastAsia="宋体" w:cs="宋体"/>
          <w:highlight w:val="none"/>
        </w:rPr>
        <w:t xml:space="preserve">           日期：   年  月  日</w:t>
      </w:r>
    </w:p>
    <w:p w14:paraId="0EA21621">
      <w:pPr>
        <w:pStyle w:val="9"/>
        <w:rPr>
          <w:rFonts w:hint="eastAsia" w:ascii="宋体" w:hAnsi="宋体" w:eastAsia="宋体" w:cs="宋体"/>
          <w:highlight w:val="none"/>
        </w:rPr>
      </w:pPr>
    </w:p>
    <w:p w14:paraId="650AAA6D">
      <w:pPr>
        <w:rPr>
          <w:rFonts w:hint="eastAsia" w:ascii="宋体" w:hAnsi="宋体" w:eastAsia="宋体" w:cs="宋体"/>
          <w:highlight w:val="none"/>
        </w:rPr>
      </w:pPr>
    </w:p>
    <w:p w14:paraId="05EB7C88">
      <w:pPr>
        <w:pStyle w:val="9"/>
        <w:rPr>
          <w:rFonts w:hint="eastAsia" w:ascii="宋体" w:hAnsi="宋体" w:eastAsia="宋体" w:cs="宋体"/>
          <w:highlight w:val="none"/>
        </w:rPr>
      </w:pPr>
    </w:p>
    <w:p w14:paraId="556EED12">
      <w:pPr>
        <w:rPr>
          <w:rFonts w:hint="eastAsia" w:ascii="宋体" w:hAnsi="宋体" w:eastAsia="宋体" w:cs="宋体"/>
          <w:highlight w:val="none"/>
        </w:rPr>
      </w:pPr>
    </w:p>
    <w:p w14:paraId="32ADA3DB">
      <w:pPr>
        <w:numPr>
          <w:ilvl w:val="0"/>
          <w:numId w:val="16"/>
        </w:numPr>
        <w:spacing w:line="360" w:lineRule="auto"/>
        <w:rPr>
          <w:rFonts w:hint="eastAsia" w:ascii="宋体" w:hAnsi="宋体" w:eastAsia="宋体" w:cs="宋体"/>
          <w:b/>
          <w:sz w:val="36"/>
          <w:szCs w:val="36"/>
          <w:highlight w:val="none"/>
        </w:rPr>
      </w:pPr>
      <w:r>
        <w:rPr>
          <w:rFonts w:hint="eastAsia" w:ascii="宋体" w:hAnsi="宋体" w:eastAsia="宋体" w:cs="宋体"/>
          <w:b/>
          <w:sz w:val="36"/>
          <w:szCs w:val="36"/>
          <w:highlight w:val="none"/>
        </w:rPr>
        <w:t>实质性条款响应情况表</w:t>
      </w:r>
    </w:p>
    <w:p w14:paraId="64647C3D">
      <w:pPr>
        <w:numPr>
          <w:ilvl w:val="0"/>
          <w:numId w:val="0"/>
        </w:num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实质性条款响应情况表</w:t>
      </w:r>
    </w:p>
    <w:tbl>
      <w:tblPr>
        <w:tblStyle w:val="18"/>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777"/>
        <w:gridCol w:w="1653"/>
        <w:gridCol w:w="2225"/>
      </w:tblGrid>
      <w:tr w14:paraId="7BA5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5" w:type="dxa"/>
            <w:vAlign w:val="center"/>
          </w:tcPr>
          <w:p w14:paraId="20E76E0D">
            <w:pPr>
              <w:adjustRightInd w:val="0"/>
              <w:snapToGrid w:val="0"/>
              <w:jc w:val="center"/>
              <w:rPr>
                <w:rFonts w:hint="eastAsia" w:ascii="宋体" w:hAnsi="宋体" w:eastAsia="宋体" w:cs="宋体"/>
                <w:b/>
                <w:bCs/>
                <w:sz w:val="22"/>
                <w:szCs w:val="22"/>
                <w:highlight w:val="none"/>
              </w:rPr>
            </w:pPr>
            <w:bookmarkStart w:id="11" w:name="_Hlk72092651"/>
            <w:r>
              <w:rPr>
                <w:rFonts w:hint="eastAsia" w:ascii="宋体" w:hAnsi="宋体" w:eastAsia="宋体" w:cs="宋体"/>
                <w:b/>
                <w:bCs/>
                <w:sz w:val="22"/>
                <w:szCs w:val="22"/>
                <w:highlight w:val="none"/>
              </w:rPr>
              <w:t>序号</w:t>
            </w:r>
          </w:p>
        </w:tc>
        <w:tc>
          <w:tcPr>
            <w:tcW w:w="2664" w:type="dxa"/>
            <w:vAlign w:val="center"/>
          </w:tcPr>
          <w:p w14:paraId="252CEE4B">
            <w:pPr>
              <w:adjustRightInd w:val="0"/>
              <w:snapToGrid w:val="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实质性条款具体内容</w:t>
            </w:r>
          </w:p>
        </w:tc>
        <w:tc>
          <w:tcPr>
            <w:tcW w:w="1777" w:type="dxa"/>
            <w:vAlign w:val="center"/>
          </w:tcPr>
          <w:p w14:paraId="156BF990">
            <w:pPr>
              <w:adjustRightInd w:val="0"/>
              <w:snapToGrid w:val="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投标响应</w:t>
            </w:r>
          </w:p>
        </w:tc>
        <w:tc>
          <w:tcPr>
            <w:tcW w:w="1653" w:type="dxa"/>
            <w:vAlign w:val="center"/>
          </w:tcPr>
          <w:p w14:paraId="7139F98D">
            <w:pPr>
              <w:adjustRightInd w:val="0"/>
              <w:snapToGrid w:val="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偏离情况</w:t>
            </w:r>
          </w:p>
        </w:tc>
        <w:tc>
          <w:tcPr>
            <w:tcW w:w="2225" w:type="dxa"/>
            <w:vAlign w:val="center"/>
          </w:tcPr>
          <w:p w14:paraId="79ECB4B2">
            <w:pPr>
              <w:adjustRightInd w:val="0"/>
              <w:snapToGrid w:val="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说明</w:t>
            </w:r>
          </w:p>
        </w:tc>
      </w:tr>
      <w:bookmarkEnd w:id="11"/>
      <w:tr w14:paraId="5A06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Align w:val="center"/>
          </w:tcPr>
          <w:p w14:paraId="52F21EFD">
            <w:pPr>
              <w:adjustRightInd w:val="0"/>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2664" w:type="dxa"/>
            <w:vAlign w:val="center"/>
          </w:tcPr>
          <w:p w14:paraId="31E94CD6">
            <w:pPr>
              <w:adjustRightInd w:val="0"/>
              <w:snapToGrid w:val="0"/>
              <w:jc w:val="center"/>
              <w:rPr>
                <w:rFonts w:hint="eastAsia" w:ascii="宋体" w:hAnsi="宋体" w:eastAsia="宋体" w:cs="宋体"/>
                <w:sz w:val="22"/>
                <w:szCs w:val="22"/>
                <w:highlight w:val="none"/>
              </w:rPr>
            </w:pPr>
          </w:p>
        </w:tc>
        <w:tc>
          <w:tcPr>
            <w:tcW w:w="1777" w:type="dxa"/>
            <w:vAlign w:val="center"/>
          </w:tcPr>
          <w:p w14:paraId="1EA49062">
            <w:pPr>
              <w:adjustRightInd w:val="0"/>
              <w:snapToGrid w:val="0"/>
              <w:jc w:val="center"/>
              <w:rPr>
                <w:rFonts w:hint="eastAsia" w:ascii="宋体" w:hAnsi="宋体" w:eastAsia="宋体" w:cs="宋体"/>
                <w:sz w:val="22"/>
                <w:szCs w:val="22"/>
                <w:highlight w:val="none"/>
              </w:rPr>
            </w:pPr>
          </w:p>
        </w:tc>
        <w:tc>
          <w:tcPr>
            <w:tcW w:w="1653" w:type="dxa"/>
            <w:vAlign w:val="center"/>
          </w:tcPr>
          <w:p w14:paraId="4B0645DA">
            <w:pPr>
              <w:adjustRightInd w:val="0"/>
              <w:snapToGrid w:val="0"/>
              <w:jc w:val="center"/>
              <w:rPr>
                <w:rFonts w:hint="eastAsia" w:ascii="宋体" w:hAnsi="宋体" w:eastAsia="宋体" w:cs="宋体"/>
                <w:sz w:val="22"/>
                <w:szCs w:val="22"/>
                <w:highlight w:val="none"/>
              </w:rPr>
            </w:pPr>
          </w:p>
        </w:tc>
        <w:tc>
          <w:tcPr>
            <w:tcW w:w="2225" w:type="dxa"/>
            <w:vAlign w:val="center"/>
          </w:tcPr>
          <w:p w14:paraId="0E124205">
            <w:pPr>
              <w:adjustRightInd w:val="0"/>
              <w:snapToGrid w:val="0"/>
              <w:jc w:val="center"/>
              <w:rPr>
                <w:rFonts w:hint="eastAsia" w:ascii="宋体" w:hAnsi="宋体" w:eastAsia="宋体" w:cs="宋体"/>
                <w:sz w:val="22"/>
                <w:szCs w:val="22"/>
                <w:highlight w:val="none"/>
              </w:rPr>
            </w:pPr>
          </w:p>
        </w:tc>
      </w:tr>
      <w:tr w14:paraId="530C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Align w:val="center"/>
          </w:tcPr>
          <w:p w14:paraId="0FAC9727">
            <w:pPr>
              <w:adjustRightInd w:val="0"/>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2664" w:type="dxa"/>
            <w:vAlign w:val="center"/>
          </w:tcPr>
          <w:p w14:paraId="25698B8D">
            <w:pPr>
              <w:adjustRightInd w:val="0"/>
              <w:snapToGrid w:val="0"/>
              <w:jc w:val="center"/>
              <w:rPr>
                <w:rFonts w:hint="eastAsia" w:ascii="宋体" w:hAnsi="宋体" w:eastAsia="宋体" w:cs="宋体"/>
                <w:sz w:val="22"/>
                <w:szCs w:val="22"/>
                <w:highlight w:val="none"/>
              </w:rPr>
            </w:pPr>
          </w:p>
        </w:tc>
        <w:tc>
          <w:tcPr>
            <w:tcW w:w="1777" w:type="dxa"/>
            <w:vAlign w:val="center"/>
          </w:tcPr>
          <w:p w14:paraId="2FE49B6E">
            <w:pPr>
              <w:adjustRightInd w:val="0"/>
              <w:snapToGrid w:val="0"/>
              <w:jc w:val="center"/>
              <w:rPr>
                <w:rFonts w:hint="eastAsia" w:ascii="宋体" w:hAnsi="宋体" w:eastAsia="宋体" w:cs="宋体"/>
                <w:sz w:val="22"/>
                <w:szCs w:val="22"/>
                <w:highlight w:val="none"/>
              </w:rPr>
            </w:pPr>
          </w:p>
        </w:tc>
        <w:tc>
          <w:tcPr>
            <w:tcW w:w="1653" w:type="dxa"/>
            <w:vAlign w:val="center"/>
          </w:tcPr>
          <w:p w14:paraId="26DD0BF6">
            <w:pPr>
              <w:adjustRightInd w:val="0"/>
              <w:snapToGrid w:val="0"/>
              <w:jc w:val="center"/>
              <w:rPr>
                <w:rFonts w:hint="eastAsia" w:ascii="宋体" w:hAnsi="宋体" w:eastAsia="宋体" w:cs="宋体"/>
                <w:sz w:val="22"/>
                <w:szCs w:val="22"/>
                <w:highlight w:val="none"/>
              </w:rPr>
            </w:pPr>
          </w:p>
        </w:tc>
        <w:tc>
          <w:tcPr>
            <w:tcW w:w="2225" w:type="dxa"/>
            <w:vAlign w:val="center"/>
          </w:tcPr>
          <w:p w14:paraId="581E5BC6">
            <w:pPr>
              <w:adjustRightInd w:val="0"/>
              <w:snapToGrid w:val="0"/>
              <w:jc w:val="center"/>
              <w:rPr>
                <w:rFonts w:hint="eastAsia" w:ascii="宋体" w:hAnsi="宋体" w:eastAsia="宋体" w:cs="宋体"/>
                <w:sz w:val="22"/>
                <w:szCs w:val="22"/>
                <w:highlight w:val="none"/>
              </w:rPr>
            </w:pPr>
          </w:p>
        </w:tc>
      </w:tr>
    </w:tbl>
    <w:p w14:paraId="51665253">
      <w:pPr>
        <w:rPr>
          <w:rFonts w:hint="eastAsia" w:ascii="宋体" w:hAnsi="宋体" w:eastAsia="宋体" w:cs="宋体"/>
          <w:b/>
          <w:sz w:val="22"/>
          <w:szCs w:val="22"/>
          <w:highlight w:val="none"/>
        </w:rPr>
      </w:pPr>
      <w:r>
        <w:rPr>
          <w:rFonts w:hint="eastAsia" w:ascii="宋体" w:hAnsi="宋体" w:eastAsia="宋体" w:cs="宋体"/>
          <w:b/>
          <w:sz w:val="22"/>
          <w:szCs w:val="22"/>
          <w:highlight w:val="none"/>
        </w:rPr>
        <w:t>注：1. 上表所列各项均为不可负偏离条款。</w:t>
      </w:r>
    </w:p>
    <w:p w14:paraId="1B448534">
      <w:pPr>
        <w:rPr>
          <w:rFonts w:hint="eastAsia" w:ascii="宋体" w:hAnsi="宋体" w:eastAsia="宋体" w:cs="宋体"/>
          <w:b/>
          <w:sz w:val="22"/>
          <w:szCs w:val="22"/>
          <w:highlight w:val="none"/>
        </w:rPr>
      </w:pPr>
      <w:r>
        <w:rPr>
          <w:rFonts w:hint="eastAsia" w:ascii="宋体" w:hAnsi="宋体" w:eastAsia="宋体" w:cs="宋体"/>
          <w:b/>
          <w:sz w:val="22"/>
          <w:szCs w:val="22"/>
          <w:highlight w:val="none"/>
        </w:rPr>
        <w:t>2.“投标响应”一栏应当详细填写投标人自身响应情况，而不能不合理照搬照抄招实质性条款具体内容。</w:t>
      </w:r>
    </w:p>
    <w:p w14:paraId="2B1DFFBB">
      <w:pPr>
        <w:rPr>
          <w:rFonts w:hint="eastAsia" w:ascii="宋体" w:hAnsi="宋体" w:eastAsia="宋体" w:cs="宋体"/>
          <w:b/>
          <w:sz w:val="22"/>
          <w:szCs w:val="22"/>
          <w:highlight w:val="none"/>
        </w:rPr>
      </w:pPr>
      <w:r>
        <w:rPr>
          <w:rFonts w:hint="eastAsia" w:ascii="宋体" w:hAnsi="宋体" w:eastAsia="宋体" w:cs="宋体"/>
          <w:b/>
          <w:sz w:val="22"/>
          <w:szCs w:val="22"/>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0AD64530">
      <w:pPr>
        <w:rPr>
          <w:rFonts w:hint="eastAsia" w:ascii="宋体" w:hAnsi="宋体" w:eastAsia="宋体" w:cs="宋体"/>
          <w:b/>
          <w:sz w:val="22"/>
          <w:szCs w:val="22"/>
          <w:highlight w:val="none"/>
        </w:rPr>
      </w:pPr>
      <w:r>
        <w:rPr>
          <w:rFonts w:hint="eastAsia" w:ascii="宋体" w:hAnsi="宋体" w:eastAsia="宋体" w:cs="宋体"/>
          <w:b/>
          <w:sz w:val="22"/>
          <w:szCs w:val="22"/>
          <w:highlight w:val="none"/>
        </w:rPr>
        <w:t>4.评审委员会有权对投标响应情况作出判断（作出评审结论）。</w:t>
      </w:r>
    </w:p>
    <w:p w14:paraId="2BDB3C7F">
      <w:pPr>
        <w:rPr>
          <w:rFonts w:hint="eastAsia" w:ascii="宋体" w:hAnsi="宋体" w:eastAsia="宋体" w:cs="宋体"/>
          <w:sz w:val="22"/>
          <w:szCs w:val="22"/>
          <w:highlight w:val="none"/>
        </w:rPr>
      </w:pPr>
      <w:r>
        <w:rPr>
          <w:rFonts w:hint="eastAsia" w:ascii="宋体" w:hAnsi="宋体" w:eastAsia="宋体" w:cs="宋体"/>
          <w:b/>
          <w:sz w:val="22"/>
          <w:szCs w:val="22"/>
          <w:highlight w:val="none"/>
        </w:rPr>
        <w:t>5.实质性响应条款“投标响应情况”与投标文件其它内容冲突的，以实质性响应条款“投标响应情况”为准。</w:t>
      </w:r>
    </w:p>
    <w:p w14:paraId="1A0CF9A6">
      <w:pP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6.要求提供证明资料，在“说明”一栏中列明证明资料的位置,以便评审；未要求提供证明材料的，投标人可以不提供。</w:t>
      </w:r>
    </w:p>
    <w:p w14:paraId="51AF8FE0">
      <w:pPr>
        <w:pStyle w:val="9"/>
        <w:rPr>
          <w:rFonts w:hint="eastAsia" w:ascii="宋体" w:hAnsi="宋体" w:eastAsia="宋体" w:cs="宋体"/>
          <w:highlight w:val="none"/>
        </w:rPr>
      </w:pPr>
    </w:p>
    <w:p w14:paraId="384DC958">
      <w:pPr>
        <w:pStyle w:val="9"/>
        <w:rPr>
          <w:rFonts w:hint="eastAsia" w:ascii="宋体" w:hAnsi="宋体" w:eastAsia="宋体" w:cs="宋体"/>
          <w:highlight w:val="none"/>
        </w:rPr>
        <w:sectPr>
          <w:pgSz w:w="11906" w:h="16838"/>
          <w:pgMar w:top="1440" w:right="1800" w:bottom="1440" w:left="1800" w:header="851" w:footer="992" w:gutter="0"/>
          <w:pgNumType w:fmt="decimal"/>
          <w:cols w:space="425" w:num="1"/>
          <w:docGrid w:type="lines" w:linePitch="312" w:charSpace="0"/>
        </w:sectPr>
      </w:pPr>
    </w:p>
    <w:p w14:paraId="44522CCC">
      <w:pPr>
        <w:rPr>
          <w:rFonts w:hint="eastAsia" w:ascii="宋体" w:hAnsi="宋体" w:eastAsia="宋体" w:cs="宋体"/>
          <w:highlight w:val="none"/>
        </w:rPr>
      </w:pPr>
    </w:p>
    <w:p w14:paraId="6EC37518">
      <w:pPr>
        <w:numPr>
          <w:ilvl w:val="0"/>
          <w:numId w:val="16"/>
        </w:numPr>
        <w:rPr>
          <w:rFonts w:hint="eastAsia" w:ascii="宋体" w:hAnsi="宋体" w:eastAsia="宋体" w:cs="宋体"/>
          <w:b/>
          <w:sz w:val="36"/>
          <w:szCs w:val="36"/>
          <w:highlight w:val="none"/>
        </w:rPr>
      </w:pPr>
      <w:r>
        <w:rPr>
          <w:rFonts w:hint="eastAsia" w:ascii="宋体" w:hAnsi="宋体" w:eastAsia="宋体" w:cs="宋体"/>
          <w:b/>
          <w:sz w:val="36"/>
          <w:szCs w:val="36"/>
          <w:highlight w:val="none"/>
          <w:lang w:val="en-US" w:eastAsia="zh-CN"/>
        </w:rPr>
        <w:t>项目</w:t>
      </w:r>
      <w:r>
        <w:rPr>
          <w:rFonts w:hint="eastAsia" w:ascii="宋体" w:hAnsi="宋体" w:eastAsia="宋体" w:cs="宋体"/>
          <w:b/>
          <w:sz w:val="36"/>
          <w:szCs w:val="36"/>
          <w:highlight w:val="none"/>
        </w:rPr>
        <w:t>实施方案</w:t>
      </w:r>
    </w:p>
    <w:p w14:paraId="2A2EA7A4">
      <w:pPr>
        <w:numPr>
          <w:ilvl w:val="0"/>
          <w:numId w:val="16"/>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项目重点难点分析、应对措施及相关的合理化建议</w:t>
      </w:r>
    </w:p>
    <w:p w14:paraId="622C3E42">
      <w:pPr>
        <w:numPr>
          <w:ilvl w:val="0"/>
          <w:numId w:val="16"/>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质量(完成时间、安全、</w:t>
      </w:r>
      <w:r>
        <w:rPr>
          <w:rFonts w:hint="eastAsia" w:ascii="宋体" w:hAnsi="宋体" w:eastAsia="宋体" w:cs="宋体"/>
          <w:b/>
          <w:sz w:val="36"/>
          <w:szCs w:val="36"/>
          <w:highlight w:val="none"/>
          <w:lang w:val="en-US" w:eastAsia="zh-CN"/>
        </w:rPr>
        <w:t>环保</w:t>
      </w:r>
      <w:r>
        <w:rPr>
          <w:rFonts w:hint="eastAsia" w:ascii="宋体" w:hAnsi="宋体" w:eastAsia="宋体" w:cs="宋体"/>
          <w:b/>
          <w:sz w:val="36"/>
          <w:szCs w:val="36"/>
          <w:highlight w:val="none"/>
        </w:rPr>
        <w:t>)保障措施及方案</w:t>
      </w:r>
    </w:p>
    <w:p w14:paraId="022D7677">
      <w:pPr>
        <w:numPr>
          <w:ilvl w:val="0"/>
          <w:numId w:val="16"/>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项目完成(服务期满)后的服务承诺</w:t>
      </w:r>
    </w:p>
    <w:p w14:paraId="0FC01532">
      <w:pPr>
        <w:numPr>
          <w:ilvl w:val="0"/>
          <w:numId w:val="16"/>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违约承诺</w:t>
      </w:r>
    </w:p>
    <w:p w14:paraId="34448E41">
      <w:pPr>
        <w:numPr>
          <w:ilvl w:val="0"/>
          <w:numId w:val="16"/>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拟安排项目负责人情况（仅限1人）</w:t>
      </w:r>
    </w:p>
    <w:p w14:paraId="256E9B8A">
      <w:pPr>
        <w:numPr>
          <w:ilvl w:val="0"/>
          <w:numId w:val="16"/>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拟安排的项目团队成员(项目负责人除外)情</w:t>
      </w:r>
      <w:r>
        <w:rPr>
          <w:rFonts w:hint="eastAsia" w:ascii="宋体" w:hAnsi="宋体" w:eastAsia="宋体" w:cs="宋体"/>
          <w:b/>
          <w:sz w:val="36"/>
          <w:szCs w:val="36"/>
          <w:highlight w:val="none"/>
          <w:lang w:val="en-US" w:eastAsia="zh-CN"/>
        </w:rPr>
        <w:t>况</w:t>
      </w:r>
    </w:p>
    <w:p w14:paraId="47AE95E6">
      <w:pPr>
        <w:numPr>
          <w:ilvl w:val="0"/>
          <w:numId w:val="16"/>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投标人认为需要加以说明的其他内容（</w:t>
      </w:r>
      <w:r>
        <w:rPr>
          <w:rFonts w:hint="eastAsia" w:ascii="宋体" w:hAnsi="宋体" w:eastAsia="宋体" w:cs="宋体"/>
          <w:b/>
          <w:sz w:val="36"/>
          <w:szCs w:val="36"/>
          <w:highlight w:val="none"/>
          <w:lang w:val="en-US" w:eastAsia="zh-CN"/>
        </w:rPr>
        <w:t>附件</w:t>
      </w:r>
      <w:r>
        <w:rPr>
          <w:rFonts w:hint="eastAsia" w:ascii="宋体" w:hAnsi="宋体" w:eastAsia="宋体" w:cs="宋体"/>
          <w:b/>
          <w:sz w:val="36"/>
          <w:szCs w:val="36"/>
          <w:highlight w:val="none"/>
        </w:rPr>
        <w:t>）</w:t>
      </w:r>
    </w:p>
    <w:p w14:paraId="40D985E8">
      <w:pPr>
        <w:rPr>
          <w:rFonts w:hint="eastAsia" w:ascii="宋体" w:hAnsi="宋体" w:eastAsia="宋体" w:cs="宋体"/>
          <w:highlight w:val="none"/>
        </w:rPr>
      </w:pPr>
    </w:p>
    <w:p w14:paraId="18E7A11D">
      <w:pPr>
        <w:pStyle w:val="11"/>
        <w:rPr>
          <w:rFonts w:hint="eastAsia" w:ascii="宋体" w:hAnsi="宋体" w:eastAsia="宋体" w:cs="宋体"/>
          <w:b/>
          <w:sz w:val="36"/>
          <w:szCs w:val="36"/>
          <w:highlight w:val="none"/>
        </w:rPr>
      </w:pPr>
    </w:p>
    <w:p w14:paraId="56E86D6B">
      <w:pPr>
        <w:pStyle w:val="11"/>
        <w:rPr>
          <w:rFonts w:hint="eastAsia" w:ascii="宋体" w:hAnsi="宋体" w:eastAsia="宋体" w:cs="宋体"/>
          <w:b/>
          <w:sz w:val="36"/>
          <w:szCs w:val="36"/>
          <w:highlight w:val="none"/>
        </w:rPr>
      </w:pPr>
    </w:p>
    <w:p w14:paraId="17B9AC5B">
      <w:pPr>
        <w:pStyle w:val="11"/>
        <w:rPr>
          <w:rFonts w:hint="eastAsia" w:ascii="宋体" w:hAnsi="宋体" w:eastAsia="宋体" w:cs="宋体"/>
          <w:b/>
          <w:sz w:val="36"/>
          <w:szCs w:val="36"/>
          <w:highlight w:val="none"/>
        </w:rPr>
      </w:pPr>
    </w:p>
    <w:p w14:paraId="763B7CAC">
      <w:pPr>
        <w:pStyle w:val="11"/>
        <w:rPr>
          <w:rFonts w:hint="eastAsia" w:ascii="宋体" w:hAnsi="宋体" w:eastAsia="宋体" w:cs="宋体"/>
          <w:b/>
          <w:sz w:val="36"/>
          <w:szCs w:val="36"/>
          <w:highlight w:val="none"/>
        </w:rPr>
      </w:pPr>
    </w:p>
    <w:p w14:paraId="686EFC29">
      <w:pPr>
        <w:snapToGrid w:val="0"/>
        <w:spacing w:line="360" w:lineRule="auto"/>
        <w:rPr>
          <w:rFonts w:hint="eastAsia" w:ascii="宋体" w:hAnsi="宋体" w:eastAsia="宋体" w:cs="宋体"/>
          <w:bCs/>
          <w:szCs w:val="21"/>
          <w:highlight w:val="none"/>
        </w:rPr>
      </w:pPr>
    </w:p>
    <w:p w14:paraId="4251DC75">
      <w:pPr>
        <w:pStyle w:val="11"/>
        <w:jc w:val="both"/>
        <w:rPr>
          <w:rFonts w:hint="eastAsia" w:ascii="宋体" w:hAnsi="宋体" w:eastAsia="宋体" w:cs="宋体"/>
          <w:highlight w:val="none"/>
        </w:rPr>
      </w:pPr>
      <w:r>
        <w:rPr>
          <w:rFonts w:hint="eastAsia" w:ascii="宋体" w:hAnsi="宋体" w:eastAsia="宋体" w:cs="宋体"/>
          <w:highlight w:val="none"/>
        </w:rPr>
        <w:br w:type="page"/>
      </w:r>
    </w:p>
    <w:p w14:paraId="6548FF3D">
      <w:pPr>
        <w:pStyle w:val="3"/>
        <w:numPr>
          <w:ilvl w:val="0"/>
          <w:numId w:val="8"/>
        </w:numPr>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合同条款</w:t>
      </w:r>
    </w:p>
    <w:p w14:paraId="738085A2">
      <w:pPr>
        <w:jc w:val="center"/>
        <w:rPr>
          <w:rFonts w:hint="eastAsia" w:ascii="宋体" w:hAnsi="宋体" w:eastAsia="宋体" w:cs="宋体"/>
          <w:highlight w:val="none"/>
        </w:rPr>
      </w:pPr>
      <w:r>
        <w:rPr>
          <w:rFonts w:hint="eastAsia" w:ascii="宋体" w:hAnsi="宋体" w:eastAsia="宋体" w:cs="宋体"/>
          <w:b/>
          <w:highlight w:val="none"/>
        </w:rPr>
        <w:t>（仅供参考，项目具体要求以招标项目需求为准）</w:t>
      </w:r>
    </w:p>
    <w:p w14:paraId="4F5BB20B">
      <w:pPr>
        <w:rPr>
          <w:rFonts w:hint="eastAsia" w:ascii="宋体" w:hAnsi="宋体" w:eastAsia="宋体" w:cs="宋体"/>
          <w:b/>
          <w:bCs/>
          <w:szCs w:val="21"/>
          <w:highlight w:val="none"/>
        </w:rPr>
      </w:pPr>
    </w:p>
    <w:p w14:paraId="6E126C74">
      <w:pPr>
        <w:rPr>
          <w:rFonts w:hint="eastAsia" w:ascii="宋体" w:hAnsi="宋体" w:eastAsia="宋体" w:cs="宋体"/>
          <w:b/>
          <w:bCs/>
          <w:szCs w:val="21"/>
          <w:highlight w:val="none"/>
        </w:rPr>
      </w:pPr>
    </w:p>
    <w:p w14:paraId="6D318FEF">
      <w:pPr>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p>
    <w:p w14:paraId="7A34F224">
      <w:pPr>
        <w:rPr>
          <w:rFonts w:hint="eastAsia" w:ascii="宋体" w:hAnsi="宋体" w:eastAsia="宋体" w:cs="宋体"/>
          <w:szCs w:val="21"/>
          <w:highlight w:val="none"/>
        </w:rPr>
      </w:pPr>
    </w:p>
    <w:p w14:paraId="34F6488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采购人：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eastAsia="zh-CN"/>
        </w:rPr>
        <w:t>深圳市龙华区教育科学研究院第二附属学校第二附属学校</w:t>
      </w:r>
      <w:r>
        <w:rPr>
          <w:rFonts w:hint="eastAsia" w:ascii="宋体" w:hAnsi="宋体" w:eastAsia="宋体" w:cs="宋体"/>
          <w:szCs w:val="21"/>
          <w:highlight w:val="none"/>
          <w:u w:val="single"/>
        </w:rPr>
        <w:t xml:space="preserve"> </w:t>
      </w:r>
    </w:p>
    <w:p w14:paraId="232B83F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p>
    <w:p w14:paraId="162CA3FF">
      <w:pPr>
        <w:spacing w:line="360" w:lineRule="auto"/>
        <w:rPr>
          <w:rFonts w:hint="eastAsia" w:ascii="宋体" w:hAnsi="宋体" w:eastAsia="宋体" w:cs="宋体"/>
          <w:highlight w:val="none"/>
        </w:rPr>
      </w:pPr>
    </w:p>
    <w:p w14:paraId="06452FD8">
      <w:pPr>
        <w:spacing w:line="36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根据国采招标（深圳）有限公司招标项目</w:t>
      </w:r>
      <w:r>
        <w:rPr>
          <w:rFonts w:hint="eastAsia" w:ascii="宋体" w:hAnsi="宋体" w:eastAsia="宋体" w:cs="宋体"/>
          <w:color w:val="4472C4" w:themeColor="accent5"/>
          <w:szCs w:val="21"/>
          <w:highlight w:val="none"/>
          <w:u w:val="single"/>
          <w14:textFill>
            <w14:solidFill>
              <w14:schemeClr w14:val="accent5"/>
            </w14:solidFill>
          </w14:textFill>
        </w:rPr>
        <w:t xml:space="preserve">   </w:t>
      </w:r>
      <w:r>
        <w:rPr>
          <w:rFonts w:hint="eastAsia" w:ascii="宋体" w:hAnsi="宋体" w:eastAsia="宋体" w:cs="宋体"/>
          <w:color w:val="4472C4" w:themeColor="accent5"/>
          <w:szCs w:val="21"/>
          <w:highlight w:val="none"/>
          <w:u w:val="single"/>
          <w:lang w:eastAsia="zh-CN"/>
          <w14:textFill>
            <w14:solidFill>
              <w14:schemeClr w14:val="accent5"/>
            </w14:solidFill>
          </w14:textFill>
        </w:rPr>
        <w:t>教师食堂托管服务</w:t>
      </w:r>
      <w:r>
        <w:rPr>
          <w:rFonts w:hint="eastAsia" w:ascii="宋体" w:hAnsi="宋体" w:eastAsia="宋体" w:cs="宋体"/>
          <w:color w:val="4472C4" w:themeColor="accent5"/>
          <w:szCs w:val="21"/>
          <w:highlight w:val="none"/>
          <w:u w:val="single"/>
          <w14:textFill>
            <w14:solidFill>
              <w14:schemeClr w14:val="accent5"/>
            </w14:solidFill>
          </w14:textFill>
        </w:rPr>
        <w:t xml:space="preserve"> （项目编号：   ） </w:t>
      </w:r>
      <w:r>
        <w:rPr>
          <w:rFonts w:hint="eastAsia" w:ascii="宋体" w:hAnsi="宋体" w:eastAsia="宋体" w:cs="宋体"/>
          <w:szCs w:val="21"/>
          <w:highlight w:val="none"/>
        </w:rPr>
        <w:t>的投标结果，由</w:t>
      </w:r>
      <w:r>
        <w:rPr>
          <w:rFonts w:hint="eastAsia" w:ascii="宋体" w:hAnsi="宋体" w:eastAsia="宋体" w:cs="宋体"/>
          <w:szCs w:val="21"/>
          <w:highlight w:val="none"/>
          <w:u w:val="single"/>
        </w:rPr>
        <w:t xml:space="preserve">   （公司名称）    </w:t>
      </w:r>
      <w:r>
        <w:rPr>
          <w:rFonts w:hint="eastAsia" w:ascii="宋体" w:hAnsi="宋体" w:eastAsia="宋体" w:cs="宋体"/>
          <w:szCs w:val="21"/>
          <w:highlight w:val="none"/>
        </w:rPr>
        <w:t>单位为中标方。按照《中华人民共和国民法典》和《深圳经济特区政府采购条例》，经</w:t>
      </w:r>
      <w:r>
        <w:rPr>
          <w:rFonts w:hint="eastAsia" w:ascii="宋体" w:hAnsi="宋体" w:eastAsia="宋体" w:cs="宋体"/>
          <w:szCs w:val="21"/>
          <w:highlight w:val="none"/>
          <w:u w:val="single"/>
        </w:rPr>
        <w:t xml:space="preserve">   单位名称  </w:t>
      </w:r>
      <w:r>
        <w:rPr>
          <w:rFonts w:hint="eastAsia" w:ascii="宋体" w:hAnsi="宋体" w:eastAsia="宋体" w:cs="宋体"/>
          <w:szCs w:val="21"/>
          <w:highlight w:val="none"/>
        </w:rPr>
        <w:t>（以下简称甲方）和</w:t>
      </w:r>
      <w:r>
        <w:rPr>
          <w:rFonts w:hint="eastAsia" w:ascii="宋体" w:hAnsi="宋体" w:eastAsia="宋体" w:cs="宋体"/>
          <w:szCs w:val="21"/>
          <w:highlight w:val="none"/>
          <w:u w:val="single"/>
        </w:rPr>
        <w:t xml:space="preserve">   单位名称  </w:t>
      </w:r>
      <w:r>
        <w:rPr>
          <w:rFonts w:hint="eastAsia" w:ascii="宋体" w:hAnsi="宋体" w:eastAsia="宋体" w:cs="宋体"/>
          <w:szCs w:val="21"/>
          <w:highlight w:val="none"/>
        </w:rPr>
        <w:t>单位（以下简称乙方）协商，就甲方委托乙方承担</w:t>
      </w:r>
      <w:r>
        <w:rPr>
          <w:rFonts w:hint="eastAsia" w:ascii="宋体" w:hAnsi="宋体" w:eastAsia="宋体" w:cs="宋体"/>
          <w:snapToGrid w:val="0"/>
          <w:color w:val="4472C4" w:themeColor="accent5"/>
          <w:szCs w:val="21"/>
          <w:highlight w:val="none"/>
          <w:u w:val="single"/>
          <w:lang w:val="zh-CN"/>
          <w14:textFill>
            <w14:solidFill>
              <w14:schemeClr w14:val="accent5"/>
            </w14:solidFill>
          </w14:textFill>
        </w:rPr>
        <w:t xml:space="preserve">  教师食堂托管服务</w:t>
      </w:r>
      <w:r>
        <w:rPr>
          <w:rFonts w:hint="eastAsia" w:ascii="宋体" w:hAnsi="宋体" w:eastAsia="宋体" w:cs="宋体"/>
          <w:snapToGrid w:val="0"/>
          <w:color w:val="4472C4" w:themeColor="accent5"/>
          <w:szCs w:val="21"/>
          <w:highlight w:val="none"/>
          <w:u w:val="single"/>
          <w14:textFill>
            <w14:solidFill>
              <w14:schemeClr w14:val="accent5"/>
            </w14:solidFill>
          </w14:textFill>
        </w:rPr>
        <w:t xml:space="preserve">  </w:t>
      </w:r>
      <w:r>
        <w:rPr>
          <w:rFonts w:hint="eastAsia" w:ascii="宋体" w:hAnsi="宋体" w:eastAsia="宋体" w:cs="宋体"/>
          <w:szCs w:val="21"/>
          <w:highlight w:val="none"/>
        </w:rPr>
        <w:t>，达成以下合同条款：</w:t>
      </w:r>
    </w:p>
    <w:p w14:paraId="0A9FDF58">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第一条　项目概况</w:t>
      </w:r>
    </w:p>
    <w:p w14:paraId="3A1642DF">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项目名称：</w:t>
      </w:r>
      <w:r>
        <w:rPr>
          <w:rFonts w:hint="eastAsia" w:ascii="宋体" w:hAnsi="宋体" w:eastAsia="宋体" w:cs="宋体"/>
          <w:color w:val="4472C4" w:themeColor="accent5"/>
          <w:szCs w:val="21"/>
          <w:highlight w:val="none"/>
          <w:u w:val="single"/>
          <w:lang w:eastAsia="zh-CN"/>
          <w14:textFill>
            <w14:solidFill>
              <w14:schemeClr w14:val="accent5"/>
            </w14:solidFill>
          </w14:textFill>
        </w:rPr>
        <w:t>教师食堂托管服务</w:t>
      </w:r>
      <w:r>
        <w:rPr>
          <w:rFonts w:hint="eastAsia" w:ascii="宋体" w:hAnsi="宋体" w:eastAsia="宋体" w:cs="宋体"/>
          <w:color w:val="4472C4" w:themeColor="accent5"/>
          <w:szCs w:val="21"/>
          <w:highlight w:val="none"/>
          <w:u w:val="single"/>
          <w14:textFill>
            <w14:solidFill>
              <w14:schemeClr w14:val="accent5"/>
            </w14:solidFill>
          </w14:textFill>
        </w:rPr>
        <w:t xml:space="preserve"> </w:t>
      </w:r>
    </w:p>
    <w:p w14:paraId="566E839A">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项目内容： </w:t>
      </w:r>
    </w:p>
    <w:p w14:paraId="74DCAEDD">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服务时间： </w:t>
      </w:r>
    </w:p>
    <w:p w14:paraId="25B6E1FB">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合同价款：合同总价为元，含一切税、费。</w:t>
      </w:r>
      <w:r>
        <w:rPr>
          <w:rFonts w:hint="eastAsia" w:ascii="宋体" w:hAnsi="宋体" w:eastAsia="宋体" w:cs="宋体"/>
          <w:highlight w:val="none"/>
        </w:rPr>
        <w:t>本合同总价包括</w:t>
      </w:r>
      <w:r>
        <w:rPr>
          <w:rFonts w:hint="eastAsia" w:ascii="宋体" w:hAnsi="宋体" w:eastAsia="宋体" w:cs="宋体"/>
          <w:szCs w:val="21"/>
          <w:highlight w:val="none"/>
        </w:rPr>
        <w:t>乙方为实施本项目荷载试验所需的设备仪器费、车辆租赁费、</w:t>
      </w:r>
      <w:r>
        <w:rPr>
          <w:rFonts w:hint="eastAsia" w:ascii="宋体" w:hAnsi="宋体" w:eastAsia="宋体" w:cs="宋体"/>
          <w:highlight w:val="none"/>
        </w:rPr>
        <w:t>服务和技术费用等，为固定不变价格，且不随通货膨胀的影响而波动。合同总价包括</w:t>
      </w:r>
      <w:r>
        <w:rPr>
          <w:rFonts w:hint="eastAsia" w:ascii="宋体" w:hAnsi="宋体" w:eastAsia="宋体" w:cs="宋体"/>
          <w:szCs w:val="21"/>
          <w:highlight w:val="none"/>
        </w:rPr>
        <w:t>乙方</w:t>
      </w:r>
      <w:r>
        <w:rPr>
          <w:rFonts w:hint="eastAsia" w:ascii="宋体" w:hAnsi="宋体" w:eastAsia="宋体" w:cs="宋体"/>
          <w:highlight w:val="none"/>
        </w:rPr>
        <w:t>履行本合同义务所发生的一切费用和支出和以各种方式寄送技术资料到甲方办公室所发生的费用。如发生本合同规定的不可抗力，合同总价可经双方友好协商予以调整。</w:t>
      </w:r>
    </w:p>
    <w:p w14:paraId="600BF70F">
      <w:pPr>
        <w:pStyle w:val="7"/>
        <w:spacing w:line="360" w:lineRule="exact"/>
        <w:ind w:firstLine="0"/>
        <w:rPr>
          <w:rFonts w:hint="eastAsia" w:ascii="宋体" w:hAnsi="宋体" w:eastAsia="宋体" w:cs="宋体"/>
          <w:szCs w:val="21"/>
          <w:highlight w:val="none"/>
        </w:rPr>
      </w:pPr>
      <w:r>
        <w:rPr>
          <w:rFonts w:hint="eastAsia" w:ascii="宋体" w:hAnsi="宋体" w:eastAsia="宋体" w:cs="宋体"/>
          <w:szCs w:val="21"/>
          <w:highlight w:val="none"/>
        </w:rPr>
        <w:t>支付方式：分期支付。</w:t>
      </w:r>
    </w:p>
    <w:p w14:paraId="5B7620C1">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第二条  服务范围</w:t>
      </w:r>
    </w:p>
    <w:p w14:paraId="03BAEFA0">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1、  </w:t>
      </w:r>
    </w:p>
    <w:p w14:paraId="6A6BD67B">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2、  </w:t>
      </w:r>
    </w:p>
    <w:p w14:paraId="233AC8BA">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3、  </w:t>
      </w:r>
    </w:p>
    <w:p w14:paraId="01CBC58E">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4、 其他合同未明示的相关工作。</w:t>
      </w:r>
    </w:p>
    <w:p w14:paraId="72E4E454">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第三条  时间要求及阶段成果</w:t>
      </w:r>
    </w:p>
    <w:p w14:paraId="4405CC92">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1、合同签订天内完成项目实施的准备工作，包括工作大纲和试验细则的编制；</w:t>
      </w:r>
    </w:p>
    <w:p w14:paraId="0DFE2089">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2、 </w:t>
      </w:r>
    </w:p>
    <w:p w14:paraId="42F53920">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w:t>
      </w:r>
    </w:p>
    <w:p w14:paraId="20079292">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4、</w:t>
      </w:r>
    </w:p>
    <w:p w14:paraId="404934D8">
      <w:pPr>
        <w:spacing w:line="360" w:lineRule="exact"/>
        <w:rPr>
          <w:rFonts w:hint="eastAsia" w:ascii="宋体" w:hAnsi="宋体" w:eastAsia="宋体" w:cs="宋体"/>
          <w:b/>
          <w:szCs w:val="21"/>
          <w:highlight w:val="none"/>
        </w:rPr>
      </w:pPr>
      <w:r>
        <w:rPr>
          <w:rFonts w:hint="eastAsia" w:ascii="宋体" w:hAnsi="宋体" w:eastAsia="宋体" w:cs="宋体"/>
          <w:b/>
          <w:bCs/>
          <w:szCs w:val="21"/>
          <w:highlight w:val="none"/>
        </w:rPr>
        <w:t xml:space="preserve">第四条 </w:t>
      </w:r>
      <w:r>
        <w:rPr>
          <w:rFonts w:hint="eastAsia" w:ascii="宋体" w:hAnsi="宋体" w:eastAsia="宋体" w:cs="宋体"/>
          <w:b/>
          <w:szCs w:val="21"/>
          <w:highlight w:val="none"/>
        </w:rPr>
        <w:t>履约时间和地点</w:t>
      </w:r>
    </w:p>
    <w:p w14:paraId="4A873357">
      <w:pPr>
        <w:pStyle w:val="9"/>
        <w:spacing w:line="36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履约时间：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p>
    <w:p w14:paraId="27077298">
      <w:pPr>
        <w:pStyle w:val="9"/>
        <w:spacing w:line="36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履约地点：</w:t>
      </w:r>
      <w:r>
        <w:rPr>
          <w:rFonts w:hint="eastAsia" w:ascii="宋体" w:hAnsi="宋体" w:eastAsia="宋体" w:cs="宋体"/>
          <w:b w:val="0"/>
          <w:sz w:val="21"/>
          <w:szCs w:val="21"/>
          <w:highlight w:val="none"/>
          <w:u w:val="single"/>
        </w:rPr>
        <w:t xml:space="preserve">深圳市龙华区   </w:t>
      </w:r>
      <w:r>
        <w:rPr>
          <w:rFonts w:hint="eastAsia" w:ascii="宋体" w:hAnsi="宋体" w:eastAsia="宋体" w:cs="宋体"/>
          <w:b w:val="0"/>
          <w:sz w:val="21"/>
          <w:szCs w:val="21"/>
          <w:highlight w:val="none"/>
        </w:rPr>
        <w:t>。</w:t>
      </w:r>
    </w:p>
    <w:p w14:paraId="02F8894A">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第五条 咨询服务资料归属(若有)</w:t>
      </w:r>
    </w:p>
    <w:p w14:paraId="7CF5CDE1">
      <w:pPr>
        <w:spacing w:line="360" w:lineRule="exact"/>
        <w:rPr>
          <w:rFonts w:hint="eastAsia" w:ascii="宋体" w:hAnsi="宋体" w:eastAsia="宋体" w:cs="宋体"/>
          <w:highlight w:val="none"/>
        </w:rPr>
      </w:pPr>
      <w:r>
        <w:rPr>
          <w:rFonts w:hint="eastAsia" w:ascii="宋体" w:hAnsi="宋体" w:eastAsia="宋体" w:cs="宋体"/>
          <w:highlight w:val="none"/>
        </w:rPr>
        <w:t>1、所有提交给甲方的咨询服务文件及相关的资料的最后文本，包括为履行技术咨询服务范围所编制的图纸、计划和证明资料等，都属于甲方的财产，</w:t>
      </w:r>
      <w:r>
        <w:rPr>
          <w:rFonts w:hint="eastAsia" w:ascii="宋体" w:hAnsi="宋体" w:eastAsia="宋体" w:cs="宋体"/>
          <w:szCs w:val="21"/>
          <w:highlight w:val="none"/>
        </w:rPr>
        <w:t>乙</w:t>
      </w:r>
      <w:r>
        <w:rPr>
          <w:rFonts w:hint="eastAsia" w:ascii="宋体" w:hAnsi="宋体" w:eastAsia="宋体" w:cs="宋体"/>
          <w:highlight w:val="none"/>
        </w:rPr>
        <w:t>方在提交给甲方之前应将上述资料进行整理归类和编制索引。</w:t>
      </w:r>
    </w:p>
    <w:p w14:paraId="431F82FA">
      <w:pPr>
        <w:spacing w:line="360" w:lineRule="exac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1"/>
          <w:highlight w:val="none"/>
        </w:rPr>
        <w:t>乙</w:t>
      </w:r>
      <w:r>
        <w:rPr>
          <w:rFonts w:hint="eastAsia" w:ascii="宋体" w:hAnsi="宋体" w:eastAsia="宋体" w:cs="宋体"/>
          <w:highlight w:val="none"/>
        </w:rPr>
        <w:t>方未经甲方的书面同意，不得将上述资料用于与本咨询服务项目之外的任何项目。</w:t>
      </w:r>
    </w:p>
    <w:p w14:paraId="6CC57FED">
      <w:pPr>
        <w:spacing w:line="360" w:lineRule="exact"/>
        <w:rPr>
          <w:rFonts w:hint="eastAsia" w:ascii="宋体" w:hAnsi="宋体" w:eastAsia="宋体" w:cs="宋体"/>
          <w:highlight w:val="none"/>
        </w:rPr>
      </w:pPr>
      <w:r>
        <w:rPr>
          <w:rFonts w:hint="eastAsia" w:ascii="宋体" w:hAnsi="宋体" w:eastAsia="宋体" w:cs="宋体"/>
          <w:highlight w:val="none"/>
        </w:rPr>
        <w:t>3、合同履行完毕，未经甲方的书面同意，</w:t>
      </w:r>
      <w:r>
        <w:rPr>
          <w:rFonts w:hint="eastAsia" w:ascii="宋体" w:hAnsi="宋体" w:eastAsia="宋体" w:cs="宋体"/>
          <w:szCs w:val="21"/>
          <w:highlight w:val="none"/>
        </w:rPr>
        <w:t>乙</w:t>
      </w:r>
      <w:r>
        <w:rPr>
          <w:rFonts w:hint="eastAsia" w:ascii="宋体" w:hAnsi="宋体" w:eastAsia="宋体" w:cs="宋体"/>
          <w:highlight w:val="none"/>
        </w:rPr>
        <w:t>方不得保存在履行合同过程中所获得或接触到的任何</w:t>
      </w:r>
      <w:r>
        <w:rPr>
          <w:rFonts w:hint="eastAsia" w:ascii="宋体" w:hAnsi="宋体" w:eastAsia="宋体" w:cs="宋体"/>
          <w:szCs w:val="21"/>
          <w:highlight w:val="none"/>
        </w:rPr>
        <w:t>内部数据资料。</w:t>
      </w:r>
    </w:p>
    <w:p w14:paraId="3FAB4B7E">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第六条  甲方的义务</w:t>
      </w:r>
    </w:p>
    <w:p w14:paraId="70BB2072">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1、负责与本咨询服务项目有关的第三方的协调，提供开展咨询服务工作的外部条件。</w:t>
      </w:r>
    </w:p>
    <w:p w14:paraId="22BD5A0E">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2、向乙方提供与本项目咨询服务工作有关的资料。</w:t>
      </w:r>
    </w:p>
    <w:p w14:paraId="29430FCB">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3、负责组织有关专家对项目试验成果评估报告的评审。</w:t>
      </w:r>
    </w:p>
    <w:p w14:paraId="15947B97">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第七条　乙方的义务</w:t>
      </w:r>
    </w:p>
    <w:p w14:paraId="143A51DC">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１、应按照号招标文件、乙方投标文件要求按期完成本项目咨询服务工作。</w:t>
      </w:r>
    </w:p>
    <w:p w14:paraId="19E9A0CA">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2、负责组织项目的实施，保证工程进度和成桥荷载试验工作质量，并满足交通部交工验收相关标准。</w:t>
      </w:r>
    </w:p>
    <w:p w14:paraId="21D1D951">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highlight w:val="none"/>
        </w:rPr>
        <w:t>向甲方提交检测资料等各套，一套电子版文件。</w:t>
      </w:r>
    </w:p>
    <w:p w14:paraId="78681540">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4、在履行合同期间或合同规定期限内，不得泄露与本合同规定业务活动有关的保密资料。</w:t>
      </w:r>
    </w:p>
    <w:p w14:paraId="1265D9ED">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第八条  甲方的权利</w:t>
      </w:r>
    </w:p>
    <w:p w14:paraId="0DB6C0FE">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1、有权向乙方询问工作进展情况及相关的内容。</w:t>
      </w:r>
    </w:p>
    <w:p w14:paraId="2CE0DCEB">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2、有权阐述对具体问题的意见和建议。</w:t>
      </w:r>
    </w:p>
    <w:p w14:paraId="42A866A1">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3、当甲方认定乙方人员不按合同履行其职责，或与第三人串通给甲方造成经济损失的，甲方有权要求更换人员，直至终止合同并要求乙方承担相应的赔偿责任。</w:t>
      </w:r>
    </w:p>
    <w:p w14:paraId="2A707BC6">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第九条  乙方的权利</w:t>
      </w:r>
    </w:p>
    <w:p w14:paraId="65B1D9B1">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1、乙方在本项目服务过程中，如甲方提供的资料不明确时可向甲方提出书面报告。</w:t>
      </w:r>
    </w:p>
    <w:p w14:paraId="749A66DD">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2、乙方在本项目服务过程中，有权对第三方提出与本咨询服务业务有关的问题进行核对或查问。</w:t>
      </w:r>
    </w:p>
    <w:p w14:paraId="5B501FFE">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3、乙方在本项目服务过程中，有到工程现场勘察的权利。</w:t>
      </w:r>
    </w:p>
    <w:p w14:paraId="65D571DA">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第十条  甲方的责任</w:t>
      </w:r>
    </w:p>
    <w:p w14:paraId="166ABD42">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1、应当履行本合同约定的义务，如有违反则应当承担违约责任，赔偿给乙方造成的损失。</w:t>
      </w:r>
    </w:p>
    <w:p w14:paraId="2F3C6B70">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2、甲方向乙方提出赔偿要求不能成立时，则应补偿由于该赔偿或其他要求所导致乙方的各种费用的支出。</w:t>
      </w:r>
    </w:p>
    <w:p w14:paraId="1D390280">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第十一条  乙方的责任</w:t>
      </w:r>
    </w:p>
    <w:p w14:paraId="1871288C">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1、乙方的责任期即本合同有效期。如因非乙方的责任造成进度的推迟或延误而超过约定的日期，双方应进一步约定相应延长合同有效期。</w:t>
      </w:r>
    </w:p>
    <w:p w14:paraId="22E0BF76">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2、乙方的责任期内，应当履行本合同中约定的义务，因乙方的单方过失造成的经济损失，应当向甲方进行赔偿。</w:t>
      </w:r>
    </w:p>
    <w:p w14:paraId="275F2FFE">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3、乙方对甲方或第三方所提出的问题不能及时核对或答复，导致合同不能全部或部分履行，乙方应承担责任。</w:t>
      </w:r>
    </w:p>
    <w:p w14:paraId="13ED78DB">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4、乙方向甲方提出赔偿要求不能成立时，则应补偿由于该赔偿或其他要求所导致甲方的各种费用的支出。</w:t>
      </w:r>
    </w:p>
    <w:p w14:paraId="1F358422">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第十二条  人员要求</w:t>
      </w:r>
    </w:p>
    <w:p w14:paraId="3B15EB1F">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1、参加本项目试验的人员必须具有国家和有关部门规定的相应资质。</w:t>
      </w:r>
    </w:p>
    <w:p w14:paraId="2AC7FE7F">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 参加本项目的试验人员的配置必须与投标文件中的服务承诺书和试验服务组织实施方案一致。</w:t>
      </w:r>
    </w:p>
    <w:p w14:paraId="18391257">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3、必须以直属试验人员参与本项目服务，不得使用挂靠队伍。</w:t>
      </w:r>
    </w:p>
    <w:p w14:paraId="6C39344D">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第十三条  乙方咨询服务工具要求</w:t>
      </w:r>
    </w:p>
    <w:p w14:paraId="3A68B225">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1、乙方应配备中标项目所需的足够数量的仪器、仪表以及工具等设备。用户不需向乙方提供施工工具和仪器、仪表。</w:t>
      </w:r>
    </w:p>
    <w:p w14:paraId="7DADDE88">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2、乙方在提供服务过程中应自备车辆。</w:t>
      </w:r>
    </w:p>
    <w:p w14:paraId="65DAE55A">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第十四条  保密要求</w:t>
      </w:r>
    </w:p>
    <w:p w14:paraId="56A88938">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5595C0C">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2、乙方在履行合同过程中所获得或接触到的任何内部数据资料，未经甲方同意，不得向第三方透露。</w:t>
      </w:r>
    </w:p>
    <w:p w14:paraId="2632A4A9">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3、乙方实施项目的一切程序都应符合国家安全、保密的有关规定和标准。</w:t>
      </w:r>
    </w:p>
    <w:p w14:paraId="6C710D47">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4、乙方参加项目的有关人员均需同甲方签订保密协议。</w:t>
      </w:r>
    </w:p>
    <w:p w14:paraId="554EB2D4">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 xml:space="preserve">第十五条  验收     </w:t>
      </w:r>
    </w:p>
    <w:p w14:paraId="78B1A8B7">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1、下列文件的验收分为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个阶段:</w:t>
      </w:r>
    </w:p>
    <w:p w14:paraId="55B65E9C">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2、其余文件和工作由用户组织有关技术人员根据国家和行业有关规范、规程、标准和用户需求直接验收。</w:t>
      </w:r>
    </w:p>
    <w:p w14:paraId="7AB7245C">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3、验收依据为号招标文件、乙方投标文件，国家和行业有关规范、规程和标准。</w:t>
      </w:r>
    </w:p>
    <w:p w14:paraId="18C74B88">
      <w:pPr>
        <w:spacing w:line="360" w:lineRule="exact"/>
        <w:rPr>
          <w:rFonts w:hint="eastAsia" w:ascii="宋体" w:hAnsi="宋体" w:eastAsia="宋体" w:cs="宋体"/>
          <w:b/>
          <w:szCs w:val="21"/>
          <w:highlight w:val="none"/>
        </w:rPr>
      </w:pPr>
      <w:r>
        <w:rPr>
          <w:rFonts w:hint="eastAsia" w:ascii="宋体" w:hAnsi="宋体" w:eastAsia="宋体" w:cs="宋体"/>
          <w:b/>
          <w:bCs/>
          <w:szCs w:val="21"/>
          <w:highlight w:val="none"/>
        </w:rPr>
        <w:t xml:space="preserve">第十六条  </w:t>
      </w:r>
      <w:r>
        <w:rPr>
          <w:rFonts w:hint="eastAsia" w:ascii="宋体" w:hAnsi="宋体" w:eastAsia="宋体" w:cs="宋体"/>
          <w:b/>
          <w:szCs w:val="21"/>
          <w:highlight w:val="none"/>
        </w:rPr>
        <w:t>付款期限和方式</w:t>
      </w:r>
    </w:p>
    <w:p w14:paraId="0117A079">
      <w:pPr>
        <w:spacing w:line="360" w:lineRule="exac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（一）服务期限：</w:t>
      </w:r>
    </w:p>
    <w:p w14:paraId="2F4D9DF9">
      <w:pPr>
        <w:spacing w:line="360" w:lineRule="exac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（二）付款方式：</w:t>
      </w:r>
    </w:p>
    <w:p w14:paraId="2252163C">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第十七条  争议解决办法</w:t>
      </w:r>
    </w:p>
    <w:p w14:paraId="5786EA8C">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因履行本合同引起的或与本合同有关的争议，甲、乙双方应首先通过友好协商解决，如果协商不能解决争议，则向甲方所在地有管辖权的人民法院提起诉讼；</w:t>
      </w:r>
    </w:p>
    <w:p w14:paraId="47565F5F">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第十八条  违约责任</w:t>
      </w:r>
    </w:p>
    <w:p w14:paraId="77A4161A">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１、乙方应完全地按照号招标文件的要求和乙方投标文件的承诺完成本项目，出于自身财务、技术、人力等原因导致项目失败的，应承担全部责任。</w:t>
      </w:r>
    </w:p>
    <w:p w14:paraId="31DA58B8">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2、乙方在施工过程中应对自身的安全生产负责，若由乙方原因发生的各种事故甲方不承担任何责任。</w:t>
      </w:r>
    </w:p>
    <w:p w14:paraId="61229730">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第十九条  合同的变更和终止</w:t>
      </w:r>
    </w:p>
    <w:p w14:paraId="768BE0E4">
      <w:pPr>
        <w:spacing w:line="360" w:lineRule="exact"/>
        <w:rPr>
          <w:rFonts w:hint="eastAsia" w:ascii="宋体" w:hAnsi="宋体" w:eastAsia="宋体" w:cs="宋体"/>
          <w:szCs w:val="21"/>
          <w:highlight w:val="none"/>
        </w:rPr>
      </w:pPr>
      <w:r>
        <w:rPr>
          <w:rFonts w:hint="eastAsia" w:ascii="宋体" w:hAnsi="宋体" w:eastAsia="宋体" w:cs="宋体"/>
          <w:highlight w:val="none"/>
        </w:rPr>
        <w:t>除政府采购合同继续履行将损害国家利益和社会利益外，双方当事人不得擅自变更、中止或者终止合同</w:t>
      </w:r>
      <w:r>
        <w:rPr>
          <w:rFonts w:hint="eastAsia" w:ascii="宋体" w:hAnsi="宋体" w:eastAsia="宋体" w:cs="宋体"/>
          <w:szCs w:val="21"/>
          <w:highlight w:val="none"/>
        </w:rPr>
        <w:t>。</w:t>
      </w:r>
    </w:p>
    <w:p w14:paraId="3340713B">
      <w:pPr>
        <w:spacing w:line="360" w:lineRule="exact"/>
        <w:rPr>
          <w:rFonts w:hint="eastAsia" w:ascii="宋体" w:hAnsi="宋体" w:eastAsia="宋体" w:cs="宋体"/>
          <w:b/>
          <w:bCs/>
          <w:szCs w:val="21"/>
          <w:highlight w:val="none"/>
        </w:rPr>
      </w:pPr>
      <w:r>
        <w:rPr>
          <w:rFonts w:hint="eastAsia" w:ascii="宋体" w:hAnsi="宋体" w:eastAsia="宋体" w:cs="宋体"/>
          <w:b/>
          <w:bCs/>
          <w:szCs w:val="21"/>
          <w:highlight w:val="none"/>
        </w:rPr>
        <w:t>第二十条 其他</w:t>
      </w:r>
    </w:p>
    <w:p w14:paraId="5042C660">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1、下列文件均为本合同的重要组成部分：</w:t>
      </w:r>
    </w:p>
    <w:p w14:paraId="22A72217">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（1）本项目的招标文件、答疑及补充通知；</w:t>
      </w:r>
    </w:p>
    <w:p w14:paraId="79C2C028">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（2）本项目中标的投标文件；</w:t>
      </w:r>
    </w:p>
    <w:p w14:paraId="3D921F30">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（3）本合同执行中共同签署的补充与修正文件。</w:t>
      </w:r>
    </w:p>
    <w:p w14:paraId="472C01F5">
      <w:pPr>
        <w:pStyle w:val="9"/>
        <w:spacing w:line="360" w:lineRule="exac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b w:val="0"/>
          <w:bCs w:val="0"/>
          <w:sz w:val="21"/>
          <w:szCs w:val="21"/>
          <w:highlight w:val="none"/>
        </w:rPr>
        <w:t>以上文件互为补充，如果出现内容冲突的情况，为准的优先顺序为（2）、（1）、（3）。</w:t>
      </w:r>
    </w:p>
    <w:p w14:paraId="0C2082BF">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2、本合同一式___份，甲、乙方双方各执份，具有同等法律效力。本合同自双方法人代表签字（盖章）认可之日起生效。</w:t>
      </w:r>
    </w:p>
    <w:p w14:paraId="65EE4A8F">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3、本合同未尽事宜，双方友好协商，达成解决方案，经双方签字后，可作为本合同的有效附件。</w:t>
      </w:r>
    </w:p>
    <w:p w14:paraId="1083D25F">
      <w:pPr>
        <w:spacing w:line="36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本合同未尽事宜，双方友好协商，达成解决方案，经双方签字后，可作为本合同的有效附件。</w:t>
      </w:r>
    </w:p>
    <w:p w14:paraId="6966B6BF">
      <w:pPr>
        <w:spacing w:line="360" w:lineRule="exact"/>
        <w:rPr>
          <w:rFonts w:hint="eastAsia" w:ascii="宋体" w:hAnsi="宋体" w:eastAsia="宋体" w:cs="宋体"/>
          <w:szCs w:val="21"/>
          <w:highlight w:val="none"/>
        </w:rPr>
      </w:pPr>
    </w:p>
    <w:p w14:paraId="02C18676">
      <w:pPr>
        <w:spacing w:line="360" w:lineRule="exact"/>
        <w:rPr>
          <w:rFonts w:hint="eastAsia" w:ascii="宋体" w:hAnsi="宋体" w:eastAsia="宋体" w:cs="宋体"/>
          <w:szCs w:val="21"/>
          <w:highlight w:val="none"/>
        </w:rPr>
      </w:pPr>
    </w:p>
    <w:p w14:paraId="49CC6BB7">
      <w:pPr>
        <w:spacing w:line="360" w:lineRule="exact"/>
        <w:rPr>
          <w:rFonts w:hint="eastAsia" w:ascii="宋体" w:hAnsi="宋体" w:eastAsia="宋体" w:cs="宋体"/>
          <w:szCs w:val="21"/>
          <w:highlight w:val="none"/>
        </w:rPr>
      </w:pPr>
    </w:p>
    <w:p w14:paraId="434871A2">
      <w:pPr>
        <w:spacing w:line="360" w:lineRule="exact"/>
        <w:rPr>
          <w:rFonts w:hint="eastAsia" w:ascii="宋体" w:hAnsi="宋体" w:eastAsia="宋体" w:cs="宋体"/>
          <w:szCs w:val="21"/>
          <w:highlight w:val="none"/>
          <w:u w:val="single"/>
        </w:rPr>
      </w:pPr>
      <w:r>
        <w:rPr>
          <w:rFonts w:hint="eastAsia" w:ascii="宋体" w:hAnsi="宋体" w:eastAsia="宋体" w:cs="宋体"/>
          <w:szCs w:val="21"/>
          <w:highlight w:val="none"/>
        </w:rPr>
        <w:t>甲方：                       乙方：</w:t>
      </w:r>
    </w:p>
    <w:p w14:paraId="2D87E245">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（签章）                         （签章）</w:t>
      </w:r>
    </w:p>
    <w:p w14:paraId="11E9396D">
      <w:pPr>
        <w:spacing w:line="360" w:lineRule="exact"/>
        <w:rPr>
          <w:rFonts w:hint="eastAsia" w:ascii="宋体" w:hAnsi="宋体" w:eastAsia="宋体" w:cs="宋体"/>
          <w:szCs w:val="21"/>
          <w:highlight w:val="none"/>
        </w:rPr>
      </w:pPr>
    </w:p>
    <w:p w14:paraId="4DB72BBB">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地址：                        地址： </w:t>
      </w:r>
    </w:p>
    <w:p w14:paraId="0B323CEE">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法定代表人或授权委托人：      法定代表人或授权委托人：</w:t>
      </w:r>
    </w:p>
    <w:p w14:paraId="5F285751">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开户行：                      开户行：</w:t>
      </w:r>
    </w:p>
    <w:p w14:paraId="124870FD">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人民币账号：                  人民币账号：</w:t>
      </w:r>
    </w:p>
    <w:p w14:paraId="76C52828">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联系人：                      联系人：</w:t>
      </w:r>
    </w:p>
    <w:p w14:paraId="6EB4F8F4">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电话：                        电话：</w:t>
      </w:r>
    </w:p>
    <w:p w14:paraId="1500B912">
      <w:pPr>
        <w:spacing w:line="360" w:lineRule="exact"/>
        <w:rPr>
          <w:rFonts w:hint="eastAsia" w:ascii="宋体" w:hAnsi="宋体" w:eastAsia="宋体" w:cs="宋体"/>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Cs w:val="21"/>
          <w:highlight w:val="none"/>
        </w:rPr>
        <w:t>日期：                        日期</w:t>
      </w:r>
    </w:p>
    <w:p w14:paraId="24F96B6E">
      <w:pPr>
        <w:jc w:val="center"/>
        <w:outlineLvl w:val="2"/>
        <w:rPr>
          <w:rFonts w:hint="eastAsia" w:ascii="宋体" w:hAnsi="宋体" w:eastAsia="宋体" w:cs="宋体"/>
          <w:b/>
          <w:highlight w:val="none"/>
        </w:rPr>
      </w:pPr>
      <w:r>
        <w:rPr>
          <w:rFonts w:hint="eastAsia" w:ascii="宋体" w:hAnsi="宋体" w:eastAsia="宋体" w:cs="宋体"/>
          <w:b/>
          <w:sz w:val="28"/>
          <w:szCs w:val="28"/>
          <w:highlight w:val="none"/>
        </w:rPr>
        <w:t>政府采购履约情况反馈表</w:t>
      </w:r>
    </w:p>
    <w:p w14:paraId="0610CDED">
      <w:pPr>
        <w:spacing w:line="240" w:lineRule="atLeast"/>
        <w:rPr>
          <w:rFonts w:hint="eastAsia" w:ascii="宋体" w:hAnsi="宋体" w:eastAsia="宋体" w:cs="宋体"/>
          <w:b/>
          <w:szCs w:val="21"/>
          <w:highlight w:val="none"/>
        </w:rPr>
      </w:pPr>
    </w:p>
    <w:p w14:paraId="572F7FDC">
      <w:pPr>
        <w:spacing w:line="240" w:lineRule="atLeast"/>
        <w:rPr>
          <w:rFonts w:hint="eastAsia" w:ascii="宋体" w:hAnsi="宋体" w:eastAsia="宋体" w:cs="宋体"/>
          <w:b/>
          <w:szCs w:val="21"/>
          <w:highlight w:val="none"/>
        </w:rPr>
      </w:pPr>
      <w:r>
        <w:rPr>
          <w:rFonts w:hint="eastAsia" w:ascii="宋体" w:hAnsi="宋体" w:eastAsia="宋体" w:cs="宋体"/>
          <w:b/>
          <w:szCs w:val="21"/>
          <w:highlight w:val="none"/>
        </w:rPr>
        <w:t>采购人名称：                       联系人及电话：</w:t>
      </w:r>
    </w:p>
    <w:p w14:paraId="44C9BA3C">
      <w:pPr>
        <w:spacing w:line="60" w:lineRule="exact"/>
        <w:rPr>
          <w:rFonts w:hint="eastAsia" w:ascii="宋体" w:hAnsi="宋体" w:eastAsia="宋体" w:cs="宋体"/>
          <w:b/>
          <w:szCs w:val="21"/>
          <w:highlight w:val="none"/>
        </w:rPr>
      </w:pPr>
    </w:p>
    <w:tbl>
      <w:tblPr>
        <w:tblStyle w:val="18"/>
        <w:tblW w:w="902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244"/>
      </w:tblGrid>
      <w:tr w14:paraId="021C4E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4488343F">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采购项目名称</w:t>
            </w:r>
          </w:p>
        </w:tc>
        <w:tc>
          <w:tcPr>
            <w:tcW w:w="2520" w:type="dxa"/>
            <w:vAlign w:val="center"/>
          </w:tcPr>
          <w:p w14:paraId="2555DB8E">
            <w:pPr>
              <w:spacing w:line="240" w:lineRule="atLeast"/>
              <w:jc w:val="center"/>
              <w:rPr>
                <w:rFonts w:hint="eastAsia" w:ascii="宋体" w:hAnsi="宋体" w:eastAsia="宋体" w:cs="宋体"/>
                <w:szCs w:val="21"/>
                <w:highlight w:val="none"/>
              </w:rPr>
            </w:pPr>
          </w:p>
        </w:tc>
        <w:tc>
          <w:tcPr>
            <w:tcW w:w="1980" w:type="dxa"/>
            <w:vAlign w:val="center"/>
          </w:tcPr>
          <w:p w14:paraId="21AB0587">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项目编号</w:t>
            </w:r>
          </w:p>
        </w:tc>
        <w:tc>
          <w:tcPr>
            <w:tcW w:w="2244" w:type="dxa"/>
            <w:vAlign w:val="center"/>
          </w:tcPr>
          <w:p w14:paraId="0CF2B1DC">
            <w:pPr>
              <w:spacing w:line="240" w:lineRule="atLeast"/>
              <w:jc w:val="center"/>
              <w:rPr>
                <w:rFonts w:hint="eastAsia" w:ascii="宋体" w:hAnsi="宋体" w:eastAsia="宋体" w:cs="宋体"/>
                <w:szCs w:val="21"/>
                <w:highlight w:val="none"/>
              </w:rPr>
            </w:pPr>
          </w:p>
        </w:tc>
      </w:tr>
      <w:tr w14:paraId="717B0C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3971528E">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中标供应商名称</w:t>
            </w:r>
          </w:p>
        </w:tc>
        <w:tc>
          <w:tcPr>
            <w:tcW w:w="2520" w:type="dxa"/>
            <w:vAlign w:val="center"/>
          </w:tcPr>
          <w:p w14:paraId="26486179">
            <w:pPr>
              <w:spacing w:line="240" w:lineRule="atLeast"/>
              <w:jc w:val="center"/>
              <w:rPr>
                <w:rFonts w:hint="eastAsia" w:ascii="宋体" w:hAnsi="宋体" w:eastAsia="宋体" w:cs="宋体"/>
                <w:szCs w:val="21"/>
                <w:highlight w:val="none"/>
              </w:rPr>
            </w:pPr>
          </w:p>
        </w:tc>
        <w:tc>
          <w:tcPr>
            <w:tcW w:w="1980" w:type="dxa"/>
            <w:vAlign w:val="center"/>
          </w:tcPr>
          <w:p w14:paraId="5CEBD399">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供应商</w:t>
            </w:r>
          </w:p>
          <w:p w14:paraId="11F5D8D3">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联系人及电话</w:t>
            </w:r>
          </w:p>
        </w:tc>
        <w:tc>
          <w:tcPr>
            <w:tcW w:w="2244" w:type="dxa"/>
            <w:vAlign w:val="center"/>
          </w:tcPr>
          <w:p w14:paraId="62B920D5">
            <w:pPr>
              <w:spacing w:line="240" w:lineRule="atLeast"/>
              <w:jc w:val="center"/>
              <w:rPr>
                <w:rFonts w:hint="eastAsia" w:ascii="宋体" w:hAnsi="宋体" w:eastAsia="宋体" w:cs="宋体"/>
                <w:szCs w:val="21"/>
                <w:highlight w:val="none"/>
              </w:rPr>
            </w:pPr>
          </w:p>
        </w:tc>
      </w:tr>
      <w:tr w14:paraId="0606AD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57C8F1F9">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中标金额</w:t>
            </w:r>
          </w:p>
        </w:tc>
        <w:tc>
          <w:tcPr>
            <w:tcW w:w="2520" w:type="dxa"/>
            <w:vAlign w:val="center"/>
          </w:tcPr>
          <w:p w14:paraId="1E69E224">
            <w:pPr>
              <w:spacing w:line="240" w:lineRule="atLeast"/>
              <w:jc w:val="center"/>
              <w:rPr>
                <w:rFonts w:hint="eastAsia" w:ascii="宋体" w:hAnsi="宋体" w:eastAsia="宋体" w:cs="宋体"/>
                <w:szCs w:val="21"/>
                <w:highlight w:val="none"/>
              </w:rPr>
            </w:pPr>
          </w:p>
        </w:tc>
        <w:tc>
          <w:tcPr>
            <w:tcW w:w="1980" w:type="dxa"/>
            <w:vAlign w:val="center"/>
          </w:tcPr>
          <w:p w14:paraId="5A593A35">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合同履约时间</w:t>
            </w:r>
          </w:p>
        </w:tc>
        <w:tc>
          <w:tcPr>
            <w:tcW w:w="2244" w:type="dxa"/>
            <w:vAlign w:val="center"/>
          </w:tcPr>
          <w:p w14:paraId="5EF9FE4F">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自       至</w:t>
            </w:r>
          </w:p>
        </w:tc>
      </w:tr>
      <w:tr w14:paraId="081275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358772A4">
            <w:pPr>
              <w:spacing w:line="240" w:lineRule="atLeast"/>
              <w:jc w:val="center"/>
              <w:rPr>
                <w:rFonts w:hint="eastAsia" w:ascii="宋体" w:hAnsi="宋体" w:eastAsia="宋体" w:cs="宋体"/>
                <w:b/>
                <w:szCs w:val="21"/>
                <w:highlight w:val="none"/>
              </w:rPr>
            </w:pPr>
            <w:r>
              <w:rPr>
                <w:rFonts w:hint="eastAsia" w:ascii="宋体" w:hAnsi="宋体" w:eastAsia="宋体" w:cs="宋体"/>
                <w:b/>
                <w:szCs w:val="21"/>
                <w:highlight w:val="none"/>
              </w:rPr>
              <w:t>履约情况评价</w:t>
            </w:r>
          </w:p>
        </w:tc>
        <w:tc>
          <w:tcPr>
            <w:tcW w:w="1440" w:type="dxa"/>
            <w:gridSpan w:val="2"/>
            <w:tcBorders>
              <w:right w:val="single" w:color="auto" w:sz="4" w:space="0"/>
            </w:tcBorders>
            <w:vAlign w:val="center"/>
          </w:tcPr>
          <w:p w14:paraId="2142B155">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总体评价</w:t>
            </w:r>
          </w:p>
        </w:tc>
        <w:tc>
          <w:tcPr>
            <w:tcW w:w="6744" w:type="dxa"/>
            <w:gridSpan w:val="3"/>
            <w:tcBorders>
              <w:left w:val="single" w:color="auto" w:sz="4" w:space="0"/>
            </w:tcBorders>
            <w:vAlign w:val="center"/>
          </w:tcPr>
          <w:p w14:paraId="38C4BA48">
            <w:pPr>
              <w:spacing w:line="240" w:lineRule="atLeast"/>
              <w:ind w:firstLine="120" w:firstLineChars="50"/>
              <w:jc w:val="center"/>
              <w:rPr>
                <w:rFonts w:hint="eastAsia" w:ascii="宋体" w:hAnsi="宋体" w:eastAsia="宋体" w:cs="宋体"/>
                <w:szCs w:val="21"/>
                <w:highlight w:val="none"/>
              </w:rPr>
            </w:pPr>
            <w:r>
              <w:rPr>
                <w:rFonts w:hint="eastAsia" w:ascii="宋体" w:hAnsi="宋体" w:eastAsia="宋体" w:cs="宋体"/>
                <w:szCs w:val="21"/>
                <w:highlight w:val="none"/>
              </w:rPr>
              <w:t>□ 优          □ 良          □ 中           □ 差</w:t>
            </w:r>
          </w:p>
        </w:tc>
      </w:tr>
      <w:tr w14:paraId="3D64E1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B49D0CE">
            <w:pPr>
              <w:spacing w:line="240" w:lineRule="atLeast"/>
              <w:jc w:val="center"/>
              <w:rPr>
                <w:rFonts w:hint="eastAsia" w:ascii="宋体" w:hAnsi="宋体" w:eastAsia="宋体" w:cs="宋体"/>
                <w:szCs w:val="21"/>
                <w:highlight w:val="none"/>
              </w:rPr>
            </w:pPr>
          </w:p>
        </w:tc>
        <w:tc>
          <w:tcPr>
            <w:tcW w:w="720" w:type="dxa"/>
            <w:vMerge w:val="restart"/>
            <w:tcBorders>
              <w:right w:val="single" w:color="auto" w:sz="4" w:space="0"/>
            </w:tcBorders>
            <w:vAlign w:val="center"/>
          </w:tcPr>
          <w:p w14:paraId="7287F286">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分项评价</w:t>
            </w:r>
          </w:p>
        </w:tc>
        <w:tc>
          <w:tcPr>
            <w:tcW w:w="720" w:type="dxa"/>
            <w:tcBorders>
              <w:left w:val="single" w:color="auto" w:sz="4" w:space="0"/>
              <w:right w:val="single" w:color="auto" w:sz="4" w:space="0"/>
            </w:tcBorders>
            <w:vAlign w:val="center"/>
          </w:tcPr>
          <w:p w14:paraId="25DD3408">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质量方面</w:t>
            </w:r>
          </w:p>
        </w:tc>
        <w:tc>
          <w:tcPr>
            <w:tcW w:w="6744" w:type="dxa"/>
            <w:gridSpan w:val="3"/>
            <w:tcBorders>
              <w:left w:val="single" w:color="auto" w:sz="4" w:space="0"/>
            </w:tcBorders>
            <w:vAlign w:val="center"/>
          </w:tcPr>
          <w:p w14:paraId="1BB05024">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 xml:space="preserve"> □ 优          □ 良          □ 中           □ 差</w:t>
            </w:r>
          </w:p>
        </w:tc>
      </w:tr>
      <w:tr w14:paraId="5D8B43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7857A95B">
            <w:pPr>
              <w:spacing w:line="240" w:lineRule="atLeast"/>
              <w:jc w:val="center"/>
              <w:rPr>
                <w:rFonts w:hint="eastAsia" w:ascii="宋体" w:hAnsi="宋体" w:eastAsia="宋体" w:cs="宋体"/>
                <w:szCs w:val="21"/>
                <w:highlight w:val="none"/>
              </w:rPr>
            </w:pPr>
          </w:p>
        </w:tc>
        <w:tc>
          <w:tcPr>
            <w:tcW w:w="720" w:type="dxa"/>
            <w:vMerge w:val="continue"/>
            <w:tcBorders>
              <w:right w:val="single" w:color="auto" w:sz="4" w:space="0"/>
            </w:tcBorders>
            <w:vAlign w:val="center"/>
          </w:tcPr>
          <w:p w14:paraId="3D4F06B3">
            <w:pPr>
              <w:spacing w:line="240" w:lineRule="atLeast"/>
              <w:jc w:val="center"/>
              <w:rPr>
                <w:rFonts w:hint="eastAsia" w:ascii="宋体" w:hAnsi="宋体" w:eastAsia="宋体" w:cs="宋体"/>
                <w:szCs w:val="21"/>
                <w:highlight w:val="none"/>
              </w:rPr>
            </w:pPr>
          </w:p>
        </w:tc>
        <w:tc>
          <w:tcPr>
            <w:tcW w:w="720" w:type="dxa"/>
            <w:tcBorders>
              <w:left w:val="single" w:color="auto" w:sz="4" w:space="0"/>
              <w:right w:val="single" w:color="auto" w:sz="4" w:space="0"/>
            </w:tcBorders>
            <w:vAlign w:val="center"/>
          </w:tcPr>
          <w:p w14:paraId="2ACDBB49">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价格方面</w:t>
            </w:r>
          </w:p>
        </w:tc>
        <w:tc>
          <w:tcPr>
            <w:tcW w:w="6744" w:type="dxa"/>
            <w:gridSpan w:val="3"/>
            <w:tcBorders>
              <w:left w:val="single" w:color="auto" w:sz="4" w:space="0"/>
            </w:tcBorders>
            <w:vAlign w:val="center"/>
          </w:tcPr>
          <w:p w14:paraId="35F0CD87">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 xml:space="preserve"> □ 优          □ 良          □ 中           □ 差</w:t>
            </w:r>
          </w:p>
        </w:tc>
      </w:tr>
      <w:tr w14:paraId="2BC922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1959E10">
            <w:pPr>
              <w:spacing w:line="240" w:lineRule="atLeast"/>
              <w:jc w:val="center"/>
              <w:rPr>
                <w:rFonts w:hint="eastAsia" w:ascii="宋体" w:hAnsi="宋体" w:eastAsia="宋体" w:cs="宋体"/>
                <w:szCs w:val="21"/>
                <w:highlight w:val="none"/>
              </w:rPr>
            </w:pPr>
          </w:p>
        </w:tc>
        <w:tc>
          <w:tcPr>
            <w:tcW w:w="720" w:type="dxa"/>
            <w:vMerge w:val="continue"/>
            <w:tcBorders>
              <w:right w:val="single" w:color="auto" w:sz="4" w:space="0"/>
            </w:tcBorders>
            <w:vAlign w:val="center"/>
          </w:tcPr>
          <w:p w14:paraId="0BF273A3">
            <w:pPr>
              <w:spacing w:line="240" w:lineRule="atLeast"/>
              <w:jc w:val="center"/>
              <w:rPr>
                <w:rFonts w:hint="eastAsia" w:ascii="宋体" w:hAnsi="宋体" w:eastAsia="宋体" w:cs="宋体"/>
                <w:szCs w:val="21"/>
                <w:highlight w:val="none"/>
              </w:rPr>
            </w:pPr>
          </w:p>
        </w:tc>
        <w:tc>
          <w:tcPr>
            <w:tcW w:w="720" w:type="dxa"/>
            <w:tcBorders>
              <w:left w:val="single" w:color="auto" w:sz="4" w:space="0"/>
              <w:right w:val="single" w:color="auto" w:sz="4" w:space="0"/>
            </w:tcBorders>
            <w:vAlign w:val="center"/>
          </w:tcPr>
          <w:p w14:paraId="6F851957">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服务方面</w:t>
            </w:r>
          </w:p>
        </w:tc>
        <w:tc>
          <w:tcPr>
            <w:tcW w:w="6744" w:type="dxa"/>
            <w:gridSpan w:val="3"/>
            <w:tcBorders>
              <w:left w:val="single" w:color="auto" w:sz="4" w:space="0"/>
            </w:tcBorders>
            <w:vAlign w:val="center"/>
          </w:tcPr>
          <w:p w14:paraId="38D82EFA">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 xml:space="preserve"> □ 优          □ 良          □ 中           □ 差</w:t>
            </w:r>
          </w:p>
        </w:tc>
      </w:tr>
      <w:tr w14:paraId="4A0C29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4E351C8">
            <w:pPr>
              <w:spacing w:line="240" w:lineRule="atLeast"/>
              <w:jc w:val="center"/>
              <w:rPr>
                <w:rFonts w:hint="eastAsia" w:ascii="宋体" w:hAnsi="宋体" w:eastAsia="宋体" w:cs="宋体"/>
                <w:szCs w:val="21"/>
                <w:highlight w:val="none"/>
              </w:rPr>
            </w:pPr>
          </w:p>
        </w:tc>
        <w:tc>
          <w:tcPr>
            <w:tcW w:w="720" w:type="dxa"/>
            <w:vMerge w:val="continue"/>
            <w:tcBorders>
              <w:right w:val="single" w:color="auto" w:sz="4" w:space="0"/>
            </w:tcBorders>
            <w:vAlign w:val="center"/>
          </w:tcPr>
          <w:p w14:paraId="7559B52E">
            <w:pPr>
              <w:spacing w:line="240" w:lineRule="atLeast"/>
              <w:jc w:val="center"/>
              <w:rPr>
                <w:rFonts w:hint="eastAsia" w:ascii="宋体" w:hAnsi="宋体" w:eastAsia="宋体" w:cs="宋体"/>
                <w:szCs w:val="21"/>
                <w:highlight w:val="none"/>
              </w:rPr>
            </w:pPr>
          </w:p>
        </w:tc>
        <w:tc>
          <w:tcPr>
            <w:tcW w:w="720" w:type="dxa"/>
            <w:tcBorders>
              <w:left w:val="single" w:color="auto" w:sz="4" w:space="0"/>
              <w:right w:val="single" w:color="auto" w:sz="4" w:space="0"/>
            </w:tcBorders>
            <w:vAlign w:val="center"/>
          </w:tcPr>
          <w:p w14:paraId="3EA6F203">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时间方面</w:t>
            </w:r>
          </w:p>
        </w:tc>
        <w:tc>
          <w:tcPr>
            <w:tcW w:w="6744" w:type="dxa"/>
            <w:gridSpan w:val="3"/>
            <w:tcBorders>
              <w:left w:val="single" w:color="auto" w:sz="4" w:space="0"/>
            </w:tcBorders>
            <w:vAlign w:val="center"/>
          </w:tcPr>
          <w:p w14:paraId="271D7551">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 xml:space="preserve"> □ 优          □ 良          □ 中           □ 差</w:t>
            </w:r>
          </w:p>
        </w:tc>
      </w:tr>
      <w:tr w14:paraId="32146B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104970B">
            <w:pPr>
              <w:spacing w:line="240" w:lineRule="atLeast"/>
              <w:jc w:val="center"/>
              <w:rPr>
                <w:rFonts w:hint="eastAsia" w:ascii="宋体" w:hAnsi="宋体" w:eastAsia="宋体" w:cs="宋体"/>
                <w:szCs w:val="21"/>
                <w:highlight w:val="none"/>
              </w:rPr>
            </w:pPr>
          </w:p>
        </w:tc>
        <w:tc>
          <w:tcPr>
            <w:tcW w:w="720" w:type="dxa"/>
            <w:vMerge w:val="continue"/>
            <w:tcBorders>
              <w:right w:val="single" w:color="auto" w:sz="4" w:space="0"/>
            </w:tcBorders>
            <w:vAlign w:val="center"/>
          </w:tcPr>
          <w:p w14:paraId="45BE5FE9">
            <w:pPr>
              <w:spacing w:line="240" w:lineRule="atLeast"/>
              <w:jc w:val="center"/>
              <w:rPr>
                <w:rFonts w:hint="eastAsia" w:ascii="宋体" w:hAnsi="宋体" w:eastAsia="宋体" w:cs="宋体"/>
                <w:szCs w:val="21"/>
                <w:highlight w:val="none"/>
              </w:rPr>
            </w:pPr>
          </w:p>
        </w:tc>
        <w:tc>
          <w:tcPr>
            <w:tcW w:w="720" w:type="dxa"/>
            <w:tcBorders>
              <w:left w:val="single" w:color="auto" w:sz="4" w:space="0"/>
              <w:right w:val="single" w:color="auto" w:sz="4" w:space="0"/>
            </w:tcBorders>
            <w:vAlign w:val="center"/>
          </w:tcPr>
          <w:p w14:paraId="37F01D80">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环境保护</w:t>
            </w:r>
          </w:p>
        </w:tc>
        <w:tc>
          <w:tcPr>
            <w:tcW w:w="6744" w:type="dxa"/>
            <w:gridSpan w:val="3"/>
            <w:tcBorders>
              <w:left w:val="single" w:color="auto" w:sz="4" w:space="0"/>
            </w:tcBorders>
            <w:vAlign w:val="center"/>
          </w:tcPr>
          <w:p w14:paraId="76F3D7CE">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 xml:space="preserve"> □ 优          □ 良          □ 中           □ 差</w:t>
            </w:r>
          </w:p>
        </w:tc>
      </w:tr>
      <w:tr w14:paraId="4FBF7F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5401411">
            <w:pPr>
              <w:spacing w:line="240" w:lineRule="atLeast"/>
              <w:jc w:val="center"/>
              <w:rPr>
                <w:rFonts w:hint="eastAsia" w:ascii="宋体" w:hAnsi="宋体" w:eastAsia="宋体" w:cs="宋体"/>
                <w:szCs w:val="21"/>
                <w:highlight w:val="none"/>
              </w:rPr>
            </w:pPr>
          </w:p>
        </w:tc>
        <w:tc>
          <w:tcPr>
            <w:tcW w:w="720" w:type="dxa"/>
            <w:vMerge w:val="continue"/>
            <w:tcBorders>
              <w:right w:val="single" w:color="auto" w:sz="4" w:space="0"/>
            </w:tcBorders>
            <w:vAlign w:val="center"/>
          </w:tcPr>
          <w:p w14:paraId="331B4766">
            <w:pPr>
              <w:spacing w:line="240" w:lineRule="atLeast"/>
              <w:jc w:val="center"/>
              <w:rPr>
                <w:rFonts w:hint="eastAsia" w:ascii="宋体" w:hAnsi="宋体" w:eastAsia="宋体" w:cs="宋体"/>
                <w:szCs w:val="21"/>
                <w:highlight w:val="none"/>
              </w:rPr>
            </w:pPr>
          </w:p>
        </w:tc>
        <w:tc>
          <w:tcPr>
            <w:tcW w:w="720" w:type="dxa"/>
            <w:tcBorders>
              <w:left w:val="single" w:color="auto" w:sz="4" w:space="0"/>
              <w:right w:val="single" w:color="auto" w:sz="4" w:space="0"/>
            </w:tcBorders>
            <w:vAlign w:val="center"/>
          </w:tcPr>
          <w:p w14:paraId="5B8F0FD6">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6744" w:type="dxa"/>
            <w:gridSpan w:val="3"/>
            <w:tcBorders>
              <w:left w:val="single" w:color="auto" w:sz="4" w:space="0"/>
            </w:tcBorders>
            <w:vAlign w:val="center"/>
          </w:tcPr>
          <w:p w14:paraId="00CC0508">
            <w:pPr>
              <w:spacing w:before="156" w:beforeLines="50" w:after="156" w:afterLines="50" w:line="240" w:lineRule="atLeast"/>
              <w:rPr>
                <w:rFonts w:hint="eastAsia" w:ascii="宋体" w:hAnsi="宋体" w:eastAsia="宋体" w:cs="宋体"/>
                <w:szCs w:val="21"/>
                <w:highlight w:val="none"/>
                <w:u w:val="single"/>
              </w:rPr>
            </w:pPr>
            <w:r>
              <w:rPr>
                <w:rFonts w:hint="eastAsia" w:ascii="宋体" w:hAnsi="宋体" w:eastAsia="宋体" w:cs="宋体"/>
                <w:szCs w:val="21"/>
                <w:highlight w:val="none"/>
              </w:rPr>
              <w:t>评价内容为：</w:t>
            </w:r>
          </w:p>
          <w:p w14:paraId="57B40FF3">
            <w:pPr>
              <w:spacing w:before="156" w:beforeLines="50" w:after="156" w:afterLines="50" w:line="240" w:lineRule="atLeast"/>
              <w:rPr>
                <w:rFonts w:hint="eastAsia" w:ascii="宋体" w:hAnsi="宋体" w:eastAsia="宋体" w:cs="宋体"/>
                <w:szCs w:val="21"/>
                <w:highlight w:val="none"/>
              </w:rPr>
            </w:pPr>
            <w:r>
              <w:rPr>
                <w:rFonts w:hint="eastAsia" w:ascii="宋体" w:hAnsi="宋体" w:eastAsia="宋体" w:cs="宋体"/>
                <w:szCs w:val="21"/>
                <w:highlight w:val="none"/>
              </w:rPr>
              <w:t>评价等级为：  □ 优       □ 良        □ 中         □ 差</w:t>
            </w:r>
          </w:p>
        </w:tc>
      </w:tr>
      <w:tr w14:paraId="733023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24" w:hRule="atLeast"/>
          <w:jc w:val="center"/>
        </w:trPr>
        <w:tc>
          <w:tcPr>
            <w:tcW w:w="1562" w:type="dxa"/>
            <w:gridSpan w:val="2"/>
            <w:vAlign w:val="center"/>
          </w:tcPr>
          <w:p w14:paraId="634ADF51">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具体情况说明</w:t>
            </w:r>
          </w:p>
        </w:tc>
        <w:tc>
          <w:tcPr>
            <w:tcW w:w="7464" w:type="dxa"/>
            <w:gridSpan w:val="4"/>
          </w:tcPr>
          <w:p w14:paraId="12710E70">
            <w:pPr>
              <w:spacing w:line="240" w:lineRule="atLeast"/>
              <w:rPr>
                <w:rFonts w:hint="eastAsia" w:ascii="宋体" w:hAnsi="宋体" w:eastAsia="宋体" w:cs="宋体"/>
                <w:szCs w:val="21"/>
                <w:highlight w:val="none"/>
              </w:rPr>
            </w:pPr>
          </w:p>
          <w:p w14:paraId="26222C4B">
            <w:pPr>
              <w:spacing w:line="240" w:lineRule="atLeast"/>
              <w:rPr>
                <w:rFonts w:hint="eastAsia" w:ascii="宋体" w:hAnsi="宋体" w:eastAsia="宋体" w:cs="宋体"/>
                <w:szCs w:val="21"/>
                <w:highlight w:val="none"/>
              </w:rPr>
            </w:pPr>
          </w:p>
        </w:tc>
      </w:tr>
      <w:tr w14:paraId="3FEB91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97" w:hRule="atLeast"/>
          <w:jc w:val="center"/>
        </w:trPr>
        <w:tc>
          <w:tcPr>
            <w:tcW w:w="1562" w:type="dxa"/>
            <w:gridSpan w:val="2"/>
            <w:vAlign w:val="center"/>
          </w:tcPr>
          <w:p w14:paraId="518A360C">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采购人意见</w:t>
            </w:r>
          </w:p>
          <w:p w14:paraId="21046DC5">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（公章）</w:t>
            </w:r>
          </w:p>
        </w:tc>
        <w:tc>
          <w:tcPr>
            <w:tcW w:w="7464" w:type="dxa"/>
            <w:gridSpan w:val="4"/>
            <w:vAlign w:val="center"/>
          </w:tcPr>
          <w:p w14:paraId="23D4E498">
            <w:pPr>
              <w:spacing w:line="240" w:lineRule="atLeast"/>
              <w:rPr>
                <w:rFonts w:hint="eastAsia" w:ascii="宋体" w:hAnsi="宋体" w:eastAsia="宋体" w:cs="宋体"/>
                <w:szCs w:val="21"/>
                <w:highlight w:val="none"/>
              </w:rPr>
            </w:pPr>
          </w:p>
          <w:p w14:paraId="7BBC89E2">
            <w:pPr>
              <w:spacing w:line="240" w:lineRule="atLeast"/>
              <w:rPr>
                <w:rFonts w:hint="eastAsia" w:ascii="宋体" w:hAnsi="宋体" w:eastAsia="宋体" w:cs="宋体"/>
                <w:szCs w:val="21"/>
                <w:highlight w:val="none"/>
              </w:rPr>
            </w:pPr>
          </w:p>
          <w:p w14:paraId="29C53D8E">
            <w:pPr>
              <w:spacing w:line="240" w:lineRule="atLeast"/>
              <w:rPr>
                <w:rFonts w:hint="eastAsia" w:ascii="宋体" w:hAnsi="宋体" w:eastAsia="宋体" w:cs="宋体"/>
                <w:szCs w:val="21"/>
                <w:highlight w:val="none"/>
              </w:rPr>
            </w:pPr>
          </w:p>
          <w:p w14:paraId="06ACAEB5">
            <w:pPr>
              <w:spacing w:line="240" w:lineRule="atLeast"/>
              <w:rPr>
                <w:rFonts w:hint="eastAsia" w:ascii="宋体" w:hAnsi="宋体" w:eastAsia="宋体" w:cs="宋体"/>
                <w:szCs w:val="21"/>
                <w:highlight w:val="none"/>
              </w:rPr>
            </w:pPr>
          </w:p>
          <w:p w14:paraId="0ADF7ED6">
            <w:pPr>
              <w:spacing w:line="240" w:lineRule="atLeast"/>
              <w:ind w:firstLine="4320" w:firstLineChars="1800"/>
              <w:rPr>
                <w:rFonts w:hint="eastAsia" w:ascii="宋体" w:hAnsi="宋体" w:eastAsia="宋体" w:cs="宋体"/>
                <w:szCs w:val="21"/>
                <w:highlight w:val="none"/>
              </w:rPr>
            </w:pPr>
          </w:p>
          <w:p w14:paraId="624FEC48">
            <w:pPr>
              <w:spacing w:line="240" w:lineRule="atLeast"/>
              <w:ind w:firstLine="4320" w:firstLineChars="1800"/>
              <w:rPr>
                <w:rFonts w:hint="eastAsia" w:ascii="宋体" w:hAnsi="宋体" w:eastAsia="宋体" w:cs="宋体"/>
                <w:szCs w:val="21"/>
                <w:highlight w:val="none"/>
              </w:rPr>
            </w:pPr>
            <w:r>
              <w:rPr>
                <w:rFonts w:hint="eastAsia" w:ascii="宋体" w:hAnsi="宋体" w:eastAsia="宋体" w:cs="宋体"/>
                <w:szCs w:val="21"/>
                <w:highlight w:val="none"/>
              </w:rPr>
              <w:t>日期：   年   月   日</w:t>
            </w:r>
          </w:p>
        </w:tc>
      </w:tr>
    </w:tbl>
    <w:p w14:paraId="2CF2663F">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说明：</w:t>
      </w:r>
    </w:p>
    <w:p w14:paraId="4E35FFB4">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1、本表为采购人向同级财政履约管理部门反映政府采购项目履约情况时所用；2、履约情况评价分为优、良、中、差四个等级，请在对应的框前打“√”，然后在“具体情况说明”一栏详细说明有关情况。</w:t>
      </w:r>
    </w:p>
    <w:p w14:paraId="67AA7124">
      <w:pPr>
        <w:spacing w:line="240" w:lineRule="atLeast"/>
        <w:rPr>
          <w:rFonts w:hint="eastAsia" w:ascii="宋体" w:hAnsi="宋体" w:eastAsia="宋体" w:cs="宋体"/>
          <w:szCs w:val="21"/>
          <w:highlight w:val="none"/>
        </w:rPr>
      </w:pPr>
    </w:p>
    <w:p w14:paraId="741BCD88">
      <w:pPr>
        <w:pStyle w:val="2"/>
        <w:rPr>
          <w:rFonts w:hint="eastAsia" w:ascii="宋体" w:hAnsi="宋体" w:eastAsia="宋体" w:cs="宋体"/>
          <w:highlight w:val="none"/>
        </w:rPr>
      </w:pPr>
      <w:r>
        <w:rPr>
          <w:rFonts w:hint="eastAsia" w:ascii="宋体" w:hAnsi="宋体" w:eastAsia="宋体" w:cs="宋体"/>
          <w:highlight w:val="none"/>
        </w:rPr>
        <w:t>第二册  通用条款（公开招标）</w:t>
      </w:r>
    </w:p>
    <w:p w14:paraId="3AF0FD18">
      <w:pPr>
        <w:rPr>
          <w:rFonts w:hint="eastAsia" w:ascii="宋体" w:hAnsi="宋体" w:eastAsia="宋体" w:cs="宋体"/>
          <w:highlight w:val="none"/>
        </w:rPr>
      </w:pPr>
    </w:p>
    <w:p w14:paraId="1A3B6394">
      <w:pPr>
        <w:pStyle w:val="9"/>
        <w:spacing w:before="91" w:line="220" w:lineRule="auto"/>
        <w:ind w:left="4147"/>
        <w:outlineLvl w:val="3"/>
        <w:rPr>
          <w:sz w:val="28"/>
          <w:szCs w:val="28"/>
        </w:rPr>
      </w:pPr>
      <w:r>
        <w:rPr>
          <w:b/>
          <w:bCs/>
          <w:spacing w:val="-8"/>
          <w:sz w:val="28"/>
          <w:szCs w:val="28"/>
        </w:rPr>
        <w:t>第一章</w:t>
      </w:r>
      <w:r>
        <w:rPr>
          <w:spacing w:val="115"/>
          <w:sz w:val="28"/>
          <w:szCs w:val="28"/>
        </w:rPr>
        <w:t xml:space="preserve"> </w:t>
      </w:r>
      <w:r>
        <w:rPr>
          <w:b/>
          <w:bCs/>
          <w:spacing w:val="-8"/>
          <w:sz w:val="28"/>
          <w:szCs w:val="28"/>
        </w:rPr>
        <w:t>总则</w:t>
      </w:r>
    </w:p>
    <w:p w14:paraId="4328514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 通用条款说明</w:t>
      </w:r>
    </w:p>
    <w:p w14:paraId="2E3369F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1.1 政府集中采购机构发出招标文件通用条款版本，列出深圳市政府采购项目进行招标采购所 适用的通用条款内容。如有需要，政府集中采购机构可以对通用条款的内容进行补充。</w:t>
      </w:r>
    </w:p>
    <w:p w14:paraId="2BD3AAB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1.2 招标文件分为第一册“专用条款 ”和第二册“通用条款 ”。</w:t>
      </w:r>
    </w:p>
    <w:p w14:paraId="64B81A5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1.3“专用条款 ”是对本次采购项目的具体要求，包含招标公告、对通用条款的补充内容及其他 关键信息、用户需求书、投标文件格式及附件、合同条款及格式等内容。</w:t>
      </w:r>
    </w:p>
    <w:p w14:paraId="59B7A2F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1.4“通用条款 ”是适用于政府采购公开招标项目的基础性条款，具有普遍性和通用性。</w:t>
      </w:r>
    </w:p>
    <w:p w14:paraId="5D08C50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1.5 “专用条款 ”和“通用条款 ”表述不一致或有冲突时，以“专用条款 ”为准。</w:t>
      </w:r>
    </w:p>
    <w:p w14:paraId="3C49A17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2．招标说明</w:t>
      </w:r>
    </w:p>
    <w:p w14:paraId="06F059A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本项目参照《深圳经济特区政府采购条例》、《深圳经济特区政府采购条例实施细则》及政府 采购其他法律法规，通过公开招标方式确定中标供应商。</w:t>
      </w:r>
    </w:p>
    <w:p w14:paraId="52EA198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3．定义</w:t>
      </w:r>
    </w:p>
    <w:p w14:paraId="1170476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招标文件中下列术语应解释为：</w:t>
      </w:r>
    </w:p>
    <w:p w14:paraId="7ED034F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3.1“采购人 ”：指利用财政性资金依法进行政府采购的国家机关、事业单位、团体组织；</w:t>
      </w:r>
    </w:p>
    <w:p w14:paraId="259068CB">
      <w:pPr>
        <w:autoSpaceDE w:val="0"/>
        <w:autoSpaceDN w:val="0"/>
        <w:ind w:firstLine="464" w:firstLineChars="200"/>
        <w:rPr>
          <w:rFonts w:hint="default" w:ascii="宋体" w:hAnsi="宋体" w:eastAsia="宋体" w:cs="宋体"/>
          <w:b/>
          <w:bCs/>
          <w:spacing w:val="-4"/>
          <w:highlight w:val="none"/>
          <w:lang w:val="en-US" w:eastAsia="zh-CN"/>
        </w:rPr>
      </w:pPr>
      <w:r>
        <w:rPr>
          <w:rFonts w:hint="eastAsia" w:ascii="宋体" w:hAnsi="宋体" w:eastAsia="宋体" w:cs="宋体"/>
          <w:spacing w:val="-4"/>
          <w:highlight w:val="none"/>
        </w:rPr>
        <w:t>3.2 “政府集中采购机构 ”是指市政府设立的，组织实施政府采购项目，并对政府采购活动提供服务的专门机构；本文件所述的“政府集中采购机构 ”指深圳公共资源交易中心；</w:t>
      </w:r>
      <w:r>
        <w:rPr>
          <w:rFonts w:hint="eastAsia" w:ascii="宋体" w:hAnsi="宋体" w:eastAsia="宋体" w:cs="宋体"/>
          <w:b/>
          <w:bCs/>
          <w:spacing w:val="-4"/>
          <w:highlight w:val="none"/>
          <w:lang w:val="en-US" w:eastAsia="zh-CN"/>
        </w:rPr>
        <w:t>本文件所述的“社会代理机构”指国采招标（深圳）有限公司</w:t>
      </w:r>
    </w:p>
    <w:p w14:paraId="37692DF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3.3“投标人”，即供应商，指参加投标竞争并愿意按照招标文件要求向采购人提供货物、工程 或者服务的依法成立的法人、其他组织或者自然人；</w:t>
      </w:r>
    </w:p>
    <w:p w14:paraId="02D3187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3.4“评审委员会”是依据《深圳经济特区政府采购条例》、《深圳经济特区政府采购条例实施细则》等有关规定组建的专门负责本次招标其评审工作的临时性机构；</w:t>
      </w:r>
    </w:p>
    <w:p w14:paraId="5F75F47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3.5“日期”指公历日；</w:t>
      </w:r>
    </w:p>
    <w:p w14:paraId="67F656A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3.6“合同”指由本次招标所产生的合同或合约文件；</w:t>
      </w:r>
    </w:p>
    <w:p w14:paraId="284619A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 电子投标文件 ”指利用深圳政府采购自行采购系统网（https://zxcg.szggzy.com/home/index.html）</w:t>
      </w:r>
    </w:p>
    <w:p w14:paraId="343D4DF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 网上投标 ”指通过深圳政府采购自行采购系统网（https://zxcg.szggzy.com/home/index.html）网站上传 电子投标文件；</w:t>
      </w:r>
    </w:p>
    <w:p w14:paraId="5A3F4E7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3.9 招标文件中的标题或题名仅起引导作用，而不应视为对招标文件内容的理解和解释。</w:t>
      </w:r>
    </w:p>
    <w:p w14:paraId="29B86C6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 政府采购供应商责任</w:t>
      </w:r>
    </w:p>
    <w:p w14:paraId="65C32C8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4.1 欢迎诚信、有实力和有社会责任心的供应商参与政府采购事业。</w:t>
      </w:r>
    </w:p>
    <w:p w14:paraId="17DCBB8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 投标人应当遵循公平竞争的原则，不得恶意串通，不得妨碍其他投标人的竞争行为，不得 损害采购人或者其他投标人的合法权益。如违反上述要求，经核实后，供应商的投标无效。</w:t>
      </w:r>
    </w:p>
    <w:p w14:paraId="5D097EF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5．投标人参加政府采购的条件</w:t>
      </w:r>
    </w:p>
    <w:p w14:paraId="3601529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5.1 投标人应在投标前到深圳公共资源交易中心（具体在深圳交易集团有限公司政府采购业务  分公司进行办理）进行注册并办理电子密钥。《供应商注册及信息变更指引》详见www.szggzy.com 网站“交易服务指南-政府采购 ”。</w:t>
      </w:r>
    </w:p>
    <w:p w14:paraId="27B8CE1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 投标人资格要求</w:t>
      </w:r>
    </w:p>
    <w:p w14:paraId="46A000E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参加本项目的投标人应具备的资格条件详见本项目招标公告中 “投标人资格要求 ”（即申请人 的资格要求）的内容。</w:t>
      </w:r>
    </w:p>
    <w:p w14:paraId="3392A94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 联合体投标</w:t>
      </w:r>
    </w:p>
    <w:p w14:paraId="0BFC580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5.3.1  以下有关联合体投标的条款仅适用于允许投标人组成联合体投标的项目。</w:t>
      </w:r>
    </w:p>
    <w:p w14:paraId="41B220E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5.3.2  由两个或两个以上的自然人、法人或者其他组织可以组成一个联合体，以一个供应商的 身份共同投标时，应符合以下原则：</w:t>
      </w:r>
    </w:p>
    <w:p w14:paraId="2BA6A97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（1）投标联合体各方参加政府采购活动应当具备下列条件：</w:t>
      </w:r>
    </w:p>
    <w:p w14:paraId="70C2EAD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1、具有独立承担民事责任的能力；</w:t>
      </w:r>
    </w:p>
    <w:p w14:paraId="1783D25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2、有良好的商业信誉和健全的财务会计制度；</w:t>
      </w:r>
    </w:p>
    <w:p w14:paraId="299AAE1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3、具有履行合同所必需的设备和专业技术能力；</w:t>
      </w:r>
    </w:p>
    <w:p w14:paraId="256100E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4、有依法缴纳税收和社会保障资金的良好记录；</w:t>
      </w:r>
    </w:p>
    <w:p w14:paraId="4066D64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5、参加政府采购活动前三年内，在经营活动中没有重大违法记录；</w:t>
      </w:r>
    </w:p>
    <w:p w14:paraId="6CFE855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6、法律、行政法规规定的其他条件。</w:t>
      </w:r>
    </w:p>
    <w:p w14:paraId="0B067C0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（2）在投标截止前，投标联合体各方均应注册成政府集中采购机构供应商；</w:t>
      </w:r>
    </w:p>
    <w:p w14:paraId="79CC508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（3）联合体中有同类资质的供应商按照联合体分工承担相同工作的，应当按照资质等级较低的 供应商确定资质等级；</w:t>
      </w:r>
    </w:p>
    <w:p w14:paraId="2DDC56F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（4）是否允许联合体参加投标，应当由采购人和采购代理机构根据项目的实际情况和潜在供应 商的数量自主决定，如果决定接受联合体投标则应当在招标公告中明示；</w:t>
      </w:r>
    </w:p>
    <w:p w14:paraId="03BC16C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（5）投标人的投标文件及中标后签署的合同协议对联合体各方均具法律约束力；</w:t>
      </w:r>
    </w:p>
    <w:p w14:paraId="11AC825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（6）联合体各方应当签订联合体投标协议，明确约定各方拟承担的工作和责任，并将该协议随 投标文件一并递交给政府集中采购机构；</w:t>
      </w:r>
    </w:p>
    <w:p w14:paraId="16D45CE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（7）联合体中标后，联合体各方应当共同与采购人签订合同，就中标项目向采购人承担连带责 任；</w:t>
      </w:r>
    </w:p>
    <w:p w14:paraId="7D96169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（8）以联合体形式参加政府采购活动的，联合体各方不得再单独参加或者与其他供应商另外组 成联合体参加同一合同项下的政府采购活动，出现上述情况者，其投标和与此有关联合体、总包单 位的投标将被拒绝；</w:t>
      </w:r>
    </w:p>
    <w:p w14:paraId="6D4EEC8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（9）本通用条款中“投标人 ”一词亦指联合体各方，专用条款另有规定或说明的除外。</w:t>
      </w:r>
    </w:p>
    <w:p w14:paraId="658B8E6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6．政策导向</w:t>
      </w:r>
    </w:p>
    <w:p w14:paraId="4542AF6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6.1  政府采购支持本国产品、支持中小企业、监狱企业和残疾人福利性单位发展，支持乡村产 业振兴，支持创新、节能减排、绿色环保等。</w:t>
      </w:r>
    </w:p>
    <w:p w14:paraId="58AE88C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6.2  本项目落实深圳市政府采购供应商诚信管理政策要求。</w:t>
      </w:r>
    </w:p>
    <w:p w14:paraId="0C2614E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6.3  本项目支持投标人性别平等的相关政策。</w:t>
      </w:r>
    </w:p>
    <w:p w14:paraId="23068BB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 本项目若涉及采购货物，则合格的货物及相应服务应满足以下要求：</w:t>
      </w:r>
    </w:p>
    <w:p w14:paraId="17857ED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7.1  必须是全新、未使用过的原装合格正品（包括零部件），如安装或配置了软件的，须为正 版软件。</w:t>
      </w:r>
    </w:p>
    <w:p w14:paraId="6B4072C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7.2  国产的货物及其有关服务必须符合中华人民共和国的设计、制造生产标准及行业标准。招 标公告有其他要求的，亦应符合其要求。</w:t>
      </w:r>
    </w:p>
    <w:p w14:paraId="0B9F8DD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7.3  进口货物及其有关服务必须符合原产地和中华人民共和国的设计、制造生产标准及行业标 准。进口的货物必须具有合法的进口手续和途径，并通过中华人民共和国商检部门检验。招标公告 有其他要求的，亦应符合其要求。</w:t>
      </w:r>
    </w:p>
    <w:p w14:paraId="74A83F3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7.4  投标人应保证，其所提供的货物通过合法正规渠道供货，在提供给采购人前具有完全的所 有权，采购人在中华人民共和国使用该货物或货物的任何一部分时，不会产生因第三方提出的包括 但不限于侵犯其专利权、商标权、工业设计权等知识产权和侵犯其所有权、抵押权等物权及其他权 利而引发的纠纷。如有纠纷，投标人应承担全部责任。</w:t>
      </w:r>
    </w:p>
    <w:p w14:paraId="2C7B5BF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7.5  投标人应保证，其所提供的货物符合国家强制性标准要求；符合相关行业标准（如具备行 政主管部门颁发的资质证书或国家质量监督部门的产品《检验报告》等） 。设备到货验收时，还必 须提供设备的产品合格证、质量保证文件。若中标后，除非另有约定，投标人必须按合同规定完成 设备的安装，并达到验收标准。</w:t>
      </w:r>
    </w:p>
    <w:p w14:paraId="0785F1F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7.6  工期要求：投标人在投标时对其所投项目应提交交货进度、交货计划等，在合同规定的时 间内完成项目实施工作。</w:t>
      </w:r>
    </w:p>
    <w:p w14:paraId="15FF613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7.7  投标人必须承担的设备运输、安装调试、验收检测和提供设备操作说明书、图纸等其他相 关及类似的义务。</w:t>
      </w:r>
    </w:p>
    <w:p w14:paraId="37332B8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8．投标费用</w:t>
      </w:r>
    </w:p>
    <w:p w14:paraId="7C20948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不论投标结果如何，投标人应承担其编制投标文件与递交投标文件所涉及的一切费用。</w:t>
      </w:r>
    </w:p>
    <w:p w14:paraId="01CEBFA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9．踏勘现场</w:t>
      </w:r>
    </w:p>
    <w:p w14:paraId="643B11A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9.1 如有需要（详见专用条款），采购人或政府集中采购机构将组织投标人对项目现场及周围 环境进行踏勘，以便投标人获取有关编制投标文件和签署合同所需的资料。踏勘现场所发生的费用 由投标人自行承担。投标人应按招标文件所约定的时间、地点踏勘现场。</w:t>
      </w:r>
    </w:p>
    <w:p w14:paraId="41A4705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9.2 投标人及其人员经过采购人的允许，可以进入采购人的项目现场踏勘。若招标文件要求投 标人于统一时间地点踏勘现场的，投标人应当按时前往。</w:t>
      </w:r>
    </w:p>
    <w:p w14:paraId="1AE574C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9.3 采购人应当通过政府集中采购机构向投标人提供有关现场的书面资料和数据。</w:t>
      </w:r>
    </w:p>
    <w:p w14:paraId="5007D58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9.4 任何人或任何组织在踏勘现场时向投标人提供的任何书面资料或口头承诺，未经政府集中 采购机构在网上发布或书面通知，均作无效处理。</w:t>
      </w:r>
    </w:p>
    <w:p w14:paraId="6B8E004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9.5 未参与踏勘现场不作为否定投标人资格的理由。</w:t>
      </w:r>
    </w:p>
    <w:p w14:paraId="31DA346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10．标前会议</w:t>
      </w:r>
    </w:p>
    <w:p w14:paraId="29848C7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10.1 如采购人或政府集中采购机构认为有必要组织标前会议，投标人应按照招标文件规定的时 间或政府集中采购机构另行书面通知（包括政府集中采购机构网站发布方式，如更正公告等）的时 间和地点，参与标前会议。</w:t>
      </w:r>
    </w:p>
    <w:p w14:paraId="3B4CDCD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10.2 任何人或任何组织在标前会议时向投标人提供的任何书面资料或口头承诺，未经政府集中 采购机构在网上发布或书面通知，均作无效处理。</w:t>
      </w:r>
    </w:p>
    <w:p w14:paraId="4BA603A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10.3 未参与标前会议不作为否定投标人资格的理由。</w:t>
      </w:r>
    </w:p>
    <w:p w14:paraId="2A042ADA">
      <w:pPr>
        <w:autoSpaceDE w:val="0"/>
        <w:autoSpaceDN w:val="0"/>
        <w:ind w:firstLine="464" w:firstLineChars="200"/>
        <w:rPr>
          <w:rFonts w:hint="eastAsia" w:ascii="宋体" w:hAnsi="宋体" w:eastAsia="宋体" w:cs="宋体"/>
          <w:spacing w:val="-4"/>
          <w:highlight w:val="none"/>
        </w:rPr>
      </w:pPr>
    </w:p>
    <w:p w14:paraId="2B70633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第一章   招标文件</w:t>
      </w:r>
    </w:p>
    <w:p w14:paraId="2E6D5E4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11．招标文件的编制与组成</w:t>
      </w:r>
    </w:p>
    <w:p w14:paraId="353579E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11.1 招标文件除以下内容外，政府集中采购机构在招标期间发出的澄清或修改等相关公告或通 知内容，均是招标文件的组成部分，对投标人起约束作用；</w:t>
      </w:r>
    </w:p>
    <w:p w14:paraId="2A0E333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招标文件包括下列内容：</w:t>
      </w:r>
    </w:p>
    <w:p w14:paraId="5D4C723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第一册  专用条款 关键信息</w:t>
      </w:r>
    </w:p>
    <w:p w14:paraId="0248D4C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第一章  招标公告</w:t>
      </w:r>
    </w:p>
    <w:p w14:paraId="76AFA13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第二章  对通用条款的补充内容及其他关键信息</w:t>
      </w:r>
    </w:p>
    <w:p w14:paraId="2C4D1C3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第三章  用户需求书</w:t>
      </w:r>
    </w:p>
    <w:p w14:paraId="1597A1F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第四章  投标文件格式及附件</w:t>
      </w:r>
    </w:p>
    <w:p w14:paraId="144C7CF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第五章  合同条款及格式</w:t>
      </w:r>
    </w:p>
    <w:p w14:paraId="260DBA9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第二册  通用条款</w:t>
      </w:r>
    </w:p>
    <w:p w14:paraId="5DCCD17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第一章  总则</w:t>
      </w:r>
    </w:p>
    <w:p w14:paraId="04A42C5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第二章  招标文件</w:t>
      </w:r>
    </w:p>
    <w:p w14:paraId="05A357B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第三章  投标文件的编制</w:t>
      </w:r>
    </w:p>
    <w:p w14:paraId="0D831D1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第四章  投标文件的递交</w:t>
      </w:r>
    </w:p>
    <w:p w14:paraId="03E26E9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第五章  开标</w:t>
      </w:r>
    </w:p>
    <w:p w14:paraId="6D8B2CC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第六章  评审要求</w:t>
      </w:r>
    </w:p>
    <w:p w14:paraId="424A71D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第七章  评审程序及评审方法</w:t>
      </w:r>
    </w:p>
    <w:p w14:paraId="6EF85A2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第八章  定标及公示</w:t>
      </w:r>
    </w:p>
    <w:p w14:paraId="66EC5CC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第九章  公开招标失败的后续处理</w:t>
      </w:r>
    </w:p>
    <w:p w14:paraId="74F0741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 xml:space="preserve">第十章  合同的授予与备案 </w:t>
      </w:r>
    </w:p>
    <w:p w14:paraId="15A759A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第十一章  质疑处理</w:t>
      </w:r>
    </w:p>
    <w:p w14:paraId="4C4DC13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11.2 投标人下载招标文件后，应仔细检查招标文件的所有内容，如有疑问应在答疑截止时间之 前向政府集中采购机构提出，否则， 由此引起的投标损失自负；投标人同时应认真审阅招标文件所 有的事项、格式、条款和规范要求等，如果投标人的投标文件未按招标文件要求提交全部资料或者 投标文件未对招标文件做出实质性响应，其风险由投标人自行承担。</w:t>
      </w:r>
    </w:p>
    <w:p w14:paraId="04430DD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11.3 任何人或任何组织向投标人提交的任何书面或口头资料，未经政府集中采购机构在网上发 布或书面通知，均作无效处理，不得作为招标文件的组成部分。政府集中采购机构对投标人由此而 做出的推论、理解和结论概不负责。</w:t>
      </w:r>
    </w:p>
    <w:p w14:paraId="62C758D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12．招标文件的澄清</w:t>
      </w:r>
    </w:p>
    <w:p w14:paraId="4B06A46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12.1 招标文件澄清的目的是澄清、解答投标人在查阅招标文件后或现场踏勘中可能提出的与投 标有关的疑问或询问。</w:t>
      </w:r>
    </w:p>
    <w:p w14:paraId="4920A13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12.2 投标人如对招标文件内容有疑问，应当在招标公告规定的澄清（提问）截止时间前以网上 提问的形式通过网上政府采购系统提交政府集中采购机构。</w:t>
      </w:r>
    </w:p>
    <w:p w14:paraId="6FC87C5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12.3 不论是政府集中采购机构根据需要主动对招标文件进行必要的澄清或是根据投标人的要求 对招标文件做出澄清，政府集中采购机构都将在投标截止日期前以书面形式（包括政府集中采购机 构网站发布方式）答复或发送给所有投标人。答复内容是招标文件的组成部分，对投标人起约束作 用，其有效性按照本通用条款第 13.3、13.4 款规定执行。</w:t>
      </w:r>
    </w:p>
    <w:p w14:paraId="376CAB2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13．招标文件的修改</w:t>
      </w:r>
    </w:p>
    <w:p w14:paraId="7EB4EC7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13.1 招标文件发出后，在投标截止日期前任何时候，确需要变更招标文件内容的，政府集中采 购机构可主动或在解答投标人提出的澄清问题时对招标文件进行修改。</w:t>
      </w:r>
    </w:p>
    <w:p w14:paraId="14893DF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13.2 招标文件的修改以书面形式（包括政府集中采购机构网站发布方式，如更正公告等）发送 给所有投标人，招标文件的修改内容作为招标文件的组成部分，并具有约束力。</w:t>
      </w:r>
    </w:p>
    <w:p w14:paraId="1B2D2A2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13.3 招标文件、招标文件澄清答复内容、招标文件修改补充内容均以书面形式（包括政府集中 采购机构网站公开发布方式，如更正公告等） 明确的内容为准。当招标文件、修改补充通知、招标 文件澄清答复内容相互矛盾时，以最后发出的内容为准。</w:t>
      </w:r>
    </w:p>
    <w:p w14:paraId="1CF9CE4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13.4 政府集中采购机构保证招标文件澄清答复内容和招标文件修改补充内容在投标截止时间前 以书面形式（包括政府集中采购机构网站发布方式，如更正公告等）发送给所有投标人。为使投标 人在编制投标文件时有充分时间对招标文件的修改部分进行研究，政府集中采购机构可以酌情延长 递交投标文件的截止日期。</w:t>
      </w:r>
    </w:p>
    <w:p w14:paraId="05B2AF2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第二章   投标文件的编制</w:t>
      </w:r>
    </w:p>
    <w:p w14:paraId="3E16471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14．投标文件的语言及度量单位</w:t>
      </w:r>
    </w:p>
    <w:p w14:paraId="6E965ED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14.1 投标人与政府集中采购机构之间与投标有关的所有往来通知、函件和投标文件均用中文表述。投标人随投标文件提供的证明文件和资料可以为其它语言，但必须附中文译文。翻译的中文资 料与外文资料如果出现差异时，以中文为准，但翻译错误的除外。</w:t>
      </w:r>
    </w:p>
    <w:p w14:paraId="183FD3F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14.2 除技术规范另有规定外，投标文件使用的度量单位，均采用中华人民共和国法定计量单位。</w:t>
      </w:r>
    </w:p>
    <w:p w14:paraId="03F60AD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15．投标文件的组成</w:t>
      </w:r>
    </w:p>
    <w:p w14:paraId="079B276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具体内容在招标文件专用条款中进行规定。</w:t>
      </w:r>
    </w:p>
    <w:p w14:paraId="1E0570D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16．投标文件格式</w:t>
      </w:r>
    </w:p>
    <w:p w14:paraId="5C74D70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投标文件包括本通用条款第 15 条中规定的内容。如招标文件提供了投标文件格式，则投标人提 交的投标文件应毫无例外地使用招标文件所提供的相应格式（表格均可按同样格式扩展）。</w:t>
      </w:r>
    </w:p>
    <w:p w14:paraId="7BB3806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17．投标货币</w:t>
      </w:r>
    </w:p>
    <w:p w14:paraId="6590009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本项目的投标报价应以人民币计。</w:t>
      </w:r>
    </w:p>
    <w:p w14:paraId="1B29587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18．证明投标文件投标技术方案的合格性和符合招标文件规定的文件要求</w:t>
      </w:r>
    </w:p>
    <w:p w14:paraId="30C88AE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18.1 投标人应提交证明文件，证明其投标技术方案项下的货物和服务的合格性符合招标文件规 定。该投标技术方案及其证明文件均作为投标文件组成部分。</w:t>
      </w:r>
    </w:p>
    <w:p w14:paraId="5801D87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 投标人提供证明投标技术方案与招标文件的要求相一致的文件，可以是文字资料、图纸、 数据或数码照片、制造商公布的产品说明书、产品彩页和我国政府机构出具的产品检验和核准证件 等，提供的文件应符合以下要求：</w:t>
      </w:r>
    </w:p>
    <w:p w14:paraId="07C67CE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18.2.1 主要技术指标和性能的详细说明。</w:t>
      </w:r>
    </w:p>
    <w:p w14:paraId="4E34C69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18.2.2 投标产品从采购人开始使用至招标文件中规定的周期内正常、连续地使用所必须的备件 和专用工具清单，包括备件和专用工具的货源及现行价格。</w:t>
      </w:r>
    </w:p>
    <w:p w14:paraId="6E1CD38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18.2.3 对照招标文件技术规格，逐条说明投标技术方案已对采购人的技术规格做出了实质性的 响应，或申明与技术规格条文的偏差和例外。投标人应详细说明投标技术方案中产品的具体参数， 不得不合理照搬照抄招标文件的技术要求。</w:t>
      </w:r>
    </w:p>
    <w:p w14:paraId="620BD3A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18.2.4 产品说明书或彩页应为制造商公布或出具的中文产品说明书或彩页；提供外文说明书或 彩页的，必须同时提供加盖制造商公章的对应中文翻译说明，评标依据以中文翻译内容为准，外文 说明书或彩页仅供参考；产品说明书或彩页的尺寸和清晰度要求能够使用电脑阅读、识别和判断；</w:t>
      </w:r>
    </w:p>
    <w:p w14:paraId="5BE766A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18.2.5 我国政府机构出具的产品检验和核准证件应为证件正面、背面和附件标注的全部具体内 容；产品检验和核准证件的尺寸和清晰度应该能够在电脑上被阅读、识别和判断，提供原件扫描件。</w:t>
      </w:r>
    </w:p>
    <w:p w14:paraId="23E2F83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18.3 相关资料不符合 18.2 款要求的，评审委员会有权认定为投标技术方案不合格响应，其相 关分数予以扣减或作投标无效处理。</w:t>
      </w:r>
    </w:p>
    <w:p w14:paraId="75C272F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18.4 投标人在阐述上述第 18.2 时应注意采购人在技术规格中指出的工艺、材料和设备的标准 以及参照的牌号或分类号仅起说明作用，并没有任何限制性。投标人在投标中可以选用替代标准、 牌号或分类号，但这些替代要实质上满足招标文件中技术规格的要求，是否满足要求， 由评审委员 会来评判。</w:t>
      </w:r>
    </w:p>
    <w:p w14:paraId="7BF9BBE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18.5 除非另有规定或说明，投标人对同一项目投标时，不得同时提供两套或两套以上的投标方 案。</w:t>
      </w:r>
    </w:p>
    <w:p w14:paraId="5BA26DA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19．投标文件其他证明文件的要求</w:t>
      </w:r>
    </w:p>
    <w:p w14:paraId="6116903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19.1 采用综合评分法的项目，对项目招标文件《评标信息》评分项中涉及的相关业绩、社保情 况等内容以及《资格性审查表》和《符合性审查表》 中涉及的证明材料，投标人应提供相关部门出 具的证明材料扫描件或照片，原件备查。有关扫描件（或照片）的尺寸和清晰度要求能够使用电脑 阅读、识别和判断。若投标人未按要求提供证明材料或提供的是部分证明材料或提供不清晰的扫描 件（或照片）的，采购人、代理机构及评审委员会依据各自审查范围，有权认定其投标文件未对招 标文件有关需求进行响应，涉及资格性审查或符合性审查的予以投标无效处理，涉及《评标信息》 打分项的则该项评分予以 0 分处理。对供应商投标资料是否异常、是否有效问题进行核查和判定， 如认为供应商投标资料有异常或无效的，若涉及资格性审查或符合性审查条款的，则应作投标无效处理；若涉及评分的，则作不得分处理。</w:t>
      </w:r>
    </w:p>
    <w:p w14:paraId="5E0F34D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19.2 本项目涉及提供的有关资质（资格）证书，若原有资质（资格）证书处于年审期间，须提  供证书颁发部门提供的回执，并且回执须证明该证书依然有效（若在法规范围不需提供的，供应商  应做书面说明并提供证明文件，否则该证书无效），则该投标人提供年审证明的可按原资质（资格） 投标；若投标人正在申报上一级别资质（资格），在未获批准之前，仍按原级别资质（资格）投标。</w:t>
      </w:r>
    </w:p>
    <w:p w14:paraId="5D507A8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20．投标有效期</w:t>
      </w:r>
    </w:p>
    <w:p w14:paraId="0E89C9E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20.1 投标有效期为从投标截止之日算起的日历天数。在此期限内，所有投标文件均保持有效。</w:t>
      </w:r>
    </w:p>
    <w:p w14:paraId="61423CF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20.2 在特殊情况下，政府集中采购机构在原定的投标有效期满之前，政府集中采购机构可以根 据需要以书面形式（包括政府集中采购机构网站公开发布方式） 向投标人提出延长投标有效期的要 求，对此要求投标人须以书面形式予以答复，投标人可以拒绝政府集中采购机构此项要求，其投标 在原投标有效期满后不再有效。同意延长投标有效期的投标人不能要求也不允许修改其投标文件。</w:t>
      </w:r>
    </w:p>
    <w:p w14:paraId="73D8E2E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20.3 中标供应商的投标文件有效期，截止于完成本招标文件规定的全部项目内容，并通过竣工 验收及保修期结束。</w:t>
      </w:r>
    </w:p>
    <w:p w14:paraId="0681DF3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21．关于投标保证金</w:t>
      </w:r>
    </w:p>
    <w:p w14:paraId="06FB07C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21.1 根据《深圳市财政局关于调整政府采购投标（响应）保证金管理政策的通知》（深财购〔2021〕</w:t>
      </w:r>
    </w:p>
    <w:p w14:paraId="695A271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51 号）文的规定，本项目不收取投标保证金。</w:t>
      </w:r>
    </w:p>
    <w:p w14:paraId="4E6DE59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22．投标人的替代方案</w:t>
      </w:r>
    </w:p>
    <w:p w14:paraId="14B3CCB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22.1 投标人所提交的投标文件应完全满足招标文件（包括图纸和技术规范所示的基本技术设计） 的要求。除非项目明确允许投标人提交替代方案，否则投标人有关替代方案的条款将初审不通过， 作投标无效处理。</w:t>
      </w:r>
    </w:p>
    <w:p w14:paraId="309A0BD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22.2 如果允许投标人提交替代方案，则准备提交替代方案的投标人除应提交一份满足招标文件 （包括图纸和技术规范所示的基本技术设计）要求的投标文件外，还应提交需评审其替代方案所需</w:t>
      </w:r>
    </w:p>
    <w:p w14:paraId="11D009B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的全部资料，包括项目方案书、技术规范、替代方案报价书、所建议的项目方案及有关的其它详细 资料。</w:t>
      </w:r>
    </w:p>
    <w:p w14:paraId="7C89BED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23．投标文件的制作要求</w:t>
      </w:r>
    </w:p>
    <w:p w14:paraId="45AE268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23.1 投标人应准备所投项目的电子投标文件一份。</w:t>
      </w:r>
    </w:p>
    <w:p w14:paraId="5AEF642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 投标人在使用《投标书编制软件》编制投标书时须注意：</w:t>
      </w:r>
    </w:p>
    <w:p w14:paraId="66CBE57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23.2.1 导入《投标书编制软件》的招标文件项目编号、包号应与以此制作的投标文件项目编号、 包号一致。例如，不能将甲项目A 包的招标书导入《投标书编制软件》，制作乙项目B 包的投标书。</w:t>
      </w:r>
    </w:p>
    <w:p w14:paraId="5064CD8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23.2.2 不能用非本公司的电子密钥加密本公司的投标文件，或者用其它公司的登录用户上传本 公司的投标文件。</w:t>
      </w:r>
    </w:p>
    <w:p w14:paraId="563AE99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23.2.3 要求用《投标书编制软件》编制投标书的包，不能用其它方式编制投标书。编制投标文 件时，电脑须连通互联网。</w:t>
      </w:r>
    </w:p>
    <w:p w14:paraId="7CD44D7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23.2.4 投标文件不能带病毒。政府集中采购机构将用专业杀毒软件对投标文件进行病毒检测， 如果这两种软件均报告发现病毒，则政府集中采购机构认为该投标文件带病毒。</w:t>
      </w:r>
    </w:p>
    <w:p w14:paraId="645B81B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23.2.6 投标人在编辑投标文件时，在投标文件目录中属于本节点内容的必须在本节点中填写， 填写到其他节点或附件，一切后果由供应商自行承担。</w:t>
      </w:r>
    </w:p>
    <w:p w14:paraId="2FA2C3C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23.2.7 投标文件编写完成后，必须用属于投标人的电子密钥或电子营业执照进行加密，否则视 同未盖公章，将导致投标文件无效。</w:t>
      </w:r>
    </w:p>
    <w:p w14:paraId="2A17449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23.2.8 政府集中采购机构不接受投标截止时间后递交的纸质、电子、传真等所有形式的投标文 件。 由于对网上政府采购系统操作不熟悉或自身电脑、网络等原因导致不能在投标截止时间之前上 传投标文件，政府集中采购机构概不负责。建议于开标前一个工作日完成投标文件的制作与上传， 如上传确有困难，请及时咨询。</w:t>
      </w:r>
    </w:p>
    <w:p w14:paraId="321B614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23.2.9 如果开标时出现网络故障、技术故障，影响了政府采购活动，政府集中采购机构有权采取措施如延期、接受无法从网上上传的投标书等，以保障政府采购活动的公开、公平和公正。</w:t>
      </w:r>
    </w:p>
    <w:p w14:paraId="1054C6E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23.3 电报、电话、传真形式的投标概不接受。</w:t>
      </w:r>
    </w:p>
    <w:p w14:paraId="4634423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23.4 经投标人电子密钥或电子营业执照加密的投标文件无须盖章或签字，专用条款另有要求的 除外。</w:t>
      </w:r>
    </w:p>
    <w:p w14:paraId="3FC2C0C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23.5 各类资格（资质）文件提供扫描件，专用条款另有要求的除外。</w:t>
      </w:r>
    </w:p>
    <w:p w14:paraId="079202F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第三章   投标文件的递交</w:t>
      </w:r>
    </w:p>
    <w:p w14:paraId="1F5D6F8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24．投标文件的保密</w:t>
      </w:r>
    </w:p>
    <w:p w14:paraId="694FB0F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24.1 在投标文件制作完成后，生成后会选择是否加密投标文件，如不加密则直接点击生成文件 即可，如需加密请插入 CA 锁，点击加密后生成文件，需输入 CA 锁密码即可加密成功。加密后会提 示文件生成成功！ (注意：加密的投标文件开标时须使用加密文件时使用的锁在项目规定时间内解密 ！)</w:t>
      </w:r>
    </w:p>
    <w:p w14:paraId="64E28A3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24.2 若采购项目出现延期情况：</w:t>
      </w:r>
    </w:p>
    <w:p w14:paraId="539DD1A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如果供下载的招标文件有更新，投标人必须重新下载招标文件、重新制作投标文件、重新加密 投标文件、重新上传投标文件。</w:t>
      </w:r>
    </w:p>
    <w:p w14:paraId="12F3E86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25．上传投标文件及投标截止日期</w:t>
      </w:r>
    </w:p>
    <w:p w14:paraId="03D4E34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25.1 实行网上投标，投标人必须在招标文件规定的投标截止时间前用电子密钥登录“深圳政府采购自行采购系统（https://trade.szggzy.com/ggzy/center/#/login） ”上传投标文件。如上传 过程中遇到问题，可拨打采购公告中的技术支持电话。如多次上传均告失败，请在投标截止时间之前携带加密后的电子投标文件送达至</w:t>
      </w:r>
      <w:r>
        <w:rPr>
          <w:rFonts w:hint="eastAsia" w:ascii="宋体" w:hAnsi="宋体" w:eastAsia="宋体" w:cs="宋体"/>
          <w:spacing w:val="-4"/>
          <w:highlight w:val="none"/>
          <w:lang w:val="en-US" w:eastAsia="zh-CN"/>
        </w:rPr>
        <w:t>国采招标（深圳）有限公司</w:t>
      </w:r>
      <w:r>
        <w:rPr>
          <w:rFonts w:hint="eastAsia" w:ascii="宋体" w:hAnsi="宋体" w:eastAsia="宋体" w:cs="宋体"/>
          <w:spacing w:val="-4"/>
          <w:highlight w:val="none"/>
        </w:rPr>
        <w:t xml:space="preserve"> （地址：</w:t>
      </w:r>
      <w:r>
        <w:rPr>
          <w:rFonts w:hint="eastAsia" w:ascii="宋体" w:hAnsi="宋体" w:cs="宋体"/>
          <w:color w:val="auto"/>
          <w:szCs w:val="21"/>
          <w:highlight w:val="none"/>
        </w:rPr>
        <w:t>深圳市龙华区民治街道南贤商业广场B座商务中心1602A室</w:t>
      </w:r>
      <w:r>
        <w:rPr>
          <w:rFonts w:hint="eastAsia" w:ascii="宋体" w:hAnsi="宋体" w:eastAsia="宋体" w:cs="宋体"/>
          <w:spacing w:val="-4"/>
          <w:highlight w:val="none"/>
        </w:rPr>
        <w:t>）协助上传，但上传过程中投标截止时间到达仍无法上传成功的， 由投标人自行负责。</w:t>
      </w:r>
    </w:p>
    <w:p w14:paraId="096FE48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25.2 政府集中采购机构可以按本通用条款第 13 条规定，通过修改招标文件自行决定酌情延长 投标截止期。在此情况下，政府集中采购机构、采购人和投标人受投标截止期制约的所有权利和义 务均应延长至新的截止期。</w:t>
      </w:r>
    </w:p>
    <w:p w14:paraId="3A4389F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25.3 投标截止时间以后不得上传投标文件。</w:t>
      </w:r>
    </w:p>
    <w:p w14:paraId="26FCDA7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26. 样品、现场演示、方案讲解</w:t>
      </w:r>
    </w:p>
    <w:p w14:paraId="575A067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26.1 样品、现场演示、方案讲解等事项在招标文件专用条款中进行规定。</w:t>
      </w:r>
    </w:p>
    <w:p w14:paraId="30027B2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27．投标文件的修改和撤销</w:t>
      </w:r>
    </w:p>
    <w:p w14:paraId="331962E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27.1 投标方在提交投标文件后可对其投标文件进行修改并重新上传投标文件或在网上进行撤销 投标的操作。</w:t>
      </w:r>
    </w:p>
    <w:p w14:paraId="0EF05DB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27.2 投标截止时间以后不得修改投标文件。</w:t>
      </w:r>
    </w:p>
    <w:p w14:paraId="47EB941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27.3 从投标截止期至投标人在投标文件中确定的投标有效期之间的这段时间内，投标人不得撤 回其投标。</w:t>
      </w:r>
    </w:p>
    <w:p w14:paraId="1C4BB4D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27.4 政府集中采购机构不退还投标文件，专用条款另有规定的除外。</w:t>
      </w:r>
    </w:p>
    <w:p w14:paraId="273B31DC">
      <w:pPr>
        <w:autoSpaceDE w:val="0"/>
        <w:autoSpaceDN w:val="0"/>
        <w:ind w:firstLine="464" w:firstLineChars="200"/>
        <w:rPr>
          <w:rFonts w:hint="eastAsia" w:ascii="宋体" w:hAnsi="宋体" w:eastAsia="宋体" w:cs="宋体"/>
          <w:spacing w:val="-4"/>
          <w:highlight w:val="none"/>
        </w:rPr>
      </w:pPr>
    </w:p>
    <w:p w14:paraId="5A2211A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第四章   开标</w:t>
      </w:r>
    </w:p>
    <w:p w14:paraId="5380D9B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28．开标</w:t>
      </w:r>
    </w:p>
    <w:p w14:paraId="323E8AC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28.1 投标人须在开标当日的开标时间至解密截止时间内进行解密，逾期未解密的作无效处理。</w:t>
      </w:r>
    </w:p>
    <w:p w14:paraId="689A9F1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解密方法：登录“深圳政府采购自行采购系统（</w:t>
      </w:r>
      <w:r>
        <w:rPr>
          <w:rFonts w:hint="eastAsia" w:ascii="宋体" w:hAnsi="宋体" w:eastAsia="宋体" w:cs="宋体"/>
          <w:spacing w:val="-4"/>
          <w:highlight w:val="none"/>
        </w:rPr>
        <w:fldChar w:fldCharType="begin"/>
      </w:r>
      <w:r>
        <w:rPr>
          <w:rFonts w:hint="eastAsia" w:ascii="宋体" w:hAnsi="宋体" w:eastAsia="宋体" w:cs="宋体"/>
          <w:spacing w:val="-4"/>
          <w:highlight w:val="none"/>
        </w:rPr>
        <w:instrText xml:space="preserve"> HYPERLINK "https://trade.szggzy.com/ggzy/center/#/login" </w:instrText>
      </w:r>
      <w:r>
        <w:rPr>
          <w:rFonts w:hint="eastAsia" w:ascii="宋体" w:hAnsi="宋体" w:eastAsia="宋体" w:cs="宋体"/>
          <w:spacing w:val="-4"/>
          <w:highlight w:val="none"/>
        </w:rPr>
        <w:fldChar w:fldCharType="separate"/>
      </w:r>
      <w:r>
        <w:rPr>
          <w:rFonts w:hint="eastAsia" w:ascii="宋体" w:hAnsi="宋体" w:eastAsia="宋体" w:cs="宋体"/>
          <w:spacing w:val="-4"/>
          <w:highlight w:val="none"/>
        </w:rPr>
        <w:t>https://trade.szggzy.com/ggzy/center/#/login</w:t>
      </w:r>
      <w:r>
        <w:rPr>
          <w:rFonts w:hint="eastAsia" w:ascii="宋体" w:hAnsi="宋体" w:eastAsia="宋体" w:cs="宋体"/>
          <w:spacing w:val="-4"/>
          <w:highlight w:val="none"/>
        </w:rPr>
        <w:fldChar w:fldCharType="end"/>
      </w:r>
      <w:r>
        <w:rPr>
          <w:rFonts w:hint="eastAsia" w:ascii="宋体" w:hAnsi="宋体" w:eastAsia="宋体" w:cs="宋体"/>
          <w:spacing w:val="-4"/>
          <w:highlight w:val="none"/>
        </w:rPr>
        <w:t>）”， 使用本单位制作电子投标文件同一个电子密钥进行在线解密、查询开标情况。</w:t>
      </w:r>
    </w:p>
    <w:p w14:paraId="52C999E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28.2 政府集中采购机构将在满足开标条件（①解密时间结束，解密后的投标供应商数量满足开 标要求或②解密时间结束前所有投标供应商均完成投标文件解密）后，对投标文件进行开标，并在 网上公布开标结果。</w:t>
      </w:r>
    </w:p>
    <w:p w14:paraId="7737787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第五章   评审要求</w:t>
      </w:r>
    </w:p>
    <w:p w14:paraId="2ED85C3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29．评审委员会组成</w:t>
      </w:r>
    </w:p>
    <w:p w14:paraId="3E188B5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29.1 网上开标结束后召开评审会议，评审委员会由政府集中采购机构依法组建，负责评审活动。 评审委员会由采购人代表和评审专家组成，成员人数应当为 5 人以上单数（部分条件下为 7 人</w:t>
      </w:r>
    </w:p>
    <w:p w14:paraId="386F11E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以上单数），其中评审专家不得少于成员总数的三分之二。评定分离项目评审专家均由评审专家组 成。评审专家一般是从深圳市政府采购评审专家库中随机抽取。采购人代表须持本单位签发的《评 审授权书》参加评审。</w:t>
      </w:r>
    </w:p>
    <w:p w14:paraId="49C6EC7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29.2 评审定标应当遵循公平、公正、科学、择优的原则。</w:t>
      </w:r>
    </w:p>
    <w:p w14:paraId="66419C2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29.3 评审活动依法进行，任何单位和个人不得非法干预评标过程和结果。</w:t>
      </w:r>
    </w:p>
    <w:p w14:paraId="3E7AF19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29.4 评审过程中不允许违背评标程序或采用招标文件未载明的评标方法或评标因素进行评标。</w:t>
      </w:r>
    </w:p>
    <w:p w14:paraId="3F1D702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29.5 开标后，直到签订合同为止，凡属于对投标文件的审查、澄清、评价和比较的有关资料以 及中标候选人的推荐情况、与评审有关的其他任何情况均严格保密（信息公开的内容除外）。</w:t>
      </w:r>
    </w:p>
    <w:p w14:paraId="01D760F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30．向评审委员会提供的资料</w:t>
      </w:r>
    </w:p>
    <w:p w14:paraId="7A24FF2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30.1 公开发布的招标文件，包括图纸、服务清单、答疑文件等；</w:t>
      </w:r>
    </w:p>
    <w:p w14:paraId="75FC104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30.2 其他评标必须的资料。</w:t>
      </w:r>
    </w:p>
    <w:p w14:paraId="75F0D9A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30.3 评审委员会应当认真研究招标文件，至少应了解熟悉以下内容：</w:t>
      </w:r>
    </w:p>
    <w:p w14:paraId="516DBB4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（1）招标的目的；</w:t>
      </w:r>
    </w:p>
    <w:p w14:paraId="42B8025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（2）招标项目需求的范围和性质；</w:t>
      </w:r>
    </w:p>
    <w:p w14:paraId="4BC31B6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（3）招标文件规定的投标人的资格、财政预算限额、商务条款；</w:t>
      </w:r>
    </w:p>
    <w:p w14:paraId="3540558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（4）招标文件规定的评标程序、评标方法和评标因素；</w:t>
      </w:r>
    </w:p>
    <w:p w14:paraId="5BD11A5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（5）招标文件所列示的资格性审查表及符合性审查表。</w:t>
      </w:r>
    </w:p>
    <w:p w14:paraId="3CBB614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31．独立评审</w:t>
      </w:r>
    </w:p>
    <w:p w14:paraId="6BA5BA0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31.1 评审委员会成员的评标活动应当独立进行，并应遵循投标文件初审、澄清有关问题、比较 与评价、确定中标供应商、编写评审报告的工作程序。</w:t>
      </w:r>
    </w:p>
    <w:p w14:paraId="0FCC458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第六章   评审程序及评审方法</w:t>
      </w:r>
    </w:p>
    <w:p w14:paraId="65E7C14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32．投标文件初审</w:t>
      </w:r>
    </w:p>
    <w:p w14:paraId="06BD041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32.1 投标文件初审包括资格性审查和符合性审查。</w:t>
      </w:r>
    </w:p>
    <w:p w14:paraId="5B7DBB9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资格性审查：依据法律法规和招标文件的规定，对投标文件中的资格证明等进行审查，以确定 投标供应商是否具备投标资格。</w:t>
      </w:r>
    </w:p>
    <w:p w14:paraId="1830F59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符合性审查：依据招标文件的规定，对投标文件的有效性、完整性和对招标文件的响应程度进 行审查，以确定是否满足符合性审查的要求。</w:t>
      </w:r>
    </w:p>
    <w:p w14:paraId="4B90AB6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32.2 投标文件初审内容请详见《资格性审查表》和《符合性审查表》部分。投标人若有一条审 查不通过则按投标无效处理。</w:t>
      </w:r>
    </w:p>
    <w:p w14:paraId="3B89251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32.3 投标文件初审中关于供应商家数的计算:</w:t>
      </w:r>
    </w:p>
    <w:p w14:paraId="171106D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32.3.1 采用最低评标价法的采购项目，提供相同品牌产品的不同投标人参加同一合同项下投标 的，以其中通过资格审查、符合性审查且报价最低的参加评标；报价相同的， 由采购人或者采购人 委托评审委员会按照招标文件规定的方式确定一个参加评审的投标人，招标文件未规定的采取随机 抽取方式确定，其他投标无效。</w:t>
      </w:r>
    </w:p>
    <w:p w14:paraId="199DB19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32.3.2 采用综合评分法的采购项目，提供相同品牌产品且通过资格审查、符合性审查的不同投 标人参加同一合同项下投标的，按一家投标人计算，评审后得分最高的同品牌投标人获得中标人推 荐资格；评审得分相同的， 由采购人或者采购人委托评审委员会按照招标文件规定的方式确定一个 投标人获得中标人推荐资格，招标文件未规定的采取随机抽取方式确定，其他同品牌投标人不作为 中标候选人。</w:t>
      </w:r>
    </w:p>
    <w:p w14:paraId="6988FF1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32.3.3 非单一产品采购项目，采购人应当根据采购项目技术构成、产品价格比重等合理确定核 心产品，并在招标文件中载明。多家投标人提供的核心产品品牌相同的，按前两款规定处理。</w:t>
      </w:r>
    </w:p>
    <w:p w14:paraId="13B5B8B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 投标人投标文件作无效处理的情形，具体包括但不限于以下：</w:t>
      </w:r>
    </w:p>
    <w:p w14:paraId="5469F54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32.4.1 不同投标人的投标文件由同一单位或者同一个人编制，或者由同一个人分阶段参与编制；</w:t>
      </w:r>
    </w:p>
    <w:p w14:paraId="153DB44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32.4.2 不同投标人委托同一单位或者个人办理投标事宜；</w:t>
      </w:r>
    </w:p>
    <w:p w14:paraId="3299E5A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32.4.3 不同投标人的投标文件载明的项目管理成员或者联系人员为同一人；</w:t>
      </w:r>
    </w:p>
    <w:p w14:paraId="4EEFEAF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32.4.4 不同投标人的投标文件异常一致或者投标报价呈规律性差异；</w:t>
      </w:r>
    </w:p>
    <w:p w14:paraId="56516A7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32.4.5 不同投标供应商的投标文件或部分投标文件相互混装；</w:t>
      </w:r>
    </w:p>
    <w:p w14:paraId="7523AB5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32.4.6 投标供应商之间相互约定给予未中标的供应商利益补偿；</w:t>
      </w:r>
    </w:p>
    <w:p w14:paraId="3F4BE43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32.4.7 不同投标供应商的法定代表人、主要经营负责人、项目投标授权代表人、项目负责人、 主要技术人员为同一人、属同一单位或者同一单位缴纳社会保险；</w:t>
      </w:r>
    </w:p>
    <w:p w14:paraId="5C4ADD5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32.4.8 不同投标供应商的投标文件内容存在非正常一致；</w:t>
      </w:r>
    </w:p>
    <w:p w14:paraId="237F152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32.4.9 在同一单位工作人员为两家以上（含两家）供应商进行同一项投标活动；</w:t>
      </w:r>
    </w:p>
    <w:p w14:paraId="29174BA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32.4.10 主管部门依照法律、法规认定的其他情形。</w:t>
      </w:r>
    </w:p>
    <w:p w14:paraId="7D33DB6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32.5 对不属于《资格性审查表》和《符合性审查表》所列的其他情形，除专用条款另有规定和 32.4 条款所列情形外，不得作为投标无效的理由。</w:t>
      </w:r>
    </w:p>
    <w:p w14:paraId="5FDD4E8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33．澄清有关问题</w:t>
      </w:r>
    </w:p>
    <w:p w14:paraId="1057B6D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33.1 对招标文件中描述有歧义或前后不一致的地方（不含招标文件存在歧义、重大缺陷导致评 审工作无法进行的情况），评审委员会有权进行评判，但对同一条款的评判应适用于每个投标人。</w:t>
      </w:r>
    </w:p>
    <w:p w14:paraId="5992219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33.2 评审委员会发现招标文件存在歧义、重大缺陷导致评审工作无法进行，或者招标文件内容 违反国家有关强制性规定的，应当停止评审工作，与政府集中采购机构沟通并作书面记录。经确认 后，项目应当修改招标文件，重新组织采购活动。</w:t>
      </w:r>
    </w:p>
    <w:p w14:paraId="2940886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33.3 对于投标文件中含义不明确、同类问题表述不一致或者有明显文字和计算错误的内容，评 审委员会应当以书面形式要求投标人作出必要的澄清、说明或者补正。</w:t>
      </w:r>
    </w:p>
    <w:p w14:paraId="2855821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投标人的澄清、说明或者补正应当采用书面形式【书面形式是指文书、信件（含电子邮件）、 电报、 电传、传真等形式】，并加盖公章（或者由法定代表人或其授权的代表签字） 。投标人的澄 清、说明或者补正不得超出投标文件的范围或者改变投标文件的实质性内容。</w:t>
      </w:r>
    </w:p>
    <w:p w14:paraId="1FEAC96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根据本通用条款第 34 条，凡属于评审委员会在评审中发现的算术错误进行核实的修改不在此列。 34．错误的修正</w:t>
      </w:r>
    </w:p>
    <w:p w14:paraId="71C9395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投标文件报价出现前后不一致的，除专用条款另有规定外，按照下列规定修正：</w:t>
      </w:r>
    </w:p>
    <w:p w14:paraId="32B5443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34.1 投标文件中开标一览表投标报价内容与投标文件中投标报价相应内容不一致的，以开标一 览表为准；</w:t>
      </w:r>
    </w:p>
    <w:p w14:paraId="1AEDEE4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34.2 大写金额和小写金额不一致的，以大写金额为准；</w:t>
      </w:r>
    </w:p>
    <w:p w14:paraId="0441755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34.3 单价金额小数点或者百分比有明显错位，以开标一览表的总价为准，并修改单价；</w:t>
      </w:r>
    </w:p>
    <w:p w14:paraId="705BB9C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34.4 总价金额与按单价汇总金额不一致的，以单价金额计算结果为准。</w:t>
      </w:r>
    </w:p>
    <w:p w14:paraId="26EC8CA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34.5 同时出现两种以上不一致的，按照前款规定的顺序修正。修正后的报价按照本通用条款 33 条的规定，经投标人确认后产生约束力，投标人不确认的，其投标无效。</w:t>
      </w:r>
    </w:p>
    <w:p w14:paraId="769EB62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35．投标文件的比较与评价</w:t>
      </w:r>
    </w:p>
    <w:p w14:paraId="25B1E0C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评审委员会将按照《深圳经济特区政府采购条例》、《深圳经济特区政府采购条例实施细则》、 《深圳市政府采购评标定标分离管理办法》及政府采购其他法律法规，仅对通过资格性审查和符合 性审查的投标文件进行综合比较与评价。</w:t>
      </w:r>
    </w:p>
    <w:p w14:paraId="1566F5B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评审委员会成员对需要共同认定的事项存在争议的，应当按照少数服从多数的原则作出结论。 持不同意见的评审委员会成员应当书面作出说明，否则视为无异议。</w:t>
      </w:r>
    </w:p>
    <w:p w14:paraId="6F0C5EF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36. 实地考察或资料查验</w:t>
      </w:r>
    </w:p>
    <w:p w14:paraId="393FDC5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36.1 在评审过程中，评审委员会有权决定是否对本项目投标人进行实地考察或资料查验（原件）。 投标人应随时做好接受实地考察或资料查验的准备。</w:t>
      </w:r>
    </w:p>
    <w:p w14:paraId="7E7AF1C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37．评审方法</w:t>
      </w:r>
    </w:p>
    <w:p w14:paraId="20C6D34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37.1.1 最低价法</w:t>
      </w:r>
    </w:p>
    <w:p w14:paraId="77770FA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最低价法，是指投标文件满足招标文件全部实质性要求，且投标报价最低的投标人为中标候选 人的评标方法。</w:t>
      </w:r>
    </w:p>
    <w:p w14:paraId="3158571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采用最低价法的，评标结果按投标报价由低到高顺序排列。投标报价相同的并列。投标文件满 足招标文件全部实质性要求且投标报价最低的投标人为排名第一的中标候选人。出现投标报价相同 的并列情况时，采取随机抽取的方式确定。（抽签原则：</w:t>
      </w:r>
      <w:r>
        <w:rPr>
          <w:rFonts w:hint="eastAsia" w:ascii="宋体" w:hAnsi="宋体" w:eastAsia="宋体" w:cs="宋体"/>
          <w:spacing w:val="-4"/>
          <w:highlight w:val="none"/>
          <w:lang w:val="en-US" w:eastAsia="zh-CN"/>
        </w:rPr>
        <w:t>国采招标（深圳）有限公司</w:t>
      </w:r>
      <w:r>
        <w:rPr>
          <w:rFonts w:hint="eastAsia" w:ascii="宋体" w:hAnsi="宋体" w:eastAsia="宋体" w:cs="宋体"/>
          <w:spacing w:val="-4"/>
          <w:highlight w:val="none"/>
        </w:rPr>
        <w:t>的组织下，由评标委员会作为抽签小组进行随机抽签确定排序。（1）编号。 抽签小组按上传投标文件的时间先后确定抽签编号，如 A  公司上传投标文件的时间最早，则抽签编 号为 1 ，以此类推。（2）抽签。按抽签编号的数量在摇号机放入相应数量及对应编号的号码球，抽 签小组成员随机抽取号码球，按抽出号码球的顺序，确定号码球对应的供应商排序。（3）确认结果。 全体抽签小组成员签字确认抽签结果。）</w:t>
      </w:r>
    </w:p>
    <w:p w14:paraId="1C76B42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37.1.2 综合评分法</w:t>
      </w:r>
    </w:p>
    <w:p w14:paraId="646C9B7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综合评分法，是指在满足招标文件全部实质性要求的前提下，按照招标文件中规定的各项因素 进行综合评审，评审总得分排名前列的投标人，作为推荐的候选中标供应商。</w:t>
      </w:r>
    </w:p>
    <w:p w14:paraId="09F3716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采用综合评分法的，评标结果按评审后得分由高到低顺序排列。得分相同的，按投标报价由低 到高顺序排列。得分且投标报价相同的并列。投标文件满足招标文件全部实质性要求，且按照评审 因素的量化指标评审得分最高的投标人为排名第一的中标候选人。出现得分且投标报价相同的并列 情况时，采取随机抽取的方式确定。（抽签原则：在</w:t>
      </w:r>
      <w:r>
        <w:rPr>
          <w:rFonts w:hint="eastAsia" w:ascii="宋体" w:hAnsi="宋体" w:eastAsia="宋体" w:cs="宋体"/>
          <w:spacing w:val="-4"/>
          <w:highlight w:val="none"/>
          <w:lang w:val="en-US" w:eastAsia="zh-CN"/>
        </w:rPr>
        <w:t>国采招标（深圳）有限公司</w:t>
      </w:r>
      <w:r>
        <w:rPr>
          <w:rFonts w:hint="eastAsia" w:ascii="宋体" w:hAnsi="宋体" w:eastAsia="宋体" w:cs="宋体"/>
          <w:spacing w:val="-4"/>
          <w:highlight w:val="none"/>
        </w:rPr>
        <w:t>的组织下，由评标委员会作为抽签小组进行随机抽签确定排序。（1）编号。抽签小 组按上传投标文件的时间先后确定抽签编号，如 A  公司上传投标文件的时间最早，则抽签编号为 1， 以此类推。（2）抽签。按抽签编号的数量在摇号机放入相应数量及对应编号的号码球，抽签小组成 员随机抽取号码球，按抽出号码球的顺序，确定号码球对应的供应商排序。（3）确认结果。全体抽 签小组成员签字确认抽签结果。）</w:t>
      </w:r>
    </w:p>
    <w:p w14:paraId="111BF31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37.2 本项目采用的评审方法见本项目招标文件第一册“专用条款 ”的相关内容。</w:t>
      </w:r>
    </w:p>
    <w:p w14:paraId="67548F3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37.3 重新评审的情形</w:t>
      </w:r>
    </w:p>
    <w:p w14:paraId="4ED82CE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评审结果汇总完成后，除下列情形外，任何人不得修改评审结果：</w:t>
      </w:r>
    </w:p>
    <w:p w14:paraId="4C26DD3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37.3.1 分值汇总计算错误的；</w:t>
      </w:r>
    </w:p>
    <w:p w14:paraId="249C16D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37.3.2 分项评分超出评分标准范围的；</w:t>
      </w:r>
    </w:p>
    <w:p w14:paraId="62BBDE0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37.3.3 评审委员会成员对客观评审因素评分不一致的；</w:t>
      </w:r>
    </w:p>
    <w:p w14:paraId="52EBCD6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37.3.4 经评审委员会认定评分畸高、畸低的。</w:t>
      </w:r>
    </w:p>
    <w:p w14:paraId="7327162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评审报告签署前，经复核发现存在以上情形之一的，评审委员会应当当场修改评审结果，并进行书面记载；评审报告签署后，采购人或者采购代理机构发现存在以上情形之一的，应当组织原评 审委员会进行重新评审，重新评审改变评审结果的，书面报告本级财政部门。</w:t>
      </w:r>
    </w:p>
    <w:p w14:paraId="6DAF73E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投标人对本条第一款情形提出质疑的，采购人或者采购代理机构可以组织原评审委员会进行重 新评审，重新评审改变评审结果的，应当书面报告本级财政部门。</w:t>
      </w:r>
    </w:p>
    <w:p w14:paraId="6C3E2D3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37.4 重新组建评审委员会的情形</w:t>
      </w:r>
    </w:p>
    <w:p w14:paraId="2680513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评审委员会或者其成员存在下列情形导致评审结果无效的，重新组建评审委员会进行评标，并 书面报告本级财政部门：</w:t>
      </w:r>
    </w:p>
    <w:p w14:paraId="39A3221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37.4.1 评审委员会组成不符合《政府采购货物和服务招标投标管理办法》规定的；</w:t>
      </w:r>
    </w:p>
    <w:p w14:paraId="3F19E5B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37.4.2 有《政府采购货物和服务招标投标管理办法》第六十二条第一至五项情形的；</w:t>
      </w:r>
    </w:p>
    <w:p w14:paraId="09D95F5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37.4.3 评审委员会及其成员独立评标受到非法干预的；</w:t>
      </w:r>
    </w:p>
    <w:p w14:paraId="1196FCB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37.4.4 有政府采购法实施条例第七十五条规定的违法行为的。</w:t>
      </w:r>
    </w:p>
    <w:p w14:paraId="7552345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有违法违规行为的原评审委员会成员不得参加重新组建的评审委员会。</w:t>
      </w:r>
    </w:p>
    <w:p w14:paraId="0F2ABBA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第七章   定标及公示</w:t>
      </w:r>
    </w:p>
    <w:p w14:paraId="503CF3A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38．定标方法</w:t>
      </w:r>
    </w:p>
    <w:p w14:paraId="1A9FEE0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38.1 非评定分离项目定标方法</w:t>
      </w:r>
    </w:p>
    <w:p w14:paraId="14B4A18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38.1.1 评审委员会依据本项目招标文件所约定的评审方法进行评审和比较，向政府集中采购机 构提交书面评审报告，并根据评审方法比较评价结果从优到劣进行排序，确定候选中标供应商。</w:t>
      </w:r>
    </w:p>
    <w:p w14:paraId="1A358DE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 1.2 采用最低价法的，评审结果按投标报价由低到高顺序排列。投标报价相同的并列。投标 文件满足招标文件全部实质性要求且投标报价最低的投标人为中标供应商（排名第二的投标人为第 一替补中标候选人、排名第三的投标人为第二替补中标候选人）。出现投标报价相同的并列情况时， 采取随机抽取的方式确定。（抽签原则：在</w:t>
      </w:r>
      <w:r>
        <w:rPr>
          <w:rFonts w:hint="eastAsia" w:ascii="宋体" w:hAnsi="宋体" w:eastAsia="宋体" w:cs="宋体"/>
          <w:spacing w:val="-4"/>
          <w:highlight w:val="none"/>
          <w:lang w:val="en-US" w:eastAsia="zh-CN"/>
        </w:rPr>
        <w:t>国采招标（深圳）有限公司</w:t>
      </w:r>
      <w:r>
        <w:rPr>
          <w:rFonts w:hint="eastAsia" w:ascii="宋体" w:hAnsi="宋体" w:eastAsia="宋体" w:cs="宋体"/>
          <w:spacing w:val="-4"/>
          <w:highlight w:val="none"/>
        </w:rPr>
        <w:t>的组织下，由评标委员会作为抽签小组进行随机抽签确定排序。（1）编号。抽签小组按上传 投标文件的时间先后确定抽签编号，如 A  公司上传投标文件的时间最早，则抽签编号为 1 ，以此类 推。（2）抽签。按抽签编号的数量在摇号机放入相应数量及对应编号的号码球，抽签小组成员随机 抽取号码球，按抽出号码球的顺序，确定号码球对应的供应商排序。（3）确认结果。全体抽签小组 成员签字确认抽签结果。）</w:t>
      </w:r>
    </w:p>
    <w:p w14:paraId="11D2A90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 1.3 采用综合评分法的，评标结果按评审后得分由高到低顺序排列。得分相同的，按投标报  价由低到高顺序排列。得分且投标报价相同的并列。投标文件满足招标文件全部实质性要求，且按  照评审因素的量化指标评审得分最高的投标人为中标供应商（排名第二的投标人为第一替补中标候  选人、排名第三的投标人为第二替补中标候选人） 。出现得分且投标报价相同的并列情况时，采取  随机抽取的方式确定。（抽签原则：</w:t>
      </w:r>
      <w:r>
        <w:rPr>
          <w:rFonts w:hint="eastAsia" w:ascii="宋体" w:hAnsi="宋体" w:eastAsia="宋体" w:cs="宋体"/>
          <w:spacing w:val="-4"/>
          <w:highlight w:val="none"/>
          <w:lang w:val="en-US" w:eastAsia="zh-CN"/>
        </w:rPr>
        <w:t>国采招标（深圳）有限公司</w:t>
      </w:r>
      <w:r>
        <w:rPr>
          <w:rFonts w:hint="eastAsia" w:ascii="宋体" w:hAnsi="宋体" w:eastAsia="宋体" w:cs="宋体"/>
          <w:spacing w:val="-4"/>
          <w:highlight w:val="none"/>
        </w:rPr>
        <w:t xml:space="preserve"> 的组织下，由评标委员会作为抽签小组进行随机抽签确定排序。（1）编号。抽签小组按上传投标文  件的时间先后确定抽签编号，如 A  公司上传投标文件的时间最早，则抽签编号为 1 ，以此类推。（2） 抽签。按抽签编号的数量在摇号机放入相应数量及对应编号的号码球，抽签小组成员随机抽取号码  球，按抽出号码球的顺序，确定号码球对应的供应商排序。（3）确认结果。全体抽签小组成员签字  确认抽签结果。）</w:t>
      </w:r>
    </w:p>
    <w:p w14:paraId="796E650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38.2 评定分离项目定标方法</w:t>
      </w:r>
    </w:p>
    <w:p w14:paraId="7DA233F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38.2.1 评定分离是指在政府集中采购程序中，以公开招标方式执行采购，评审委员会负责对投 标文件进行评审、推荐候选中标供应商并出具书面评审报告， 由采购人根据评审委员会出具的评审 报告从推荐的候选中标供应商中确定中标供应商。单个项目需要确定多家中标供应商的，不适用评定分离。</w:t>
      </w:r>
    </w:p>
    <w:p w14:paraId="260E5D0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38.2.2 适用评定分离的政府采购项目，采用综合评分法评审。评审委员会按照评审结果，推荐 三个合格的候选中标供应商。</w:t>
      </w:r>
    </w:p>
    <w:p w14:paraId="3793420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38.2.3 适用评定分离的政府采购项目，按照自定法确定中标供应商： 自定法是指采购人组织定 标委员会，由定标委员会在三家候选中标供应商中确定中标供应商。</w:t>
      </w:r>
    </w:p>
    <w:p w14:paraId="0C3E2F5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38.2.4 政府集中采购机构应当自评审结束之日起两个工作日内将候选中标供应商名单及其投标  文件、评审报告送交采购人。采购人应当安排专人对定标过程进行书面记录，形成定标报告，作为  采购文件的组成部分存档，并及时将定标结果反馈政府集中采购机构。具体定标程序及相关要求以  按照《深圳市财政局关于印发〈深圳市政府采购评标定标分离管理办法〉的通知》（深财规【2020】</w:t>
      </w:r>
    </w:p>
    <w:p w14:paraId="2080258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 号）执行。</w:t>
      </w:r>
    </w:p>
    <w:p w14:paraId="1444B62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说明：采购人及投标供应商应按照上述方法提前做好相关准备。</w:t>
      </w:r>
    </w:p>
    <w:p w14:paraId="27649DC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38.3 专用条款另有规定的，按专用条款相关要求定标。</w:t>
      </w:r>
    </w:p>
    <w:p w14:paraId="06CEC9E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39．编写评审报告</w:t>
      </w:r>
    </w:p>
    <w:p w14:paraId="07C3820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评审报告是评审委员会根据全体评标成员签字的原始评审记录和评审结果编写的报告，评审报 告由评审委员会全体成员签字。对评审结论持有异议的评审委员会成员可以书面方式阐述其不同意 见和理由。评审委员会成员拒绝在评审报告上签字且不陈述其不同意见和理由的，视为同意评审结 论。评审委员会应当对此作出书面说明并记录存档。</w:t>
      </w:r>
    </w:p>
    <w:p w14:paraId="6E65A83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40．中标公告</w:t>
      </w:r>
    </w:p>
    <w:p w14:paraId="3559528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40.1 为体现“公开、公平、公正 ”的原则，评审结束后经采购人确认（确定）评审结果，政府集中采购机构将在深圳政府采购自行采购系统（https://zxcg.szggzy.com/home/index.html）上  发布中标结果公告。供应商如对评审结果有异议，可在发布公示日期起七个工作日内向政府集中采 购机构提出。 监督电话：0755-83948143。若在公示期内未提出质疑，则视为认同该评审结果。</w:t>
      </w:r>
    </w:p>
    <w:p w14:paraId="476E34B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40.2 质疑、投诉供应商应保证质疑、投诉内容的真实性和可靠性，并承担相应的法律责任。</w:t>
      </w:r>
    </w:p>
    <w:p w14:paraId="4E9A51A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41．中标通知书</w:t>
      </w:r>
    </w:p>
    <w:p w14:paraId="56A3900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41.1 中标公告公布以后无异常的情况下,中标供应商和采购人可自行登录“深圳政府采购自行采购系统（https://trade.szggzy.com/ggzy/center/#/login） ”上打印《数字中标通知书》。</w:t>
      </w:r>
    </w:p>
    <w:p w14:paraId="2FDE97B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41.2 中标通知书是合同的重要组成部分。</w:t>
      </w:r>
    </w:p>
    <w:p w14:paraId="193FF18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41.3 因质疑投诉或其它原因导致项目结果变更或采购终止的，政府集中采购机构有权吊销中标通知书。</w:t>
      </w:r>
    </w:p>
    <w:p w14:paraId="21806F0A">
      <w:pPr>
        <w:autoSpaceDE w:val="0"/>
        <w:autoSpaceDN w:val="0"/>
        <w:ind w:firstLine="464" w:firstLineChars="200"/>
        <w:rPr>
          <w:rFonts w:hint="eastAsia" w:ascii="宋体" w:hAnsi="宋体" w:eastAsia="宋体" w:cs="宋体"/>
          <w:spacing w:val="-4"/>
          <w:highlight w:val="none"/>
        </w:rPr>
      </w:pPr>
    </w:p>
    <w:p w14:paraId="6C98245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第八章   公开招标失败的后续处理</w:t>
      </w:r>
    </w:p>
    <w:p w14:paraId="4087611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42．公开招标失败的处理</w:t>
      </w:r>
    </w:p>
    <w:p w14:paraId="09232D4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42.1 本项目公开招标过程中若由于投标截止后实际递交投标文件的供应商数量不足、经评审委员会评审对招标文件作实质响应的供应商不足等原因造成公开招标失败，可由政府集中采购机构重新组织采购。</w:t>
      </w:r>
    </w:p>
    <w:p w14:paraId="2A0C694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42.2 对公开招标失败的项目，评审委员会在出具该项目招标失败结论的同时，可以提出重新采 购组织形式的建议，以及进一步完善招标文件的资格、技术、商务要求的修改建议。</w:t>
      </w:r>
    </w:p>
    <w:p w14:paraId="6264804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42.3 重新组织采购有以下两种组织形式：</w:t>
      </w:r>
    </w:p>
    <w:p w14:paraId="0FF2AB3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 由政府集中采购机构重新组织公开招标；</w:t>
      </w:r>
    </w:p>
    <w:p w14:paraId="7339447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（2）根据实际情况需要向同级财政部门提出非公开招标方式申请，经同级财政部门批准，公开 招标失败采购项目可转为竞争性谈判或单一来源谈判方式采购。</w:t>
      </w:r>
    </w:p>
    <w:p w14:paraId="198904B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42.4 公开招标失败的采购项目重新组织公开招标，由政府集中采购机构重新按公开招标流程组 织采购活动。</w:t>
      </w:r>
    </w:p>
    <w:p w14:paraId="509152B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42.5 公开招标失败的采购项目经同级财政部门批准转为竞争性谈判或单一来源谈判方式采购 的，按规定要求组织政府采购工作。</w:t>
      </w:r>
    </w:p>
    <w:p w14:paraId="75A31130">
      <w:pPr>
        <w:autoSpaceDE w:val="0"/>
        <w:autoSpaceDN w:val="0"/>
        <w:ind w:firstLine="464" w:firstLineChars="200"/>
        <w:rPr>
          <w:rFonts w:hint="eastAsia" w:ascii="宋体" w:hAnsi="宋体" w:eastAsia="宋体" w:cs="宋体"/>
          <w:spacing w:val="-4"/>
          <w:highlight w:val="none"/>
        </w:rPr>
      </w:pPr>
    </w:p>
    <w:p w14:paraId="1C63923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第九章   合同的授予与备案</w:t>
      </w:r>
    </w:p>
    <w:p w14:paraId="54645CE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43．合同授予标准</w:t>
      </w:r>
    </w:p>
    <w:p w14:paraId="6F0D1EF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本项目的合同将授予经本招标文件规定评审确定的中标供应商。</w:t>
      </w:r>
    </w:p>
    <w:p w14:paraId="424987B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44．接受和拒绝任何或所有投标的权力</w:t>
      </w:r>
    </w:p>
    <w:p w14:paraId="6A2DC13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政府集中采购机构和采购人保留在投标之前任何时候接受或拒绝任何投标或所有投标，以及宣 布招标无效的权力，对受影响的投标人不承担任何责任，也无义务向受影响的投标人解释采取这一 行动的理由。</w:t>
      </w:r>
    </w:p>
    <w:p w14:paraId="4293E07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45．合同的签订</w:t>
      </w:r>
    </w:p>
    <w:p w14:paraId="30CF616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45.1 中标人将于中标通知书发出之日起十个工作日内，按照采购文件（招标文件和投标文件等） 内容与采购人签订政府采购合同；合同的实质性内容应当符合招标文件的规定；</w:t>
      </w:r>
    </w:p>
    <w:p w14:paraId="5B997D7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45.2 中标人如不按本通用条款第 45.1 款的规定与采购人签订合同，情节严重的， 由同级财政 部门记入供应商诚信档案，予以通报；</w:t>
      </w:r>
    </w:p>
    <w:p w14:paraId="2DF8DB2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45.3 中标人应当按照合同约定履行义务，完成中标项目，不得将中标项目转让（转包）给他人。</w:t>
      </w:r>
    </w:p>
    <w:p w14:paraId="76C7820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46．履约担保</w:t>
      </w:r>
    </w:p>
    <w:p w14:paraId="510D12B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46.1 在签订项目合同的同时，中标人应按“对通用条款的补充内容 ”中规定的金额向采购人提 交履约担保；</w:t>
      </w:r>
    </w:p>
    <w:p w14:paraId="0774B36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46.2，允许供应商自主选择以支票、汇票、本票、保函等非现金方式提交履约担保； 中标人提 交履约担保不是合同签订的前提条件，不要求中标人提供除法律、法规明确规定外的其他担保。</w:t>
      </w:r>
    </w:p>
    <w:p w14:paraId="46DA602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47. 合同备案</w:t>
      </w:r>
    </w:p>
    <w:p w14:paraId="3434169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采购人与中标供应商自中标通知书发出之日起 10 个工作日内签订政府采购合同，并按财政部门规定 提交备案。</w:t>
      </w:r>
    </w:p>
    <w:p w14:paraId="2338BAE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48. 合同变更</w:t>
      </w:r>
    </w:p>
    <w:p w14:paraId="7F18E85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合同变更事宜按《深圳市财政局关于优化政府采购合同备案的通知》（深财发保〔2022〕2 号）</w:t>
      </w:r>
    </w:p>
    <w:p w14:paraId="1938062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相关规定执行。</w:t>
      </w:r>
    </w:p>
    <w:p w14:paraId="5A9AFE7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49. 项目验收</w:t>
      </w:r>
    </w:p>
    <w:p w14:paraId="55868C8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49.1 采购人应当按照招标文件和合同规定的标准和方法，及时组织验收。</w:t>
      </w:r>
    </w:p>
    <w:p w14:paraId="7A31FC9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50. 宣传</w:t>
      </w:r>
    </w:p>
    <w:p w14:paraId="15BDE0D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凡与政府采购活动有关的宣传或广告，若当中提及政府采购，必须事先将具体对外宣传方案 报同级财政部门和政府集中采购机构，并征得其同意。对外市场宣传包括但不限于以下形式：</w:t>
      </w:r>
    </w:p>
    <w:p w14:paraId="158A17D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a.名片、宣传册、广告标语等；</w:t>
      </w:r>
    </w:p>
    <w:p w14:paraId="1A4C4A3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b.案例介绍、推广等；</w:t>
      </w:r>
    </w:p>
    <w:p w14:paraId="5D65EEC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c.工作人员向其他消费群体宣传。</w:t>
      </w:r>
    </w:p>
    <w:p w14:paraId="39A44F4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51. 供应商违法责任</w:t>
      </w:r>
    </w:p>
    <w:p w14:paraId="71388AE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51.1《深圳经济特区政府采购条例》第五十七条 供应商在政府采购中，有下列行为之一的，一 至三年内禁止其参与本市政府采购，并由主管部门记入供应商诚信档案，处以采购金额千分之十以 上千分之二十以下的罚款；情节严重的，取消其参与本市政府采购资格，处以采购金额千分之二十 以上千分之三十以下的罚款，并由市场监管部门依法吊销其营业执照；给他人造成损失的，依法承 担赔偿责任；构成犯罪的，依法追究刑事责任：</w:t>
      </w:r>
    </w:p>
    <w:p w14:paraId="52DA564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（1）在采购活动中应当回避而未回避的；</w:t>
      </w:r>
    </w:p>
    <w:p w14:paraId="65A82D9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（2）未按本条例规定签订、履行采购合同，造成严重后果的；</w:t>
      </w:r>
    </w:p>
    <w:p w14:paraId="103EF75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（3）隐瞒真实情况，提供虚假资料的；</w:t>
      </w:r>
    </w:p>
    <w:p w14:paraId="007A74D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（4）以非法手段排斥其他供应商参与竞争的；</w:t>
      </w:r>
    </w:p>
    <w:p w14:paraId="5C4233E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（5）与其他采购参加人串通投标的；</w:t>
      </w:r>
    </w:p>
    <w:p w14:paraId="4238B25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（6）恶意投诉的；</w:t>
      </w:r>
    </w:p>
    <w:p w14:paraId="412E80F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（7）向采购项目相关人行贿或者提供其他不当利益的；</w:t>
      </w:r>
    </w:p>
    <w:p w14:paraId="0792C6C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（8）阻碍、抗拒主管部门监督检查的；</w:t>
      </w:r>
    </w:p>
    <w:p w14:paraId="6EB6ED2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（9）其他违反本条例规定的行为。</w:t>
      </w:r>
    </w:p>
    <w:p w14:paraId="30386CF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51.2 根据《深圳市财政局关于调整政府采购投标（响应）保证金管理政策的通知 》（深财购 〔2021〕51 号）的要求，供应商在政府采购活动中出现《深圳经济特区政府采购条例实施细则》第 八十条所列情形的，政府集中采购机构或采购人不予退还其交纳的谈判保证金，情节严重的，并由 主管部门记入供应商诚信档案，予以通报：</w:t>
      </w:r>
    </w:p>
    <w:p w14:paraId="40F5CFF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（1）投标截止后，撤销投标的；</w:t>
      </w:r>
    </w:p>
    <w:p w14:paraId="6A334B1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（2）中标后无正当理由未在规定期限内签订合同的；</w:t>
      </w:r>
    </w:p>
    <w:p w14:paraId="77F1F16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（3）将中标项目转让给他人、或者在投标文件中未说明且未经采购人、采购招标机构同意，将 中标项目分包给他人的；</w:t>
      </w:r>
    </w:p>
    <w:p w14:paraId="101EE43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（4）拒绝履行合同义务的。</w:t>
      </w:r>
    </w:p>
    <w:p w14:paraId="0BC88226">
      <w:pPr>
        <w:autoSpaceDE w:val="0"/>
        <w:autoSpaceDN w:val="0"/>
        <w:ind w:firstLine="464" w:firstLineChars="200"/>
        <w:rPr>
          <w:rFonts w:hint="eastAsia" w:ascii="宋体" w:hAnsi="宋体" w:eastAsia="宋体" w:cs="宋体"/>
          <w:spacing w:val="-4"/>
          <w:highlight w:val="none"/>
        </w:rPr>
      </w:pPr>
    </w:p>
    <w:p w14:paraId="4736BAA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第十章   质疑处理</w:t>
      </w:r>
    </w:p>
    <w:p w14:paraId="735C0F4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52.质疑提出与答复</w:t>
      </w:r>
    </w:p>
    <w:p w14:paraId="1219035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52.1 提出质疑</w:t>
      </w:r>
    </w:p>
    <w:p w14:paraId="2C6E0F3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参与政府采购活动的供应商认为自己的权益在采购活动中受到损害的，应当自知道或者应当知 道其权益受到损害之日起七个工作日内向采购人、政府集中采购机构以书面形式提出质疑。</w:t>
      </w:r>
    </w:p>
    <w:p w14:paraId="68E0B36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52.2 法律依据</w:t>
      </w:r>
    </w:p>
    <w:p w14:paraId="49CA1DB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《中华人民共和国政府采购法》、《中华人民共和国政府采购法实施条例》、《深圳经济特区 政府采购条例》、《深圳经济特区政府采购条例实施细则》、《政府采购质疑和投诉办法》（财政 部令第 94 号）和其他有关法律法规规定。</w:t>
      </w:r>
    </w:p>
    <w:p w14:paraId="42E9EB9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52.3 质疑条件</w:t>
      </w:r>
    </w:p>
    <w:p w14:paraId="48DDCE6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52.3.1 提出质疑的供应商应当是参与所质疑项目采购活动的供应商；以联合体形式参与的，质 疑应当由组成联合体的所有成员共同提出；</w:t>
      </w:r>
    </w:p>
    <w:p w14:paraId="39E7A5D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52.3.2 应当在法定质疑期内一次性提出针对同一采购程序环节的质疑，法定质疑期为自知道或 应当知道权益受到损害之日起 7 个工作日内。应当知道其权益受到损害之日是指：对招标文件的质 疑，为招标文件公布之日；对采购过程的质疑，为各采购程序环节结束之日；对中标结果以及评审 委员会组成人员的质疑，为中标结果公示之日；</w:t>
      </w:r>
    </w:p>
    <w:p w14:paraId="78BC5DB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52.3.3 应提交书面质疑函，质疑函应当包括以下内容：</w:t>
      </w:r>
    </w:p>
    <w:p w14:paraId="5C8421F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（1）供应商的名称（或者姓名）、地址、邮编、邮箱、联系人及联系电话；</w:t>
      </w:r>
    </w:p>
    <w:p w14:paraId="44F03CD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（2）质疑项目的名称、编号；</w:t>
      </w:r>
    </w:p>
    <w:p w14:paraId="36ECE41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（3）具体、明确的质疑对象、质疑事项和质疑请求；</w:t>
      </w:r>
    </w:p>
    <w:p w14:paraId="555C6DC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（4）因质疑事项而受损害的权益；</w:t>
      </w:r>
    </w:p>
    <w:p w14:paraId="779DB40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（5）事实依据；</w:t>
      </w:r>
    </w:p>
    <w:p w14:paraId="7721D5E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（6）必要的法律依据；</w:t>
      </w:r>
    </w:p>
    <w:p w14:paraId="1116C7A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（7）提出质疑的日期。</w:t>
      </w:r>
    </w:p>
    <w:p w14:paraId="26349BA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供应商为自然人的，应当由本人签字；供应商为法人或者其他组织的，应当由法定代表人（负 责人），或者其授权代理人签字或者盖章，并加盖公章。</w:t>
      </w:r>
    </w:p>
    <w:p w14:paraId="48338A08">
      <w:pPr>
        <w:autoSpaceDE w:val="0"/>
        <w:autoSpaceDN w:val="0"/>
        <w:ind w:firstLine="464" w:firstLineChars="200"/>
        <w:rPr>
          <w:rFonts w:hint="eastAsia" w:ascii="宋体" w:hAnsi="宋体" w:eastAsia="宋体" w:cs="宋体"/>
          <w:spacing w:val="-4"/>
          <w:highlight w:val="none"/>
        </w:rPr>
      </w:pPr>
    </w:p>
    <w:p w14:paraId="36FE680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52.4 提交材料</w:t>
      </w:r>
    </w:p>
    <w:p w14:paraId="25F856A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供应商质疑实行实名制。供应商为自然人的，应当提交本人身份证复印件；供应商为法人或者 其他组织的，应当根据自身性质提交营业执照复印件或者其他证明文件（如事业单位法人证书等） 复印件。</w:t>
      </w:r>
    </w:p>
    <w:p w14:paraId="20EB9CF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供应商可以委托代理人进行质疑。其授权委托书应当载明代理人的姓名或者名称、代理事项、 具体权限、期限和相关事项。供应商为自然人的，应当由本人签字；供应商为法人或者其他组织的， 应当由法定代表人、主要负责人签字或者盖章，并加盖公章。</w:t>
      </w:r>
    </w:p>
    <w:p w14:paraId="4830BE3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52.5 收文地点</w:t>
      </w:r>
    </w:p>
    <w:p w14:paraId="384A47A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地址：</w:t>
      </w:r>
      <w:r>
        <w:rPr>
          <w:rFonts w:hint="eastAsia" w:ascii="宋体" w:hAnsi="宋体" w:eastAsia="宋体" w:cs="宋体"/>
          <w:spacing w:val="-4"/>
          <w:highlight w:val="none"/>
          <w:lang w:val="en-US" w:eastAsia="zh-CN"/>
        </w:rPr>
        <w:t>国采招标（深圳）有限公司</w:t>
      </w:r>
      <w:r>
        <w:rPr>
          <w:rFonts w:hint="eastAsia" w:ascii="宋体" w:hAnsi="宋体" w:eastAsia="宋体" w:cs="宋体"/>
          <w:spacing w:val="-4"/>
          <w:highlight w:val="none"/>
        </w:rPr>
        <w:t>（地址：</w:t>
      </w:r>
      <w:r>
        <w:rPr>
          <w:rFonts w:hint="eastAsia" w:ascii="宋体" w:hAnsi="宋体" w:cs="宋体"/>
          <w:color w:val="auto"/>
          <w:szCs w:val="21"/>
          <w:highlight w:val="none"/>
        </w:rPr>
        <w:t>深圳市龙华区民治街道南贤商业广场B座商务中心1602A室</w:t>
      </w:r>
      <w:r>
        <w:rPr>
          <w:rFonts w:hint="eastAsia" w:ascii="宋体" w:hAnsi="宋体" w:eastAsia="宋体" w:cs="宋体"/>
          <w:spacing w:val="-4"/>
          <w:highlight w:val="none"/>
        </w:rPr>
        <w:t>）。</w:t>
      </w:r>
    </w:p>
    <w:p w14:paraId="4783EDF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52.6 收文办理程序</w:t>
      </w:r>
    </w:p>
    <w:p w14:paraId="045BB11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52.6.1 供应商提交的质疑符合受理条件的，政府集中采购机构自收到质疑材料之日起即为受理， 应当向供应商出具质疑函收文回执并可以要求其递交质疑的法定代表人（负责人）或者授权代理人 签署质疑文书送达地址确认书。</w:t>
      </w:r>
    </w:p>
    <w:p w14:paraId="50BBAA4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52.6.2 供应商提交的质疑材料不符合质疑条件的，视情况处理：</w:t>
      </w:r>
    </w:p>
    <w:p w14:paraId="0DC31F8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供应商提交的质疑材料不全或者未按要求签字或者盖章的，政府集中采购机构应当一次性告知 供应商需补正的内容和补正期限。</w:t>
      </w:r>
    </w:p>
    <w:p w14:paraId="25BFF8F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供应商提交的质疑存在下列情形之一的，不予受理：</w:t>
      </w:r>
    </w:p>
    <w:p w14:paraId="25ACD0D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（1）质疑主体不满足要求的；</w:t>
      </w:r>
    </w:p>
    <w:p w14:paraId="29BA25B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（2）供应商自身权益未受到损害的；</w:t>
      </w:r>
    </w:p>
    <w:p w14:paraId="193B268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（3）供应商未在法定质疑期限内提出质疑的；</w:t>
      </w:r>
    </w:p>
    <w:p w14:paraId="6A30F11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（4）质疑材料不全或者未按要求签字或者盖章的情况下，要求补正后，逾期未补正或者补正后 仍不符合规定的；</w:t>
      </w:r>
    </w:p>
    <w:p w14:paraId="783CAC3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（5）其他不符合受理条件情形的。</w:t>
      </w:r>
    </w:p>
    <w:p w14:paraId="6CE42CB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质疑事项不予受理的，政府集中采购机构应当向供应商出具不符合质疑条件告知书。</w:t>
      </w:r>
    </w:p>
    <w:p w14:paraId="214C0B4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52.7 质疑答复时限</w:t>
      </w:r>
    </w:p>
    <w:p w14:paraId="24CC76C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自收文之日起七个工作日内。</w:t>
      </w:r>
    </w:p>
    <w:p w14:paraId="19174BA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52.8 投诉</w:t>
      </w:r>
    </w:p>
    <w:p w14:paraId="3550C5A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对质疑答复不满意或者未在规定时间内答复的，提出质疑的供应商可以在答复期满后 15 个工作 日内向本项目预算主管单位投诉。</w:t>
      </w:r>
    </w:p>
    <w:p w14:paraId="21E505A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 质疑后续处理</w:t>
      </w:r>
    </w:p>
    <w:p w14:paraId="3547E60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53.1 供应商质疑不成立，或者成立但未对中标、成交结果构成影响的，继续开展采购活动。</w:t>
      </w:r>
    </w:p>
    <w:p w14:paraId="1393D48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53.2 供应商质疑成立且影响或者可能影响中标、成交结果的，按照下列情况处理：（1）对采 购文件提出的质疑，依法通过澄清或者修改可以继续开展采购活动的，澄清或者修改采购文件后继 续开展采购活动；否则应当修改采购文件后重新开展采购活动。（2）对采购过程、中标或者成交结 果提出的质疑，合格供应商符合法定数量时，可以从合格的中标或者成交候选人中另行确定中标、</w:t>
      </w:r>
    </w:p>
    <w:p w14:paraId="6D0B679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成交供应商的，应当依法另行确定中标、成交供应商；否则应当重新开展采购活动。</w:t>
      </w:r>
    </w:p>
    <w:p w14:paraId="0284E12D">
      <w:pPr>
        <w:autoSpaceDE w:val="0"/>
        <w:autoSpaceDN w:val="0"/>
        <w:ind w:firstLine="3480" w:firstLineChars="1500"/>
        <w:rPr>
          <w:rFonts w:hint="eastAsia" w:ascii="宋体" w:hAnsi="宋体" w:eastAsia="宋体" w:cs="宋体"/>
          <w:spacing w:val="-4"/>
          <w:highlight w:val="none"/>
        </w:rPr>
      </w:pPr>
      <w:r>
        <w:rPr>
          <w:rFonts w:hint="eastAsia" w:ascii="宋体" w:hAnsi="宋体" w:eastAsia="宋体" w:cs="宋体"/>
          <w:spacing w:val="-4"/>
          <w:highlight w:val="none"/>
        </w:rPr>
        <w:t>---- END ----</w:t>
      </w:r>
    </w:p>
    <w:p w14:paraId="6C61C72A">
      <w:pPr>
        <w:pStyle w:val="9"/>
        <w:wordWrap w:val="0"/>
        <w:spacing w:line="240" w:lineRule="auto"/>
        <w:rPr>
          <w:rFonts w:hint="eastAsia" w:ascii="宋体" w:hAnsi="宋体" w:eastAsia="宋体" w:cs="宋体"/>
          <w:highlight w:val="none"/>
        </w:rPr>
      </w:pPr>
    </w:p>
    <w:p w14:paraId="603A5144">
      <w:pPr>
        <w:wordWrap w:val="0"/>
        <w:rPr>
          <w:rFonts w:hint="eastAsia" w:ascii="宋体" w:hAnsi="宋体" w:eastAsia="宋体" w:cs="宋体"/>
          <w:highlight w:val="none"/>
        </w:rPr>
      </w:pPr>
    </w:p>
    <w:p w14:paraId="2E3FD54E">
      <w:pPr>
        <w:rPr>
          <w:rFonts w:hint="eastAsia" w:ascii="宋体" w:hAnsi="宋体" w:eastAsia="宋体" w:cs="宋体"/>
          <w:highlight w:val="none"/>
        </w:rPr>
      </w:pPr>
    </w:p>
    <w:p w14:paraId="75FADAB7">
      <w:pPr>
        <w:jc w:val="right"/>
        <w:rPr>
          <w:rFonts w:hint="eastAsia" w:ascii="宋体" w:hAnsi="宋体" w:eastAsia="宋体" w:cs="宋体"/>
          <w:highlight w:val="none"/>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392F">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-41275</wp:posOffset>
              </wp:positionV>
              <wp:extent cx="171450" cy="1790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71450" cy="179070"/>
                      </a:xfrm>
                      <a:prstGeom prst="rect">
                        <a:avLst/>
                      </a:prstGeom>
                      <a:noFill/>
                      <a:ln w="6350">
                        <a:noFill/>
                      </a:ln>
                      <a:effectLst/>
                    </wps:spPr>
                    <wps:txbx>
                      <w:txbxContent>
                        <w:p w14:paraId="15D176C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25pt;height:14.1pt;width:13.5pt;mso-position-horizontal:center;mso-position-horizontal-relative:margin;z-index:251661312;mso-width-relative:page;mso-height-relative:page;" filled="f" stroked="f" coordsize="21600,21600" o:gfxdata="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M3SxXUAAAABQEAAA8AAAAAAAAAAQAgAAAAIgAAAGRycy9kb3du&#10;cmV2LnhtbFBLAQIUABQAAAAIAIdO4kBTZHvTPAIAAHEEAAAOAAAAAAAAAAEAIAAAACMBAABkcnMv&#10;ZTJvRG9jLnhtbFBLBQYAAAAABgAGAFkBAADRBQAAAAA=&#10;">
              <v:fill on="f" focussize="0,0"/>
              <v:stroke on="f" weight="0.5pt"/>
              <v:imagedata o:title=""/>
              <o:lock v:ext="edit" aspectratio="f"/>
              <v:textbox inset="0mm,0mm,0mm,0mm">
                <w:txbxContent>
                  <w:p w14:paraId="15D176C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1FC0A">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-41275</wp:posOffset>
              </wp:positionV>
              <wp:extent cx="171450" cy="1790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7145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7C4E1">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25pt;height:14.1pt;width:13.5pt;mso-position-horizontal:center;mso-position-horizontal-relative:margin;z-index:251659264;mso-width-relative:page;mso-height-relative:page;" filled="f" stroked="f" coordsize="21600,21600" o:gfxdata="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M3SxXUAAAABQEAAA8AAAAAAAAAAQAgAAAAIgAAAGRycy9kb3ducmV2LnhtbFBLAQIU&#10;ABQAAAAIAIdO4kCN8OUOMAIAAFUEAAAOAAAAAAAAAAEAIAAAACMBAABkcnMvZTJvRG9jLnhtbFBL&#10;BQYAAAAABgAGAFkBAADFBQAAAAA=&#10;">
              <v:fill on="f" focussize="0,0"/>
              <v:stroke on="f" weight="0.5pt"/>
              <v:imagedata o:title=""/>
              <o:lock v:ext="edit" aspectratio="f"/>
              <v:textbox inset="0mm,0mm,0mm,0mm">
                <w:txbxContent>
                  <w:p w14:paraId="6AC7C4E1">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FBDA">
    <w:pPr>
      <w:pStyle w:val="13"/>
    </w:pPr>
    <w:r>
      <w:rPr>
        <w:sz w:val="18"/>
      </w:rPr>
      <mc:AlternateContent>
        <mc:Choice Requires="wps">
          <w:drawing>
            <wp:anchor distT="0" distB="0" distL="114300" distR="114300" simplePos="0" relativeHeight="251664384" behindDoc="0" locked="0" layoutInCell="1" allowOverlap="1">
              <wp:simplePos x="0" y="0"/>
              <wp:positionH relativeFrom="margin">
                <wp:posOffset>2768600</wp:posOffset>
              </wp:positionH>
              <wp:positionV relativeFrom="paragraph">
                <wp:posOffset>0</wp:posOffset>
              </wp:positionV>
              <wp:extent cx="152400" cy="159385"/>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52400" cy="159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F9E64">
                          <w:pPr>
                            <w:pStyle w:val="13"/>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eastAsia="宋体"/>
                              <w:lang w:val="en-US" w:eastAsia="zh-CN"/>
                            </w:rPr>
                            <w:t>9</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pt;margin-top:0pt;height:12.55pt;width:12pt;mso-position-horizontal-relative:margin;z-index:251664384;mso-width-relative:page;mso-height-relative:page;" filled="f" stroked="f" coordsize="21600,21600" o:gfxdata="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1+SavXAAAABwEAAA8AAAAAAAAAAQAgAAAAIgAAAGRycy9kb3du&#10;cmV2LnhtbFBLAQIUABQAAAAIAIdO4kDGFQcsOQIAAGMEAAAOAAAAAAAAAAEAIAAAACYBAABkcnMv&#10;ZTJvRG9jLnhtbFBLBQYAAAAABgAGAFkBAADRBQAAAAA=&#10;">
              <v:fill on="f" focussize="0,0"/>
              <v:stroke on="f" weight="0.5pt"/>
              <v:imagedata o:title=""/>
              <o:lock v:ext="edit" aspectratio="f"/>
              <v:textbox inset="0mm,0mm,0mm,0mm">
                <w:txbxContent>
                  <w:p w14:paraId="63DF9E64">
                    <w:pPr>
                      <w:pStyle w:val="13"/>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eastAsia="宋体"/>
                        <w:lang w:val="en-US" w:eastAsia="zh-CN"/>
                      </w:rPr>
                      <w:t>9</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C3AC">
    <w:pPr>
      <w:spacing w:line="176" w:lineRule="auto"/>
      <w:ind w:left="503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2587625</wp:posOffset>
              </wp:positionH>
              <wp:positionV relativeFrom="paragraph">
                <wp:posOffset>-84455</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F30AC">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75pt;margin-top:-6.65pt;height:144pt;width:144pt;mso-position-horizontal-relative:margin;mso-wrap-style:none;z-index:251662336;mso-width-relative:page;mso-height-relative:page;" filled="f" stroked="f" coordsize="21600,21600" o:gfxdata="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xD0ONkAAAALAQAADwAAAAAAAAABACAAAAAiAAAAZHJzL2Rvd25yZXYu&#10;eG1sUEsBAhQAFAAAAAgAh07iQM2t82AzAgAAYwQAAA4AAAAAAAAAAQAgAAAAKAEAAGRycy9lMm9E&#10;b2MueG1sUEsFBgAAAAAGAAYAWQEAAM0FAAAAAA==&#10;">
              <v:fill on="f" focussize="0,0"/>
              <v:stroke on="f" weight="0.5pt"/>
              <v:imagedata o:title=""/>
              <o:lock v:ext="edit" aspectratio="f"/>
              <v:textbox inset="0mm,0mm,0mm,0mm" style="mso-fit-shape-to-text:t;">
                <w:txbxContent>
                  <w:p w14:paraId="5A7F30AC">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9FF6">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EFFB0">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55EFFB0">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B69F9"/>
    <w:multiLevelType w:val="singleLevel"/>
    <w:tmpl w:val="896B69F9"/>
    <w:lvl w:ilvl="0" w:tentative="0">
      <w:start w:val="1"/>
      <w:numFmt w:val="decimal"/>
      <w:lvlText w:val="(%1)"/>
      <w:lvlJc w:val="left"/>
      <w:pPr>
        <w:ind w:left="2345" w:hanging="425"/>
      </w:pPr>
      <w:rPr>
        <w:rFonts w:hint="default" w:ascii="宋体" w:hAnsi="宋体" w:eastAsia="宋体" w:cs="宋体"/>
      </w:rPr>
    </w:lvl>
  </w:abstractNum>
  <w:abstractNum w:abstractNumId="1">
    <w:nsid w:val="A261A5C0"/>
    <w:multiLevelType w:val="singleLevel"/>
    <w:tmpl w:val="A261A5C0"/>
    <w:lvl w:ilvl="0" w:tentative="0">
      <w:start w:val="1"/>
      <w:numFmt w:val="chineseCounting"/>
      <w:suff w:val="nothing"/>
      <w:lvlText w:val="%1、"/>
      <w:lvlJc w:val="left"/>
      <w:rPr>
        <w:rFonts w:hint="eastAsia"/>
      </w:rPr>
    </w:lvl>
  </w:abstractNum>
  <w:abstractNum w:abstractNumId="2">
    <w:nsid w:val="A97BCA3F"/>
    <w:multiLevelType w:val="singleLevel"/>
    <w:tmpl w:val="A97BCA3F"/>
    <w:lvl w:ilvl="0" w:tentative="0">
      <w:start w:val="2"/>
      <w:numFmt w:val="decimal"/>
      <w:lvlText w:val="(%1)"/>
      <w:lvlJc w:val="left"/>
      <w:pPr>
        <w:tabs>
          <w:tab w:val="left" w:pos="312"/>
        </w:tabs>
      </w:pPr>
    </w:lvl>
  </w:abstractNum>
  <w:abstractNum w:abstractNumId="3">
    <w:nsid w:val="C1C03E0B"/>
    <w:multiLevelType w:val="singleLevel"/>
    <w:tmpl w:val="C1C03E0B"/>
    <w:lvl w:ilvl="0" w:tentative="0">
      <w:start w:val="1"/>
      <w:numFmt w:val="chineseCounting"/>
      <w:suff w:val="nothing"/>
      <w:lvlText w:val="（%1）"/>
      <w:lvlJc w:val="left"/>
      <w:rPr>
        <w:rFonts w:hint="eastAsia"/>
      </w:rPr>
    </w:lvl>
  </w:abstractNum>
  <w:abstractNum w:abstractNumId="4">
    <w:nsid w:val="C33B0D9D"/>
    <w:multiLevelType w:val="singleLevel"/>
    <w:tmpl w:val="C33B0D9D"/>
    <w:lvl w:ilvl="0" w:tentative="0">
      <w:start w:val="1"/>
      <w:numFmt w:val="chineseCounting"/>
      <w:suff w:val="nothing"/>
      <w:lvlText w:val="（%1）"/>
      <w:lvlJc w:val="left"/>
      <w:rPr>
        <w:rFonts w:hint="eastAsia"/>
      </w:rPr>
    </w:lvl>
  </w:abstractNum>
  <w:abstractNum w:abstractNumId="5">
    <w:nsid w:val="C91CF9D4"/>
    <w:multiLevelType w:val="singleLevel"/>
    <w:tmpl w:val="C91CF9D4"/>
    <w:lvl w:ilvl="0" w:tentative="0">
      <w:start w:val="1"/>
      <w:numFmt w:val="chineseCounting"/>
      <w:suff w:val="nothing"/>
      <w:lvlText w:val="%1、"/>
      <w:lvlJc w:val="left"/>
      <w:rPr>
        <w:rFonts w:hint="eastAsia"/>
      </w:rPr>
    </w:lvl>
  </w:abstractNum>
  <w:abstractNum w:abstractNumId="6">
    <w:nsid w:val="D973AE6F"/>
    <w:multiLevelType w:val="singleLevel"/>
    <w:tmpl w:val="D973AE6F"/>
    <w:lvl w:ilvl="0" w:tentative="0">
      <w:start w:val="1"/>
      <w:numFmt w:val="decimal"/>
      <w:lvlText w:val="%1."/>
      <w:lvlJc w:val="left"/>
      <w:pPr>
        <w:tabs>
          <w:tab w:val="left" w:pos="312"/>
        </w:tabs>
      </w:pPr>
    </w:lvl>
  </w:abstractNum>
  <w:abstractNum w:abstractNumId="7">
    <w:nsid w:val="F4E9D8F8"/>
    <w:multiLevelType w:val="singleLevel"/>
    <w:tmpl w:val="F4E9D8F8"/>
    <w:lvl w:ilvl="0" w:tentative="0">
      <w:start w:val="1"/>
      <w:numFmt w:val="decimal"/>
      <w:suff w:val="nothing"/>
      <w:lvlText w:val="%1、"/>
      <w:lvlJc w:val="left"/>
    </w:lvl>
  </w:abstractNum>
  <w:abstractNum w:abstractNumId="8">
    <w:nsid w:val="0819AF88"/>
    <w:multiLevelType w:val="singleLevel"/>
    <w:tmpl w:val="0819AF88"/>
    <w:lvl w:ilvl="0" w:tentative="0">
      <w:start w:val="2"/>
      <w:numFmt w:val="decimal"/>
      <w:lvlText w:val="(%1)"/>
      <w:lvlJc w:val="left"/>
      <w:pPr>
        <w:tabs>
          <w:tab w:val="left" w:pos="312"/>
        </w:tabs>
      </w:pPr>
    </w:lvl>
  </w:abstractNum>
  <w:abstractNum w:abstractNumId="9">
    <w:nsid w:val="136B8492"/>
    <w:multiLevelType w:val="singleLevel"/>
    <w:tmpl w:val="136B8492"/>
    <w:lvl w:ilvl="0" w:tentative="0">
      <w:start w:val="1"/>
      <w:numFmt w:val="decimal"/>
      <w:lvlText w:val="(%1)"/>
      <w:lvlJc w:val="left"/>
      <w:pPr>
        <w:ind w:left="2345" w:hanging="425"/>
      </w:pPr>
      <w:rPr>
        <w:rFonts w:hint="default" w:ascii="宋体" w:hAnsi="宋体" w:eastAsia="宋体" w:cs="宋体"/>
      </w:rPr>
    </w:lvl>
  </w:abstractNum>
  <w:abstractNum w:abstractNumId="10">
    <w:nsid w:val="1B095F3F"/>
    <w:multiLevelType w:val="singleLevel"/>
    <w:tmpl w:val="1B095F3F"/>
    <w:lvl w:ilvl="0" w:tentative="0">
      <w:start w:val="1"/>
      <w:numFmt w:val="chineseCounting"/>
      <w:suff w:val="nothing"/>
      <w:lvlText w:val="（%1）"/>
      <w:lvlJc w:val="left"/>
      <w:rPr>
        <w:rFonts w:hint="eastAsia"/>
      </w:rPr>
    </w:lvl>
  </w:abstractNum>
  <w:abstractNum w:abstractNumId="11">
    <w:nsid w:val="36ED2474"/>
    <w:multiLevelType w:val="singleLevel"/>
    <w:tmpl w:val="36ED2474"/>
    <w:lvl w:ilvl="0" w:tentative="0">
      <w:start w:val="1"/>
      <w:numFmt w:val="chineseCounting"/>
      <w:suff w:val="nothing"/>
      <w:lvlText w:val="（%1）"/>
      <w:lvlJc w:val="left"/>
      <w:rPr>
        <w:rFonts w:hint="eastAsia"/>
      </w:rPr>
    </w:lvl>
  </w:abstractNum>
  <w:abstractNum w:abstractNumId="12">
    <w:nsid w:val="4EBAC594"/>
    <w:multiLevelType w:val="singleLevel"/>
    <w:tmpl w:val="4EBAC594"/>
    <w:lvl w:ilvl="0" w:tentative="0">
      <w:start w:val="1"/>
      <w:numFmt w:val="chineseCounting"/>
      <w:suff w:val="nothing"/>
      <w:lvlText w:val="（%1）"/>
      <w:lvlJc w:val="left"/>
      <w:rPr>
        <w:rFonts w:hint="eastAsia"/>
      </w:rPr>
    </w:lvl>
  </w:abstractNum>
  <w:abstractNum w:abstractNumId="13">
    <w:nsid w:val="5BD12AA5"/>
    <w:multiLevelType w:val="multilevel"/>
    <w:tmpl w:val="5BD12AA5"/>
    <w:lvl w:ilvl="0" w:tentative="0">
      <w:start w:val="1"/>
      <w:numFmt w:val="japaneseCounting"/>
      <w:lvlText w:val="（%1）"/>
      <w:lvlJc w:val="left"/>
      <w:pPr>
        <w:ind w:left="1045" w:hanging="765"/>
      </w:pPr>
      <w:rPr>
        <w:rFonts w:hint="default"/>
        <w:b/>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14">
    <w:nsid w:val="67183D9E"/>
    <w:multiLevelType w:val="singleLevel"/>
    <w:tmpl w:val="67183D9E"/>
    <w:lvl w:ilvl="0" w:tentative="0">
      <w:start w:val="1"/>
      <w:numFmt w:val="chineseCounting"/>
      <w:suff w:val="nothing"/>
      <w:lvlText w:val="（%1）"/>
      <w:lvlJc w:val="left"/>
      <w:rPr>
        <w:rFonts w:hint="eastAsia"/>
      </w:rPr>
    </w:lvl>
  </w:abstractNum>
  <w:abstractNum w:abstractNumId="15">
    <w:nsid w:val="6B9A6336"/>
    <w:multiLevelType w:val="singleLevel"/>
    <w:tmpl w:val="6B9A6336"/>
    <w:lvl w:ilvl="0" w:tentative="0">
      <w:start w:val="1"/>
      <w:numFmt w:val="chineseCounting"/>
      <w:suff w:val="space"/>
      <w:lvlText w:val="第%1章"/>
      <w:lvlJc w:val="left"/>
      <w:rPr>
        <w:rFonts w:hint="eastAsia"/>
      </w:rPr>
    </w:lvl>
  </w:abstractNum>
  <w:num w:numId="1">
    <w:abstractNumId w:val="6"/>
  </w:num>
  <w:num w:numId="2">
    <w:abstractNumId w:val="3"/>
  </w:num>
  <w:num w:numId="3">
    <w:abstractNumId w:val="10"/>
  </w:num>
  <w:num w:numId="4">
    <w:abstractNumId w:val="4"/>
  </w:num>
  <w:num w:numId="5">
    <w:abstractNumId w:val="11"/>
  </w:num>
  <w:num w:numId="6">
    <w:abstractNumId w:val="12"/>
  </w:num>
  <w:num w:numId="7">
    <w:abstractNumId w:val="14"/>
  </w:num>
  <w:num w:numId="8">
    <w:abstractNumId w:val="15"/>
  </w:num>
  <w:num w:numId="9">
    <w:abstractNumId w:val="5"/>
  </w:num>
  <w:num w:numId="10">
    <w:abstractNumId w:val="7"/>
  </w:num>
  <w:num w:numId="11">
    <w:abstractNumId w:val="1"/>
  </w:num>
  <w:num w:numId="12">
    <w:abstractNumId w:val="13"/>
  </w:num>
  <w:num w:numId="13">
    <w:abstractNumId w:val="9"/>
  </w:num>
  <w:num w:numId="14">
    <w:abstractNumId w:val="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OWExOGI4N2UzYTBlNjU3NTU2OTk3MDc3MjYzMmEifQ=="/>
  </w:docVars>
  <w:rsids>
    <w:rsidRoot w:val="22D42A91"/>
    <w:rsid w:val="000273CC"/>
    <w:rsid w:val="001476F8"/>
    <w:rsid w:val="001841F3"/>
    <w:rsid w:val="00214A15"/>
    <w:rsid w:val="00306231"/>
    <w:rsid w:val="003335FA"/>
    <w:rsid w:val="004A285A"/>
    <w:rsid w:val="005673F6"/>
    <w:rsid w:val="005A729A"/>
    <w:rsid w:val="005B4E48"/>
    <w:rsid w:val="005D761E"/>
    <w:rsid w:val="006A5153"/>
    <w:rsid w:val="008F23A1"/>
    <w:rsid w:val="009D77B3"/>
    <w:rsid w:val="00A37794"/>
    <w:rsid w:val="00A71431"/>
    <w:rsid w:val="00B17838"/>
    <w:rsid w:val="00B4742B"/>
    <w:rsid w:val="00B62FC9"/>
    <w:rsid w:val="00BB375D"/>
    <w:rsid w:val="00C0690D"/>
    <w:rsid w:val="00CB4131"/>
    <w:rsid w:val="00D37C86"/>
    <w:rsid w:val="00D41540"/>
    <w:rsid w:val="00D756EC"/>
    <w:rsid w:val="00F82770"/>
    <w:rsid w:val="010351AA"/>
    <w:rsid w:val="01334A4E"/>
    <w:rsid w:val="017B22A6"/>
    <w:rsid w:val="01F82D66"/>
    <w:rsid w:val="02192B79"/>
    <w:rsid w:val="025B4713"/>
    <w:rsid w:val="02872401"/>
    <w:rsid w:val="02A61568"/>
    <w:rsid w:val="02F45E67"/>
    <w:rsid w:val="030F05ED"/>
    <w:rsid w:val="04442B51"/>
    <w:rsid w:val="05700D54"/>
    <w:rsid w:val="05F84AE2"/>
    <w:rsid w:val="067868FC"/>
    <w:rsid w:val="07AD0A60"/>
    <w:rsid w:val="07C35DDC"/>
    <w:rsid w:val="07ED4390"/>
    <w:rsid w:val="084F6C69"/>
    <w:rsid w:val="085B3C3F"/>
    <w:rsid w:val="086C1887"/>
    <w:rsid w:val="09090D1E"/>
    <w:rsid w:val="096453B4"/>
    <w:rsid w:val="0A157218"/>
    <w:rsid w:val="0A5D1DCF"/>
    <w:rsid w:val="0BC278BD"/>
    <w:rsid w:val="0BC91EFA"/>
    <w:rsid w:val="0C0909A5"/>
    <w:rsid w:val="0C105273"/>
    <w:rsid w:val="0C586DD7"/>
    <w:rsid w:val="0C965124"/>
    <w:rsid w:val="0DEB65BD"/>
    <w:rsid w:val="0E4A0A8E"/>
    <w:rsid w:val="0E7174A3"/>
    <w:rsid w:val="0ED92CE9"/>
    <w:rsid w:val="0F69341F"/>
    <w:rsid w:val="1086356B"/>
    <w:rsid w:val="109127D2"/>
    <w:rsid w:val="114156CD"/>
    <w:rsid w:val="120B6AC2"/>
    <w:rsid w:val="121A63B3"/>
    <w:rsid w:val="12244F80"/>
    <w:rsid w:val="12D06EB6"/>
    <w:rsid w:val="12EE053D"/>
    <w:rsid w:val="1349413E"/>
    <w:rsid w:val="14811B27"/>
    <w:rsid w:val="155838BF"/>
    <w:rsid w:val="15D05D4D"/>
    <w:rsid w:val="169A1CBE"/>
    <w:rsid w:val="17B648CC"/>
    <w:rsid w:val="182C0393"/>
    <w:rsid w:val="188D56D9"/>
    <w:rsid w:val="189001A5"/>
    <w:rsid w:val="18D31AD3"/>
    <w:rsid w:val="196D545F"/>
    <w:rsid w:val="1977696C"/>
    <w:rsid w:val="199F4469"/>
    <w:rsid w:val="19C77265"/>
    <w:rsid w:val="19F57B1A"/>
    <w:rsid w:val="1AFF1C31"/>
    <w:rsid w:val="1B244F63"/>
    <w:rsid w:val="1BC73979"/>
    <w:rsid w:val="1BF125FE"/>
    <w:rsid w:val="1C5A0140"/>
    <w:rsid w:val="1CDC1F6A"/>
    <w:rsid w:val="1D8F579E"/>
    <w:rsid w:val="1DD52B6B"/>
    <w:rsid w:val="1E1638E4"/>
    <w:rsid w:val="1EE937D9"/>
    <w:rsid w:val="1F375B04"/>
    <w:rsid w:val="20623843"/>
    <w:rsid w:val="207907D8"/>
    <w:rsid w:val="20C11210"/>
    <w:rsid w:val="213626B9"/>
    <w:rsid w:val="217316BE"/>
    <w:rsid w:val="22D42A91"/>
    <w:rsid w:val="238D2233"/>
    <w:rsid w:val="23CB5BA3"/>
    <w:rsid w:val="2471674B"/>
    <w:rsid w:val="24892877"/>
    <w:rsid w:val="25A6287A"/>
    <w:rsid w:val="25D24FC7"/>
    <w:rsid w:val="26B83574"/>
    <w:rsid w:val="26F4253A"/>
    <w:rsid w:val="27726F74"/>
    <w:rsid w:val="281E40AF"/>
    <w:rsid w:val="2882126D"/>
    <w:rsid w:val="29622556"/>
    <w:rsid w:val="2AF05EF0"/>
    <w:rsid w:val="2B717030"/>
    <w:rsid w:val="2CB155D9"/>
    <w:rsid w:val="2CE265CD"/>
    <w:rsid w:val="2D13200F"/>
    <w:rsid w:val="2D6C3D99"/>
    <w:rsid w:val="2E6E3CFB"/>
    <w:rsid w:val="2EA8190E"/>
    <w:rsid w:val="2F276731"/>
    <w:rsid w:val="30420A82"/>
    <w:rsid w:val="314F5391"/>
    <w:rsid w:val="315C56D7"/>
    <w:rsid w:val="31A66205"/>
    <w:rsid w:val="31CD2AE7"/>
    <w:rsid w:val="31EF3498"/>
    <w:rsid w:val="323F300A"/>
    <w:rsid w:val="333119D6"/>
    <w:rsid w:val="33BC3725"/>
    <w:rsid w:val="33F702EF"/>
    <w:rsid w:val="34E46AC5"/>
    <w:rsid w:val="370F061F"/>
    <w:rsid w:val="37265C31"/>
    <w:rsid w:val="373149DA"/>
    <w:rsid w:val="3756532C"/>
    <w:rsid w:val="37621F23"/>
    <w:rsid w:val="37CB2FFE"/>
    <w:rsid w:val="37E54145"/>
    <w:rsid w:val="3899336E"/>
    <w:rsid w:val="3917556A"/>
    <w:rsid w:val="391B54F1"/>
    <w:rsid w:val="39771C5A"/>
    <w:rsid w:val="39C1487F"/>
    <w:rsid w:val="3A290AF1"/>
    <w:rsid w:val="3A36784F"/>
    <w:rsid w:val="3ACB1FB9"/>
    <w:rsid w:val="3B247C1B"/>
    <w:rsid w:val="3B3A3435"/>
    <w:rsid w:val="3BDA1544"/>
    <w:rsid w:val="3C3C0F95"/>
    <w:rsid w:val="3CFD4A59"/>
    <w:rsid w:val="3D346EE6"/>
    <w:rsid w:val="3D9904B5"/>
    <w:rsid w:val="3E774506"/>
    <w:rsid w:val="3F2F7980"/>
    <w:rsid w:val="3FD6525C"/>
    <w:rsid w:val="4022765F"/>
    <w:rsid w:val="40763B34"/>
    <w:rsid w:val="40A37834"/>
    <w:rsid w:val="40CA4BB9"/>
    <w:rsid w:val="4142704D"/>
    <w:rsid w:val="42660F50"/>
    <w:rsid w:val="448F0BC5"/>
    <w:rsid w:val="458F482B"/>
    <w:rsid w:val="45E613B2"/>
    <w:rsid w:val="47A0505A"/>
    <w:rsid w:val="47F13DFC"/>
    <w:rsid w:val="487613C4"/>
    <w:rsid w:val="48917058"/>
    <w:rsid w:val="48E25C3A"/>
    <w:rsid w:val="48E63C26"/>
    <w:rsid w:val="4AAC346E"/>
    <w:rsid w:val="4B272B08"/>
    <w:rsid w:val="4DA66071"/>
    <w:rsid w:val="4DA92202"/>
    <w:rsid w:val="4DC332C4"/>
    <w:rsid w:val="4E0F0F7A"/>
    <w:rsid w:val="4ED02784"/>
    <w:rsid w:val="4F710AFD"/>
    <w:rsid w:val="4F8329BC"/>
    <w:rsid w:val="4FA62F54"/>
    <w:rsid w:val="4FB762D4"/>
    <w:rsid w:val="4FD87415"/>
    <w:rsid w:val="510703FD"/>
    <w:rsid w:val="5151508A"/>
    <w:rsid w:val="518813BF"/>
    <w:rsid w:val="52876E2C"/>
    <w:rsid w:val="5294522F"/>
    <w:rsid w:val="52CB64CC"/>
    <w:rsid w:val="533E01FD"/>
    <w:rsid w:val="535A51E8"/>
    <w:rsid w:val="53F961D2"/>
    <w:rsid w:val="540D006C"/>
    <w:rsid w:val="542947A2"/>
    <w:rsid w:val="54605633"/>
    <w:rsid w:val="54A50F12"/>
    <w:rsid w:val="54E0475B"/>
    <w:rsid w:val="55D805F1"/>
    <w:rsid w:val="5690756A"/>
    <w:rsid w:val="57BF4210"/>
    <w:rsid w:val="57CB596F"/>
    <w:rsid w:val="584C41EB"/>
    <w:rsid w:val="59E002F7"/>
    <w:rsid w:val="5A67772A"/>
    <w:rsid w:val="5B4377F2"/>
    <w:rsid w:val="5B514E2B"/>
    <w:rsid w:val="5B6C5E13"/>
    <w:rsid w:val="5C2A6C04"/>
    <w:rsid w:val="5C5679F9"/>
    <w:rsid w:val="5C7625E9"/>
    <w:rsid w:val="5C937179"/>
    <w:rsid w:val="5D172CE4"/>
    <w:rsid w:val="5D477D62"/>
    <w:rsid w:val="5DD13A18"/>
    <w:rsid w:val="5F0D5BBC"/>
    <w:rsid w:val="5FBF4C7C"/>
    <w:rsid w:val="5FF92B75"/>
    <w:rsid w:val="600339F4"/>
    <w:rsid w:val="60A50365"/>
    <w:rsid w:val="612E334A"/>
    <w:rsid w:val="624177EB"/>
    <w:rsid w:val="62650825"/>
    <w:rsid w:val="632E4184"/>
    <w:rsid w:val="63856E98"/>
    <w:rsid w:val="6542310D"/>
    <w:rsid w:val="65F01CCB"/>
    <w:rsid w:val="65F55B8D"/>
    <w:rsid w:val="65FB1E1C"/>
    <w:rsid w:val="670B0801"/>
    <w:rsid w:val="67E06207"/>
    <w:rsid w:val="68944676"/>
    <w:rsid w:val="692F13B6"/>
    <w:rsid w:val="692F585A"/>
    <w:rsid w:val="69434A01"/>
    <w:rsid w:val="696F28E7"/>
    <w:rsid w:val="69C50074"/>
    <w:rsid w:val="6A236CA4"/>
    <w:rsid w:val="6A70797F"/>
    <w:rsid w:val="6B2A0226"/>
    <w:rsid w:val="6B363CC2"/>
    <w:rsid w:val="6B9D4CFC"/>
    <w:rsid w:val="6BC13C68"/>
    <w:rsid w:val="6C687F2E"/>
    <w:rsid w:val="6D321474"/>
    <w:rsid w:val="6DC5053A"/>
    <w:rsid w:val="6E5042A8"/>
    <w:rsid w:val="6F9D176F"/>
    <w:rsid w:val="712B4B58"/>
    <w:rsid w:val="713D5101"/>
    <w:rsid w:val="739C3D03"/>
    <w:rsid w:val="740F555D"/>
    <w:rsid w:val="7577110C"/>
    <w:rsid w:val="75AD441D"/>
    <w:rsid w:val="76136649"/>
    <w:rsid w:val="76342701"/>
    <w:rsid w:val="76AB7328"/>
    <w:rsid w:val="774B191B"/>
    <w:rsid w:val="77544750"/>
    <w:rsid w:val="77C27EAE"/>
    <w:rsid w:val="77D5581E"/>
    <w:rsid w:val="78237011"/>
    <w:rsid w:val="78782D79"/>
    <w:rsid w:val="793A6206"/>
    <w:rsid w:val="7982251A"/>
    <w:rsid w:val="7A1E34AC"/>
    <w:rsid w:val="7A3B08FB"/>
    <w:rsid w:val="7AC84689"/>
    <w:rsid w:val="7B4E7DC1"/>
    <w:rsid w:val="7C291FC0"/>
    <w:rsid w:val="7C686C61"/>
    <w:rsid w:val="7CB21E29"/>
    <w:rsid w:val="7D444F67"/>
    <w:rsid w:val="7D873F6A"/>
    <w:rsid w:val="7E965020"/>
    <w:rsid w:val="7ECB5E9B"/>
    <w:rsid w:val="7FD36AE7"/>
    <w:rsid w:val="7FFF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zh-CN" w:bidi="ar-SA"/>
    </w:rPr>
  </w:style>
  <w:style w:type="paragraph" w:styleId="2">
    <w:name w:val="heading 1"/>
    <w:basedOn w:val="1"/>
    <w:next w:val="1"/>
    <w:autoRedefine/>
    <w:qFormat/>
    <w:uiPriority w:val="0"/>
    <w:pPr>
      <w:spacing w:before="340" w:after="330" w:line="360" w:lineRule="auto"/>
      <w:jc w:val="center"/>
      <w:outlineLvl w:val="0"/>
    </w:pPr>
    <w:rPr>
      <w:rFonts w:eastAsia="黑体"/>
      <w:kern w:val="44"/>
      <w:sz w:val="32"/>
      <w:szCs w:val="44"/>
    </w:rPr>
  </w:style>
  <w:style w:type="paragraph" w:styleId="3">
    <w:name w:val="heading 2"/>
    <w:basedOn w:val="1"/>
    <w:next w:val="1"/>
    <w:link w:val="35"/>
    <w:autoRedefine/>
    <w:unhideWhenUsed/>
    <w:qFormat/>
    <w:uiPriority w:val="0"/>
    <w:pPr>
      <w:keepNext/>
      <w:keepLines/>
      <w:spacing w:before="260" w:after="260" w:line="413" w:lineRule="auto"/>
      <w:outlineLvl w:val="1"/>
    </w:pPr>
    <w:rPr>
      <w:rFonts w:ascii="Arial" w:hAnsi="Arial" w:eastAsia="宋体"/>
      <w:sz w:val="28"/>
    </w:rPr>
  </w:style>
  <w:style w:type="paragraph" w:styleId="4">
    <w:name w:val="heading 3"/>
    <w:basedOn w:val="1"/>
    <w:next w:val="1"/>
    <w:link w:val="42"/>
    <w:autoRedefine/>
    <w:qFormat/>
    <w:uiPriority w:val="0"/>
    <w:pPr>
      <w:spacing w:before="260" w:after="260"/>
      <w:outlineLvl w:val="2"/>
    </w:pPr>
    <w:rPr>
      <w:rFonts w:ascii="宋体" w:hAnsi="宋体" w:eastAsia="宋体"/>
      <w:szCs w:val="32"/>
    </w:rPr>
  </w:style>
  <w:style w:type="paragraph" w:styleId="5">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unhideWhenUsed/>
    <w:qFormat/>
    <w:uiPriority w:val="99"/>
    <w:pPr>
      <w:widowControl w:val="0"/>
      <w:ind w:left="420" w:leftChars="200"/>
      <w:jc w:val="both"/>
    </w:pPr>
    <w:rPr>
      <w:rFonts w:ascii="Calibri" w:hAnsi="Calibri"/>
      <w:kern w:val="2"/>
      <w:sz w:val="21"/>
      <w:szCs w:val="21"/>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autoSpaceDE w:val="0"/>
      <w:autoSpaceDN w:val="0"/>
      <w:adjustRightInd w:val="0"/>
      <w:textAlignment w:val="baseline"/>
    </w:pPr>
    <w:rPr>
      <w:rFonts w:ascii="宋体"/>
      <w:sz w:val="34"/>
      <w:szCs w:val="20"/>
    </w:rPr>
  </w:style>
  <w:style w:type="paragraph" w:styleId="9">
    <w:name w:val="Body Text"/>
    <w:basedOn w:val="1"/>
    <w:link w:val="49"/>
    <w:autoRedefine/>
    <w:qFormat/>
    <w:uiPriority w:val="0"/>
    <w:pPr>
      <w:spacing w:line="360" w:lineRule="auto"/>
    </w:pPr>
    <w:rPr>
      <w:b/>
      <w:bCs/>
    </w:rPr>
  </w:style>
  <w:style w:type="paragraph" w:styleId="10">
    <w:name w:val="toc 5"/>
    <w:basedOn w:val="1"/>
    <w:next w:val="1"/>
    <w:autoRedefine/>
    <w:semiHidden/>
    <w:qFormat/>
    <w:uiPriority w:val="0"/>
    <w:pPr>
      <w:ind w:left="840"/>
    </w:pPr>
    <w:rPr>
      <w:szCs w:val="21"/>
    </w:rPr>
  </w:style>
  <w:style w:type="paragraph" w:styleId="11">
    <w:name w:val="Plain Text"/>
    <w:basedOn w:val="1"/>
    <w:autoRedefine/>
    <w:qFormat/>
    <w:uiPriority w:val="0"/>
    <w:rPr>
      <w:rFonts w:ascii="宋体" w:hAnsi="Courier New" w:cs="宋体"/>
      <w:szCs w:val="21"/>
    </w:rPr>
  </w:style>
  <w:style w:type="paragraph" w:styleId="12">
    <w:name w:val="Balloon Text"/>
    <w:basedOn w:val="1"/>
    <w:link w:val="55"/>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Body Text 2"/>
    <w:basedOn w:val="1"/>
    <w:autoRedefine/>
    <w:qFormat/>
    <w:uiPriority w:val="0"/>
    <w:pPr>
      <w:spacing w:line="360" w:lineRule="auto"/>
    </w:pPr>
  </w:style>
  <w:style w:type="paragraph" w:styleId="16">
    <w:name w:val="Normal (Web)"/>
    <w:basedOn w:val="1"/>
    <w:autoRedefine/>
    <w:qFormat/>
    <w:uiPriority w:val="99"/>
  </w:style>
  <w:style w:type="paragraph" w:styleId="17">
    <w:name w:val="Title"/>
    <w:basedOn w:val="1"/>
    <w:next w:val="1"/>
    <w:autoRedefine/>
    <w:qFormat/>
    <w:uiPriority w:val="0"/>
    <w:pPr>
      <w:spacing w:before="240" w:after="60" w:line="276" w:lineRule="auto"/>
      <w:jc w:val="center"/>
      <w:outlineLvl w:val="0"/>
    </w:pPr>
    <w:rPr>
      <w:rFonts w:ascii="Cambria" w:hAnsi="Cambria"/>
      <w:b/>
      <w:bCs/>
      <w:sz w:val="32"/>
      <w:szCs w:val="3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5C5C5C"/>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single"/>
    </w:rPr>
  </w:style>
  <w:style w:type="character" w:styleId="29">
    <w:name w:val="HTML Code"/>
    <w:basedOn w:val="20"/>
    <w:autoRedefine/>
    <w:qFormat/>
    <w:uiPriority w:val="0"/>
    <w:rPr>
      <w:rFonts w:ascii="monospace" w:hAnsi="monospace" w:eastAsia="monospace" w:cs="monospace"/>
      <w:sz w:val="20"/>
    </w:rPr>
  </w:style>
  <w:style w:type="character" w:styleId="30">
    <w:name w:val="annotation reference"/>
    <w:basedOn w:val="20"/>
    <w:autoRedefine/>
    <w:qFormat/>
    <w:uiPriority w:val="0"/>
    <w:rPr>
      <w:sz w:val="21"/>
      <w:szCs w:val="21"/>
    </w:rPr>
  </w:style>
  <w:style w:type="character" w:styleId="31">
    <w:name w:val="HTML Cite"/>
    <w:basedOn w:val="20"/>
    <w:autoRedefine/>
    <w:qFormat/>
    <w:uiPriority w:val="0"/>
  </w:style>
  <w:style w:type="character" w:styleId="32">
    <w:name w:val="HTML Keyboard"/>
    <w:basedOn w:val="20"/>
    <w:autoRedefine/>
    <w:qFormat/>
    <w:uiPriority w:val="0"/>
    <w:rPr>
      <w:rFonts w:hint="default" w:ascii="monospace" w:hAnsi="monospace" w:eastAsia="monospace" w:cs="monospace"/>
      <w:sz w:val="20"/>
    </w:rPr>
  </w:style>
  <w:style w:type="character" w:styleId="33">
    <w:name w:val="HTML Sample"/>
    <w:basedOn w:val="20"/>
    <w:autoRedefine/>
    <w:qFormat/>
    <w:uiPriority w:val="0"/>
    <w:rPr>
      <w:rFonts w:hint="default" w:ascii="monospace" w:hAnsi="monospace" w:eastAsia="monospace" w:cs="monospace"/>
    </w:rPr>
  </w:style>
  <w:style w:type="paragraph" w:customStyle="1" w:styleId="34">
    <w:name w:val="_Style 3"/>
    <w:basedOn w:val="1"/>
    <w:next w:val="1"/>
    <w:autoRedefine/>
    <w:qFormat/>
    <w:uiPriority w:val="99"/>
    <w:pPr>
      <w:spacing w:line="360" w:lineRule="auto"/>
      <w:ind w:firstLine="420" w:firstLineChars="200"/>
    </w:pPr>
  </w:style>
  <w:style w:type="character" w:customStyle="1" w:styleId="35">
    <w:name w:val="标题 2 Char"/>
    <w:link w:val="3"/>
    <w:autoRedefine/>
    <w:qFormat/>
    <w:uiPriority w:val="0"/>
    <w:rPr>
      <w:rFonts w:ascii="Arial" w:hAnsi="Arial" w:eastAsia="宋体"/>
      <w:b/>
      <w:sz w:val="28"/>
    </w:rPr>
  </w:style>
  <w:style w:type="paragraph" w:styleId="36">
    <w:name w:val="List Paragraph"/>
    <w:basedOn w:val="1"/>
    <w:autoRedefine/>
    <w:qFormat/>
    <w:uiPriority w:val="0"/>
    <w:pPr>
      <w:ind w:firstLine="420" w:firstLineChars="200"/>
    </w:pPr>
    <w:rPr>
      <w:rFonts w:ascii="Calibri" w:hAnsi="Calibri"/>
      <w:szCs w:val="22"/>
    </w:rPr>
  </w:style>
  <w:style w:type="paragraph" w:customStyle="1" w:styleId="37">
    <w:name w:val="Table Paragraph"/>
    <w:basedOn w:val="1"/>
    <w:autoRedefine/>
    <w:qFormat/>
    <w:uiPriority w:val="1"/>
    <w:rPr>
      <w:lang w:val="zh-CN" w:bidi="zh-CN"/>
    </w:rPr>
  </w:style>
  <w:style w:type="character" w:customStyle="1" w:styleId="38">
    <w:name w:val="标题 3 Char"/>
    <w:autoRedefine/>
    <w:qFormat/>
    <w:uiPriority w:val="0"/>
    <w:rPr>
      <w:rFonts w:ascii="黑体" w:eastAsia="黑体"/>
      <w:bCs/>
      <w:sz w:val="30"/>
    </w:rPr>
  </w:style>
  <w:style w:type="paragraph" w:customStyle="1" w:styleId="39">
    <w:name w:val="样式 首行缩进:  2 字符"/>
    <w:basedOn w:val="1"/>
    <w:autoRedefine/>
    <w:qFormat/>
    <w:uiPriority w:val="0"/>
    <w:pPr>
      <w:ind w:firstLine="480" w:firstLineChars="200"/>
    </w:pPr>
    <w:rPr>
      <w:rFonts w:ascii="Calibri" w:hAnsi="Calibri"/>
      <w:color w:val="000000"/>
      <w:szCs w:val="20"/>
    </w:rPr>
  </w:style>
  <w:style w:type="table" w:customStyle="1" w:styleId="40">
    <w:name w:val="网格型1"/>
    <w:basedOn w:val="18"/>
    <w:autoRedefine/>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1">
    <w:name w:val="表格文字"/>
    <w:basedOn w:val="1"/>
    <w:next w:val="9"/>
    <w:autoRedefine/>
    <w:qFormat/>
    <w:uiPriority w:val="0"/>
    <w:pPr>
      <w:spacing w:before="25" w:after="25"/>
    </w:pPr>
    <w:rPr>
      <w:spacing w:val="10"/>
    </w:rPr>
  </w:style>
  <w:style w:type="character" w:customStyle="1" w:styleId="42">
    <w:name w:val="标题 3 Char1"/>
    <w:link w:val="4"/>
    <w:autoRedefine/>
    <w:qFormat/>
    <w:uiPriority w:val="0"/>
    <w:rPr>
      <w:rFonts w:ascii="宋体" w:hAnsi="宋体" w:eastAsia="宋体"/>
      <w:szCs w:val="32"/>
    </w:rPr>
  </w:style>
  <w:style w:type="character" w:customStyle="1" w:styleId="43">
    <w:name w:val="hover"/>
    <w:basedOn w:val="20"/>
    <w:autoRedefine/>
    <w:qFormat/>
    <w:uiPriority w:val="0"/>
    <w:rPr>
      <w:color w:val="2590EB"/>
    </w:rPr>
  </w:style>
  <w:style w:type="character" w:customStyle="1" w:styleId="44">
    <w:name w:val="hover1"/>
    <w:basedOn w:val="20"/>
    <w:autoRedefine/>
    <w:qFormat/>
    <w:uiPriority w:val="0"/>
    <w:rPr>
      <w:color w:val="2590EB"/>
      <w:shd w:val="clear" w:color="auto" w:fill="E9F4FD"/>
    </w:rPr>
  </w:style>
  <w:style w:type="character" w:customStyle="1" w:styleId="45">
    <w:name w:val="hover2"/>
    <w:basedOn w:val="20"/>
    <w:autoRedefine/>
    <w:qFormat/>
    <w:uiPriority w:val="0"/>
    <w:rPr>
      <w:color w:val="2590EB"/>
    </w:rPr>
  </w:style>
  <w:style w:type="character" w:customStyle="1" w:styleId="46">
    <w:name w:val="hover3"/>
    <w:basedOn w:val="20"/>
    <w:autoRedefine/>
    <w:qFormat/>
    <w:uiPriority w:val="0"/>
  </w:style>
  <w:style w:type="character" w:customStyle="1" w:styleId="47">
    <w:name w:val="mini-outputtext1"/>
    <w:basedOn w:val="20"/>
    <w:autoRedefine/>
    <w:qFormat/>
    <w:uiPriority w:val="0"/>
  </w:style>
  <w:style w:type="paragraph" w:customStyle="1" w:styleId="48">
    <w:name w:val="列出段落1"/>
    <w:basedOn w:val="1"/>
    <w:autoRedefine/>
    <w:qFormat/>
    <w:uiPriority w:val="0"/>
    <w:pPr>
      <w:ind w:firstLine="420" w:firstLineChars="200"/>
    </w:pPr>
    <w:rPr>
      <w:szCs w:val="21"/>
    </w:rPr>
  </w:style>
  <w:style w:type="character" w:customStyle="1" w:styleId="49">
    <w:name w:val="正文文本 Char"/>
    <w:basedOn w:val="20"/>
    <w:link w:val="9"/>
    <w:autoRedefine/>
    <w:qFormat/>
    <w:uiPriority w:val="0"/>
    <w:rPr>
      <w:rFonts w:eastAsia="Times New Roman"/>
      <w:b/>
      <w:bCs/>
      <w:sz w:val="24"/>
      <w:szCs w:val="24"/>
    </w:rPr>
  </w:style>
  <w:style w:type="paragraph" w:customStyle="1" w:styleId="50">
    <w:name w:val="正文1"/>
    <w:basedOn w:val="1"/>
    <w:autoRedefine/>
    <w:qFormat/>
    <w:uiPriority w:val="0"/>
    <w:pPr>
      <w:tabs>
        <w:tab w:val="left" w:pos="4"/>
      </w:tabs>
    </w:pPr>
    <w:rPr>
      <w:rFonts w:ascii="宋体" w:hAnsi="宋体"/>
      <w:sz w:val="18"/>
    </w:rPr>
  </w:style>
  <w:style w:type="character" w:customStyle="1" w:styleId="51">
    <w:name w:val="hover4"/>
    <w:basedOn w:val="20"/>
    <w:autoRedefine/>
    <w:qFormat/>
    <w:uiPriority w:val="0"/>
    <w:rPr>
      <w:color w:val="2590EB"/>
      <w:shd w:val="clear" w:color="auto" w:fill="E9F4FD"/>
    </w:rPr>
  </w:style>
  <w:style w:type="table" w:customStyle="1" w:styleId="52">
    <w:name w:val="Table Normal_0"/>
    <w:autoRedefine/>
    <w:semiHidden/>
    <w:unhideWhenUsed/>
    <w:qFormat/>
    <w:uiPriority w:val="0"/>
    <w:tblPr>
      <w:tblCellMar>
        <w:top w:w="0" w:type="dxa"/>
        <w:left w:w="0" w:type="dxa"/>
        <w:bottom w:w="0" w:type="dxa"/>
        <w:right w:w="0" w:type="dxa"/>
      </w:tblCellMar>
    </w:tblPr>
  </w:style>
  <w:style w:type="table" w:customStyle="1" w:styleId="53">
    <w:name w:val="Table Normal"/>
    <w:autoRedefine/>
    <w:semiHidden/>
    <w:unhideWhenUsed/>
    <w:qFormat/>
    <w:uiPriority w:val="0"/>
    <w:tblPr>
      <w:tblCellMar>
        <w:top w:w="0" w:type="dxa"/>
        <w:left w:w="0" w:type="dxa"/>
        <w:bottom w:w="0" w:type="dxa"/>
        <w:right w:w="0" w:type="dxa"/>
      </w:tblCellMar>
    </w:tblPr>
  </w:style>
  <w:style w:type="paragraph" w:customStyle="1" w:styleId="54">
    <w:name w:val="Table Text"/>
    <w:basedOn w:val="1"/>
    <w:autoRedefine/>
    <w:semiHidden/>
    <w:qFormat/>
    <w:uiPriority w:val="0"/>
    <w:rPr>
      <w:rFonts w:ascii="宋体" w:hAnsi="宋体" w:eastAsia="宋体" w:cs="宋体"/>
      <w:sz w:val="20"/>
      <w:szCs w:val="20"/>
      <w:lang w:eastAsia="en-US"/>
    </w:rPr>
  </w:style>
  <w:style w:type="character" w:customStyle="1" w:styleId="55">
    <w:name w:val="批注框文本 Char"/>
    <w:basedOn w:val="20"/>
    <w:link w:val="12"/>
    <w:autoRedefine/>
    <w:qFormat/>
    <w:uiPriority w:val="0"/>
    <w:rPr>
      <w:rFonts w:eastAsia="Times New Roman"/>
      <w:sz w:val="18"/>
      <w:szCs w:val="18"/>
    </w:rPr>
  </w:style>
  <w:style w:type="character" w:customStyle="1" w:styleId="56">
    <w:name w:val="bq"/>
    <w:basedOn w:val="20"/>
    <w:qFormat/>
    <w:uiPriority w:val="0"/>
    <w:rPr>
      <w:bdr w:val="single" w:color="EEEEEE" w:sz="6" w:space="0"/>
    </w:rPr>
  </w:style>
  <w:style w:type="character" w:customStyle="1" w:styleId="57">
    <w:name w:val="nth-of-type(1)"/>
    <w:basedOn w:val="20"/>
    <w:qFormat/>
    <w:uiPriority w:val="0"/>
  </w:style>
  <w:style w:type="character" w:customStyle="1" w:styleId="58">
    <w:name w:val="nth-of-type(1)1"/>
    <w:basedOn w:val="20"/>
    <w:qFormat/>
    <w:uiPriority w:val="0"/>
  </w:style>
  <w:style w:type="character" w:customStyle="1" w:styleId="59">
    <w:name w:val="nth-of-type(2)"/>
    <w:basedOn w:val="20"/>
    <w:qFormat/>
    <w:uiPriority w:val="0"/>
  </w:style>
  <w:style w:type="character" w:customStyle="1" w:styleId="60">
    <w:name w:val="nth-of-type(2)1"/>
    <w:basedOn w:val="20"/>
    <w:qFormat/>
    <w:uiPriority w:val="0"/>
  </w:style>
  <w:style w:type="character" w:customStyle="1" w:styleId="61">
    <w:name w:val="nth-of-type(3)"/>
    <w:basedOn w:val="20"/>
    <w:qFormat/>
    <w:uiPriority w:val="0"/>
  </w:style>
  <w:style w:type="character" w:customStyle="1" w:styleId="62">
    <w:name w:val="nth-of-type(3)1"/>
    <w:basedOn w:val="20"/>
    <w:qFormat/>
    <w:uiPriority w:val="0"/>
  </w:style>
  <w:style w:type="paragraph" w:customStyle="1" w:styleId="63">
    <w:name w:val="pf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4">
    <w:name w:val="NormalCharacter"/>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47738</Words>
  <Characters>50239</Characters>
  <Lines>730</Lines>
  <Paragraphs>205</Paragraphs>
  <TotalTime>9</TotalTime>
  <ScaleCrop>false</ScaleCrop>
  <LinksUpToDate>false</LinksUpToDate>
  <CharactersWithSpaces>52499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2024-05-09T08:39:00Z</dcterms:created>
  <dc:creator>Administrator</dc:creator>
  <cp:lastModifiedBy>Chirsi</cp:lastModifiedBy>
  <cp:lastPrinted>2024-05-09T09:18:00Z</cp:lastPrinted>
  <dcterms:modified xsi:type="dcterms:W3CDTF">2024-07-27T06:33:55Z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CD49C29898BD4FAC85B3930C684F6A7D_13</vt:lpwstr>
  </property>
</Properties>
</file>