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keepNext w:val="0"/>
        <w:keepLines w:val="0"/>
        <w:pageBreakBefore w:val="0"/>
        <w:widowControl/>
        <w:kinsoku w:val="0"/>
        <w:wordWrap w:val="0"/>
        <w:overflowPunct/>
        <w:topLinePunct w:val="0"/>
        <w:autoSpaceDE w:val="0"/>
        <w:autoSpaceDN w:val="0"/>
        <w:bidi w:val="0"/>
        <w:adjustRightInd w:val="0"/>
        <w:snapToGrid w:val="0"/>
        <w:spacing w:before="0" w:after="0" w:line="254" w:lineRule="auto"/>
        <w:jc w:val="both"/>
        <w:textAlignment w:val="baseline"/>
        <w:rPr>
          <w:rFonts w:eastAsia="宋体"/>
          <w:b/>
          <w:bCs/>
          <w:kern w:val="2"/>
          <w:lang w:eastAsia="zh-CN"/>
        </w:rPr>
      </w:pPr>
      <w:bookmarkStart w:id="0" w:name="_Hlk71456902"/>
    </w:p>
    <w:p>
      <w:pPr>
        <w:keepNext w:val="0"/>
        <w:keepLines w:val="0"/>
        <w:pageBreakBefore w:val="0"/>
        <w:widowControl/>
        <w:kinsoku w:val="0"/>
        <w:wordWrap w:val="0"/>
        <w:overflowPunct/>
        <w:topLinePunct w:val="0"/>
        <w:autoSpaceDE w:val="0"/>
        <w:autoSpaceDN w:val="0"/>
        <w:bidi w:val="0"/>
        <w:adjustRightInd w:val="0"/>
        <w:snapToGrid w:val="0"/>
        <w:spacing w:line="25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9"/>
        <w:rPr>
          <w:rFonts w:ascii="宋体" w:eastAsia="宋体" w:hAnsi="宋体" w:cs="宋体"/>
          <w:b/>
          <w:bCs/>
          <w:spacing w:val="3"/>
          <w:kern w:val="2"/>
          <w:sz w:val="67"/>
          <w:szCs w:val="67"/>
          <w:lang w:eastAsia="zh-CN"/>
        </w:rPr>
      </w:pPr>
    </w:p>
    <w:p>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ascii="宋体" w:eastAsia="宋体" w:hAnsi="宋体" w:cs="宋体"/>
          <w:b/>
          <w:bCs/>
          <w:spacing w:val="3"/>
          <w:kern w:val="2"/>
          <w:sz w:val="67"/>
          <w:szCs w:val="67"/>
          <w:lang w:eastAsia="zh-CN"/>
        </w:rPr>
      </w:pPr>
      <w:r>
        <w:rPr>
          <w:rFonts w:ascii="宋体" w:eastAsia="宋体" w:hAnsi="宋体" w:cs="宋体"/>
          <w:b/>
          <w:bCs/>
          <w:spacing w:val="3"/>
          <w:kern w:val="2"/>
          <w:sz w:val="67"/>
          <w:szCs w:val="67"/>
          <w:lang w:eastAsia="zh-CN"/>
        </w:rPr>
        <w:t>深圳市龙华区教育系统</w:t>
      </w:r>
    </w:p>
    <w:p>
      <w:pPr>
        <w:keepNext w:val="0"/>
        <w:keepLines w:val="0"/>
        <w:pageBreakBefore w:val="0"/>
        <w:widowControl/>
        <w:kinsoku w:val="0"/>
        <w:wordWrap w:val="0"/>
        <w:overflowPunct/>
        <w:topLinePunct w:val="0"/>
        <w:autoSpaceDE w:val="0"/>
        <w:autoSpaceDN w:val="0"/>
        <w:bidi w:val="0"/>
        <w:adjustRightInd w:val="0"/>
        <w:snapToGrid w:val="0"/>
        <w:spacing w:before="218" w:line="360" w:lineRule="auto"/>
        <w:ind w:left="98"/>
        <w:jc w:val="center"/>
        <w:textAlignment w:val="baseline"/>
        <w:outlineLvl w:val="0"/>
        <w:rPr>
          <w:rFonts w:ascii="宋体" w:eastAsia="宋体" w:hAnsi="宋体" w:cs="宋体"/>
          <w:kern w:val="2"/>
          <w:sz w:val="67"/>
          <w:szCs w:val="67"/>
          <w:lang w:eastAsia="zh-CN"/>
        </w:rPr>
      </w:pPr>
      <w:r>
        <w:rPr>
          <w:rFonts w:ascii="宋体" w:eastAsia="宋体" w:hAnsi="宋体" w:cs="宋体"/>
          <w:b/>
          <w:bCs/>
          <w:spacing w:val="3"/>
          <w:kern w:val="2"/>
          <w:sz w:val="67"/>
          <w:szCs w:val="67"/>
          <w:lang w:eastAsia="zh-CN"/>
        </w:rPr>
        <w:t>自行</w:t>
      </w:r>
      <w:r>
        <w:rPr>
          <w:rFonts w:ascii="宋体" w:eastAsia="宋体" w:hAnsi="宋体" w:cs="宋体"/>
          <w:b/>
          <w:bCs/>
          <w:spacing w:val="2"/>
          <w:kern w:val="2"/>
          <w:sz w:val="67"/>
          <w:szCs w:val="67"/>
          <w:lang w:eastAsia="zh-CN"/>
        </w:rPr>
        <w:t>采购项目招标文件</w:t>
      </w:r>
    </w:p>
    <w:p>
      <w:pPr>
        <w:keepNext w:val="0"/>
        <w:keepLines w:val="0"/>
        <w:pageBreakBefore w:val="0"/>
        <w:widowControl/>
        <w:kinsoku w:val="0"/>
        <w:wordWrap w:val="0"/>
        <w:overflowPunct/>
        <w:topLinePunct w:val="0"/>
        <w:autoSpaceDE w:val="0"/>
        <w:autoSpaceDN w:val="0"/>
        <w:bidi w:val="0"/>
        <w:adjustRightInd w:val="0"/>
        <w:snapToGrid w:val="0"/>
        <w:spacing w:before="211" w:line="360" w:lineRule="auto"/>
        <w:ind w:left="2897"/>
        <w:jc w:val="both"/>
        <w:textAlignment w:val="baseline"/>
        <w:rPr>
          <w:rFonts w:ascii="宋体" w:eastAsia="宋体" w:hAnsi="宋体" w:cs="宋体"/>
          <w:kern w:val="2"/>
          <w:sz w:val="52"/>
          <w:szCs w:val="52"/>
          <w:lang w:eastAsia="zh-CN"/>
        </w:rPr>
      </w:pPr>
      <w:r>
        <w:rPr>
          <w:rFonts w:ascii="宋体" w:eastAsia="宋体" w:hAnsi="宋体" w:cs="宋体"/>
          <w:b/>
          <w:bCs/>
          <w:spacing w:val="-12"/>
          <w:kern w:val="2"/>
          <w:sz w:val="52"/>
          <w:szCs w:val="52"/>
          <w:lang w:eastAsia="zh-CN"/>
        </w:rPr>
        <w:t>（货物类）</w:t>
      </w:r>
    </w:p>
    <w:p>
      <w:pPr>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3"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4" w:lineRule="auto"/>
        <w:jc w:val="center"/>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before="139" w:line="223" w:lineRule="auto"/>
        <w:jc w:val="center"/>
        <w:textAlignment w:val="baseline"/>
        <w:rPr>
          <w:rFonts w:ascii="宋体" w:eastAsia="宋体" w:hAnsi="宋体" w:cs="宋体"/>
          <w:kern w:val="2"/>
          <w:sz w:val="43"/>
          <w:szCs w:val="43"/>
          <w:lang w:eastAsia="zh-CN"/>
        </w:rPr>
      </w:pPr>
      <w:r>
        <w:rPr>
          <w:rFonts w:ascii="宋体" w:eastAsia="宋体" w:hAnsi="宋体" w:cs="宋体"/>
          <w:b/>
          <w:bCs/>
          <w:spacing w:val="-44"/>
          <w:kern w:val="2"/>
          <w:sz w:val="43"/>
          <w:szCs w:val="43"/>
          <w:lang w:eastAsia="zh-CN"/>
        </w:rPr>
        <w:t>深圳</w:t>
      </w:r>
      <w:r>
        <w:rPr>
          <w:rFonts w:ascii="宋体" w:eastAsia="宋体" w:hAnsi="宋体" w:cs="宋体"/>
          <w:spacing w:val="-44"/>
          <w:kern w:val="2"/>
          <w:sz w:val="43"/>
          <w:szCs w:val="43"/>
          <w:lang w:eastAsia="zh-CN"/>
        </w:rPr>
        <w:t xml:space="preserve"> </w:t>
      </w:r>
      <w:r>
        <w:rPr>
          <w:rFonts w:ascii="宋体" w:eastAsia="宋体" w:hAnsi="宋体" w:cs="宋体"/>
          <w:b/>
          <w:bCs/>
          <w:spacing w:val="-44"/>
          <w:kern w:val="2"/>
          <w:sz w:val="43"/>
          <w:szCs w:val="43"/>
          <w:lang w:eastAsia="zh-CN"/>
        </w:rPr>
        <w:t>·龙华</w:t>
      </w:r>
    </w:p>
    <w:p>
      <w:pPr>
        <w:keepNext w:val="0"/>
        <w:keepLines w:val="0"/>
        <w:pageBreakBefore w:val="0"/>
        <w:widowControl/>
        <w:kinsoku w:val="0"/>
        <w:wordWrap w:val="0"/>
        <w:overflowPunct/>
        <w:topLinePunct w:val="0"/>
        <w:autoSpaceDE w:val="0"/>
        <w:autoSpaceDN w:val="0"/>
        <w:bidi w:val="0"/>
        <w:adjustRightInd w:val="0"/>
        <w:snapToGrid w:val="0"/>
        <w:spacing w:line="242"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2"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3" w:lineRule="auto"/>
        <w:jc w:val="both"/>
        <w:textAlignment w:val="baseline"/>
        <w:rPr>
          <w:rFonts w:eastAsia="宋体"/>
          <w:b/>
          <w:bCs/>
          <w:kern w:val="2"/>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lang w:eastAsia="zh-CN" w:bidi="ar"/>
        </w:rPr>
      </w:pPr>
      <w:bookmarkStart w:id="1" w:name="_Hlk71465316"/>
      <w:r>
        <w:rPr>
          <w:rFonts w:ascii="宋体" w:hAnsi="宋体" w:cs="宋体" w:hint="eastAsia"/>
          <w:kern w:val="0"/>
          <w:lang w:bidi="ar"/>
        </w:rPr>
        <w:drawing>
          <wp:inline distT="0" distB="0" distL="114300" distR="114300">
            <wp:extent cx="3074670" cy="71437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xmlns:r="http://schemas.openxmlformats.org/officeDocument/2006/relationships" r:embed="rId4"/>
                    <a:stretch>
                      <a:fillRect/>
                    </a:stretch>
                  </pic:blipFill>
                  <pic:spPr>
                    <a:xfrm>
                      <a:off x="0" y="0"/>
                      <a:ext cx="3074670" cy="714375"/>
                    </a:xfrm>
                    <a:prstGeom prst="rect">
                      <a:avLst/>
                    </a:prstGeom>
                    <a:noFill/>
                    <a:ln>
                      <a:noFill/>
                    </a:ln>
                  </pic:spPr>
                </pic:pic>
              </a:graphicData>
            </a:graphic>
          </wp:inline>
        </w:drawing>
      </w: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b/>
          <w:sz w:val="32"/>
          <w:szCs w:val="32"/>
          <w:lang w:eastAsia="zh-CN"/>
        </w:rPr>
      </w:pPr>
      <w:r>
        <w:rPr>
          <w:rFonts w:ascii="宋体" w:eastAsia="宋体" w:hAnsi="宋体" w:cs="宋体" w:hint="eastAsia"/>
          <w:b/>
          <w:sz w:val="32"/>
          <w:szCs w:val="32"/>
          <w:lang w:eastAsia="zh-CN"/>
        </w:rPr>
        <w:t>（泽钧</w:t>
      </w:r>
      <w:r>
        <w:rPr>
          <w:rFonts w:ascii="微软雅黑" w:eastAsia="微软雅黑" w:hAnsi="微软雅黑" w:cs="微软雅黑" w:hint="eastAsia"/>
          <w:b/>
          <w:sz w:val="32"/>
          <w:szCs w:val="32"/>
          <w:lang w:eastAsia="zh-CN"/>
        </w:rPr>
        <w:t>•</w:t>
      </w:r>
      <w:r>
        <w:rPr>
          <w:rFonts w:ascii="宋体" w:eastAsia="宋体" w:hAnsi="宋体" w:cs="宋体" w:hint="eastAsia"/>
          <w:b/>
          <w:sz w:val="32"/>
          <w:szCs w:val="32"/>
          <w:lang w:eastAsia="zh-CN"/>
        </w:rPr>
        <w:t>202</w:t>
      </w:r>
      <w:r>
        <w:rPr>
          <w:rFonts w:ascii="宋体" w:eastAsia="宋体" w:hAnsi="宋体" w:cs="宋体" w:hint="eastAsia"/>
          <w:b/>
          <w:sz w:val="32"/>
          <w:szCs w:val="32"/>
          <w:lang w:eastAsia="zh-CN"/>
        </w:rPr>
        <w:t>5</w:t>
      </w:r>
      <w:r>
        <w:rPr>
          <w:rFonts w:ascii="宋体" w:eastAsia="宋体" w:hAnsi="宋体" w:cs="宋体" w:hint="eastAsia"/>
          <w:b/>
          <w:sz w:val="32"/>
          <w:szCs w:val="32"/>
          <w:lang w:eastAsia="zh-CN"/>
        </w:rPr>
        <w:t>年）</w:t>
      </w:r>
      <w:bookmarkEnd w:id="1"/>
    </w:p>
    <w:p>
      <w:pPr>
        <w:widowControl w:val="0"/>
        <w:jc w:val="both"/>
        <w:rPr>
          <w:rFonts w:ascii="宋体" w:eastAsia="宋体" w:hAnsi="宋体" w:cs="宋体" w:hint="eastAsia"/>
          <w:b/>
          <w:kern w:val="2"/>
          <w:sz w:val="44"/>
          <w:szCs w:val="44"/>
          <w:lang w:eastAsia="zh-CN"/>
        </w:rPr>
      </w:pPr>
      <w:r>
        <w:rPr>
          <w:rFonts w:ascii="宋体" w:eastAsia="宋体" w:hAnsi="宋体" w:cs="宋体" w:hint="eastAsia"/>
          <w:b/>
          <w:kern w:val="2"/>
          <w:sz w:val="44"/>
          <w:szCs w:val="44"/>
          <w:lang w:eastAsia="zh-CN"/>
        </w:rPr>
        <w:br w:type="page"/>
      </w: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b/>
          <w:sz w:val="44"/>
          <w:szCs w:val="44"/>
          <w:lang w:eastAsia="zh-CN"/>
        </w:r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1"/>
        <w:rPr>
          <w:rFonts w:ascii="宋体" w:eastAsia="宋体" w:hAnsi="宋体" w:cs="宋体" w:hint="eastAsia"/>
          <w:sz w:val="40"/>
          <w:szCs w:val="40"/>
          <w:lang w:eastAsia="zh-CN"/>
        </w:rPr>
      </w:pPr>
      <w:r>
        <w:rPr>
          <w:rFonts w:ascii="宋体" w:eastAsia="宋体" w:hAnsi="宋体" w:cs="宋体" w:hint="eastAsia"/>
          <w:sz w:val="40"/>
          <w:szCs w:val="40"/>
          <w:lang w:eastAsia="zh-CN"/>
        </w:rPr>
        <w:t>教职工食堂设备采购项目</w:t>
      </w: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1"/>
        <w:rPr>
          <w:rFonts w:ascii="宋体" w:eastAsia="宋体" w:hAnsi="宋体" w:cs="宋体" w:hint="eastAsia"/>
          <w:sz w:val="40"/>
          <w:szCs w:val="40"/>
          <w:lang w:eastAsia="zh-CN"/>
        </w:rPr>
      </w:pPr>
      <w:r>
        <w:rPr>
          <w:rFonts w:ascii="宋体" w:eastAsia="宋体" w:hAnsi="宋体" w:cs="宋体" w:hint="eastAsia"/>
          <w:sz w:val="40"/>
          <w:szCs w:val="40"/>
          <w:lang w:eastAsia="zh-CN"/>
        </w:rPr>
        <w:t>招标文件信息</w:t>
      </w: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sz w:val="40"/>
          <w:szCs w:val="40"/>
          <w:lang w:eastAsia="zh-CN"/>
        </w:rPr>
      </w:pPr>
    </w:p>
    <w:tbl>
      <w:tblPr>
        <w:tblStyle w:val="TableNormal"/>
        <w:tblW w:w="5000" w:type="pct"/>
        <w:jc w:val="center"/>
        <w:tblCellSpacing w:w="0" w:type="dxa"/>
        <w:tblLayout w:type="fixed"/>
        <w:tblCellMar>
          <w:top w:w="45" w:type="dxa"/>
          <w:left w:w="45" w:type="dxa"/>
          <w:bottom w:w="45" w:type="dxa"/>
          <w:right w:w="45" w:type="dxa"/>
        </w:tblCellMar>
      </w:tblPr>
      <w:tblGrid>
        <w:gridCol w:w="2045"/>
        <w:gridCol w:w="6351"/>
      </w:tblGrid>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项目编号：</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LHAZXDL-2025-00044</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项目名称：</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教职工食堂设备采购项目</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包    号：</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项目类型：</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采购方式：</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spacing w:val="-7"/>
                <w:kern w:val="2"/>
                <w:sz w:val="30"/>
                <w:szCs w:val="30"/>
                <w:lang w:eastAsia="zh-CN"/>
              </w:rPr>
              <w:t>自行采购</w:t>
            </w:r>
            <w:r>
              <w:rPr>
                <w:rFonts w:ascii="宋体" w:eastAsia="宋体" w:hAnsi="宋体" w:cs="宋体" w:hint="eastAsia"/>
                <w:spacing w:val="-7"/>
                <w:kern w:val="2"/>
                <w:sz w:val="30"/>
                <w:szCs w:val="30"/>
                <w:lang w:eastAsia="zh-CN"/>
              </w:rPr>
              <w:t>（</w:t>
            </w:r>
            <w:r>
              <w:rPr>
                <w:rFonts w:ascii="宋体" w:eastAsia="宋体" w:hAnsi="宋体" w:cs="宋体" w:hint="eastAsia"/>
                <w:sz w:val="30"/>
                <w:szCs w:val="30"/>
                <w:lang w:eastAsia="zh-CN" w:bidi="ar"/>
              </w:rPr>
              <w:t>公开招标</w:t>
            </w:r>
            <w:r>
              <w:rPr>
                <w:rFonts w:ascii="宋体" w:eastAsia="宋体" w:hAnsi="宋体" w:cs="宋体" w:hint="eastAsia"/>
                <w:spacing w:val="-7"/>
                <w:kern w:val="2"/>
                <w:sz w:val="30"/>
                <w:szCs w:val="30"/>
                <w:lang w:eastAsia="zh-CN"/>
              </w:rPr>
              <w:t>）</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货币类型：</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802"/>
          <w:tblCellSpacing w:w="0" w:type="dxa"/>
          <w:jc w:val="center"/>
        </w:trPr>
        <w:tc>
          <w:tcPr>
            <w:tcW w:w="1948"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评标方法：</w:t>
            </w:r>
          </w:p>
        </w:tc>
        <w:tc>
          <w:tcPr>
            <w:tcW w:w="6051" w:type="dxa"/>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综合评分法（新价格分算法）</w:t>
            </w:r>
          </w:p>
        </w:tc>
      </w:tr>
      <w:bookmarkEnd w:id="0"/>
    </w:tbl>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kern w:val="2"/>
          <w:sz w:val="40"/>
          <w:szCs w:val="40"/>
          <w:lang w:eastAsia="zh-CN"/>
        </w:rPr>
      </w:pPr>
    </w:p>
    <w:p>
      <w:pPr>
        <w:widowControl w:val="0"/>
        <w:jc w:val="both"/>
        <w:rPr>
          <w:rFonts w:ascii="宋体" w:eastAsia="宋体" w:hAnsi="宋体" w:cs="宋体" w:hint="eastAsia"/>
          <w:kern w:val="2"/>
          <w:sz w:val="40"/>
          <w:szCs w:val="40"/>
          <w:lang w:eastAsia="zh-CN"/>
        </w:rPr>
      </w:pPr>
      <w:r>
        <w:rPr>
          <w:rFonts w:ascii="宋体" w:eastAsia="宋体" w:hAnsi="宋体" w:cs="宋体" w:hint="eastAsia"/>
          <w:kern w:val="2"/>
          <w:sz w:val="40"/>
          <w:szCs w:val="40"/>
          <w:lang w:eastAsia="zh-CN"/>
        </w:rPr>
        <w:br w:type="page"/>
      </w: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1"/>
        <w:rPr>
          <w:rFonts w:ascii="宋体" w:eastAsia="宋体" w:hAnsi="宋体" w:cs="宋体" w:hint="eastAsia"/>
          <w:b/>
          <w:bCs/>
          <w:kern w:val="2"/>
          <w:sz w:val="40"/>
          <w:szCs w:val="40"/>
          <w:lang w:eastAsia="zh-CN"/>
        </w:rPr>
      </w:pPr>
      <w:r>
        <w:rPr>
          <w:rFonts w:ascii="宋体" w:eastAsia="宋体" w:hAnsi="宋体" w:cs="宋体" w:hint="eastAsia"/>
          <w:b/>
          <w:bCs/>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939"/>
        <w:gridCol w:w="7583"/>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567"/>
          <w:jc w:val="center"/>
        </w:trPr>
        <w:tc>
          <w:tcPr>
            <w:tcW w:w="939"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rPr>
                <w:rFonts w:ascii="宋体" w:eastAsia="宋体" w:hAnsi="宋体" w:cs="宋体" w:hint="eastAsia"/>
                <w:b/>
                <w:bCs/>
                <w:kern w:val="2"/>
                <w:sz w:val="28"/>
                <w:szCs w:val="28"/>
                <w:lang w:eastAsia="zh-CN"/>
              </w:rPr>
            </w:pPr>
            <w:r>
              <w:rPr>
                <w:rFonts w:ascii="宋体" w:eastAsia="宋体" w:hAnsi="宋体" w:cs="宋体" w:hint="eastAsia"/>
                <w:b/>
                <w:bCs/>
                <w:sz w:val="28"/>
                <w:szCs w:val="28"/>
                <w:lang w:eastAsia="zh-CN" w:bidi="ar"/>
              </w:rPr>
              <w:t>序号</w:t>
            </w:r>
          </w:p>
        </w:tc>
        <w:tc>
          <w:tcPr>
            <w:tcW w:w="7583"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rPr>
                <w:rFonts w:ascii="宋体" w:eastAsia="宋体" w:hAnsi="宋体" w:cs="宋体" w:hint="eastAsia"/>
                <w:b/>
                <w:bCs/>
                <w:kern w:val="2"/>
                <w:sz w:val="28"/>
                <w:szCs w:val="28"/>
                <w:lang w:eastAsia="zh-CN"/>
              </w:rPr>
            </w:pPr>
            <w:r>
              <w:rPr>
                <w:rFonts w:ascii="宋体" w:eastAsia="宋体" w:hAnsi="宋体" w:cs="宋体" w:hint="eastAsia"/>
                <w:b/>
                <w:bCs/>
                <w:sz w:val="28"/>
                <w:szCs w:val="28"/>
                <w:lang w:eastAsia="zh-CN" w:bidi="ar"/>
              </w:rPr>
              <w:t>内容</w:t>
            </w:r>
          </w:p>
        </w:tc>
      </w:tr>
      <w:tr>
        <w:tblPrEx>
          <w:tblW w:w="5000" w:type="pct"/>
          <w:jc w:val="center"/>
          <w:tblLayout w:type="fixed"/>
          <w:tblCellMar>
            <w:top w:w="20" w:type="dxa"/>
            <w:left w:w="108" w:type="dxa"/>
            <w:bottom w:w="20" w:type="dxa"/>
            <w:right w:w="108" w:type="dxa"/>
          </w:tblCellMar>
        </w:tblPrEx>
        <w:trPr>
          <w:trHeight w:val="567"/>
          <w:jc w:val="center"/>
        </w:trPr>
        <w:tc>
          <w:tcPr>
            <w:tcW w:w="939"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w:t>
            </w:r>
          </w:p>
        </w:tc>
        <w:tc>
          <w:tcPr>
            <w:tcW w:w="7583"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tc>
      </w:tr>
      <w:tr>
        <w:tblPrEx>
          <w:tblW w:w="5000" w:type="pct"/>
          <w:jc w:val="center"/>
          <w:tblLayout w:type="fixed"/>
          <w:tblCellMar>
            <w:top w:w="20" w:type="dxa"/>
            <w:left w:w="108" w:type="dxa"/>
            <w:bottom w:w="20" w:type="dxa"/>
            <w:right w:w="108" w:type="dxa"/>
          </w:tblCellMar>
        </w:tblPrEx>
        <w:trPr>
          <w:trHeight w:val="567"/>
          <w:jc w:val="center"/>
        </w:trPr>
        <w:tc>
          <w:tcPr>
            <w:tcW w:w="939"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7583"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rPr>
            </w:pPr>
            <w:r>
              <w:rPr>
                <w:rFonts w:ascii="宋体" w:eastAsia="宋体" w:hAnsi="宋体" w:cs="宋体" w:hint="eastAsia"/>
                <w:b/>
                <w:bCs/>
                <w:color w:val="0000FF"/>
                <w:sz w:val="21"/>
                <w:szCs w:val="21"/>
                <w:lang w:eastAsia="zh-CN"/>
              </w:rPr>
              <w:t>落实政府采购政策需满足的资格要求：落实政府采购政策需满足的资格要求：本项目属于专门面向中小微企业采购的项目（投标人需提供符合要求的《中小企业声明函》，所投产品制造商企业类型均须为中小微型企业；如投标人为残疾人福利性单位或监狱企业，视同小型、微型企业，提供《残疾人福利性单位声明函》或《监狱企业声明函》及监狱企业证明文件亦视为符合）；</w:t>
            </w:r>
          </w:p>
        </w:tc>
      </w:tr>
      <w:tr>
        <w:tblPrEx>
          <w:tblW w:w="5000" w:type="pct"/>
          <w:jc w:val="center"/>
          <w:tblLayout w:type="fixed"/>
          <w:tblCellMar>
            <w:top w:w="20" w:type="dxa"/>
            <w:left w:w="108" w:type="dxa"/>
            <w:bottom w:w="20" w:type="dxa"/>
            <w:right w:w="108" w:type="dxa"/>
          </w:tblCellMar>
        </w:tblPrEx>
        <w:trPr>
          <w:trHeight w:val="567"/>
          <w:jc w:val="center"/>
        </w:trPr>
        <w:tc>
          <w:tcPr>
            <w:tcW w:w="939"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bidi="ar"/>
              </w:rPr>
            </w:pPr>
            <w:r>
              <w:rPr>
                <w:rFonts w:ascii="宋体" w:eastAsia="宋体" w:hAnsi="宋体" w:cs="宋体" w:hint="eastAsia"/>
                <w:sz w:val="21"/>
                <w:szCs w:val="21"/>
                <w:lang w:eastAsia="zh-CN" w:bidi="ar"/>
              </w:rPr>
              <w:t>3</w:t>
            </w:r>
          </w:p>
        </w:tc>
        <w:tc>
          <w:tcPr>
            <w:tcW w:w="7583"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rPr>
              <w:t>本项目不接受联合体投标，不接受投标人选用进口产品参与投标；</w:t>
            </w:r>
          </w:p>
        </w:tc>
      </w:tr>
      <w:tr>
        <w:tblPrEx>
          <w:tblW w:w="5000" w:type="pct"/>
          <w:jc w:val="center"/>
          <w:tblLayout w:type="fixed"/>
          <w:tblCellMar>
            <w:top w:w="20" w:type="dxa"/>
            <w:left w:w="108" w:type="dxa"/>
            <w:bottom w:w="20" w:type="dxa"/>
            <w:right w:w="108" w:type="dxa"/>
          </w:tblCellMar>
        </w:tblPrEx>
        <w:trPr>
          <w:trHeight w:val="567"/>
          <w:jc w:val="center"/>
        </w:trPr>
        <w:tc>
          <w:tcPr>
            <w:tcW w:w="939"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bidi="ar"/>
              </w:rPr>
            </w:pPr>
            <w:r>
              <w:rPr>
                <w:rFonts w:ascii="宋体" w:eastAsia="宋体" w:hAnsi="宋体" w:cs="宋体" w:hint="eastAsia"/>
                <w:sz w:val="21"/>
                <w:szCs w:val="21"/>
                <w:lang w:eastAsia="zh-CN" w:bidi="ar"/>
              </w:rPr>
              <w:t>4</w:t>
            </w:r>
          </w:p>
        </w:tc>
        <w:tc>
          <w:tcPr>
            <w:tcW w:w="7583"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rPr>
              <w:t>参与本项目投标前三年内，在经营活动中没有重大违法记录（由供应商在《龙华区教育系统自行采购投标及履约承诺函》中作出声明）；</w:t>
            </w:r>
          </w:p>
        </w:tc>
      </w:tr>
      <w:tr>
        <w:tblPrEx>
          <w:tblW w:w="5000" w:type="pct"/>
          <w:jc w:val="center"/>
          <w:tblLayout w:type="fixed"/>
          <w:tblCellMar>
            <w:top w:w="20" w:type="dxa"/>
            <w:left w:w="108" w:type="dxa"/>
            <w:bottom w:w="20" w:type="dxa"/>
            <w:right w:w="108" w:type="dxa"/>
          </w:tblCellMar>
        </w:tblPrEx>
        <w:trPr>
          <w:trHeight w:val="567"/>
          <w:jc w:val="center"/>
        </w:trPr>
        <w:tc>
          <w:tcPr>
            <w:tcW w:w="939"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bidi="ar"/>
              </w:rPr>
            </w:pPr>
            <w:r>
              <w:rPr>
                <w:rFonts w:ascii="宋体" w:eastAsia="宋体" w:hAnsi="宋体" w:cs="宋体" w:hint="eastAsia"/>
                <w:sz w:val="21"/>
                <w:szCs w:val="21"/>
                <w:lang w:eastAsia="zh-CN" w:bidi="ar"/>
              </w:rPr>
              <w:t>5</w:t>
            </w:r>
          </w:p>
        </w:tc>
        <w:tc>
          <w:tcPr>
            <w:tcW w:w="7583"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rPr>
              <w:t>参与本项目政府采购活动时不存在被有关部门禁止参与政府采购活动且在有效期内的情况（由供应商在《龙华区教育系统自行采购投标及履约承诺函》中作出声明）；</w:t>
            </w:r>
          </w:p>
        </w:tc>
      </w:tr>
      <w:tr>
        <w:tblPrEx>
          <w:tblW w:w="5000" w:type="pct"/>
          <w:jc w:val="center"/>
          <w:tblLayout w:type="fixed"/>
          <w:tblCellMar>
            <w:top w:w="20" w:type="dxa"/>
            <w:left w:w="108" w:type="dxa"/>
            <w:bottom w:w="20" w:type="dxa"/>
            <w:right w:w="108" w:type="dxa"/>
          </w:tblCellMar>
        </w:tblPrEx>
        <w:trPr>
          <w:trHeight w:val="567"/>
          <w:jc w:val="center"/>
        </w:trPr>
        <w:tc>
          <w:tcPr>
            <w:tcW w:w="939"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bidi="ar"/>
              </w:rPr>
            </w:pPr>
            <w:r>
              <w:rPr>
                <w:rFonts w:ascii="宋体" w:eastAsia="宋体" w:hAnsi="宋体" w:cs="宋体" w:hint="eastAsia"/>
                <w:sz w:val="21"/>
                <w:szCs w:val="21"/>
                <w:lang w:eastAsia="zh-CN"/>
              </w:rPr>
              <w:t>6</w:t>
            </w:r>
          </w:p>
        </w:tc>
        <w:tc>
          <w:tcPr>
            <w:tcW w:w="7583"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具备《中华人民共和国政府采购法》第二十二条第一款的条件（由供应商在《龙华区教育系统自行采购投标及履约承诺函》中作出声明）；</w:t>
            </w:r>
          </w:p>
        </w:tc>
      </w:tr>
      <w:tr>
        <w:tblPrEx>
          <w:tblW w:w="5000" w:type="pct"/>
          <w:jc w:val="center"/>
          <w:tblLayout w:type="fixed"/>
          <w:tblCellMar>
            <w:top w:w="20" w:type="dxa"/>
            <w:left w:w="108" w:type="dxa"/>
            <w:bottom w:w="20" w:type="dxa"/>
            <w:right w:w="108" w:type="dxa"/>
          </w:tblCellMar>
        </w:tblPrEx>
        <w:trPr>
          <w:trHeight w:val="567"/>
          <w:jc w:val="center"/>
        </w:trPr>
        <w:tc>
          <w:tcPr>
            <w:tcW w:w="939"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rPr>
            </w:pPr>
            <w:r>
              <w:rPr>
                <w:rFonts w:ascii="宋体" w:eastAsia="宋体" w:hAnsi="宋体" w:cs="宋体" w:hint="eastAsia"/>
                <w:sz w:val="21"/>
                <w:szCs w:val="21"/>
                <w:lang w:eastAsia="zh-CN" w:bidi="ar"/>
              </w:rPr>
              <w:t>7</w:t>
            </w:r>
          </w:p>
        </w:tc>
        <w:tc>
          <w:tcPr>
            <w:tcW w:w="7583"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tc>
      </w:tr>
      <w:tr>
        <w:tblPrEx>
          <w:tblW w:w="5000" w:type="pct"/>
          <w:jc w:val="center"/>
          <w:tblLayout w:type="fixed"/>
          <w:tblCellMar>
            <w:top w:w="20" w:type="dxa"/>
            <w:left w:w="108" w:type="dxa"/>
            <w:bottom w:w="20" w:type="dxa"/>
            <w:right w:w="108" w:type="dxa"/>
          </w:tblCellMar>
        </w:tblPrEx>
        <w:trPr>
          <w:trHeight w:val="567"/>
          <w:jc w:val="center"/>
        </w:trPr>
        <w:tc>
          <w:tcPr>
            <w:tcW w:w="939"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bidi="ar"/>
              </w:rPr>
            </w:pPr>
            <w:bookmarkStart w:id="2" w:name="_GoBack" w:colFirst="1" w:colLast="1"/>
            <w:r>
              <w:rPr>
                <w:rFonts w:ascii="宋体" w:eastAsia="宋体" w:hAnsi="宋体" w:cs="宋体" w:hint="eastAsia"/>
                <w:sz w:val="21"/>
                <w:szCs w:val="21"/>
                <w:lang w:eastAsia="zh-CN" w:bidi="ar"/>
              </w:rPr>
              <w:t>8</w:t>
            </w:r>
          </w:p>
        </w:tc>
        <w:tc>
          <w:tcPr>
            <w:tcW w:w="7583"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val="0"/>
              <w:kinsoku/>
              <w:overflowPunct/>
              <w:topLinePunct w:val="0"/>
              <w:autoSpaceDE/>
              <w:autoSpaceDN/>
              <w:bidi w:val="0"/>
              <w:spacing w:beforeAutospacing="0" w:afterAutospacing="0" w:line="240" w:lineRule="auto"/>
              <w:ind w:left="0" w:right="0" w:firstLine="0" w:leftChars="0" w:righ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依据《中华人民共和国政府采购法实施条例》第十八条第一款规定，单位负责人为同一人或者存在直接控股、管理关系的不同供应商，不得参加同一合同项下的政府采购活动（由供应商在《龙华区教育系统自行采购投标及履约承诺函》中作出声明并</w:t>
            </w:r>
            <w:r>
              <w:rPr>
                <w:rFonts w:ascii="宋体" w:eastAsia="宋体" w:hAnsi="宋体" w:cs="宋体" w:hint="eastAsia"/>
                <w:kern w:val="2"/>
                <w:sz w:val="21"/>
                <w:szCs w:val="21"/>
                <w:lang w:eastAsia="zh-CN"/>
              </w:rPr>
              <w:t>根据实际填写“股东构成审查表 ”（详见采购文件相应章节）</w:t>
            </w:r>
            <w:r>
              <w:rPr>
                <w:rFonts w:ascii="宋体" w:eastAsia="宋体" w:hAnsi="宋体" w:cs="宋体" w:hint="eastAsia"/>
                <w:sz w:val="21"/>
                <w:szCs w:val="21"/>
                <w:lang w:eastAsia="zh-CN"/>
              </w:rPr>
              <w:t>。</w:t>
            </w:r>
          </w:p>
        </w:tc>
      </w:tr>
      <w:bookmarkEnd w:id="2"/>
    </w:tbl>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b/>
          <w:bCs/>
          <w:kern w:val="2"/>
          <w:sz w:val="40"/>
          <w:szCs w:val="40"/>
          <w:lang w:eastAsia="zh-CN"/>
        </w:r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b/>
          <w:bCs/>
          <w:kern w:val="2"/>
          <w:sz w:val="40"/>
          <w:szCs w:val="40"/>
          <w:lang w:eastAsia="zh-CN"/>
        </w:r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b/>
          <w:bCs/>
          <w:kern w:val="2"/>
          <w:sz w:val="40"/>
          <w:szCs w:val="40"/>
          <w:lang w:eastAsia="zh-CN"/>
        </w:r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b/>
          <w:bCs/>
          <w:kern w:val="2"/>
          <w:sz w:val="40"/>
          <w:szCs w:val="40"/>
          <w:lang w:eastAsia="zh-CN"/>
        </w:r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b/>
          <w:bCs/>
          <w:kern w:val="2"/>
          <w:sz w:val="40"/>
          <w:szCs w:val="40"/>
          <w:lang w:eastAsia="zh-CN"/>
        </w:r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b/>
          <w:bCs/>
          <w:kern w:val="2"/>
          <w:sz w:val="40"/>
          <w:szCs w:val="40"/>
          <w:lang w:eastAsia="zh-CN"/>
        </w:r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1"/>
        <w:rPr>
          <w:rFonts w:ascii="宋体" w:eastAsia="宋体" w:hAnsi="宋体" w:cs="宋体" w:hint="eastAsia"/>
          <w:b/>
          <w:bCs/>
          <w:kern w:val="2"/>
          <w:sz w:val="40"/>
          <w:szCs w:val="40"/>
          <w:lang w:eastAsia="zh-CN"/>
        </w:rPr>
      </w:pPr>
      <w:r>
        <w:rPr>
          <w:rFonts w:ascii="宋体" w:eastAsia="宋体" w:hAnsi="宋体" w:cs="宋体" w:hint="eastAsia"/>
          <w:b/>
          <w:bCs/>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94"/>
        <w:gridCol w:w="7628"/>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rPr>
                <w:rFonts w:ascii="宋体" w:eastAsia="宋体" w:hAnsi="宋体" w:cs="宋体" w:hint="eastAsia"/>
                <w:b/>
                <w:bCs/>
                <w:kern w:val="2"/>
                <w:sz w:val="28"/>
                <w:szCs w:val="28"/>
                <w:lang w:eastAsia="zh-CN"/>
              </w:rPr>
            </w:pPr>
            <w:r>
              <w:rPr>
                <w:rFonts w:ascii="宋体" w:eastAsia="宋体" w:hAnsi="宋体" w:cs="宋体" w:hint="eastAsia"/>
                <w:b/>
                <w:bCs/>
                <w:sz w:val="28"/>
                <w:szCs w:val="28"/>
                <w:lang w:eastAsia="zh-CN" w:bidi="ar"/>
              </w:rPr>
              <w:t>序号</w:t>
            </w:r>
          </w:p>
        </w:tc>
        <w:tc>
          <w:tcPr>
            <w:tcW w:w="7628"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rPr>
                <w:rFonts w:ascii="宋体" w:eastAsia="宋体" w:hAnsi="宋体" w:cs="宋体" w:hint="eastAsia"/>
                <w:b/>
                <w:bCs/>
                <w:kern w:val="2"/>
                <w:sz w:val="28"/>
                <w:szCs w:val="28"/>
                <w:lang w:eastAsia="zh-CN"/>
              </w:rPr>
            </w:pPr>
            <w:r>
              <w:rPr>
                <w:rFonts w:ascii="宋体" w:eastAsia="宋体" w:hAnsi="宋体" w:cs="宋体" w:hint="eastAsia"/>
                <w:b/>
                <w:bCs/>
                <w:sz w:val="28"/>
                <w:szCs w:val="28"/>
                <w:lang w:eastAsia="zh-CN" w:bidi="ar"/>
              </w:rPr>
              <w:t>内容</w:t>
            </w:r>
          </w:p>
        </w:tc>
      </w:tr>
      <w:tr>
        <w:tblPrEx>
          <w:tblW w:w="5000" w:type="pct"/>
          <w:jc w:val="center"/>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1</w:t>
            </w:r>
          </w:p>
        </w:tc>
        <w:tc>
          <w:tcPr>
            <w:tcW w:w="7628"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lang w:eastAsia="zh-CN"/>
              </w:rPr>
              <w:t>将一个包或一个标段的内容拆开投标；</w:t>
            </w:r>
          </w:p>
        </w:tc>
      </w:tr>
      <w:tr>
        <w:tblPrEx>
          <w:tblW w:w="5000" w:type="pct"/>
          <w:jc w:val="center"/>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2</w:t>
            </w:r>
          </w:p>
        </w:tc>
        <w:tc>
          <w:tcPr>
            <w:tcW w:w="7628"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lang w:eastAsia="zh-CN"/>
              </w:rPr>
              <w:t>对同一项目投标时，提供两套（或以上）的投标方案（招标文件另有规定的除外）；</w:t>
            </w:r>
          </w:p>
        </w:tc>
      </w:tr>
      <w:tr>
        <w:tblPrEx>
          <w:tblW w:w="5000" w:type="pct"/>
          <w:jc w:val="center"/>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3</w:t>
            </w:r>
          </w:p>
        </w:tc>
        <w:tc>
          <w:tcPr>
            <w:tcW w:w="7628"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lang w:eastAsia="zh-CN"/>
              </w:rPr>
              <w:t>分项报价或投标总价高于</w:t>
            </w:r>
            <w:bookmarkStart w:id="3" w:name="_Hlk71832186"/>
            <w:r>
              <w:rPr>
                <w:rFonts w:ascii="宋体" w:eastAsia="宋体" w:hAnsi="宋体" w:cs="宋体" w:hint="eastAsia"/>
                <w:kern w:val="2"/>
                <w:sz w:val="21"/>
                <w:lang w:eastAsia="zh-CN"/>
              </w:rPr>
              <w:t>相应财政预算金额（或设定的财政预算金额下的最高限价）</w:t>
            </w:r>
            <w:bookmarkEnd w:id="3"/>
            <w:r>
              <w:rPr>
                <w:rFonts w:ascii="宋体" w:eastAsia="宋体" w:hAnsi="宋体" w:cs="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4</w:t>
            </w:r>
          </w:p>
        </w:tc>
        <w:tc>
          <w:tcPr>
            <w:tcW w:w="7628"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5</w:t>
            </w:r>
          </w:p>
        </w:tc>
        <w:tc>
          <w:tcPr>
            <w:tcW w:w="7628"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lang w:eastAsia="zh-CN"/>
              </w:rPr>
              <w:t>所投货物、服务在技术、商务等方面没有实质性满足招标文件要求的（是否实质性满足招标文件要求，由评审委员会根据《实质性条款响应情况表》做出评判）；</w:t>
            </w:r>
          </w:p>
        </w:tc>
      </w:tr>
      <w:tr>
        <w:tblPrEx>
          <w:tblW w:w="5000" w:type="pct"/>
          <w:jc w:val="center"/>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6</w:t>
            </w:r>
          </w:p>
        </w:tc>
        <w:tc>
          <w:tcPr>
            <w:tcW w:w="7628"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lang w:eastAsia="zh-CN"/>
              </w:rPr>
              <w:t>未按招标文件所提供的样式填写《投标函》；未按招标文件所提供的《龙华区教育系统自行采购投标及履约承诺函》进行承诺；未按招标文件对投标文件组成的要求提供投标文件；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7</w:t>
            </w:r>
          </w:p>
        </w:tc>
        <w:tc>
          <w:tcPr>
            <w:tcW w:w="7628"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lang w:eastAsia="zh-CN"/>
              </w:rPr>
              <w:t>投标报价有缺漏项目,或者对招标文件规定的项目需求内容或者需求数量进行修改</w:t>
            </w:r>
            <w:r>
              <w:rPr>
                <w:rFonts w:ascii="宋体" w:eastAsia="宋体" w:hAnsi="宋体" w:cs="宋体" w:hint="eastAsia"/>
                <w:kern w:val="2"/>
                <w:sz w:val="21"/>
                <w:szCs w:val="21"/>
                <w:lang w:eastAsia="zh-CN"/>
              </w:rPr>
              <w:t>，评审委员会判定投标响应不满足采购需求</w:t>
            </w:r>
            <w:r>
              <w:rPr>
                <w:rFonts w:ascii="宋体" w:eastAsia="宋体" w:hAnsi="宋体" w:cs="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8</w:t>
            </w:r>
          </w:p>
        </w:tc>
        <w:tc>
          <w:tcPr>
            <w:tcW w:w="7628"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lang w:eastAsia="zh-CN"/>
              </w:rPr>
              <w:t>投标文件用不属于本公司的电子密钥进行加密或投标的；</w:t>
            </w:r>
          </w:p>
        </w:tc>
      </w:tr>
      <w:tr>
        <w:tblPrEx>
          <w:tblW w:w="5000" w:type="pct"/>
          <w:jc w:val="center"/>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righ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9</w:t>
            </w:r>
          </w:p>
        </w:tc>
        <w:tc>
          <w:tcPr>
            <w:tcW w:w="7628"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textAlignment w:val="top"/>
              <w:rPr>
                <w:rFonts w:ascii="宋体" w:eastAsia="宋体" w:hAnsi="宋体" w:cs="宋体" w:hint="eastAsia"/>
                <w:kern w:val="2"/>
                <w:sz w:val="21"/>
              </w:rPr>
            </w:pPr>
            <w:r>
              <w:rPr>
                <w:rFonts w:ascii="宋体" w:eastAsia="宋体" w:hAnsi="宋体" w:cs="宋体" w:hint="eastAsia"/>
                <w:kern w:val="2"/>
                <w:sz w:val="21"/>
                <w:lang w:eastAsia="zh-CN"/>
              </w:rPr>
              <w:t>使用同一MAC 或 IP 地址投标的或者不同投标供应商投标文件“文件制作机器码”一致的或者不同投标供应商投标文件“文件创建标识码”一致的；</w:t>
            </w:r>
          </w:p>
        </w:tc>
      </w:tr>
      <w:tr>
        <w:tblPrEx>
          <w:tblW w:w="5000" w:type="pct"/>
          <w:jc w:val="center"/>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righ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10</w:t>
            </w:r>
          </w:p>
        </w:tc>
        <w:tc>
          <w:tcPr>
            <w:tcW w:w="7628"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投标文件电子文档有病毒的；</w:t>
            </w:r>
          </w:p>
        </w:tc>
      </w:tr>
      <w:tr>
        <w:tblPrEx>
          <w:tblW w:w="5000" w:type="pct"/>
          <w:jc w:val="center"/>
          <w:tblLayout w:type="fixed"/>
          <w:tblCellMar>
            <w:top w:w="20" w:type="dxa"/>
            <w:left w:w="108" w:type="dxa"/>
            <w:bottom w:w="20" w:type="dxa"/>
            <w:right w:w="108" w:type="dxa"/>
          </w:tblCellMar>
        </w:tblPrEx>
        <w:trPr>
          <w:trHeight w:val="567"/>
          <w:jc w:val="center"/>
        </w:trPr>
        <w:tc>
          <w:tcPr>
            <w:tcW w:w="894"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righ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11</w:t>
            </w:r>
          </w:p>
        </w:tc>
        <w:tc>
          <w:tcPr>
            <w:tcW w:w="7628"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both"/>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法律、法规、规章、规范性文件规定的其他情形。</w:t>
            </w:r>
          </w:p>
        </w:tc>
      </w:tr>
    </w:tbl>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sz w:val="40"/>
          <w:szCs w:val="40"/>
          <w:lang w:eastAsia="zh-CN"/>
        </w:rPr>
      </w:pP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sz w:val="40"/>
          <w:szCs w:val="40"/>
          <w:lang w:eastAsia="zh-CN"/>
        </w:rPr>
      </w:pPr>
    </w:p>
    <w:p>
      <w:pPr>
        <w:widowControl w:val="0"/>
        <w:jc w:val="both"/>
        <w:rPr>
          <w:rFonts w:ascii="宋体" w:eastAsia="宋体" w:hAnsi="宋体" w:cs="宋体" w:hint="eastAsia"/>
          <w:b/>
          <w:bCs/>
          <w:kern w:val="2"/>
          <w:sz w:val="40"/>
          <w:szCs w:val="40"/>
          <w:lang w:eastAsia="zh-CN"/>
        </w:rPr>
      </w:pPr>
      <w:r>
        <w:rPr>
          <w:rFonts w:ascii="宋体" w:eastAsia="宋体" w:hAnsi="宋体" w:cs="宋体" w:hint="eastAsia"/>
          <w:b/>
          <w:bCs/>
          <w:kern w:val="2"/>
          <w:sz w:val="40"/>
          <w:szCs w:val="40"/>
          <w:lang w:eastAsia="zh-CN"/>
        </w:rPr>
        <w:br w:type="page"/>
      </w:r>
    </w:p>
    <w:p>
      <w:pPr>
        <w:pageBreakBefore w:val="0"/>
        <w:widowControl/>
        <w:kinsoku/>
        <w:overflowPunct/>
        <w:topLinePunct w:val="0"/>
        <w:autoSpaceDE/>
        <w:autoSpaceDN/>
        <w:bidi w:val="0"/>
        <w:spacing w:beforeAutospacing="0" w:afterAutospacing="0" w:line="360" w:lineRule="auto"/>
        <w:ind w:left="0" w:right="0" w:firstLine="0" w:leftChars="0" w:firstLineChars="0"/>
        <w:jc w:val="center"/>
        <w:outlineLvl w:val="1"/>
        <w:rPr>
          <w:rFonts w:ascii="宋体" w:eastAsia="宋体" w:hAnsi="宋体" w:cs="宋体" w:hint="eastAsia"/>
          <w:sz w:val="40"/>
          <w:szCs w:val="40"/>
          <w:lang w:eastAsia="zh-CN"/>
        </w:rPr>
      </w:pPr>
      <w:r>
        <w:rPr>
          <w:rFonts w:ascii="宋体" w:eastAsia="宋体" w:hAnsi="宋体" w:cs="宋体" w:hint="eastAsia"/>
          <w:b/>
          <w:bCs/>
          <w:sz w:val="40"/>
          <w:szCs w:val="40"/>
          <w:lang w:eastAsia="zh-CN"/>
        </w:rPr>
        <w:t>评标信息</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vanish/>
          <w:kern w:val="2"/>
          <w:lang w:eastAsia="zh-CN"/>
        </w:rPr>
      </w:pPr>
    </w:p>
    <w:tbl>
      <w:tblPr>
        <w:tblStyle w:val="TableNormal"/>
        <w:tblW w:w="5000" w:type="pct"/>
        <w:jc w:val="center"/>
        <w:tblCellSpacing w:w="0" w:type="dxa"/>
        <w:tblLayout w:type="fixed"/>
        <w:tblCellMar>
          <w:top w:w="45" w:type="dxa"/>
          <w:left w:w="45" w:type="dxa"/>
          <w:bottom w:w="45" w:type="dxa"/>
          <w:right w:w="45" w:type="dxa"/>
        </w:tblCellMar>
      </w:tblPr>
      <w:tblGrid>
        <w:gridCol w:w="4170"/>
        <w:gridCol w:w="4226"/>
      </w:tblGrid>
      <w:tr>
        <w:tblPrEx>
          <w:tblW w:w="5000" w:type="pct"/>
          <w:jc w:val="center"/>
          <w:tblCellSpacing w:w="0" w:type="dxa"/>
          <w:tblLayout w:type="fixed"/>
          <w:tblCellMar>
            <w:top w:w="45" w:type="dxa"/>
            <w:left w:w="45" w:type="dxa"/>
            <w:bottom w:w="45" w:type="dxa"/>
            <w:right w:w="45" w:type="dxa"/>
          </w:tblCellMar>
        </w:tblPrEx>
        <w:trPr>
          <w:trHeight w:val="602"/>
          <w:tblCellSpacing w:w="0" w:type="dxa"/>
          <w:jc w:val="center"/>
        </w:trPr>
        <w:tc>
          <w:tcPr>
            <w:tcW w:w="4302" w:type="dxa"/>
            <w:tcBorders>
              <w:top w:val="nil"/>
              <w:left w:val="nil"/>
              <w:bottom w:val="nil"/>
              <w:right w:val="nil"/>
            </w:tcBorders>
            <w:noWrap w:val="0"/>
            <w:vAlign w:val="center"/>
          </w:tcPr>
          <w:p>
            <w:pPr>
              <w:pageBreakBefore w:val="0"/>
              <w:widowControl w:val="0"/>
              <w:kinsoku/>
              <w:overflowPunct/>
              <w:topLinePunct w:val="0"/>
              <w:bidi w:val="0"/>
              <w:adjustRightInd/>
              <w:spacing w:beforeAutospacing="0" w:afterAutospacing="0" w:line="360" w:lineRule="auto"/>
              <w:ind w:left="0" w:right="0" w:firstLine="0" w:leftChars="0" w:firstLineChars="0"/>
              <w:jc w:val="both"/>
              <w:rPr>
                <w:rFonts w:ascii="宋体" w:eastAsia="宋体" w:hAnsi="宋体" w:cs="宋体" w:hint="eastAsia"/>
                <w:b/>
                <w:bCs/>
                <w:kern w:val="2"/>
                <w:sz w:val="22"/>
                <w:lang w:eastAsia="zh-CN"/>
              </w:rPr>
            </w:pPr>
            <w:r>
              <w:rPr>
                <w:rFonts w:ascii="宋体" w:eastAsia="宋体" w:hAnsi="宋体" w:cs="宋体" w:hint="eastAsia"/>
                <w:b/>
                <w:bCs/>
                <w:kern w:val="2"/>
                <w:szCs w:val="32"/>
                <w:lang w:eastAsia="zh-CN"/>
              </w:rPr>
              <w:t xml:space="preserve">评标方法：综合评分法 </w:t>
            </w:r>
          </w:p>
        </w:tc>
        <w:tc>
          <w:tcPr>
            <w:tcW w:w="4359" w:type="dxa"/>
            <w:tcBorders>
              <w:top w:val="nil"/>
              <w:left w:val="nil"/>
              <w:bottom w:val="nil"/>
              <w:right w:val="nil"/>
            </w:tcBorders>
            <w:noWrap w:val="0"/>
            <w:vAlign w:val="center"/>
          </w:tcPr>
          <w:p>
            <w:pPr>
              <w:pageBreakBefore w:val="0"/>
              <w:widowControl w:val="0"/>
              <w:kinsoku/>
              <w:overflowPunct/>
              <w:topLinePunct w:val="0"/>
              <w:bidi w:val="0"/>
              <w:adjustRightInd/>
              <w:spacing w:beforeAutospacing="0" w:afterAutospacing="0" w:line="360" w:lineRule="auto"/>
              <w:ind w:left="0" w:right="0" w:firstLine="0" w:leftChars="0" w:firstLineChars="0"/>
              <w:jc w:val="right"/>
              <w:rPr>
                <w:rFonts w:ascii="宋体" w:eastAsia="宋体" w:hAnsi="宋体" w:cs="宋体" w:hint="eastAsia"/>
                <w:b/>
                <w:bCs/>
                <w:kern w:val="2"/>
                <w:szCs w:val="32"/>
                <w:lang w:eastAsia="zh-CN"/>
              </w:rPr>
            </w:pPr>
          </w:p>
        </w:tc>
      </w:tr>
      <w:tr>
        <w:tblPrEx>
          <w:tblW w:w="5000" w:type="pct"/>
          <w:jc w:val="center"/>
          <w:tblCellSpacing w:w="0" w:type="dxa"/>
          <w:tblLayout w:type="fixed"/>
          <w:tblCellMar>
            <w:top w:w="45" w:type="dxa"/>
            <w:left w:w="45" w:type="dxa"/>
            <w:bottom w:w="45" w:type="dxa"/>
            <w:right w:w="45" w:type="dxa"/>
          </w:tblCellMar>
        </w:tblPrEx>
        <w:trPr>
          <w:trHeight w:val="2006"/>
          <w:tblCellSpacing w:w="0" w:type="dxa"/>
          <w:jc w:val="center"/>
        </w:trPr>
        <w:tc>
          <w:tcPr>
            <w:tcW w:w="8661" w:type="dxa"/>
            <w:gridSpan w:val="2"/>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综合评分法，是指投标文件满足招标文件全部实质性要求，且按照评审因素的量化指标评审得分最高的投标人为中标候选人的评标方法。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价格分计算方法：</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投标报价得分=(评标基准价／投标报价)×100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评标总得分＝F1×A1＋F2×A2＋……＋Fn×An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F1、F2……Fn分别为各项评审因素的得分；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A1、A2、……An 分别为各项评审因素所占的权重(A1＋A2＋……＋An＝1)。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评标过程中，不得去掉报价中的最高报价和最低报价。 </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此方法适用于货物类、服务类、工程类项目。</w:t>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tbl>
            <w:tblPr>
              <w:tblStyle w:val="TableNormal"/>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33"/>
              <w:gridCol w:w="589"/>
              <w:gridCol w:w="1157"/>
              <w:gridCol w:w="964"/>
              <w:gridCol w:w="495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5"/>
                <w:jc w:val="center"/>
              </w:trPr>
              <w:tc>
                <w:tcPr>
                  <w:tcW w:w="646" w:type="dxa"/>
                  <w:noWrap w:val="0"/>
                  <w:vAlign w:val="center"/>
                </w:tcPr>
                <w:p>
                  <w:pPr>
                    <w:spacing w:line="240" w:lineRule="exact"/>
                    <w:jc w:val="center"/>
                    <w:rPr>
                      <w:rFonts w:eastAsia="宋体"/>
                      <w:b/>
                      <w:bCs/>
                      <w:sz w:val="21"/>
                      <w:szCs w:val="21"/>
                    </w:rPr>
                  </w:pPr>
                  <w:r>
                    <w:rPr>
                      <w:rFonts w:eastAsia="宋体"/>
                      <w:b/>
                      <w:bCs/>
                      <w:sz w:val="21"/>
                      <w:szCs w:val="21"/>
                    </w:rPr>
                    <w:t>序号</w:t>
                  </w:r>
                </w:p>
              </w:tc>
              <w:tc>
                <w:tcPr>
                  <w:tcW w:w="2775" w:type="dxa"/>
                  <w:gridSpan w:val="3"/>
                  <w:noWrap w:val="0"/>
                  <w:vAlign w:val="center"/>
                </w:tcPr>
                <w:p>
                  <w:pPr>
                    <w:spacing w:line="240" w:lineRule="exact"/>
                    <w:jc w:val="center"/>
                    <w:rPr>
                      <w:rFonts w:eastAsia="宋体"/>
                      <w:b/>
                      <w:bCs/>
                      <w:sz w:val="21"/>
                      <w:szCs w:val="21"/>
                    </w:rPr>
                  </w:pPr>
                  <w:r>
                    <w:rPr>
                      <w:rFonts w:eastAsia="宋体"/>
                      <w:b/>
                      <w:bCs/>
                      <w:sz w:val="21"/>
                      <w:szCs w:val="21"/>
                    </w:rPr>
                    <w:t>评分项</w:t>
                  </w:r>
                </w:p>
              </w:tc>
              <w:tc>
                <w:tcPr>
                  <w:tcW w:w="5107" w:type="dxa"/>
                  <w:noWrap w:val="0"/>
                  <w:vAlign w:val="center"/>
                </w:tcPr>
                <w:p>
                  <w:pPr>
                    <w:spacing w:line="240" w:lineRule="exact"/>
                    <w:jc w:val="center"/>
                    <w:rPr>
                      <w:rFonts w:eastAsia="宋体"/>
                      <w:b/>
                      <w:bCs/>
                      <w:sz w:val="21"/>
                      <w:szCs w:val="21"/>
                    </w:rPr>
                  </w:pPr>
                  <w:r>
                    <w:rPr>
                      <w:rFonts w:eastAsia="宋体"/>
                      <w:b/>
                      <w:bCs/>
                      <w:sz w:val="21"/>
                      <w:szCs w:val="21"/>
                    </w:rPr>
                    <w:t>权重</w:t>
                  </w:r>
                </w:p>
              </w:tc>
            </w:tr>
            <w:tr>
              <w:tblPrEx>
                <w:tblW w:w="5000" w:type="pct"/>
                <w:jc w:val="center"/>
                <w:tblLayout w:type="fixed"/>
                <w:tblCellMar>
                  <w:top w:w="0" w:type="dxa"/>
                  <w:left w:w="108" w:type="dxa"/>
                  <w:bottom w:w="0" w:type="dxa"/>
                  <w:right w:w="108" w:type="dxa"/>
                </w:tblCellMar>
              </w:tblPrEx>
              <w:trPr>
                <w:trHeight w:val="326"/>
                <w:jc w:val="center"/>
              </w:trPr>
              <w:tc>
                <w:tcPr>
                  <w:tcW w:w="646" w:type="dxa"/>
                  <w:noWrap w:val="0"/>
                  <w:vAlign w:val="center"/>
                </w:tcPr>
                <w:p>
                  <w:pPr>
                    <w:spacing w:line="240" w:lineRule="exact"/>
                    <w:jc w:val="center"/>
                    <w:rPr>
                      <w:rFonts w:eastAsia="宋体"/>
                      <w:b/>
                      <w:bCs/>
                      <w:color w:val="0000FF"/>
                      <w:sz w:val="21"/>
                      <w:szCs w:val="21"/>
                    </w:rPr>
                  </w:pPr>
                  <w:r>
                    <w:rPr>
                      <w:rFonts w:eastAsia="宋体"/>
                      <w:b/>
                      <w:bCs/>
                      <w:color w:val="0000FF"/>
                      <w:sz w:val="21"/>
                      <w:szCs w:val="21"/>
                    </w:rPr>
                    <w:t>1</w:t>
                  </w:r>
                </w:p>
              </w:tc>
              <w:tc>
                <w:tcPr>
                  <w:tcW w:w="2775" w:type="dxa"/>
                  <w:gridSpan w:val="3"/>
                  <w:noWrap w:val="0"/>
                  <w:vAlign w:val="center"/>
                </w:tcPr>
                <w:p>
                  <w:pPr>
                    <w:spacing w:line="240" w:lineRule="exact"/>
                    <w:jc w:val="center"/>
                    <w:rPr>
                      <w:rFonts w:eastAsia="宋体"/>
                      <w:b/>
                      <w:bCs/>
                      <w:color w:val="0000FF"/>
                      <w:sz w:val="21"/>
                      <w:szCs w:val="21"/>
                    </w:rPr>
                  </w:pPr>
                  <w:r>
                    <w:rPr>
                      <w:rFonts w:eastAsia="宋体"/>
                      <w:b/>
                      <w:bCs/>
                      <w:color w:val="0000FF"/>
                      <w:sz w:val="21"/>
                      <w:szCs w:val="21"/>
                    </w:rPr>
                    <w:t>价格</w:t>
                  </w:r>
                </w:p>
              </w:tc>
              <w:tc>
                <w:tcPr>
                  <w:tcW w:w="5107" w:type="dxa"/>
                  <w:noWrap w:val="0"/>
                  <w:vAlign w:val="center"/>
                </w:tcPr>
                <w:p>
                  <w:pPr>
                    <w:spacing w:line="240" w:lineRule="exact"/>
                    <w:jc w:val="center"/>
                    <w:rPr>
                      <w:rFonts w:eastAsia="宋体"/>
                      <w:b/>
                      <w:bCs/>
                      <w:color w:val="0000FF"/>
                      <w:sz w:val="21"/>
                      <w:szCs w:val="21"/>
                    </w:rPr>
                  </w:pPr>
                  <w:r>
                    <w:rPr>
                      <w:rFonts w:eastAsia="宋体"/>
                      <w:b/>
                      <w:bCs/>
                      <w:color w:val="0000FF"/>
                      <w:sz w:val="21"/>
                      <w:szCs w:val="21"/>
                    </w:rPr>
                    <w:t>30</w:t>
                  </w:r>
                </w:p>
              </w:tc>
            </w:tr>
            <w:tr>
              <w:tblPrEx>
                <w:tblW w:w="5000" w:type="pct"/>
                <w:jc w:val="center"/>
                <w:tblLayout w:type="fixed"/>
                <w:tblCellMar>
                  <w:top w:w="0" w:type="dxa"/>
                  <w:left w:w="108" w:type="dxa"/>
                  <w:bottom w:w="0" w:type="dxa"/>
                  <w:right w:w="108" w:type="dxa"/>
                </w:tblCellMar>
              </w:tblPrEx>
              <w:trPr>
                <w:trHeight w:val="366"/>
                <w:jc w:val="center"/>
              </w:trPr>
              <w:tc>
                <w:tcPr>
                  <w:tcW w:w="646" w:type="dxa"/>
                  <w:noWrap w:val="0"/>
                  <w:vAlign w:val="center"/>
                </w:tcPr>
                <w:p>
                  <w:pPr>
                    <w:spacing w:line="240" w:lineRule="exact"/>
                    <w:jc w:val="center"/>
                    <w:rPr>
                      <w:rFonts w:eastAsia="宋体"/>
                      <w:b/>
                      <w:bCs/>
                      <w:color w:val="0000FF"/>
                      <w:sz w:val="21"/>
                      <w:szCs w:val="21"/>
                    </w:rPr>
                  </w:pPr>
                  <w:r>
                    <w:rPr>
                      <w:rFonts w:eastAsia="宋体"/>
                      <w:b/>
                      <w:bCs/>
                      <w:color w:val="0000FF"/>
                      <w:sz w:val="21"/>
                      <w:szCs w:val="21"/>
                    </w:rPr>
                    <w:t>2</w:t>
                  </w:r>
                </w:p>
              </w:tc>
              <w:tc>
                <w:tcPr>
                  <w:tcW w:w="2775" w:type="dxa"/>
                  <w:gridSpan w:val="3"/>
                  <w:noWrap w:val="0"/>
                  <w:vAlign w:val="center"/>
                </w:tcPr>
                <w:p>
                  <w:pPr>
                    <w:spacing w:line="240" w:lineRule="exact"/>
                    <w:jc w:val="center"/>
                    <w:rPr>
                      <w:rFonts w:eastAsia="宋体"/>
                      <w:b/>
                      <w:bCs/>
                      <w:color w:val="0000FF"/>
                      <w:sz w:val="21"/>
                      <w:szCs w:val="21"/>
                    </w:rPr>
                  </w:pPr>
                  <w:r>
                    <w:rPr>
                      <w:rFonts w:eastAsia="宋体"/>
                      <w:b/>
                      <w:bCs/>
                      <w:color w:val="0000FF"/>
                      <w:sz w:val="21"/>
                      <w:szCs w:val="21"/>
                    </w:rPr>
                    <w:t>技术评分部分</w:t>
                  </w:r>
                </w:p>
              </w:tc>
              <w:tc>
                <w:tcPr>
                  <w:tcW w:w="5107" w:type="dxa"/>
                  <w:noWrap w:val="0"/>
                  <w:vAlign w:val="center"/>
                </w:tcPr>
                <w:p>
                  <w:pPr>
                    <w:spacing w:line="240" w:lineRule="exact"/>
                    <w:jc w:val="center"/>
                    <w:rPr>
                      <w:rFonts w:eastAsia="宋体"/>
                      <w:b/>
                      <w:bCs/>
                      <w:color w:val="0000FF"/>
                      <w:sz w:val="21"/>
                      <w:szCs w:val="21"/>
                      <w:lang w:eastAsia="zh-CN"/>
                    </w:rPr>
                  </w:pPr>
                  <w:r>
                    <w:rPr>
                      <w:rFonts w:eastAsia="宋体"/>
                      <w:b/>
                      <w:bCs/>
                      <w:color w:val="0000FF"/>
                      <w:sz w:val="21"/>
                      <w:szCs w:val="21"/>
                      <w:lang w:eastAsia="zh-CN"/>
                    </w:rPr>
                    <w:t>57</w:t>
                  </w:r>
                </w:p>
              </w:tc>
            </w:tr>
            <w:tr>
              <w:tblPrEx>
                <w:tblW w:w="5000" w:type="pct"/>
                <w:jc w:val="center"/>
                <w:tblLayout w:type="fixed"/>
                <w:tblCellMar>
                  <w:top w:w="0" w:type="dxa"/>
                  <w:left w:w="108" w:type="dxa"/>
                  <w:bottom w:w="0" w:type="dxa"/>
                  <w:right w:w="108" w:type="dxa"/>
                </w:tblCellMar>
              </w:tblPrEx>
              <w:trPr>
                <w:trHeight w:val="339"/>
                <w:jc w:val="center"/>
              </w:trPr>
              <w:tc>
                <w:tcPr>
                  <w:tcW w:w="646" w:type="dxa"/>
                  <w:vMerge w:val="restart"/>
                  <w:noWrap w:val="0"/>
                  <w:vAlign w:val="center"/>
                </w:tcPr>
                <w:p>
                  <w:pPr>
                    <w:spacing w:line="240" w:lineRule="exact"/>
                    <w:jc w:val="center"/>
                    <w:rPr>
                      <w:rFonts w:eastAsia="宋体"/>
                      <w:sz w:val="21"/>
                      <w:szCs w:val="21"/>
                    </w:rPr>
                  </w:pPr>
                </w:p>
              </w:tc>
              <w:tc>
                <w:tcPr>
                  <w:tcW w:w="600" w:type="dxa"/>
                  <w:noWrap w:val="0"/>
                  <w:vAlign w:val="center"/>
                </w:tcPr>
                <w:p>
                  <w:pPr>
                    <w:spacing w:line="240" w:lineRule="exact"/>
                    <w:jc w:val="center"/>
                    <w:rPr>
                      <w:rFonts w:eastAsia="宋体"/>
                      <w:b/>
                      <w:bCs/>
                      <w:sz w:val="21"/>
                      <w:szCs w:val="21"/>
                    </w:rPr>
                  </w:pPr>
                  <w:r>
                    <w:rPr>
                      <w:rFonts w:eastAsia="宋体"/>
                      <w:b/>
                      <w:bCs/>
                      <w:sz w:val="21"/>
                      <w:szCs w:val="21"/>
                    </w:rPr>
                    <w:t>序号</w:t>
                  </w:r>
                </w:p>
              </w:tc>
              <w:tc>
                <w:tcPr>
                  <w:tcW w:w="1187" w:type="dxa"/>
                  <w:noWrap w:val="0"/>
                  <w:vAlign w:val="center"/>
                </w:tcPr>
                <w:p>
                  <w:pPr>
                    <w:spacing w:line="240" w:lineRule="exact"/>
                    <w:jc w:val="center"/>
                    <w:rPr>
                      <w:rFonts w:eastAsia="宋体"/>
                      <w:b/>
                      <w:bCs/>
                      <w:sz w:val="21"/>
                      <w:szCs w:val="21"/>
                    </w:rPr>
                  </w:pPr>
                  <w:r>
                    <w:rPr>
                      <w:rFonts w:eastAsia="宋体"/>
                      <w:b/>
                      <w:bCs/>
                      <w:sz w:val="21"/>
                      <w:szCs w:val="21"/>
                    </w:rPr>
                    <w:t>评分因素</w:t>
                  </w:r>
                </w:p>
              </w:tc>
              <w:tc>
                <w:tcPr>
                  <w:tcW w:w="988" w:type="dxa"/>
                  <w:noWrap w:val="0"/>
                  <w:vAlign w:val="center"/>
                </w:tcPr>
                <w:p>
                  <w:pPr>
                    <w:spacing w:line="240" w:lineRule="exact"/>
                    <w:jc w:val="center"/>
                    <w:rPr>
                      <w:rFonts w:eastAsia="宋体"/>
                      <w:b/>
                      <w:bCs/>
                      <w:sz w:val="21"/>
                      <w:szCs w:val="21"/>
                    </w:rPr>
                  </w:pPr>
                  <w:r>
                    <w:rPr>
                      <w:rFonts w:eastAsia="宋体"/>
                      <w:b/>
                      <w:bCs/>
                      <w:sz w:val="21"/>
                      <w:szCs w:val="21"/>
                    </w:rPr>
                    <w:t>权重(%)</w:t>
                  </w:r>
                </w:p>
              </w:tc>
              <w:tc>
                <w:tcPr>
                  <w:tcW w:w="5107" w:type="dxa"/>
                  <w:noWrap w:val="0"/>
                  <w:vAlign w:val="center"/>
                </w:tcPr>
                <w:p>
                  <w:pPr>
                    <w:spacing w:line="240" w:lineRule="exact"/>
                    <w:jc w:val="center"/>
                    <w:rPr>
                      <w:rFonts w:eastAsia="宋体"/>
                      <w:b/>
                      <w:bCs/>
                      <w:sz w:val="21"/>
                      <w:szCs w:val="21"/>
                    </w:rPr>
                  </w:pPr>
                  <w:r>
                    <w:rPr>
                      <w:rFonts w:eastAsia="宋体"/>
                      <w:b/>
                      <w:bCs/>
                      <w:sz w:val="21"/>
                      <w:szCs w:val="21"/>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646" w:type="dxa"/>
                  <w:vMerge/>
                  <w:noWrap w:val="0"/>
                  <w:vAlign w:val="center"/>
                </w:tcPr>
                <w:p>
                  <w:pPr>
                    <w:keepNext/>
                    <w:keepLines/>
                    <w:spacing w:before="340" w:after="330" w:line="240" w:lineRule="exact"/>
                    <w:jc w:val="center"/>
                    <w:outlineLvl w:val="0"/>
                    <w:rPr>
                      <w:rFonts w:eastAsia="宋体"/>
                      <w:sz w:val="21"/>
                      <w:szCs w:val="21"/>
                    </w:rPr>
                  </w:pPr>
                </w:p>
              </w:tc>
              <w:tc>
                <w:tcPr>
                  <w:tcW w:w="600" w:type="dxa"/>
                  <w:noWrap w:val="0"/>
                  <w:vAlign w:val="center"/>
                </w:tcPr>
                <w:p>
                  <w:pPr>
                    <w:spacing w:line="240" w:lineRule="exact"/>
                    <w:jc w:val="center"/>
                    <w:rPr>
                      <w:rFonts w:eastAsia="宋体"/>
                      <w:sz w:val="21"/>
                      <w:szCs w:val="21"/>
                    </w:rPr>
                  </w:pPr>
                  <w:r>
                    <w:rPr>
                      <w:rFonts w:eastAsia="宋体"/>
                      <w:sz w:val="21"/>
                      <w:szCs w:val="21"/>
                    </w:rPr>
                    <w:t>1</w:t>
                  </w:r>
                </w:p>
              </w:tc>
              <w:tc>
                <w:tcPr>
                  <w:tcW w:w="1187" w:type="dxa"/>
                  <w:noWrap w:val="0"/>
                  <w:vAlign w:val="center"/>
                </w:tcPr>
                <w:p>
                  <w:pPr>
                    <w:spacing w:line="240" w:lineRule="exact"/>
                    <w:jc w:val="center"/>
                    <w:rPr>
                      <w:rFonts w:eastAsia="宋体"/>
                      <w:sz w:val="21"/>
                      <w:szCs w:val="21"/>
                    </w:rPr>
                  </w:pPr>
                  <w:r>
                    <w:rPr>
                      <w:rFonts w:eastAsia="宋体"/>
                      <w:sz w:val="21"/>
                      <w:szCs w:val="21"/>
                    </w:rPr>
                    <w:t>技术保障措施</w:t>
                  </w:r>
                </w:p>
              </w:tc>
              <w:tc>
                <w:tcPr>
                  <w:tcW w:w="988" w:type="dxa"/>
                  <w:noWrap w:val="0"/>
                  <w:vAlign w:val="center"/>
                </w:tcPr>
                <w:p>
                  <w:pPr>
                    <w:spacing w:line="240" w:lineRule="exact"/>
                    <w:jc w:val="center"/>
                    <w:rPr>
                      <w:rFonts w:eastAsia="宋体"/>
                      <w:sz w:val="21"/>
                      <w:szCs w:val="21"/>
                      <w:lang w:eastAsia="zh-CN"/>
                    </w:rPr>
                  </w:pPr>
                  <w:r>
                    <w:rPr>
                      <w:rFonts w:eastAsia="宋体"/>
                      <w:sz w:val="21"/>
                      <w:szCs w:val="21"/>
                      <w:lang w:eastAsia="zh-CN"/>
                    </w:rPr>
                    <w:t>8</w:t>
                  </w:r>
                </w:p>
              </w:tc>
              <w:tc>
                <w:tcPr>
                  <w:tcW w:w="5107" w:type="dxa"/>
                  <w:noWrap w:val="0"/>
                  <w:vAlign w:val="center"/>
                </w:tcPr>
                <w:p>
                  <w:pPr>
                    <w:rPr>
                      <w:rFonts w:eastAsia="宋体"/>
                      <w:b/>
                      <w:sz w:val="21"/>
                      <w:szCs w:val="21"/>
                    </w:rPr>
                  </w:pPr>
                  <w:r>
                    <w:rPr>
                      <w:rFonts w:eastAsia="宋体"/>
                      <w:b/>
                      <w:sz w:val="21"/>
                      <w:szCs w:val="21"/>
                    </w:rPr>
                    <w:t xml:space="preserve">一、评分内容： </w:t>
                  </w:r>
                </w:p>
                <w:p>
                  <w:pPr>
                    <w:rPr>
                      <w:rFonts w:eastAsia="宋体"/>
                      <w:sz w:val="21"/>
                      <w:szCs w:val="21"/>
                    </w:rPr>
                  </w:pPr>
                  <w:r>
                    <w:rPr>
                      <w:rFonts w:eastAsia="宋体"/>
                      <w:sz w:val="21"/>
                      <w:szCs w:val="21"/>
                    </w:rPr>
                    <w:t>在投标文件中详细说明技术保障措施，</w:t>
                  </w:r>
                  <w:r>
                    <w:rPr>
                      <w:rFonts w:eastAsia="宋体"/>
                      <w:sz w:val="21"/>
                      <w:szCs w:val="21"/>
                      <w:lang w:eastAsia="zh-CN"/>
                    </w:rPr>
                    <w:t>内容</w:t>
                  </w:r>
                  <w:r>
                    <w:rPr>
                      <w:rFonts w:eastAsia="宋体"/>
                      <w:sz w:val="21"/>
                      <w:szCs w:val="21"/>
                    </w:rPr>
                    <w:t>包括</w:t>
                  </w:r>
                  <w:r>
                    <w:rPr>
                      <w:rFonts w:eastAsia="宋体"/>
                      <w:sz w:val="21"/>
                      <w:szCs w:val="21"/>
                      <w:lang w:eastAsia="zh-CN"/>
                    </w:rPr>
                    <w:t>但不限于：（1）</w:t>
                  </w:r>
                  <w:r>
                    <w:rPr>
                      <w:rFonts w:eastAsia="宋体"/>
                      <w:sz w:val="21"/>
                      <w:szCs w:val="21"/>
                    </w:rPr>
                    <w:t>技术团队、</w:t>
                  </w:r>
                  <w:r>
                    <w:rPr>
                      <w:rFonts w:eastAsia="宋体"/>
                      <w:sz w:val="21"/>
                      <w:szCs w:val="21"/>
                      <w:lang w:eastAsia="zh-CN"/>
                    </w:rPr>
                    <w:t>（2）</w:t>
                  </w:r>
                  <w:r>
                    <w:rPr>
                      <w:rFonts w:eastAsia="宋体"/>
                      <w:sz w:val="21"/>
                      <w:szCs w:val="21"/>
                    </w:rPr>
                    <w:t>技术安装方案、</w:t>
                  </w:r>
                  <w:r>
                    <w:rPr>
                      <w:rFonts w:eastAsia="宋体"/>
                      <w:sz w:val="21"/>
                      <w:szCs w:val="21"/>
                      <w:lang w:eastAsia="zh-CN"/>
                    </w:rPr>
                    <w:t>（3）</w:t>
                  </w:r>
                  <w:r>
                    <w:rPr>
                      <w:rFonts w:eastAsia="宋体"/>
                      <w:sz w:val="21"/>
                      <w:szCs w:val="21"/>
                    </w:rPr>
                    <w:t>生产设备及车间实景、</w:t>
                  </w:r>
                  <w:r>
                    <w:rPr>
                      <w:rFonts w:eastAsia="宋体"/>
                      <w:sz w:val="21"/>
                      <w:szCs w:val="21"/>
                      <w:lang w:eastAsia="zh-CN"/>
                    </w:rPr>
                    <w:t>（4）</w:t>
                  </w:r>
                  <w:r>
                    <w:rPr>
                      <w:rFonts w:eastAsia="宋体"/>
                      <w:sz w:val="21"/>
                      <w:szCs w:val="21"/>
                    </w:rPr>
                    <w:t>生产场地、</w:t>
                  </w:r>
                  <w:r>
                    <w:rPr>
                      <w:rFonts w:eastAsia="宋体"/>
                      <w:sz w:val="21"/>
                      <w:szCs w:val="21"/>
                      <w:lang w:eastAsia="zh-CN"/>
                    </w:rPr>
                    <w:t>（5）</w:t>
                  </w:r>
                  <w:r>
                    <w:rPr>
                      <w:rFonts w:eastAsia="宋体"/>
                      <w:sz w:val="21"/>
                      <w:szCs w:val="21"/>
                    </w:rPr>
                    <w:t>服务车辆等，评审委员会根据招标文件的采购需求和投标文件响应情况进行评价，</w:t>
                  </w:r>
                </w:p>
                <w:p>
                  <w:pPr>
                    <w:rPr>
                      <w:rFonts w:eastAsia="宋体"/>
                      <w:b/>
                      <w:sz w:val="21"/>
                      <w:szCs w:val="21"/>
                    </w:rPr>
                  </w:pPr>
                  <w:r>
                    <w:rPr>
                      <w:rFonts w:eastAsia="宋体"/>
                      <w:b/>
                      <w:sz w:val="21"/>
                      <w:szCs w:val="21"/>
                    </w:rPr>
                    <w:t xml:space="preserve">二、评分标准： </w:t>
                  </w:r>
                </w:p>
                <w:p>
                  <w:pPr>
                    <w:rPr>
                      <w:lang w:eastAsia="zh-CN"/>
                    </w:rPr>
                  </w:pPr>
                  <w:r>
                    <w:rPr>
                      <w:rFonts w:eastAsia="宋体"/>
                      <w:sz w:val="21"/>
                      <w:szCs w:val="21"/>
                    </w:rPr>
                    <w:t>1.</w:t>
                  </w:r>
                  <w:r>
                    <w:rPr>
                      <w:rFonts w:eastAsia="宋体"/>
                      <w:sz w:val="21"/>
                      <w:szCs w:val="21"/>
                      <w:lang w:eastAsia="zh-CN"/>
                    </w:rPr>
                    <w:t>上述</w:t>
                  </w:r>
                  <w:r>
                    <w:rPr>
                      <w:rFonts w:eastAsia="宋体"/>
                      <w:sz w:val="21"/>
                      <w:szCs w:val="21"/>
                    </w:rPr>
                    <w:t>全部满足得</w:t>
                  </w:r>
                  <w:r>
                    <w:rPr>
                      <w:rFonts w:eastAsia="宋体"/>
                      <w:sz w:val="21"/>
                      <w:szCs w:val="21"/>
                      <w:lang w:eastAsia="zh-CN"/>
                    </w:rPr>
                    <w:t>40</w:t>
                  </w:r>
                  <w:r>
                    <w:rPr>
                      <w:rFonts w:eastAsia="宋体"/>
                      <w:sz w:val="21"/>
                      <w:szCs w:val="21"/>
                    </w:rPr>
                    <w:t>分；满足</w:t>
                  </w:r>
                  <w:r>
                    <w:rPr>
                      <w:rFonts w:eastAsia="宋体"/>
                      <w:sz w:val="21"/>
                      <w:szCs w:val="21"/>
                      <w:lang w:eastAsia="zh-CN"/>
                    </w:rPr>
                    <w:t>任意4</w:t>
                  </w:r>
                  <w:r>
                    <w:rPr>
                      <w:rFonts w:eastAsia="宋体"/>
                      <w:sz w:val="21"/>
                      <w:szCs w:val="21"/>
                    </w:rPr>
                    <w:t>点得</w:t>
                  </w:r>
                  <w:r>
                    <w:rPr>
                      <w:rFonts w:eastAsia="宋体"/>
                      <w:sz w:val="21"/>
                      <w:szCs w:val="21"/>
                      <w:lang w:eastAsia="zh-CN"/>
                    </w:rPr>
                    <w:t>35</w:t>
                  </w:r>
                  <w:r>
                    <w:rPr>
                      <w:rFonts w:eastAsia="宋体"/>
                      <w:sz w:val="21"/>
                      <w:szCs w:val="21"/>
                    </w:rPr>
                    <w:t>分；满足</w:t>
                  </w:r>
                  <w:r>
                    <w:rPr>
                      <w:rFonts w:eastAsia="宋体"/>
                      <w:sz w:val="21"/>
                      <w:szCs w:val="21"/>
                      <w:lang w:eastAsia="zh-CN"/>
                    </w:rPr>
                    <w:t>任意3</w:t>
                  </w:r>
                  <w:r>
                    <w:rPr>
                      <w:rFonts w:eastAsia="宋体"/>
                      <w:sz w:val="21"/>
                      <w:szCs w:val="21"/>
                    </w:rPr>
                    <w:t>点得</w:t>
                  </w:r>
                  <w:r>
                    <w:rPr>
                      <w:rFonts w:eastAsia="宋体"/>
                      <w:sz w:val="21"/>
                      <w:szCs w:val="21"/>
                      <w:lang w:eastAsia="zh-CN"/>
                    </w:rPr>
                    <w:t>30</w:t>
                  </w:r>
                  <w:r>
                    <w:rPr>
                      <w:rFonts w:eastAsia="宋体"/>
                      <w:sz w:val="21"/>
                      <w:szCs w:val="21"/>
                    </w:rPr>
                    <w:t>分</w:t>
                  </w:r>
                  <w:r>
                    <w:rPr>
                      <w:rFonts w:eastAsia="宋体"/>
                      <w:sz w:val="21"/>
                      <w:szCs w:val="21"/>
                      <w:lang w:eastAsia="zh-CN"/>
                    </w:rPr>
                    <w:t>；</w:t>
                  </w:r>
                  <w:r>
                    <w:rPr>
                      <w:rFonts w:eastAsia="宋体"/>
                      <w:sz w:val="21"/>
                      <w:szCs w:val="21"/>
                    </w:rPr>
                    <w:t>满足</w:t>
                  </w:r>
                  <w:r>
                    <w:rPr>
                      <w:rFonts w:eastAsia="宋体"/>
                      <w:sz w:val="21"/>
                      <w:szCs w:val="21"/>
                      <w:lang w:eastAsia="zh-CN"/>
                    </w:rPr>
                    <w:t>任意2</w:t>
                  </w:r>
                  <w:r>
                    <w:rPr>
                      <w:rFonts w:eastAsia="宋体"/>
                      <w:sz w:val="21"/>
                      <w:szCs w:val="21"/>
                    </w:rPr>
                    <w:t>点得</w:t>
                  </w:r>
                  <w:r>
                    <w:rPr>
                      <w:rFonts w:eastAsia="宋体"/>
                      <w:sz w:val="21"/>
                      <w:szCs w:val="21"/>
                      <w:lang w:eastAsia="zh-CN"/>
                    </w:rPr>
                    <w:t>20</w:t>
                  </w:r>
                  <w:r>
                    <w:rPr>
                      <w:rFonts w:eastAsia="宋体"/>
                      <w:sz w:val="21"/>
                      <w:szCs w:val="21"/>
                    </w:rPr>
                    <w:t>分；满足</w:t>
                  </w:r>
                  <w:r>
                    <w:rPr>
                      <w:rFonts w:eastAsia="宋体"/>
                      <w:sz w:val="21"/>
                      <w:szCs w:val="21"/>
                      <w:lang w:eastAsia="zh-CN"/>
                    </w:rPr>
                    <w:t>任意1</w:t>
                  </w:r>
                  <w:r>
                    <w:rPr>
                      <w:rFonts w:eastAsia="宋体"/>
                      <w:sz w:val="21"/>
                      <w:szCs w:val="21"/>
                    </w:rPr>
                    <w:t>点得</w:t>
                  </w:r>
                  <w:r>
                    <w:rPr>
                      <w:rFonts w:eastAsia="宋体"/>
                      <w:sz w:val="21"/>
                      <w:szCs w:val="21"/>
                      <w:lang w:eastAsia="zh-CN"/>
                    </w:rPr>
                    <w:t>5</w:t>
                  </w:r>
                  <w:r>
                    <w:rPr>
                      <w:rFonts w:eastAsia="宋体"/>
                      <w:sz w:val="21"/>
                      <w:szCs w:val="21"/>
                    </w:rPr>
                    <w:t>分。</w:t>
                  </w:r>
                  <w:r>
                    <w:rPr>
                      <w:rFonts w:eastAsia="宋体"/>
                      <w:sz w:val="21"/>
                      <w:szCs w:val="21"/>
                      <w:lang w:eastAsia="zh-CN"/>
                    </w:rPr>
                    <w:t>未满足</w:t>
                  </w:r>
                  <w:r>
                    <w:rPr>
                      <w:rFonts w:eastAsia="宋体"/>
                      <w:sz w:val="21"/>
                      <w:szCs w:val="21"/>
                    </w:rPr>
                    <w:t>不得分。</w:t>
                  </w:r>
                </w:p>
                <w:p>
                  <w:pPr>
                    <w:rPr>
                      <w:rFonts w:eastAsia="宋体"/>
                      <w:sz w:val="21"/>
                      <w:szCs w:val="21"/>
                    </w:rPr>
                  </w:pPr>
                  <w:r>
                    <w:rPr>
                      <w:rFonts w:eastAsia="宋体"/>
                      <w:sz w:val="21"/>
                      <w:szCs w:val="21"/>
                      <w:lang w:eastAsia="zh-CN"/>
                    </w:rPr>
                    <w:t>2.</w:t>
                  </w:r>
                  <w:r>
                    <w:rPr>
                      <w:rFonts w:eastAsia="宋体"/>
                      <w:sz w:val="21"/>
                      <w:szCs w:val="21"/>
                    </w:rPr>
                    <w:t>在此基础上，</w:t>
                  </w:r>
                  <w:r>
                    <w:rPr>
                      <w:rFonts w:eastAsia="宋体"/>
                      <w:sz w:val="21"/>
                      <w:szCs w:val="21"/>
                      <w:lang w:eastAsia="zh-CN"/>
                    </w:rPr>
                    <w:t>评审委员会</w:t>
                  </w:r>
                  <w:r>
                    <w:rPr>
                      <w:rFonts w:eastAsia="宋体"/>
                      <w:sz w:val="21"/>
                      <w:szCs w:val="21"/>
                    </w:rPr>
                    <w:t>根据各供应商的具体响应内容按照量化的评审因素指标进一步评审：</w:t>
                  </w:r>
                </w:p>
                <w:p>
                  <w:pPr>
                    <w:rPr>
                      <w:rFonts w:eastAsia="宋体"/>
                      <w:sz w:val="21"/>
                      <w:szCs w:val="21"/>
                    </w:rPr>
                  </w:pPr>
                  <w:r>
                    <w:rPr>
                      <w:rFonts w:eastAsia="宋体"/>
                      <w:sz w:val="21"/>
                      <w:szCs w:val="21"/>
                    </w:rPr>
                    <w:t>评审为优（项目方案完善，工作内容和安排考虑周到，流程合理）的加</w:t>
                  </w:r>
                  <w:r>
                    <w:rPr>
                      <w:rFonts w:eastAsia="宋体"/>
                      <w:sz w:val="21"/>
                      <w:szCs w:val="21"/>
                      <w:lang w:eastAsia="zh-CN"/>
                    </w:rPr>
                    <w:t>60</w:t>
                  </w:r>
                  <w:r>
                    <w:rPr>
                      <w:rFonts w:eastAsia="宋体"/>
                      <w:sz w:val="21"/>
                      <w:szCs w:val="21"/>
                    </w:rPr>
                    <w:t>分；评价为良（项目方案较完善，工作内容和安排考虑较周到，流程较合理）的加</w:t>
                  </w:r>
                  <w:r>
                    <w:rPr>
                      <w:rFonts w:eastAsia="宋体"/>
                      <w:sz w:val="21"/>
                      <w:szCs w:val="21"/>
                      <w:lang w:eastAsia="zh-CN"/>
                    </w:rPr>
                    <w:t>30</w:t>
                  </w:r>
                  <w:r>
                    <w:rPr>
                      <w:rFonts w:eastAsia="宋体"/>
                      <w:sz w:val="21"/>
                      <w:szCs w:val="21"/>
                    </w:rPr>
                    <w:t>分；评价为中（项目方案一般，工作内容和安排考虑基本周到，流程一般）的加</w:t>
                  </w:r>
                  <w:r>
                    <w:rPr>
                      <w:rFonts w:eastAsia="宋体"/>
                      <w:sz w:val="21"/>
                      <w:szCs w:val="21"/>
                      <w:lang w:eastAsia="zh-CN"/>
                    </w:rPr>
                    <w:t>10</w:t>
                  </w:r>
                  <w:r>
                    <w:rPr>
                      <w:rFonts w:eastAsia="宋体"/>
                      <w:sz w:val="21"/>
                      <w:szCs w:val="21"/>
                    </w:rPr>
                    <w:t>分；评价为差（项目方案不完善，工作内容和安排考虑欠周到）的不得分。未提供方案不得分。</w:t>
                  </w:r>
                </w:p>
              </w:tc>
            </w:tr>
            <w:tr>
              <w:tblPrEx>
                <w:tblW w:w="5000" w:type="pct"/>
                <w:jc w:val="center"/>
                <w:tblLayout w:type="fixed"/>
                <w:tblCellMar>
                  <w:top w:w="0" w:type="dxa"/>
                  <w:left w:w="108" w:type="dxa"/>
                  <w:bottom w:w="0" w:type="dxa"/>
                  <w:right w:w="108" w:type="dxa"/>
                </w:tblCellMar>
              </w:tblPrEx>
              <w:trPr>
                <w:trHeight w:val="20"/>
                <w:jc w:val="center"/>
              </w:trPr>
              <w:tc>
                <w:tcPr>
                  <w:tcW w:w="646" w:type="dxa"/>
                  <w:vMerge/>
                  <w:noWrap w:val="0"/>
                  <w:vAlign w:val="center"/>
                </w:tcPr>
                <w:p>
                  <w:pPr>
                    <w:keepNext/>
                    <w:keepLines/>
                    <w:spacing w:before="260" w:after="260" w:line="240" w:lineRule="exact"/>
                    <w:jc w:val="center"/>
                    <w:outlineLvl w:val="2"/>
                    <w:rPr>
                      <w:rFonts w:eastAsia="宋体"/>
                      <w:sz w:val="21"/>
                      <w:szCs w:val="21"/>
                    </w:rPr>
                  </w:pPr>
                </w:p>
              </w:tc>
              <w:tc>
                <w:tcPr>
                  <w:tcW w:w="600" w:type="dxa"/>
                  <w:noWrap w:val="0"/>
                  <w:vAlign w:val="center"/>
                </w:tcPr>
                <w:p>
                  <w:pPr>
                    <w:spacing w:line="240" w:lineRule="exact"/>
                    <w:jc w:val="center"/>
                    <w:rPr>
                      <w:rFonts w:eastAsia="宋体"/>
                      <w:kern w:val="2"/>
                      <w:sz w:val="21"/>
                      <w:szCs w:val="21"/>
                      <w:lang w:eastAsia="zh-CN"/>
                    </w:rPr>
                  </w:pPr>
                  <w:r>
                    <w:rPr>
                      <w:rFonts w:eastAsia="宋体"/>
                      <w:sz w:val="21"/>
                      <w:szCs w:val="21"/>
                      <w:lang w:eastAsia="zh-CN"/>
                    </w:rPr>
                    <w:t>2</w:t>
                  </w:r>
                </w:p>
              </w:tc>
              <w:tc>
                <w:tcPr>
                  <w:tcW w:w="1187" w:type="dxa"/>
                  <w:noWrap w:val="0"/>
                  <w:vAlign w:val="center"/>
                </w:tcPr>
                <w:p>
                  <w:pPr>
                    <w:spacing w:line="240" w:lineRule="exact"/>
                    <w:jc w:val="center"/>
                    <w:rPr>
                      <w:rFonts w:eastAsia="宋体"/>
                      <w:kern w:val="2"/>
                      <w:sz w:val="21"/>
                      <w:szCs w:val="21"/>
                      <w:lang w:eastAsia="zh-CN"/>
                    </w:rPr>
                  </w:pPr>
                  <w:r>
                    <w:rPr>
                      <w:rFonts w:eastAsia="宋体"/>
                      <w:sz w:val="21"/>
                      <w:szCs w:val="21"/>
                      <w:lang w:eastAsia="zh-CN"/>
                    </w:rPr>
                    <w:t>售后服务</w:t>
                  </w:r>
                  <w:r>
                    <w:rPr>
                      <w:rFonts w:eastAsia="宋体"/>
                      <w:sz w:val="21"/>
                      <w:szCs w:val="21"/>
                    </w:rPr>
                    <w:t>保障措施</w:t>
                  </w:r>
                </w:p>
              </w:tc>
              <w:tc>
                <w:tcPr>
                  <w:tcW w:w="988" w:type="dxa"/>
                  <w:noWrap w:val="0"/>
                  <w:vAlign w:val="center"/>
                </w:tcPr>
                <w:p>
                  <w:pPr>
                    <w:spacing w:line="240" w:lineRule="exact"/>
                    <w:jc w:val="center"/>
                    <w:rPr>
                      <w:rFonts w:eastAsia="宋体"/>
                      <w:kern w:val="2"/>
                      <w:sz w:val="21"/>
                      <w:szCs w:val="21"/>
                      <w:lang w:eastAsia="zh-CN"/>
                    </w:rPr>
                  </w:pPr>
                  <w:r>
                    <w:rPr>
                      <w:rFonts w:eastAsia="宋体"/>
                      <w:sz w:val="21"/>
                      <w:szCs w:val="21"/>
                      <w:lang w:eastAsia="zh-CN"/>
                    </w:rPr>
                    <w:t>6</w:t>
                  </w:r>
                </w:p>
              </w:tc>
              <w:tc>
                <w:tcPr>
                  <w:tcW w:w="5107" w:type="dxa"/>
                  <w:noWrap w:val="0"/>
                  <w:vAlign w:val="center"/>
                </w:tcPr>
                <w:p>
                  <w:pPr>
                    <w:spacing w:line="240" w:lineRule="auto"/>
                    <w:rPr>
                      <w:rFonts w:eastAsia="宋体"/>
                      <w:b/>
                      <w:sz w:val="21"/>
                      <w:szCs w:val="21"/>
                    </w:rPr>
                  </w:pPr>
                  <w:r>
                    <w:rPr>
                      <w:rFonts w:eastAsia="宋体"/>
                      <w:b/>
                      <w:sz w:val="21"/>
                      <w:szCs w:val="21"/>
                    </w:rPr>
                    <w:t xml:space="preserve">一、评分内容： </w:t>
                  </w:r>
                </w:p>
                <w:p>
                  <w:pPr>
                    <w:spacing w:line="240" w:lineRule="auto"/>
                    <w:rPr>
                      <w:rFonts w:eastAsia="宋体"/>
                      <w:sz w:val="21"/>
                      <w:szCs w:val="21"/>
                    </w:rPr>
                  </w:pPr>
                  <w:r>
                    <w:rPr>
                      <w:rFonts w:eastAsia="宋体"/>
                      <w:sz w:val="21"/>
                      <w:szCs w:val="21"/>
                    </w:rPr>
                    <w:t>在投标文件中详细说明</w:t>
                  </w:r>
                  <w:r>
                    <w:rPr>
                      <w:rFonts w:eastAsia="宋体"/>
                      <w:sz w:val="21"/>
                      <w:szCs w:val="21"/>
                      <w:lang w:eastAsia="zh-CN"/>
                    </w:rPr>
                    <w:t>售后服务</w:t>
                  </w:r>
                  <w:r>
                    <w:rPr>
                      <w:rFonts w:eastAsia="宋体"/>
                      <w:sz w:val="21"/>
                      <w:szCs w:val="21"/>
                    </w:rPr>
                    <w:t>保障措施，</w:t>
                  </w:r>
                  <w:r>
                    <w:rPr>
                      <w:rFonts w:eastAsia="宋体"/>
                      <w:sz w:val="21"/>
                      <w:szCs w:val="21"/>
                      <w:lang w:eastAsia="zh-CN"/>
                    </w:rPr>
                    <w:t>内容</w:t>
                  </w:r>
                  <w:r>
                    <w:rPr>
                      <w:rFonts w:eastAsia="宋体"/>
                      <w:sz w:val="21"/>
                      <w:szCs w:val="21"/>
                    </w:rPr>
                    <w:t>包括</w:t>
                  </w:r>
                  <w:r>
                    <w:rPr>
                      <w:rFonts w:eastAsia="宋体"/>
                      <w:sz w:val="21"/>
                      <w:szCs w:val="21"/>
                      <w:lang w:eastAsia="zh-CN"/>
                    </w:rPr>
                    <w:t>但不限于：（1）售后服务团队、（2）售后服务机构、（3）保修期内售后保障及保修期外售后服务保障、（4）售后响应时间</w:t>
                  </w:r>
                  <w:r>
                    <w:rPr>
                      <w:rFonts w:eastAsia="宋体"/>
                      <w:sz w:val="21"/>
                      <w:szCs w:val="21"/>
                    </w:rPr>
                    <w:t>等，评审委员会根据招标文件的采购需求和投标文件响应情况进行评价，</w:t>
                  </w:r>
                </w:p>
                <w:p>
                  <w:pPr>
                    <w:spacing w:line="240" w:lineRule="auto"/>
                    <w:rPr>
                      <w:rFonts w:eastAsia="宋体"/>
                      <w:b/>
                      <w:sz w:val="21"/>
                      <w:szCs w:val="21"/>
                    </w:rPr>
                  </w:pPr>
                  <w:r>
                    <w:rPr>
                      <w:rFonts w:eastAsia="宋体"/>
                      <w:b/>
                      <w:sz w:val="21"/>
                      <w:szCs w:val="21"/>
                    </w:rPr>
                    <w:t xml:space="preserve">二、评分标准： </w:t>
                  </w:r>
                </w:p>
                <w:p>
                  <w:pPr>
                    <w:spacing w:line="240" w:lineRule="auto"/>
                    <w:rPr>
                      <w:rFonts w:eastAsia="宋体"/>
                      <w:sz w:val="21"/>
                      <w:szCs w:val="21"/>
                    </w:rPr>
                  </w:pPr>
                  <w:r>
                    <w:rPr>
                      <w:rFonts w:eastAsia="宋体"/>
                      <w:sz w:val="21"/>
                      <w:szCs w:val="21"/>
                    </w:rPr>
                    <w:t>1.</w:t>
                  </w:r>
                  <w:r>
                    <w:rPr>
                      <w:rFonts w:eastAsia="宋体"/>
                      <w:sz w:val="21"/>
                      <w:szCs w:val="21"/>
                      <w:lang w:eastAsia="zh-CN"/>
                    </w:rPr>
                    <w:t>上述</w:t>
                  </w:r>
                  <w:r>
                    <w:rPr>
                      <w:rFonts w:eastAsia="宋体"/>
                      <w:sz w:val="21"/>
                      <w:szCs w:val="21"/>
                    </w:rPr>
                    <w:t>全部满足得</w:t>
                  </w:r>
                  <w:r>
                    <w:rPr>
                      <w:rFonts w:eastAsia="宋体"/>
                      <w:sz w:val="21"/>
                      <w:szCs w:val="21"/>
                      <w:lang w:eastAsia="zh-CN"/>
                    </w:rPr>
                    <w:t>30</w:t>
                  </w:r>
                  <w:r>
                    <w:rPr>
                      <w:rFonts w:eastAsia="宋体"/>
                      <w:sz w:val="21"/>
                      <w:szCs w:val="21"/>
                    </w:rPr>
                    <w:t>分；满足</w:t>
                  </w:r>
                  <w:r>
                    <w:rPr>
                      <w:rFonts w:eastAsia="宋体"/>
                      <w:sz w:val="21"/>
                      <w:szCs w:val="21"/>
                      <w:lang w:eastAsia="zh-CN"/>
                    </w:rPr>
                    <w:t>任意3</w:t>
                  </w:r>
                  <w:r>
                    <w:rPr>
                      <w:rFonts w:eastAsia="宋体"/>
                      <w:sz w:val="21"/>
                      <w:szCs w:val="21"/>
                    </w:rPr>
                    <w:t>点得</w:t>
                  </w:r>
                  <w:r>
                    <w:rPr>
                      <w:rFonts w:eastAsia="宋体"/>
                      <w:sz w:val="21"/>
                      <w:szCs w:val="21"/>
                      <w:lang w:eastAsia="zh-CN"/>
                    </w:rPr>
                    <w:t>20</w:t>
                  </w:r>
                  <w:r>
                    <w:rPr>
                      <w:rFonts w:eastAsia="宋体"/>
                      <w:sz w:val="21"/>
                      <w:szCs w:val="21"/>
                    </w:rPr>
                    <w:t>分；满足</w:t>
                  </w:r>
                  <w:r>
                    <w:rPr>
                      <w:rFonts w:eastAsia="宋体"/>
                      <w:sz w:val="21"/>
                      <w:szCs w:val="21"/>
                      <w:lang w:eastAsia="zh-CN"/>
                    </w:rPr>
                    <w:t>任意2</w:t>
                  </w:r>
                  <w:r>
                    <w:rPr>
                      <w:rFonts w:eastAsia="宋体"/>
                      <w:sz w:val="21"/>
                      <w:szCs w:val="21"/>
                    </w:rPr>
                    <w:t>点得</w:t>
                  </w:r>
                  <w:r>
                    <w:rPr>
                      <w:rFonts w:eastAsia="宋体"/>
                      <w:sz w:val="21"/>
                      <w:szCs w:val="21"/>
                      <w:lang w:eastAsia="zh-CN"/>
                    </w:rPr>
                    <w:t>10</w:t>
                  </w:r>
                  <w:r>
                    <w:rPr>
                      <w:rFonts w:eastAsia="宋体"/>
                      <w:sz w:val="21"/>
                      <w:szCs w:val="21"/>
                    </w:rPr>
                    <w:t>分</w:t>
                  </w:r>
                  <w:r>
                    <w:rPr>
                      <w:rFonts w:eastAsia="宋体"/>
                      <w:sz w:val="21"/>
                      <w:szCs w:val="21"/>
                      <w:lang w:eastAsia="zh-CN"/>
                    </w:rPr>
                    <w:t>；</w:t>
                  </w:r>
                  <w:r>
                    <w:rPr>
                      <w:rFonts w:eastAsia="宋体"/>
                      <w:sz w:val="21"/>
                      <w:szCs w:val="21"/>
                    </w:rPr>
                    <w:t>满足</w:t>
                  </w:r>
                  <w:r>
                    <w:rPr>
                      <w:rFonts w:eastAsia="宋体"/>
                      <w:sz w:val="21"/>
                      <w:szCs w:val="21"/>
                      <w:lang w:eastAsia="zh-CN"/>
                    </w:rPr>
                    <w:t>任意1</w:t>
                  </w:r>
                  <w:r>
                    <w:rPr>
                      <w:rFonts w:eastAsia="宋体"/>
                      <w:sz w:val="21"/>
                      <w:szCs w:val="21"/>
                    </w:rPr>
                    <w:t>点得</w:t>
                  </w:r>
                  <w:r>
                    <w:rPr>
                      <w:rFonts w:eastAsia="宋体"/>
                      <w:sz w:val="21"/>
                      <w:szCs w:val="21"/>
                      <w:lang w:eastAsia="zh-CN"/>
                    </w:rPr>
                    <w:t>5</w:t>
                  </w:r>
                  <w:r>
                    <w:rPr>
                      <w:rFonts w:eastAsia="宋体"/>
                      <w:sz w:val="21"/>
                      <w:szCs w:val="21"/>
                    </w:rPr>
                    <w:t>分。</w:t>
                  </w:r>
                  <w:r>
                    <w:rPr>
                      <w:rFonts w:eastAsia="宋体"/>
                      <w:sz w:val="21"/>
                      <w:szCs w:val="21"/>
                      <w:lang w:eastAsia="zh-CN"/>
                    </w:rPr>
                    <w:t>未满足</w:t>
                  </w:r>
                  <w:r>
                    <w:rPr>
                      <w:rFonts w:eastAsia="宋体"/>
                      <w:sz w:val="21"/>
                      <w:szCs w:val="21"/>
                    </w:rPr>
                    <w:t>不得分。</w:t>
                  </w:r>
                </w:p>
                <w:p>
                  <w:pPr>
                    <w:spacing w:line="240" w:lineRule="auto"/>
                    <w:rPr>
                      <w:rFonts w:eastAsia="宋体"/>
                      <w:sz w:val="21"/>
                      <w:szCs w:val="21"/>
                    </w:rPr>
                  </w:pPr>
                  <w:r>
                    <w:rPr>
                      <w:rFonts w:eastAsia="宋体"/>
                      <w:sz w:val="21"/>
                      <w:szCs w:val="21"/>
                      <w:lang w:eastAsia="zh-CN"/>
                    </w:rPr>
                    <w:t>2.</w:t>
                  </w:r>
                  <w:r>
                    <w:rPr>
                      <w:rFonts w:eastAsia="宋体"/>
                      <w:sz w:val="21"/>
                      <w:szCs w:val="21"/>
                    </w:rPr>
                    <w:t>在此基础上，</w:t>
                  </w:r>
                  <w:r>
                    <w:rPr>
                      <w:rFonts w:eastAsia="宋体"/>
                      <w:sz w:val="21"/>
                      <w:szCs w:val="21"/>
                      <w:lang w:eastAsia="zh-CN"/>
                    </w:rPr>
                    <w:t>评审委员会</w:t>
                  </w:r>
                  <w:r>
                    <w:rPr>
                      <w:rFonts w:eastAsia="宋体"/>
                      <w:sz w:val="21"/>
                      <w:szCs w:val="21"/>
                    </w:rPr>
                    <w:t>根据各供应商的具体响应内容按照量化的评审因素指标进一步评审：</w:t>
                  </w:r>
                </w:p>
                <w:p>
                  <w:pPr>
                    <w:spacing w:line="240" w:lineRule="auto"/>
                    <w:rPr>
                      <w:rFonts w:eastAsia="宋体"/>
                      <w:kern w:val="2"/>
                      <w:sz w:val="21"/>
                      <w:szCs w:val="21"/>
                      <w:lang w:eastAsia="zh-CN"/>
                    </w:rPr>
                  </w:pPr>
                  <w:r>
                    <w:rPr>
                      <w:rFonts w:eastAsia="宋体"/>
                      <w:sz w:val="21"/>
                      <w:szCs w:val="21"/>
                    </w:rPr>
                    <w:t>评审为优（项目方案完善，工作内容和安排考虑周到，流程合理）的加</w:t>
                  </w:r>
                  <w:r>
                    <w:rPr>
                      <w:rFonts w:eastAsia="宋体"/>
                      <w:sz w:val="21"/>
                      <w:szCs w:val="21"/>
                      <w:lang w:eastAsia="zh-CN"/>
                    </w:rPr>
                    <w:t>70</w:t>
                  </w:r>
                  <w:r>
                    <w:rPr>
                      <w:rFonts w:eastAsia="宋体"/>
                      <w:sz w:val="21"/>
                      <w:szCs w:val="21"/>
                    </w:rPr>
                    <w:t>分；评价为良（项目方案较完善，工作内容和安排考虑较周到，流程较合理）的加</w:t>
                  </w:r>
                  <w:r>
                    <w:rPr>
                      <w:rFonts w:eastAsia="宋体"/>
                      <w:sz w:val="21"/>
                      <w:szCs w:val="21"/>
                      <w:lang w:eastAsia="zh-CN"/>
                    </w:rPr>
                    <w:t>30</w:t>
                  </w:r>
                  <w:r>
                    <w:rPr>
                      <w:rFonts w:eastAsia="宋体"/>
                      <w:sz w:val="21"/>
                      <w:szCs w:val="21"/>
                    </w:rPr>
                    <w:t>分；评价为中（项目方案一般，工作内容和安排考虑基本周到，流程一般）的加</w:t>
                  </w:r>
                  <w:r>
                    <w:rPr>
                      <w:rFonts w:eastAsia="宋体"/>
                      <w:sz w:val="21"/>
                      <w:szCs w:val="21"/>
                      <w:lang w:eastAsia="zh-CN"/>
                    </w:rPr>
                    <w:t>10</w:t>
                  </w:r>
                  <w:r>
                    <w:rPr>
                      <w:rFonts w:eastAsia="宋体"/>
                      <w:sz w:val="21"/>
                      <w:szCs w:val="21"/>
                    </w:rPr>
                    <w:t>分；评价为差（项目方案不完善，工作内容和安排考虑欠周到）的不得分。未提供方案不得分。</w:t>
                  </w:r>
                </w:p>
              </w:tc>
            </w:tr>
            <w:tr>
              <w:tblPrEx>
                <w:tblW w:w="5000" w:type="pct"/>
                <w:jc w:val="center"/>
                <w:tblLayout w:type="fixed"/>
                <w:tblCellMar>
                  <w:top w:w="0" w:type="dxa"/>
                  <w:left w:w="108" w:type="dxa"/>
                  <w:bottom w:w="0" w:type="dxa"/>
                  <w:right w:w="108" w:type="dxa"/>
                </w:tblCellMar>
              </w:tblPrEx>
              <w:trPr>
                <w:trHeight w:val="1568"/>
                <w:jc w:val="center"/>
              </w:trPr>
              <w:tc>
                <w:tcPr>
                  <w:tcW w:w="646" w:type="dxa"/>
                  <w:vMerge/>
                  <w:noWrap w:val="0"/>
                  <w:vAlign w:val="center"/>
                </w:tcPr>
                <w:p>
                  <w:pPr>
                    <w:keepNext/>
                    <w:keepLines/>
                    <w:spacing w:before="260" w:after="260" w:line="240" w:lineRule="exact"/>
                    <w:jc w:val="center"/>
                    <w:outlineLvl w:val="2"/>
                    <w:rPr>
                      <w:rFonts w:eastAsia="宋体"/>
                      <w:sz w:val="21"/>
                      <w:szCs w:val="21"/>
                    </w:rPr>
                  </w:pPr>
                </w:p>
              </w:tc>
              <w:tc>
                <w:tcPr>
                  <w:tcW w:w="600" w:type="dxa"/>
                  <w:noWrap w:val="0"/>
                  <w:vAlign w:val="center"/>
                </w:tcPr>
                <w:p>
                  <w:pPr>
                    <w:spacing w:line="240" w:lineRule="exact"/>
                    <w:jc w:val="center"/>
                    <w:rPr>
                      <w:rFonts w:eastAsia="宋体"/>
                      <w:sz w:val="21"/>
                      <w:szCs w:val="21"/>
                      <w:lang w:eastAsia="zh-CN"/>
                    </w:rPr>
                  </w:pPr>
                  <w:r>
                    <w:rPr>
                      <w:rFonts w:eastAsia="宋体"/>
                      <w:sz w:val="21"/>
                      <w:szCs w:val="21"/>
                      <w:lang w:eastAsia="zh-CN"/>
                    </w:rPr>
                    <w:t>3</w:t>
                  </w:r>
                </w:p>
              </w:tc>
              <w:tc>
                <w:tcPr>
                  <w:tcW w:w="1187" w:type="dxa"/>
                  <w:noWrap w:val="0"/>
                  <w:vAlign w:val="center"/>
                </w:tcPr>
                <w:p>
                  <w:pPr>
                    <w:spacing w:line="240" w:lineRule="exact"/>
                    <w:jc w:val="center"/>
                    <w:rPr>
                      <w:rFonts w:eastAsia="宋体"/>
                      <w:sz w:val="21"/>
                      <w:szCs w:val="21"/>
                    </w:rPr>
                  </w:pPr>
                  <w:r>
                    <w:rPr>
                      <w:rFonts w:eastAsia="宋体"/>
                      <w:sz w:val="21"/>
                      <w:szCs w:val="21"/>
                    </w:rPr>
                    <w:t>技术规格偏离情况</w:t>
                  </w:r>
                </w:p>
              </w:tc>
              <w:tc>
                <w:tcPr>
                  <w:tcW w:w="988" w:type="dxa"/>
                  <w:noWrap w:val="0"/>
                  <w:vAlign w:val="center"/>
                </w:tcPr>
                <w:p>
                  <w:pPr>
                    <w:spacing w:line="240" w:lineRule="exact"/>
                    <w:jc w:val="center"/>
                    <w:rPr>
                      <w:rFonts w:eastAsia="宋体"/>
                      <w:sz w:val="21"/>
                      <w:szCs w:val="21"/>
                      <w:lang w:eastAsia="zh-CN"/>
                    </w:rPr>
                  </w:pPr>
                  <w:r>
                    <w:rPr>
                      <w:rFonts w:eastAsia="宋体"/>
                      <w:sz w:val="21"/>
                      <w:szCs w:val="21"/>
                      <w:lang w:eastAsia="zh-CN"/>
                    </w:rPr>
                    <w:t>34</w:t>
                  </w:r>
                </w:p>
              </w:tc>
              <w:tc>
                <w:tcPr>
                  <w:tcW w:w="5107" w:type="dxa"/>
                  <w:noWrap w:val="0"/>
                  <w:vAlign w:val="center"/>
                </w:tcPr>
                <w:p>
                  <w:pPr>
                    <w:spacing w:line="240" w:lineRule="auto"/>
                    <w:rPr>
                      <w:rFonts w:eastAsia="宋体"/>
                      <w:sz w:val="21"/>
                      <w:szCs w:val="21"/>
                    </w:rPr>
                  </w:pPr>
                  <w:r>
                    <w:rPr>
                      <w:rFonts w:eastAsia="宋体"/>
                      <w:sz w:val="21"/>
                      <w:szCs w:val="21"/>
                    </w:rPr>
                    <w:t>评审小组根据《技术规格偏离表》（以下简称“偏离表”）响应情况进行打分，全部满足的得</w:t>
                  </w:r>
                  <w:r>
                    <w:rPr>
                      <w:rFonts w:eastAsia="宋体"/>
                      <w:sz w:val="21"/>
                      <w:szCs w:val="21"/>
                      <w:lang w:eastAsia="zh-CN"/>
                    </w:rPr>
                    <w:t>满</w:t>
                  </w:r>
                  <w:r>
                    <w:rPr>
                      <w:rFonts w:eastAsia="宋体"/>
                      <w:sz w:val="21"/>
                      <w:szCs w:val="21"/>
                    </w:rPr>
                    <w:t>分，一般参数负偏离一项扣</w:t>
                  </w:r>
                  <w:r>
                    <w:rPr>
                      <w:rFonts w:eastAsia="宋体"/>
                      <w:sz w:val="21"/>
                      <w:szCs w:val="21"/>
                      <w:lang w:eastAsia="zh-CN"/>
                    </w:rPr>
                    <w:t>1分</w:t>
                  </w:r>
                  <w:r>
                    <w:rPr>
                      <w:rFonts w:eastAsia="宋体"/>
                      <w:sz w:val="21"/>
                      <w:szCs w:val="21"/>
                    </w:rPr>
                    <w:t>，重点技术参数▲项负偏离一项扣</w:t>
                  </w:r>
                  <w:r>
                    <w:rPr>
                      <w:rFonts w:eastAsia="宋体"/>
                      <w:sz w:val="21"/>
                      <w:szCs w:val="21"/>
                      <w:lang w:eastAsia="zh-CN"/>
                    </w:rPr>
                    <w:t>10分</w:t>
                  </w:r>
                  <w:r>
                    <w:rPr>
                      <w:rFonts w:eastAsia="宋体"/>
                      <w:sz w:val="21"/>
                      <w:szCs w:val="21"/>
                      <w:lang w:eastAsia="zh-CN"/>
                    </w:rPr>
                    <w:t>，</w:t>
                  </w:r>
                  <w:r>
                    <w:rPr>
                      <w:rFonts w:eastAsia="宋体"/>
                      <w:sz w:val="21"/>
                      <w:szCs w:val="21"/>
                    </w:rPr>
                    <w:t>扣完为止。</w:t>
                  </w:r>
                </w:p>
                <w:p>
                  <w:pPr>
                    <w:spacing w:line="240" w:lineRule="auto"/>
                    <w:rPr>
                      <w:rFonts w:eastAsia="宋体"/>
                      <w:sz w:val="21"/>
                      <w:szCs w:val="21"/>
                    </w:rPr>
                  </w:pPr>
                  <w:r>
                    <w:rPr>
                      <w:rFonts w:eastAsia="宋体"/>
                      <w:sz w:val="21"/>
                      <w:szCs w:val="21"/>
                    </w:rPr>
                    <w:t xml:space="preserve">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tblPrEx>
                <w:tblW w:w="5000" w:type="pct"/>
                <w:jc w:val="center"/>
                <w:tblLayout w:type="fixed"/>
                <w:tblCellMar>
                  <w:top w:w="0" w:type="dxa"/>
                  <w:left w:w="108" w:type="dxa"/>
                  <w:bottom w:w="0" w:type="dxa"/>
                  <w:right w:w="108" w:type="dxa"/>
                </w:tblCellMar>
              </w:tblPrEx>
              <w:trPr>
                <w:trHeight w:val="154"/>
                <w:jc w:val="center"/>
              </w:trPr>
              <w:tc>
                <w:tcPr>
                  <w:tcW w:w="646" w:type="dxa"/>
                  <w:vMerge/>
                  <w:noWrap w:val="0"/>
                  <w:vAlign w:val="center"/>
                </w:tcPr>
                <w:p>
                  <w:pPr>
                    <w:spacing w:line="240" w:lineRule="exact"/>
                    <w:jc w:val="center"/>
                    <w:rPr>
                      <w:rFonts w:eastAsia="宋体"/>
                      <w:sz w:val="21"/>
                      <w:szCs w:val="21"/>
                    </w:rPr>
                  </w:pPr>
                </w:p>
              </w:tc>
              <w:tc>
                <w:tcPr>
                  <w:tcW w:w="600" w:type="dxa"/>
                  <w:noWrap w:val="0"/>
                  <w:vAlign w:val="center"/>
                </w:tcPr>
                <w:p>
                  <w:pPr>
                    <w:spacing w:line="240" w:lineRule="exact"/>
                    <w:jc w:val="center"/>
                    <w:rPr>
                      <w:rFonts w:eastAsia="宋体"/>
                      <w:sz w:val="21"/>
                      <w:szCs w:val="21"/>
                      <w:lang w:eastAsia="zh-CN"/>
                    </w:rPr>
                  </w:pPr>
                  <w:r>
                    <w:rPr>
                      <w:rFonts w:eastAsia="宋体"/>
                      <w:sz w:val="21"/>
                      <w:szCs w:val="21"/>
                      <w:lang w:eastAsia="zh-CN"/>
                    </w:rPr>
                    <w:t>4</w:t>
                  </w:r>
                </w:p>
              </w:tc>
              <w:tc>
                <w:tcPr>
                  <w:tcW w:w="1187" w:type="dxa"/>
                  <w:noWrap w:val="0"/>
                  <w:vAlign w:val="center"/>
                </w:tcPr>
                <w:p>
                  <w:pPr>
                    <w:spacing w:line="240" w:lineRule="exact"/>
                    <w:jc w:val="center"/>
                    <w:rPr>
                      <w:rFonts w:eastAsia="宋体"/>
                      <w:sz w:val="21"/>
                      <w:szCs w:val="21"/>
                    </w:rPr>
                  </w:pPr>
                  <w:r>
                    <w:rPr>
                      <w:rFonts w:eastAsia="宋体"/>
                      <w:color w:val="000000"/>
                      <w:sz w:val="21"/>
                      <w:szCs w:val="21"/>
                      <w:lang w:eastAsia="zh-CN" w:bidi="ar"/>
                    </w:rPr>
                    <w:t>现场勘查</w:t>
                  </w:r>
                </w:p>
              </w:tc>
              <w:tc>
                <w:tcPr>
                  <w:tcW w:w="988" w:type="dxa"/>
                  <w:noWrap w:val="0"/>
                  <w:vAlign w:val="center"/>
                </w:tcPr>
                <w:p>
                  <w:pPr>
                    <w:spacing w:line="240" w:lineRule="exact"/>
                    <w:jc w:val="center"/>
                    <w:rPr>
                      <w:rFonts w:eastAsia="宋体"/>
                      <w:sz w:val="21"/>
                      <w:szCs w:val="21"/>
                      <w:lang w:eastAsia="zh-CN"/>
                    </w:rPr>
                  </w:pPr>
                  <w:r>
                    <w:rPr>
                      <w:rFonts w:eastAsia="宋体"/>
                      <w:sz w:val="21"/>
                      <w:szCs w:val="21"/>
                      <w:lang w:eastAsia="zh-CN"/>
                    </w:rPr>
                    <w:t>2</w:t>
                  </w:r>
                </w:p>
              </w:tc>
              <w:tc>
                <w:tcPr>
                  <w:tcW w:w="5107" w:type="dxa"/>
                  <w:noWrap w:val="0"/>
                  <w:vAlign w:val="center"/>
                </w:tcPr>
                <w:p>
                  <w:pPr>
                    <w:spacing w:line="240" w:lineRule="auto"/>
                    <w:rPr>
                      <w:rFonts w:eastAsia="宋体"/>
                      <w:b/>
                      <w:bCs/>
                      <w:sz w:val="21"/>
                      <w:szCs w:val="21"/>
                      <w:lang w:eastAsia="zh-CN"/>
                    </w:rPr>
                  </w:pPr>
                  <w:r>
                    <w:rPr>
                      <w:rFonts w:eastAsia="宋体"/>
                      <w:b/>
                      <w:bCs/>
                      <w:sz w:val="21"/>
                      <w:szCs w:val="21"/>
                      <w:lang w:eastAsia="zh-CN"/>
                    </w:rPr>
                    <w:t>（一）评分内容：</w:t>
                  </w:r>
                </w:p>
                <w:p>
                  <w:pPr>
                    <w:spacing w:line="240" w:lineRule="auto"/>
                    <w:ind w:firstLine="420" w:firstLineChars="200"/>
                    <w:rPr>
                      <w:rFonts w:eastAsia="宋体"/>
                      <w:sz w:val="21"/>
                      <w:szCs w:val="21"/>
                      <w:lang w:eastAsia="zh-CN"/>
                    </w:rPr>
                  </w:pPr>
                  <w:r>
                    <w:rPr>
                      <w:rFonts w:eastAsia="宋体"/>
                      <w:sz w:val="21"/>
                      <w:szCs w:val="21"/>
                      <w:lang w:eastAsia="zh-CN"/>
                    </w:rPr>
                    <w:t>投标人在</w:t>
                  </w:r>
                  <w:r>
                    <w:rPr>
                      <w:rFonts w:eastAsia="宋体"/>
                      <w:sz w:val="21"/>
                      <w:szCs w:val="21"/>
                    </w:rPr>
                    <w:t>采购公告载明的采购文件领取时间之日起的</w:t>
                  </w:r>
                  <w:r>
                    <w:rPr>
                      <w:rFonts w:eastAsia="宋体"/>
                      <w:sz w:val="21"/>
                      <w:szCs w:val="21"/>
                      <w:lang w:eastAsia="zh-CN"/>
                    </w:rPr>
                    <w:t>前三个日历日（采购公告发布当日为第一个日历日）上午9：00至11:00到达现场开始进行踏勘，以充分了解本项目的实施效果影响、详细需求、位置、情况及任何其它足以影响投标报价的情况并获得现场勘察证明。</w:t>
                  </w:r>
                </w:p>
                <w:p>
                  <w:pPr>
                    <w:spacing w:line="240" w:lineRule="auto"/>
                    <w:rPr>
                      <w:rFonts w:eastAsia="宋体"/>
                      <w:sz w:val="21"/>
                      <w:szCs w:val="21"/>
                      <w:lang w:eastAsia="zh-CN"/>
                    </w:rPr>
                  </w:pPr>
                  <w:r>
                    <w:rPr>
                      <w:rFonts w:eastAsia="宋体"/>
                      <w:sz w:val="21"/>
                      <w:szCs w:val="21"/>
                      <w:lang w:eastAsia="zh-CN"/>
                    </w:rPr>
                    <w:t>踏勘地点：</w:t>
                  </w:r>
                  <w:r>
                    <w:rPr>
                      <w:rFonts w:eastAsia="宋体"/>
                      <w:sz w:val="21"/>
                      <w:szCs w:val="21"/>
                    </w:rPr>
                    <w:t>深圳市龙华新区民治办事处民治大道395号深圳市龙华区民治小学。</w:t>
                  </w:r>
                </w:p>
                <w:p>
                  <w:pPr>
                    <w:spacing w:line="240" w:lineRule="auto"/>
                    <w:rPr>
                      <w:rFonts w:eastAsia="宋体"/>
                      <w:sz w:val="21"/>
                      <w:szCs w:val="21"/>
                      <w:lang w:eastAsia="zh-CN"/>
                    </w:rPr>
                  </w:pPr>
                  <w:r>
                    <w:rPr>
                      <w:rFonts w:eastAsia="宋体"/>
                      <w:sz w:val="21"/>
                      <w:szCs w:val="21"/>
                      <w:lang w:eastAsia="zh-CN"/>
                    </w:rPr>
                    <w:t xml:space="preserve">联系人：梅老师，联系电话：15919477190 </w:t>
                  </w:r>
                </w:p>
                <w:p>
                  <w:pPr>
                    <w:spacing w:line="240" w:lineRule="auto"/>
                    <w:rPr>
                      <w:rFonts w:eastAsia="宋体"/>
                      <w:b/>
                      <w:bCs/>
                      <w:sz w:val="21"/>
                      <w:szCs w:val="21"/>
                      <w:lang w:eastAsia="zh-CN"/>
                    </w:rPr>
                  </w:pPr>
                  <w:r>
                    <w:rPr>
                      <w:rFonts w:eastAsia="宋体"/>
                      <w:b/>
                      <w:bCs/>
                      <w:sz w:val="21"/>
                      <w:szCs w:val="21"/>
                      <w:lang w:eastAsia="zh-CN"/>
                    </w:rPr>
                    <w:t>（二）评分依据：</w:t>
                  </w:r>
                </w:p>
                <w:p>
                  <w:pPr>
                    <w:spacing w:line="240" w:lineRule="auto"/>
                    <w:ind w:firstLine="420" w:firstLineChars="200"/>
                    <w:rPr>
                      <w:rFonts w:eastAsia="宋体"/>
                      <w:sz w:val="21"/>
                      <w:szCs w:val="21"/>
                    </w:rPr>
                  </w:pPr>
                  <w:r>
                    <w:rPr>
                      <w:rFonts w:eastAsia="宋体"/>
                      <w:sz w:val="21"/>
                      <w:szCs w:val="21"/>
                      <w:lang w:eastAsia="zh-CN"/>
                    </w:rPr>
                    <w:t>提供采购单位盖章的踏勘证明文件以及现场勘查现场照片（不少于3张）得</w:t>
                  </w:r>
                  <w:r>
                    <w:rPr>
                      <w:rFonts w:eastAsia="宋体" w:hint="eastAsia"/>
                      <w:sz w:val="21"/>
                      <w:szCs w:val="21"/>
                      <w:lang w:eastAsia="zh-CN"/>
                    </w:rPr>
                    <w:t>100</w:t>
                  </w:r>
                  <w:r>
                    <w:rPr>
                      <w:rFonts w:eastAsia="宋体"/>
                      <w:sz w:val="21"/>
                      <w:szCs w:val="21"/>
                      <w:lang w:eastAsia="zh-CN"/>
                    </w:rPr>
                    <w:t>分，不提供或未按要求提供或提供不清晰导致专家无法判断的均不得分。</w:t>
                  </w:r>
                </w:p>
              </w:tc>
            </w:tr>
            <w:tr>
              <w:tblPrEx>
                <w:tblW w:w="5000" w:type="pct"/>
                <w:jc w:val="center"/>
                <w:tblLayout w:type="fixed"/>
                <w:tblCellMar>
                  <w:top w:w="0" w:type="dxa"/>
                  <w:left w:w="108" w:type="dxa"/>
                  <w:bottom w:w="0" w:type="dxa"/>
                  <w:right w:w="108" w:type="dxa"/>
                </w:tblCellMar>
              </w:tblPrEx>
              <w:trPr>
                <w:trHeight w:val="2160"/>
                <w:jc w:val="center"/>
              </w:trPr>
              <w:tc>
                <w:tcPr>
                  <w:tcW w:w="646" w:type="dxa"/>
                  <w:vMerge/>
                  <w:noWrap w:val="0"/>
                  <w:vAlign w:val="center"/>
                </w:tcPr>
                <w:p>
                  <w:pPr>
                    <w:keepNext/>
                    <w:keepLines/>
                    <w:spacing w:before="260" w:after="260" w:line="240" w:lineRule="exact"/>
                    <w:jc w:val="center"/>
                    <w:outlineLvl w:val="2"/>
                    <w:rPr>
                      <w:rFonts w:eastAsia="宋体"/>
                      <w:sz w:val="21"/>
                      <w:szCs w:val="21"/>
                    </w:rPr>
                  </w:pPr>
                </w:p>
              </w:tc>
              <w:tc>
                <w:tcPr>
                  <w:tcW w:w="600" w:type="dxa"/>
                  <w:noWrap w:val="0"/>
                  <w:vAlign w:val="center"/>
                </w:tcPr>
                <w:p>
                  <w:pPr>
                    <w:spacing w:line="240" w:lineRule="exact"/>
                    <w:jc w:val="center"/>
                    <w:rPr>
                      <w:rFonts w:eastAsia="宋体"/>
                      <w:sz w:val="21"/>
                      <w:szCs w:val="21"/>
                      <w:lang w:eastAsia="zh-CN"/>
                    </w:rPr>
                  </w:pPr>
                  <w:r>
                    <w:rPr>
                      <w:rFonts w:eastAsia="宋体"/>
                      <w:sz w:val="21"/>
                      <w:szCs w:val="21"/>
                      <w:lang w:eastAsia="zh-CN"/>
                    </w:rPr>
                    <w:t>5</w:t>
                  </w:r>
                </w:p>
              </w:tc>
              <w:tc>
                <w:tcPr>
                  <w:tcW w:w="1187" w:type="dxa"/>
                  <w:noWrap w:val="0"/>
                  <w:vAlign w:val="center"/>
                </w:tcPr>
                <w:p>
                  <w:pPr>
                    <w:spacing w:line="240" w:lineRule="exact"/>
                    <w:jc w:val="center"/>
                    <w:rPr>
                      <w:rFonts w:eastAsia="宋体"/>
                      <w:sz w:val="21"/>
                      <w:szCs w:val="21"/>
                    </w:rPr>
                  </w:pPr>
                  <w:r>
                    <w:rPr>
                      <w:rFonts w:eastAsia="宋体"/>
                      <w:sz w:val="21"/>
                      <w:szCs w:val="21"/>
                      <w:lang w:eastAsia="zh-CN"/>
                    </w:rPr>
                    <w:t>设计安装方案</w:t>
                  </w:r>
                </w:p>
              </w:tc>
              <w:tc>
                <w:tcPr>
                  <w:tcW w:w="988" w:type="dxa"/>
                  <w:noWrap w:val="0"/>
                  <w:vAlign w:val="center"/>
                </w:tcPr>
                <w:p>
                  <w:pPr>
                    <w:spacing w:line="240" w:lineRule="exact"/>
                    <w:jc w:val="center"/>
                    <w:rPr>
                      <w:rFonts w:eastAsia="宋体"/>
                      <w:sz w:val="21"/>
                      <w:szCs w:val="21"/>
                      <w:lang w:eastAsia="zh-CN"/>
                    </w:rPr>
                  </w:pPr>
                  <w:r>
                    <w:rPr>
                      <w:rFonts w:eastAsia="宋体"/>
                      <w:sz w:val="21"/>
                      <w:szCs w:val="21"/>
                      <w:lang w:eastAsia="zh-CN"/>
                    </w:rPr>
                    <w:t>7</w:t>
                  </w:r>
                </w:p>
              </w:tc>
              <w:tc>
                <w:tcPr>
                  <w:tcW w:w="5107" w:type="dxa"/>
                  <w:noWrap w:val="0"/>
                  <w:vAlign w:val="center"/>
                </w:tcPr>
                <w:p>
                  <w:pPr>
                    <w:keepNext w:val="0"/>
                    <w:keepLines w:val="0"/>
                    <w:widowControl/>
                    <w:numPr>
                      <w:ilvl w:val="0"/>
                      <w:numId w:val="0"/>
                    </w:numPr>
                    <w:suppressLineNumbers w:val="0"/>
                    <w:ind w:left="0" w:firstLine="0"/>
                    <w:jc w:val="left"/>
                    <w:rPr>
                      <w:rFonts w:eastAsia="宋体"/>
                      <w:b/>
                      <w:bCs/>
                      <w:color w:val="000000"/>
                      <w:sz w:val="21"/>
                      <w:szCs w:val="21"/>
                      <w:lang w:eastAsia="zh-CN" w:bidi="ar"/>
                    </w:rPr>
                  </w:pPr>
                  <w:r>
                    <w:rPr>
                      <w:rFonts w:eastAsia="宋体"/>
                      <w:b/>
                      <w:bCs/>
                      <w:kern w:val="2"/>
                      <w:sz w:val="21"/>
                      <w:szCs w:val="21"/>
                      <w:lang w:eastAsia="zh-CN"/>
                    </w:rPr>
                    <w:t>（</w:t>
                  </w:r>
                  <w:r>
                    <w:rPr>
                      <w:rFonts w:eastAsia="宋体"/>
                      <w:b/>
                      <w:bCs/>
                      <w:color w:val="000000"/>
                      <w:sz w:val="21"/>
                      <w:szCs w:val="21"/>
                      <w:lang w:eastAsia="zh-CN" w:bidi="ar"/>
                    </w:rPr>
                    <w:t>一）评分内容：</w:t>
                  </w:r>
                </w:p>
                <w:p>
                  <w:pPr>
                    <w:spacing w:line="240" w:lineRule="auto"/>
                    <w:ind w:firstLine="420" w:firstLineChars="200"/>
                    <w:rPr>
                      <w:rFonts w:eastAsia="宋体"/>
                      <w:sz w:val="21"/>
                      <w:szCs w:val="21"/>
                      <w:lang w:eastAsia="zh-CN"/>
                    </w:rPr>
                  </w:pPr>
                  <w:r>
                    <w:rPr>
                      <w:rFonts w:eastAsia="宋体"/>
                      <w:sz w:val="21"/>
                      <w:szCs w:val="21"/>
                      <w:lang w:eastAsia="zh-CN"/>
                    </w:rPr>
                    <w:t>依据现场踏勘证明文件以及现场照片，结合采购方场地实际情况对应本项目项目清单及技术要求做出详细提供安装整体方案，包括：（1）平面布置图、（2）厨房动线图、（3）设备水电图、（4）施工安装方案、（5）应急管理方案等；</w:t>
                  </w:r>
                </w:p>
                <w:p>
                  <w:pPr>
                    <w:spacing w:line="240" w:lineRule="auto"/>
                    <w:rPr>
                      <w:rFonts w:eastAsia="宋体"/>
                      <w:b/>
                      <w:bCs/>
                      <w:sz w:val="21"/>
                      <w:szCs w:val="21"/>
                      <w:lang w:eastAsia="zh-CN"/>
                    </w:rPr>
                  </w:pPr>
                  <w:r>
                    <w:rPr>
                      <w:rFonts w:eastAsia="宋体"/>
                      <w:b/>
                      <w:bCs/>
                      <w:sz w:val="21"/>
                      <w:szCs w:val="21"/>
                      <w:lang w:eastAsia="zh-CN"/>
                    </w:rPr>
                    <w:t>（二）评分依据：</w:t>
                  </w:r>
                </w:p>
                <w:p>
                  <w:pPr>
                    <w:spacing w:line="240" w:lineRule="auto"/>
                    <w:rPr>
                      <w:rFonts w:eastAsia="宋体"/>
                      <w:sz w:val="21"/>
                      <w:szCs w:val="21"/>
                    </w:rPr>
                  </w:pPr>
                  <w:r>
                    <w:rPr>
                      <w:rFonts w:eastAsia="宋体"/>
                      <w:sz w:val="21"/>
                      <w:szCs w:val="21"/>
                      <w:lang w:eastAsia="zh-CN"/>
                    </w:rPr>
                    <w:t>1.上述全部满足得40分；满足任意4点得30分；满足任意3点得20分；满足任意2点得10分；满足任意1点得5分。未提供现场踏勘证明文件以及图纸不满足项目清单的不得分。</w:t>
                  </w:r>
                  <w:r>
                    <w:rPr>
                      <w:rFonts w:eastAsia="宋体"/>
                      <w:sz w:val="21"/>
                      <w:szCs w:val="21"/>
                      <w:lang w:eastAsia="zh-CN"/>
                    </w:rPr>
                    <w:t>2.评审委员会</w:t>
                  </w:r>
                  <w:r>
                    <w:rPr>
                      <w:rFonts w:eastAsia="宋体"/>
                      <w:sz w:val="21"/>
                      <w:szCs w:val="21"/>
                    </w:rPr>
                    <w:t>根据各供应商的具体响应内容按照量化的评审因素指标进一步评审：</w:t>
                  </w:r>
                </w:p>
                <w:p>
                  <w:pPr>
                    <w:widowControl w:val="0"/>
                    <w:numPr>
                      <w:ilvl w:val="0"/>
                      <w:numId w:val="0"/>
                    </w:numPr>
                    <w:ind w:left="0" w:firstLine="0" w:leftChars="0" w:firstLineChars="0"/>
                    <w:jc w:val="both"/>
                    <w:rPr>
                      <w:rFonts w:eastAsia="宋体"/>
                      <w:kern w:val="2"/>
                      <w:sz w:val="21"/>
                      <w:szCs w:val="21"/>
                      <w:lang w:eastAsia="zh-CN"/>
                    </w:rPr>
                  </w:pPr>
                  <w:r>
                    <w:rPr>
                      <w:rFonts w:eastAsia="宋体"/>
                      <w:kern w:val="2"/>
                      <w:sz w:val="21"/>
                      <w:szCs w:val="21"/>
                      <w:lang w:eastAsia="zh-CN"/>
                    </w:rPr>
                    <w:t>评审为优（</w:t>
                  </w:r>
                  <w:r>
                    <w:rPr>
                      <w:rFonts w:eastAsia="宋体"/>
                      <w:kern w:val="2"/>
                      <w:sz w:val="21"/>
                      <w:szCs w:val="21"/>
                      <w:lang w:eastAsia="zh-CN"/>
                    </w:rPr>
                    <w:t>布局清晰、设计美观、施工安装方案科学合理，应急措施到位</w:t>
                  </w:r>
                  <w:r>
                    <w:rPr>
                      <w:rFonts w:eastAsia="宋体"/>
                      <w:kern w:val="2"/>
                      <w:sz w:val="21"/>
                      <w:szCs w:val="21"/>
                      <w:lang w:eastAsia="zh-CN"/>
                    </w:rPr>
                    <w:t>）的</w:t>
                  </w:r>
                  <w:r>
                    <w:rPr>
                      <w:rFonts w:eastAsia="宋体"/>
                      <w:kern w:val="2"/>
                      <w:sz w:val="21"/>
                      <w:szCs w:val="21"/>
                      <w:lang w:eastAsia="zh-CN"/>
                    </w:rPr>
                    <w:t>加60</w:t>
                  </w:r>
                  <w:r>
                    <w:rPr>
                      <w:rFonts w:eastAsia="宋体"/>
                      <w:kern w:val="2"/>
                      <w:sz w:val="21"/>
                      <w:szCs w:val="21"/>
                      <w:lang w:eastAsia="zh-CN"/>
                    </w:rPr>
                    <w:t>分；评价为良（</w:t>
                  </w:r>
                  <w:r>
                    <w:rPr>
                      <w:rFonts w:eastAsia="宋体"/>
                      <w:kern w:val="2"/>
                      <w:sz w:val="21"/>
                      <w:szCs w:val="21"/>
                      <w:lang w:eastAsia="zh-CN"/>
                    </w:rPr>
                    <w:t>布局较为清晰、设计较为美观、施工安装方案较为科学合理，应急措施较为到位</w:t>
                  </w:r>
                  <w:r>
                    <w:rPr>
                      <w:rFonts w:eastAsia="宋体"/>
                      <w:kern w:val="2"/>
                      <w:sz w:val="21"/>
                      <w:szCs w:val="21"/>
                      <w:lang w:eastAsia="zh-CN"/>
                    </w:rPr>
                    <w:t>）的</w:t>
                  </w:r>
                  <w:r>
                    <w:rPr>
                      <w:rFonts w:eastAsia="宋体"/>
                      <w:kern w:val="2"/>
                      <w:sz w:val="21"/>
                      <w:szCs w:val="21"/>
                      <w:lang w:eastAsia="zh-CN"/>
                    </w:rPr>
                    <w:t>加30</w:t>
                  </w:r>
                  <w:r>
                    <w:rPr>
                      <w:rFonts w:eastAsia="宋体"/>
                      <w:kern w:val="2"/>
                      <w:sz w:val="21"/>
                      <w:szCs w:val="21"/>
                      <w:lang w:eastAsia="zh-CN"/>
                    </w:rPr>
                    <w:t>分；评价为中（</w:t>
                  </w:r>
                  <w:r>
                    <w:rPr>
                      <w:rFonts w:eastAsia="宋体"/>
                      <w:kern w:val="2"/>
                      <w:sz w:val="21"/>
                      <w:szCs w:val="21"/>
                      <w:lang w:eastAsia="zh-CN"/>
                    </w:rPr>
                    <w:t>布局一般、设计一般、施工安装方案一般，应急措施一般</w:t>
                  </w:r>
                  <w:r>
                    <w:rPr>
                      <w:rFonts w:eastAsia="宋体"/>
                      <w:kern w:val="2"/>
                      <w:sz w:val="21"/>
                      <w:szCs w:val="21"/>
                      <w:lang w:eastAsia="zh-CN"/>
                    </w:rPr>
                    <w:t>）的</w:t>
                  </w:r>
                  <w:r>
                    <w:rPr>
                      <w:rFonts w:eastAsia="宋体"/>
                      <w:kern w:val="2"/>
                      <w:sz w:val="21"/>
                      <w:szCs w:val="21"/>
                      <w:lang w:eastAsia="zh-CN"/>
                    </w:rPr>
                    <w:t>加</w:t>
                  </w:r>
                  <w:r>
                    <w:rPr>
                      <w:rFonts w:eastAsia="宋体"/>
                      <w:kern w:val="2"/>
                      <w:sz w:val="21"/>
                      <w:szCs w:val="21"/>
                      <w:lang w:eastAsia="zh-CN"/>
                    </w:rPr>
                    <w:t>1</w:t>
                  </w:r>
                  <w:r>
                    <w:rPr>
                      <w:rFonts w:eastAsia="宋体"/>
                      <w:kern w:val="2"/>
                      <w:sz w:val="21"/>
                      <w:szCs w:val="21"/>
                      <w:lang w:eastAsia="zh-CN"/>
                    </w:rPr>
                    <w:t>0</w:t>
                  </w:r>
                  <w:r>
                    <w:rPr>
                      <w:rFonts w:eastAsia="宋体"/>
                      <w:kern w:val="2"/>
                      <w:sz w:val="21"/>
                      <w:szCs w:val="21"/>
                      <w:lang w:eastAsia="zh-CN"/>
                    </w:rPr>
                    <w:t>分；评价为差（</w:t>
                  </w:r>
                  <w:r>
                    <w:rPr>
                      <w:rFonts w:eastAsia="宋体"/>
                      <w:kern w:val="2"/>
                      <w:sz w:val="21"/>
                      <w:szCs w:val="21"/>
                      <w:lang w:eastAsia="zh-CN"/>
                    </w:rPr>
                    <w:t>布局差、设计差、施工安装方案差，应急措施差</w:t>
                  </w:r>
                  <w:r>
                    <w:rPr>
                      <w:rFonts w:eastAsia="宋体"/>
                      <w:kern w:val="2"/>
                      <w:sz w:val="21"/>
                      <w:szCs w:val="21"/>
                      <w:lang w:eastAsia="zh-CN"/>
                    </w:rPr>
                    <w:t>）的不得分。未提供方案不得分。</w:t>
                  </w:r>
                </w:p>
              </w:tc>
            </w:tr>
            <w:tr>
              <w:tblPrEx>
                <w:tblW w:w="5000" w:type="pct"/>
                <w:jc w:val="center"/>
                <w:tblLayout w:type="fixed"/>
                <w:tblCellMar>
                  <w:top w:w="0" w:type="dxa"/>
                  <w:left w:w="108" w:type="dxa"/>
                  <w:bottom w:w="0" w:type="dxa"/>
                  <w:right w:w="108" w:type="dxa"/>
                </w:tblCellMar>
              </w:tblPrEx>
              <w:trPr>
                <w:trHeight w:val="335"/>
                <w:jc w:val="center"/>
              </w:trPr>
              <w:tc>
                <w:tcPr>
                  <w:tcW w:w="646" w:type="dxa"/>
                  <w:noWrap w:val="0"/>
                  <w:vAlign w:val="center"/>
                </w:tcPr>
                <w:p>
                  <w:pPr>
                    <w:spacing w:line="240" w:lineRule="exact"/>
                    <w:jc w:val="center"/>
                    <w:rPr>
                      <w:rFonts w:eastAsia="宋体"/>
                      <w:b/>
                      <w:bCs/>
                      <w:color w:val="0000FF"/>
                      <w:sz w:val="21"/>
                      <w:szCs w:val="21"/>
                    </w:rPr>
                  </w:pPr>
                  <w:r>
                    <w:rPr>
                      <w:rFonts w:eastAsia="宋体"/>
                      <w:b/>
                      <w:bCs/>
                      <w:color w:val="0000FF"/>
                      <w:sz w:val="21"/>
                      <w:szCs w:val="21"/>
                    </w:rPr>
                    <w:t>3</w:t>
                  </w:r>
                </w:p>
              </w:tc>
              <w:tc>
                <w:tcPr>
                  <w:tcW w:w="2775" w:type="dxa"/>
                  <w:gridSpan w:val="3"/>
                  <w:noWrap w:val="0"/>
                  <w:vAlign w:val="center"/>
                </w:tcPr>
                <w:p>
                  <w:pPr>
                    <w:spacing w:line="240" w:lineRule="exact"/>
                    <w:jc w:val="center"/>
                    <w:rPr>
                      <w:rFonts w:eastAsia="宋体"/>
                      <w:b/>
                      <w:bCs/>
                      <w:color w:val="0000FF"/>
                      <w:sz w:val="21"/>
                      <w:szCs w:val="21"/>
                    </w:rPr>
                  </w:pPr>
                  <w:r>
                    <w:rPr>
                      <w:rFonts w:eastAsia="宋体"/>
                      <w:b/>
                      <w:bCs/>
                      <w:color w:val="0000FF"/>
                      <w:sz w:val="21"/>
                      <w:szCs w:val="21"/>
                    </w:rPr>
                    <w:t>商务评分部分</w:t>
                  </w:r>
                </w:p>
              </w:tc>
              <w:tc>
                <w:tcPr>
                  <w:tcW w:w="5107" w:type="dxa"/>
                  <w:noWrap w:val="0"/>
                  <w:vAlign w:val="center"/>
                </w:tcPr>
                <w:p>
                  <w:pPr>
                    <w:spacing w:line="240" w:lineRule="exact"/>
                    <w:jc w:val="center"/>
                    <w:rPr>
                      <w:rFonts w:eastAsia="宋体"/>
                      <w:b/>
                      <w:bCs/>
                      <w:color w:val="0000FF"/>
                      <w:sz w:val="21"/>
                      <w:szCs w:val="21"/>
                      <w:lang w:eastAsia="zh-CN"/>
                    </w:rPr>
                  </w:pPr>
                  <w:r>
                    <w:rPr>
                      <w:rFonts w:eastAsia="宋体"/>
                      <w:b/>
                      <w:bCs/>
                      <w:color w:val="0000FF"/>
                      <w:sz w:val="21"/>
                      <w:szCs w:val="21"/>
                      <w:lang w:eastAsia="zh-CN"/>
                    </w:rPr>
                    <w:t>13</w:t>
                  </w:r>
                </w:p>
              </w:tc>
            </w:tr>
            <w:tr>
              <w:tblPrEx>
                <w:tblW w:w="5000" w:type="pct"/>
                <w:jc w:val="center"/>
                <w:tblLayout w:type="fixed"/>
                <w:tblCellMar>
                  <w:top w:w="0" w:type="dxa"/>
                  <w:left w:w="108" w:type="dxa"/>
                  <w:bottom w:w="0" w:type="dxa"/>
                  <w:right w:w="108" w:type="dxa"/>
                </w:tblCellMar>
              </w:tblPrEx>
              <w:trPr>
                <w:trHeight w:val="367"/>
                <w:jc w:val="center"/>
              </w:trPr>
              <w:tc>
                <w:tcPr>
                  <w:tcW w:w="646" w:type="dxa"/>
                  <w:vMerge w:val="restart"/>
                  <w:noWrap w:val="0"/>
                  <w:vAlign w:val="center"/>
                </w:tcPr>
                <w:p>
                  <w:pPr>
                    <w:keepNext/>
                    <w:keepLines/>
                    <w:spacing w:before="340" w:after="330" w:line="240" w:lineRule="exact"/>
                    <w:jc w:val="center"/>
                    <w:outlineLvl w:val="0"/>
                    <w:rPr>
                      <w:rFonts w:eastAsia="宋体"/>
                      <w:sz w:val="21"/>
                      <w:szCs w:val="21"/>
                    </w:rPr>
                  </w:pPr>
                </w:p>
              </w:tc>
              <w:tc>
                <w:tcPr>
                  <w:tcW w:w="600" w:type="dxa"/>
                  <w:noWrap w:val="0"/>
                  <w:vAlign w:val="center"/>
                </w:tcPr>
                <w:p>
                  <w:pPr>
                    <w:spacing w:line="240" w:lineRule="exact"/>
                    <w:jc w:val="center"/>
                    <w:rPr>
                      <w:rFonts w:eastAsia="宋体"/>
                      <w:b/>
                      <w:bCs/>
                      <w:sz w:val="21"/>
                      <w:szCs w:val="21"/>
                    </w:rPr>
                  </w:pPr>
                  <w:r>
                    <w:rPr>
                      <w:rFonts w:eastAsia="宋体"/>
                      <w:b/>
                      <w:bCs/>
                      <w:sz w:val="21"/>
                      <w:szCs w:val="21"/>
                    </w:rPr>
                    <w:t>序号</w:t>
                  </w:r>
                </w:p>
              </w:tc>
              <w:tc>
                <w:tcPr>
                  <w:tcW w:w="1187" w:type="dxa"/>
                  <w:noWrap w:val="0"/>
                  <w:vAlign w:val="center"/>
                </w:tcPr>
                <w:p>
                  <w:pPr>
                    <w:spacing w:line="240" w:lineRule="exact"/>
                    <w:jc w:val="center"/>
                    <w:rPr>
                      <w:rFonts w:eastAsia="宋体"/>
                      <w:b/>
                      <w:bCs/>
                      <w:sz w:val="21"/>
                      <w:szCs w:val="21"/>
                    </w:rPr>
                  </w:pPr>
                  <w:r>
                    <w:rPr>
                      <w:rFonts w:eastAsia="宋体"/>
                      <w:b/>
                      <w:bCs/>
                      <w:sz w:val="21"/>
                      <w:szCs w:val="21"/>
                    </w:rPr>
                    <w:t>评分因素</w:t>
                  </w:r>
                </w:p>
              </w:tc>
              <w:tc>
                <w:tcPr>
                  <w:tcW w:w="988" w:type="dxa"/>
                  <w:noWrap w:val="0"/>
                  <w:vAlign w:val="center"/>
                </w:tcPr>
                <w:p>
                  <w:pPr>
                    <w:spacing w:line="240" w:lineRule="exact"/>
                    <w:jc w:val="center"/>
                    <w:rPr>
                      <w:rFonts w:eastAsia="宋体"/>
                      <w:b/>
                      <w:bCs/>
                      <w:sz w:val="21"/>
                      <w:szCs w:val="21"/>
                    </w:rPr>
                  </w:pPr>
                  <w:r>
                    <w:rPr>
                      <w:rFonts w:eastAsia="宋体"/>
                      <w:b/>
                      <w:bCs/>
                      <w:sz w:val="21"/>
                      <w:szCs w:val="21"/>
                    </w:rPr>
                    <w:t>权重</w:t>
                  </w:r>
                </w:p>
              </w:tc>
              <w:tc>
                <w:tcPr>
                  <w:tcW w:w="5107" w:type="dxa"/>
                  <w:noWrap w:val="0"/>
                  <w:vAlign w:val="center"/>
                </w:tcPr>
                <w:p>
                  <w:pPr>
                    <w:spacing w:line="240" w:lineRule="exact"/>
                    <w:jc w:val="center"/>
                    <w:rPr>
                      <w:rFonts w:eastAsia="宋体"/>
                      <w:b/>
                      <w:bCs/>
                      <w:sz w:val="21"/>
                      <w:szCs w:val="21"/>
                    </w:rPr>
                  </w:pPr>
                  <w:r>
                    <w:rPr>
                      <w:rFonts w:eastAsia="宋体"/>
                      <w:b/>
                      <w:bCs/>
                      <w:sz w:val="21"/>
                      <w:szCs w:val="21"/>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646" w:type="dxa"/>
                  <w:vMerge/>
                  <w:noWrap w:val="0"/>
                  <w:vAlign w:val="center"/>
                </w:tcPr>
                <w:p>
                  <w:pPr>
                    <w:keepNext/>
                    <w:keepLines/>
                    <w:spacing w:before="340" w:after="330" w:line="240" w:lineRule="exact"/>
                    <w:jc w:val="center"/>
                    <w:outlineLvl w:val="0"/>
                    <w:rPr>
                      <w:rFonts w:eastAsia="宋体"/>
                      <w:sz w:val="21"/>
                      <w:szCs w:val="21"/>
                    </w:rPr>
                  </w:pPr>
                </w:p>
              </w:tc>
              <w:tc>
                <w:tcPr>
                  <w:tcW w:w="600" w:type="dxa"/>
                  <w:noWrap w:val="0"/>
                  <w:vAlign w:val="center"/>
                </w:tcPr>
                <w:p>
                  <w:pPr>
                    <w:spacing w:line="240" w:lineRule="exact"/>
                    <w:jc w:val="center"/>
                    <w:rPr>
                      <w:rFonts w:eastAsia="宋体"/>
                      <w:sz w:val="21"/>
                      <w:szCs w:val="21"/>
                    </w:rPr>
                  </w:pPr>
                  <w:r>
                    <w:rPr>
                      <w:rFonts w:eastAsia="宋体"/>
                      <w:sz w:val="21"/>
                      <w:szCs w:val="21"/>
                    </w:rPr>
                    <w:t>1</w:t>
                  </w:r>
                </w:p>
              </w:tc>
              <w:tc>
                <w:tcPr>
                  <w:tcW w:w="1187" w:type="dxa"/>
                  <w:noWrap w:val="0"/>
                  <w:vAlign w:val="center"/>
                </w:tcPr>
                <w:p>
                  <w:pPr>
                    <w:spacing w:line="240" w:lineRule="exact"/>
                    <w:jc w:val="center"/>
                    <w:rPr>
                      <w:rFonts w:eastAsia="宋体"/>
                      <w:sz w:val="21"/>
                      <w:szCs w:val="21"/>
                    </w:rPr>
                  </w:pPr>
                  <w:r>
                    <w:rPr>
                      <w:rFonts w:eastAsia="宋体"/>
                      <w:sz w:val="21"/>
                      <w:szCs w:val="21"/>
                    </w:rPr>
                    <w:t>商务条款偏离情况</w:t>
                  </w:r>
                </w:p>
              </w:tc>
              <w:tc>
                <w:tcPr>
                  <w:tcW w:w="988" w:type="dxa"/>
                  <w:noWrap w:val="0"/>
                  <w:vAlign w:val="center"/>
                </w:tcPr>
                <w:p>
                  <w:pPr>
                    <w:spacing w:line="240" w:lineRule="exact"/>
                    <w:jc w:val="center"/>
                    <w:rPr>
                      <w:rFonts w:eastAsia="宋体"/>
                      <w:sz w:val="21"/>
                      <w:szCs w:val="21"/>
                    </w:rPr>
                  </w:pPr>
                  <w:r>
                    <w:rPr>
                      <w:rFonts w:eastAsia="宋体"/>
                      <w:sz w:val="21"/>
                      <w:szCs w:val="21"/>
                      <w:lang w:eastAsia="zh-CN"/>
                    </w:rPr>
                    <w:t>5</w:t>
                  </w:r>
                </w:p>
              </w:tc>
              <w:tc>
                <w:tcPr>
                  <w:tcW w:w="5107" w:type="dxa"/>
                  <w:noWrap w:val="0"/>
                  <w:vAlign w:val="center"/>
                </w:tcPr>
                <w:p>
                  <w:pPr>
                    <w:rPr>
                      <w:rFonts w:eastAsia="宋体"/>
                      <w:sz w:val="21"/>
                      <w:szCs w:val="21"/>
                    </w:rPr>
                  </w:pPr>
                  <w:r>
                    <w:rPr>
                      <w:rFonts w:eastAsia="宋体"/>
                      <w:sz w:val="21"/>
                      <w:szCs w:val="21"/>
                      <w:lang w:eastAsia="zh-CN"/>
                    </w:rPr>
                    <w:t>投标人</w:t>
                  </w:r>
                  <w:r>
                    <w:rPr>
                      <w:rFonts w:eastAsia="宋体"/>
                      <w:sz w:val="21"/>
                      <w:szCs w:val="21"/>
                    </w:rPr>
                    <w:t>应如实填写《商务条款偏离情况》，评审小组根据响应情况进行打分，</w:t>
                  </w:r>
                  <w:r>
                    <w:rPr>
                      <w:rFonts w:eastAsia="宋体"/>
                      <w:sz w:val="21"/>
                      <w:szCs w:val="21"/>
                      <w:lang w:eastAsia="zh-CN"/>
                    </w:rPr>
                    <w:t>实质性条款除外，</w:t>
                  </w:r>
                  <w:r>
                    <w:rPr>
                      <w:rFonts w:eastAsia="宋体"/>
                      <w:sz w:val="21"/>
                      <w:szCs w:val="21"/>
                    </w:rPr>
                    <w:t>全部满足要求的得</w:t>
                  </w:r>
                  <w:r>
                    <w:rPr>
                      <w:rFonts w:eastAsia="宋体"/>
                      <w:sz w:val="21"/>
                      <w:szCs w:val="21"/>
                      <w:lang w:eastAsia="zh-CN"/>
                    </w:rPr>
                    <w:t>满分</w:t>
                  </w:r>
                  <w:r>
                    <w:rPr>
                      <w:rFonts w:eastAsia="宋体"/>
                      <w:sz w:val="21"/>
                      <w:szCs w:val="21"/>
                    </w:rPr>
                    <w:t>，每负偏离一项扣</w:t>
                  </w:r>
                  <w:r>
                    <w:rPr>
                      <w:rFonts w:eastAsia="宋体"/>
                      <w:sz w:val="21"/>
                      <w:szCs w:val="21"/>
                      <w:lang w:eastAsia="zh-CN"/>
                    </w:rPr>
                    <w:t>10分</w:t>
                  </w:r>
                  <w:r>
                    <w:rPr>
                      <w:rFonts w:eastAsia="宋体"/>
                      <w:sz w:val="21"/>
                      <w:szCs w:val="21"/>
                    </w:rPr>
                    <w:t>。</w:t>
                  </w:r>
                </w:p>
              </w:tc>
            </w:tr>
            <w:tr>
              <w:tblPrEx>
                <w:tblW w:w="5000" w:type="pct"/>
                <w:jc w:val="center"/>
                <w:tblLayout w:type="fixed"/>
                <w:tblCellMar>
                  <w:top w:w="0" w:type="dxa"/>
                  <w:left w:w="108" w:type="dxa"/>
                  <w:bottom w:w="0" w:type="dxa"/>
                  <w:right w:w="108" w:type="dxa"/>
                </w:tblCellMar>
              </w:tblPrEx>
              <w:trPr>
                <w:trHeight w:val="20"/>
                <w:jc w:val="center"/>
              </w:trPr>
              <w:tc>
                <w:tcPr>
                  <w:tcW w:w="646" w:type="dxa"/>
                  <w:vMerge/>
                  <w:noWrap w:val="0"/>
                  <w:vAlign w:val="center"/>
                </w:tcPr>
                <w:p>
                  <w:pPr>
                    <w:keepNext/>
                    <w:keepLines/>
                    <w:spacing w:before="260" w:after="260" w:line="240" w:lineRule="exact"/>
                    <w:jc w:val="center"/>
                    <w:outlineLvl w:val="2"/>
                    <w:rPr>
                      <w:rFonts w:eastAsia="宋体"/>
                      <w:sz w:val="21"/>
                      <w:szCs w:val="21"/>
                    </w:rPr>
                  </w:pPr>
                </w:p>
              </w:tc>
              <w:tc>
                <w:tcPr>
                  <w:tcW w:w="600" w:type="dxa"/>
                  <w:noWrap w:val="0"/>
                  <w:vAlign w:val="center"/>
                </w:tcPr>
                <w:p>
                  <w:pPr>
                    <w:spacing w:line="240" w:lineRule="exact"/>
                    <w:jc w:val="center"/>
                    <w:rPr>
                      <w:rFonts w:eastAsia="宋体"/>
                      <w:kern w:val="2"/>
                      <w:sz w:val="21"/>
                      <w:szCs w:val="21"/>
                      <w:lang w:eastAsia="zh-CN"/>
                    </w:rPr>
                  </w:pPr>
                  <w:r>
                    <w:rPr>
                      <w:rFonts w:eastAsia="宋体"/>
                      <w:sz w:val="21"/>
                      <w:szCs w:val="21"/>
                      <w:lang w:eastAsia="zh-CN"/>
                    </w:rPr>
                    <w:t>2</w:t>
                  </w:r>
                </w:p>
              </w:tc>
              <w:tc>
                <w:tcPr>
                  <w:tcW w:w="1187" w:type="dxa"/>
                  <w:noWrap w:val="0"/>
                  <w:vAlign w:val="center"/>
                </w:tcPr>
                <w:p>
                  <w:pPr>
                    <w:spacing w:line="240" w:lineRule="exact"/>
                    <w:jc w:val="center"/>
                    <w:rPr>
                      <w:rFonts w:eastAsia="宋体"/>
                      <w:kern w:val="2"/>
                      <w:sz w:val="21"/>
                      <w:szCs w:val="21"/>
                      <w:lang w:eastAsia="zh-CN"/>
                    </w:rPr>
                  </w:pPr>
                  <w:r>
                    <w:rPr>
                      <w:rFonts w:eastAsia="宋体"/>
                      <w:sz w:val="21"/>
                      <w:szCs w:val="21"/>
                    </w:rPr>
                    <w:t>同类项目业绩</w:t>
                  </w:r>
                </w:p>
              </w:tc>
              <w:tc>
                <w:tcPr>
                  <w:tcW w:w="988" w:type="dxa"/>
                  <w:noWrap w:val="0"/>
                  <w:vAlign w:val="center"/>
                </w:tcPr>
                <w:p>
                  <w:pPr>
                    <w:spacing w:line="240" w:lineRule="exact"/>
                    <w:jc w:val="center"/>
                    <w:rPr>
                      <w:rFonts w:eastAsia="宋体"/>
                      <w:kern w:val="2"/>
                      <w:sz w:val="21"/>
                      <w:szCs w:val="21"/>
                      <w:lang w:eastAsia="zh-CN"/>
                    </w:rPr>
                  </w:pPr>
                  <w:r>
                    <w:rPr>
                      <w:rFonts w:eastAsia="宋体"/>
                      <w:sz w:val="21"/>
                      <w:szCs w:val="21"/>
                      <w:lang w:eastAsia="zh-CN"/>
                    </w:rPr>
                    <w:t>3</w:t>
                  </w:r>
                </w:p>
              </w:tc>
              <w:tc>
                <w:tcPr>
                  <w:tcW w:w="5107" w:type="dxa"/>
                  <w:noWrap w:val="0"/>
                  <w:vAlign w:val="center"/>
                </w:tcPr>
                <w:p>
                  <w:pPr>
                    <w:snapToGrid w:val="0"/>
                    <w:spacing w:line="300" w:lineRule="auto"/>
                    <w:rPr>
                      <w:rFonts w:eastAsia="宋体"/>
                      <w:b/>
                      <w:bCs/>
                      <w:sz w:val="21"/>
                      <w:szCs w:val="21"/>
                      <w:lang w:eastAsia="zh-CN"/>
                    </w:rPr>
                  </w:pPr>
                  <w:r>
                    <w:rPr>
                      <w:rFonts w:eastAsia="宋体"/>
                      <w:b/>
                      <w:bCs/>
                      <w:sz w:val="21"/>
                      <w:szCs w:val="21"/>
                      <w:lang w:eastAsia="zh-CN"/>
                    </w:rPr>
                    <w:t>考察内容：</w:t>
                  </w:r>
                </w:p>
                <w:p>
                  <w:pPr>
                    <w:snapToGrid w:val="0"/>
                    <w:spacing w:line="300" w:lineRule="auto"/>
                    <w:ind w:firstLine="420" w:firstLineChars="200"/>
                    <w:rPr>
                      <w:rFonts w:eastAsia="宋体"/>
                      <w:sz w:val="21"/>
                      <w:szCs w:val="21"/>
                      <w:lang w:eastAsia="zh-CN"/>
                    </w:rPr>
                  </w:pPr>
                  <w:r>
                    <w:rPr>
                      <w:rFonts w:eastAsia="宋体"/>
                      <w:sz w:val="21"/>
                      <w:szCs w:val="21"/>
                      <w:lang w:eastAsia="zh-CN"/>
                    </w:rPr>
                    <w:t>2021</w:t>
                  </w:r>
                  <w:r>
                    <w:rPr>
                      <w:rFonts w:eastAsia="宋体"/>
                      <w:sz w:val="21"/>
                      <w:szCs w:val="21"/>
                    </w:rPr>
                    <w:t>年</w:t>
                  </w:r>
                  <w:r>
                    <w:rPr>
                      <w:rFonts w:eastAsia="宋体"/>
                      <w:sz w:val="21"/>
                      <w:szCs w:val="21"/>
                      <w:lang w:eastAsia="zh-CN"/>
                    </w:rPr>
                    <w:t>12</w:t>
                  </w:r>
                  <w:r>
                    <w:rPr>
                      <w:rFonts w:eastAsia="宋体"/>
                      <w:sz w:val="21"/>
                      <w:szCs w:val="21"/>
                    </w:rPr>
                    <w:t>月1</w:t>
                  </w:r>
                  <w:r>
                    <w:rPr>
                      <w:rFonts w:eastAsia="宋体"/>
                      <w:sz w:val="21"/>
                      <w:szCs w:val="21"/>
                      <w:lang w:eastAsia="zh-CN"/>
                    </w:rPr>
                    <w:t>日至</w:t>
                  </w:r>
                  <w:r>
                    <w:rPr>
                      <w:rFonts w:eastAsia="宋体"/>
                      <w:sz w:val="21"/>
                      <w:szCs w:val="21"/>
                    </w:rPr>
                    <w:t>本项目投标截止之日，具有</w:t>
                  </w:r>
                  <w:r>
                    <w:rPr>
                      <w:rFonts w:eastAsia="宋体"/>
                      <w:sz w:val="21"/>
                      <w:szCs w:val="21"/>
                      <w:lang w:eastAsia="zh-CN"/>
                    </w:rPr>
                    <w:t>厨房设备或用品类</w:t>
                  </w:r>
                  <w:r>
                    <w:rPr>
                      <w:rFonts w:eastAsia="宋体"/>
                      <w:sz w:val="21"/>
                      <w:szCs w:val="21"/>
                    </w:rPr>
                    <w:t>经验</w:t>
                  </w:r>
                  <w:r>
                    <w:rPr>
                      <w:rFonts w:eastAsia="宋体"/>
                      <w:sz w:val="21"/>
                      <w:szCs w:val="21"/>
                      <w:lang w:eastAsia="zh-CN"/>
                    </w:rPr>
                    <w:t>的</w:t>
                  </w:r>
                  <w:r>
                    <w:rPr>
                      <w:rFonts w:eastAsia="宋体"/>
                      <w:sz w:val="21"/>
                      <w:szCs w:val="21"/>
                      <w:lang w:eastAsia="zh-CN"/>
                    </w:rPr>
                    <w:t>，</w:t>
                  </w:r>
                  <w:r>
                    <w:rPr>
                      <w:rFonts w:eastAsia="宋体"/>
                      <w:sz w:val="21"/>
                      <w:szCs w:val="21"/>
                    </w:rPr>
                    <w:t>每提供1个</w:t>
                  </w:r>
                  <w:r>
                    <w:rPr>
                      <w:rFonts w:eastAsia="宋体"/>
                      <w:sz w:val="21"/>
                      <w:szCs w:val="21"/>
                      <w:lang w:eastAsia="zh-CN"/>
                    </w:rPr>
                    <w:t>项目</w:t>
                  </w:r>
                  <w:r>
                    <w:rPr>
                      <w:rFonts w:eastAsia="宋体"/>
                      <w:sz w:val="21"/>
                      <w:szCs w:val="21"/>
                    </w:rPr>
                    <w:t>经验的得</w:t>
                  </w:r>
                  <w:r>
                    <w:rPr>
                      <w:rFonts w:eastAsia="宋体"/>
                      <w:sz w:val="21"/>
                      <w:szCs w:val="21"/>
                      <w:lang w:eastAsia="zh-CN"/>
                    </w:rPr>
                    <w:t>50分</w:t>
                  </w:r>
                  <w:r>
                    <w:rPr>
                      <w:rFonts w:eastAsia="宋体"/>
                      <w:sz w:val="21"/>
                      <w:szCs w:val="21"/>
                    </w:rPr>
                    <w:t>，最高得</w:t>
                  </w:r>
                  <w:r>
                    <w:rPr>
                      <w:rFonts w:eastAsia="宋体"/>
                      <w:sz w:val="21"/>
                      <w:szCs w:val="21"/>
                      <w:lang w:eastAsia="zh-CN"/>
                    </w:rPr>
                    <w:t>100分</w:t>
                  </w:r>
                  <w:r>
                    <w:rPr>
                      <w:rFonts w:eastAsia="宋体"/>
                      <w:sz w:val="21"/>
                      <w:szCs w:val="21"/>
                      <w:lang w:eastAsia="zh-CN"/>
                    </w:rPr>
                    <w:t>。</w:t>
                  </w:r>
                </w:p>
                <w:p>
                  <w:pPr>
                    <w:snapToGrid w:val="0"/>
                    <w:spacing w:line="300" w:lineRule="auto"/>
                    <w:rPr>
                      <w:rFonts w:eastAsia="宋体"/>
                      <w:b/>
                      <w:bCs/>
                      <w:sz w:val="21"/>
                      <w:szCs w:val="21"/>
                      <w:lang w:eastAsia="zh-CN"/>
                    </w:rPr>
                  </w:pPr>
                  <w:r>
                    <w:rPr>
                      <w:rFonts w:eastAsia="宋体"/>
                      <w:b/>
                      <w:bCs/>
                      <w:sz w:val="21"/>
                      <w:szCs w:val="21"/>
                      <w:lang w:eastAsia="zh-CN"/>
                    </w:rPr>
                    <w:t>证明文件：</w:t>
                  </w:r>
                </w:p>
                <w:p>
                  <w:pPr>
                    <w:snapToGrid w:val="0"/>
                    <w:spacing w:line="300" w:lineRule="auto"/>
                    <w:ind w:firstLine="420" w:firstLineChars="200"/>
                    <w:rPr>
                      <w:rFonts w:eastAsia="宋体"/>
                      <w:kern w:val="2"/>
                      <w:sz w:val="21"/>
                      <w:szCs w:val="21"/>
                      <w:lang w:eastAsia="zh-CN"/>
                    </w:rPr>
                  </w:pPr>
                  <w:r>
                    <w:rPr>
                      <w:rFonts w:eastAsia="宋体"/>
                      <w:sz w:val="21"/>
                      <w:szCs w:val="21"/>
                    </w:rPr>
                    <w:t>提供合同关键页扫描件，原件备查。未提供或提供的不符合或提供不清晰导致无法判断的均不得分</w:t>
                  </w:r>
                </w:p>
              </w:tc>
            </w:tr>
            <w:tr>
              <w:tblPrEx>
                <w:tblW w:w="5000" w:type="pct"/>
                <w:jc w:val="center"/>
                <w:tblLayout w:type="fixed"/>
                <w:tblCellMar>
                  <w:top w:w="0" w:type="dxa"/>
                  <w:left w:w="108" w:type="dxa"/>
                  <w:bottom w:w="0" w:type="dxa"/>
                  <w:right w:w="108" w:type="dxa"/>
                </w:tblCellMar>
              </w:tblPrEx>
              <w:trPr>
                <w:trHeight w:val="20"/>
                <w:jc w:val="center"/>
              </w:trPr>
              <w:tc>
                <w:tcPr>
                  <w:tcW w:w="646" w:type="dxa"/>
                  <w:vMerge/>
                  <w:noWrap w:val="0"/>
                  <w:vAlign w:val="center"/>
                </w:tcPr>
                <w:p>
                  <w:pPr>
                    <w:keepNext/>
                    <w:keepLines/>
                    <w:spacing w:before="260" w:after="260" w:line="240" w:lineRule="exact"/>
                    <w:jc w:val="center"/>
                    <w:outlineLvl w:val="2"/>
                    <w:rPr>
                      <w:rFonts w:eastAsia="宋体"/>
                      <w:sz w:val="21"/>
                      <w:szCs w:val="21"/>
                    </w:rPr>
                  </w:pPr>
                </w:p>
              </w:tc>
              <w:tc>
                <w:tcPr>
                  <w:tcW w:w="600" w:type="dxa"/>
                  <w:noWrap w:val="0"/>
                  <w:vAlign w:val="center"/>
                </w:tcPr>
                <w:p>
                  <w:pPr>
                    <w:spacing w:line="240" w:lineRule="exact"/>
                    <w:jc w:val="center"/>
                    <w:rPr>
                      <w:rFonts w:eastAsia="宋体"/>
                      <w:sz w:val="21"/>
                      <w:szCs w:val="21"/>
                      <w:lang w:eastAsia="zh-CN"/>
                    </w:rPr>
                  </w:pPr>
                  <w:r>
                    <w:rPr>
                      <w:rFonts w:eastAsia="宋体"/>
                      <w:sz w:val="21"/>
                      <w:szCs w:val="21"/>
                      <w:lang w:eastAsia="zh-CN"/>
                    </w:rPr>
                    <w:t>3</w:t>
                  </w:r>
                </w:p>
              </w:tc>
              <w:tc>
                <w:tcPr>
                  <w:tcW w:w="1187" w:type="dxa"/>
                  <w:noWrap w:val="0"/>
                  <w:vAlign w:val="center"/>
                </w:tcPr>
                <w:p>
                  <w:pPr>
                    <w:jc w:val="center"/>
                    <w:rPr>
                      <w:rFonts w:eastAsia="宋体"/>
                      <w:sz w:val="21"/>
                      <w:szCs w:val="21"/>
                      <w:lang w:eastAsia="zh-CN"/>
                    </w:rPr>
                  </w:pPr>
                  <w:r>
                    <w:rPr>
                      <w:rFonts w:eastAsia="宋体"/>
                      <w:sz w:val="21"/>
                      <w:szCs w:val="21"/>
                      <w:lang w:bidi="ar"/>
                    </w:rPr>
                    <w:t>诚信</w:t>
                  </w:r>
                  <w:r>
                    <w:rPr>
                      <w:rFonts w:eastAsia="宋体"/>
                      <w:sz w:val="21"/>
                      <w:szCs w:val="21"/>
                      <w:lang w:eastAsia="zh-CN" w:bidi="ar"/>
                    </w:rPr>
                    <w:t>情况</w:t>
                  </w:r>
                </w:p>
              </w:tc>
              <w:tc>
                <w:tcPr>
                  <w:tcW w:w="988" w:type="dxa"/>
                  <w:noWrap w:val="0"/>
                  <w:vAlign w:val="center"/>
                </w:tcPr>
                <w:p>
                  <w:pPr>
                    <w:spacing w:line="240" w:lineRule="exact"/>
                    <w:jc w:val="center"/>
                    <w:rPr>
                      <w:rFonts w:eastAsia="宋体"/>
                      <w:sz w:val="21"/>
                      <w:szCs w:val="21"/>
                    </w:rPr>
                  </w:pPr>
                  <w:r>
                    <w:rPr>
                      <w:rFonts w:eastAsia="宋体"/>
                      <w:sz w:val="21"/>
                      <w:szCs w:val="21"/>
                    </w:rPr>
                    <w:t>5</w:t>
                  </w:r>
                </w:p>
              </w:tc>
              <w:tc>
                <w:tcPr>
                  <w:tcW w:w="5107" w:type="dxa"/>
                  <w:noWrap w:val="0"/>
                  <w:vAlign w:val="top"/>
                </w:tcPr>
                <w:p>
                  <w:pPr>
                    <w:rPr>
                      <w:rFonts w:eastAsia="宋体"/>
                      <w:b/>
                      <w:bCs/>
                      <w:sz w:val="21"/>
                      <w:szCs w:val="21"/>
                      <w:lang w:eastAsia="zh-CN"/>
                    </w:rPr>
                  </w:pPr>
                  <w:r>
                    <w:rPr>
                      <w:rFonts w:eastAsia="宋体"/>
                      <w:b/>
                      <w:bCs/>
                      <w:sz w:val="21"/>
                      <w:szCs w:val="21"/>
                      <w:lang w:eastAsia="zh-CN"/>
                    </w:rPr>
                    <w:t>（一）评分内容：</w:t>
                  </w:r>
                </w:p>
                <w:p>
                  <w:pPr>
                    <w:rPr>
                      <w:rFonts w:eastAsia="宋体"/>
                      <w:sz w:val="21"/>
                      <w:szCs w:val="21"/>
                      <w:lang w:eastAsia="zh-CN"/>
                    </w:rPr>
                  </w:pPr>
                  <w:r>
                    <w:rPr>
                      <w:rFonts w:eastAsia="宋体"/>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rPr>
                      <w:rFonts w:eastAsia="宋体"/>
                      <w:b/>
                      <w:bCs/>
                      <w:sz w:val="21"/>
                      <w:szCs w:val="21"/>
                      <w:lang w:eastAsia="zh-CN"/>
                    </w:rPr>
                  </w:pPr>
                  <w:r>
                    <w:rPr>
                      <w:rFonts w:eastAsia="宋体"/>
                      <w:b/>
                      <w:bCs/>
                      <w:sz w:val="21"/>
                      <w:szCs w:val="21"/>
                      <w:lang w:eastAsia="zh-CN"/>
                    </w:rPr>
                    <w:t>（二）评分依据：</w:t>
                  </w:r>
                </w:p>
                <w:p>
                  <w:pPr>
                    <w:rPr>
                      <w:rFonts w:eastAsia="宋体"/>
                      <w:sz w:val="21"/>
                      <w:szCs w:val="21"/>
                    </w:rPr>
                  </w:pPr>
                  <w:r>
                    <w:rPr>
                      <w:rFonts w:eastAsia="宋体"/>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right="0" w:firstLine="0" w:leftChars="0" w:firstLineChars="0"/>
              <w:jc w:val="left"/>
              <w:textAlignment w:val="auto"/>
              <w:outlineLvl w:val="1"/>
              <w:rPr>
                <w:rFonts w:ascii="宋体" w:eastAsia="宋体" w:hAnsi="宋体" w:cs="宋体" w:hint="eastAsia"/>
                <w:kern w:val="2"/>
                <w:sz w:val="21"/>
                <w:szCs w:val="21"/>
                <w:lang w:eastAsia="zh-CN"/>
              </w:rPr>
            </w:pPr>
          </w:p>
        </w:tc>
      </w:tr>
    </w:tbl>
    <w:p>
      <w:pPr>
        <w:widowControl w:val="0"/>
        <w:ind w:firstLine="3150" w:firstLineChars="1500"/>
        <w:jc w:val="both"/>
        <w:rPr>
          <w:rFonts w:ascii="宋体" w:eastAsia="宋体" w:hAnsi="宋体"/>
          <w:color w:val="FF0000"/>
          <w:kern w:val="2"/>
          <w:sz w:val="21"/>
          <w:szCs w:val="21"/>
          <w:lang w:eastAsia="zh-CN"/>
        </w:rPr>
      </w:pPr>
      <w:r>
        <w:rPr>
          <w:rFonts w:ascii="宋体" w:eastAsia="宋体" w:hAnsi="宋体" w:cs="宋体" w:hint="eastAsia"/>
          <w:kern w:val="2"/>
          <w:sz w:val="21"/>
          <w:lang w:eastAsia="zh-CN"/>
        </w:rPr>
        <w:br w:type="page"/>
      </w:r>
      <w:bookmarkStart w:id="4" w:name="_Hlk73564573"/>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注：该风险知悉确认书用于对供应商违法行为的警示，不作为供应商资格性审查及符合性审查条件。</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供应商在使用深圳政府采购智慧平台的投标文件制作工具创建投标文件时，该工具将自动在投标文件中记录文件创建标识码，同时提取投标文件制作电脑的网卡MAC地址、硬盘序列号、CPU 序列号、主板序列号和工具标识号，经加密生成文件制作机器码并在投标文件中记录。文件制作机器码一致表明不同供应商使用了同一设备编制投标文件，文件创建标识码一致表明不同供应商的投标文件为同一份文件，IP 地址一致表明上传投标文件时使用了相同的网络。</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w:t>
      </w:r>
      <w:r>
        <w:rPr>
          <w:rFonts w:ascii="宋体" w:eastAsia="宋体" w:hAnsi="宋体"/>
          <w:color w:val="FF0000"/>
          <w:kern w:val="2"/>
          <w:sz w:val="20"/>
          <w:szCs w:val="20"/>
          <w:lang w:eastAsia="zh-CN"/>
        </w:rPr>
        <w:t>为避免出现不同供应商投标文件的文件制作机器码、文件创建标识码、IP 地址一致的异常情况，建议各供应商编制、上传投标文件时不要使用公共电脑设备或公共网络。</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keepNext w:val="0"/>
        <w:keepLines w:val="0"/>
        <w:widowControl/>
        <w:suppressLineNumbers w:val="0"/>
        <w:spacing w:before="0" w:beforeAutospacing="0" w:after="0" w:afterAutospacing="0" w:line="400" w:lineRule="exact"/>
        <w:ind w:left="0" w:right="0" w:firstLine="420" w:firstLineChars="200"/>
        <w:jc w:val="left"/>
        <w:rPr>
          <w:rFonts w:eastAsia="宋体"/>
          <w:kern w:val="2"/>
          <w:sz w:val="21"/>
          <w:lang w:eastAsia="zh-CN"/>
        </w:rPr>
      </w:pPr>
    </w:p>
    <w:p>
      <w:pPr>
        <w:keepNext w:val="0"/>
        <w:keepLines w:val="0"/>
        <w:widowControl/>
        <w:suppressLineNumbers w:val="0"/>
        <w:spacing w:before="0" w:beforeAutospacing="0" w:after="0" w:afterAutospacing="0" w:line="400" w:lineRule="exact"/>
        <w:ind w:left="0" w:right="0" w:firstLine="400" w:firstLineChars="200"/>
        <w:jc w:val="left"/>
        <w:rPr>
          <w:rFonts w:eastAsia="宋体"/>
          <w:color w:val="FF0000"/>
          <w:kern w:val="2"/>
          <w:sz w:val="20"/>
          <w:szCs w:val="20"/>
          <w:lang w:eastAsia="zh-CN"/>
        </w:rPr>
      </w:pPr>
    </w:p>
    <w:bookmarkEnd w:id="4"/>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0"/>
        <w:rPr>
          <w:rFonts w:ascii="宋体" w:eastAsia="宋体" w:hAnsi="宋体" w:cs="宋体" w:hint="eastAsia"/>
          <w:b/>
          <w:bCs/>
          <w:kern w:val="44"/>
          <w:sz w:val="40"/>
          <w:szCs w:val="144"/>
          <w:lang w:eastAsia="zh-CN"/>
        </w:rPr>
      </w:pPr>
      <w:bookmarkStart w:id="5" w:name="_Hlk72218009"/>
      <w:r>
        <w:rPr>
          <w:rFonts w:ascii="宋体" w:eastAsia="宋体" w:hAnsi="宋体" w:cs="宋体" w:hint="eastAsia"/>
          <w:b/>
          <w:bCs/>
          <w:kern w:val="44"/>
          <w:sz w:val="40"/>
          <w:szCs w:val="144"/>
          <w:lang w:eastAsia="zh-CN"/>
        </w:rPr>
        <w:t>目   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0"/>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lang w:eastAsia="zh-CN"/>
        </w:rPr>
      </w:pPr>
      <w:r>
        <w:rPr>
          <w:rFonts w:ascii="宋体" w:eastAsia="宋体" w:hAnsi="宋体" w:cs="宋体" w:hint="eastAsia"/>
          <w:kern w:val="2"/>
          <w:lang w:eastAsia="zh-CN"/>
        </w:rPr>
        <w:t>关键信息</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第二章  </w:t>
      </w:r>
      <w:bookmarkStart w:id="6" w:name="_Hlk71994379"/>
      <w:r>
        <w:rPr>
          <w:rFonts w:ascii="宋体" w:eastAsia="宋体" w:hAnsi="宋体" w:cs="宋体" w:hint="eastAsia"/>
          <w:kern w:val="2"/>
          <w:sz w:val="21"/>
          <w:szCs w:val="21"/>
          <w:lang w:eastAsia="zh-CN"/>
        </w:rPr>
        <w:t>对通用条款的补充内容及其他关键信息</w:t>
      </w:r>
      <w:bookmarkEnd w:id="6"/>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用户需求书</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投标文件组成要求及格式</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0"/>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第十一章  质疑处理</w:t>
      </w:r>
    </w:p>
    <w:bookmarkEnd w:id="5"/>
    <w:p>
      <w:pPr>
        <w:pageBreakBefore w:val="0"/>
        <w:widowControl w:val="0"/>
        <w:kinsoku/>
        <w:overflowPunct/>
        <w:topLinePunct w:val="0"/>
        <w:autoSpaceDE/>
        <w:autoSpaceDN/>
        <w:bidi w:val="0"/>
        <w:spacing w:line="360" w:lineRule="auto"/>
        <w:ind w:left="0" w:firstLine="0" w:firstLineChars="0"/>
        <w:jc w:val="center"/>
        <w:rPr>
          <w:rFonts w:ascii="宋体" w:eastAsia="宋体" w:hAnsi="宋体" w:cs="宋体" w:hint="eastAsia"/>
          <w:b/>
          <w:bCs/>
          <w:color w:val="FF0000"/>
          <w:kern w:val="44"/>
          <w:sz w:val="44"/>
          <w:szCs w:val="44"/>
          <w:lang w:eastAsia="zh-CN"/>
        </w:rPr>
      </w:pPr>
      <w:bookmarkStart w:id="7" w:name="bt技术标投标文件格式"/>
      <w:bookmarkEnd w:id="7"/>
      <w:bookmarkStart w:id="8" w:name="bt合同格式"/>
      <w:bookmarkEnd w:id="8"/>
      <w:bookmarkStart w:id="9" w:name="bt投标人须知"/>
      <w:bookmarkEnd w:id="9"/>
      <w:bookmarkStart w:id="10" w:name="bt开标一览表"/>
      <w:bookmarkEnd w:id="10"/>
      <w:bookmarkStart w:id="11" w:name="bt其他资料由投标人自定"/>
      <w:bookmarkEnd w:id="11"/>
      <w:bookmarkStart w:id="12" w:name="bt商务标投标文件格式"/>
      <w:bookmarkEnd w:id="12"/>
      <w:bookmarkStart w:id="13" w:name="bt投标报价汇总表"/>
      <w:bookmarkEnd w:id="13"/>
      <w:bookmarkStart w:id="14" w:name="bt投标人情况介绍"/>
      <w:bookmarkEnd w:id="14"/>
      <w:bookmarkStart w:id="15" w:name="bt其他资料2"/>
      <w:bookmarkEnd w:id="15"/>
      <w:bookmarkStart w:id="16" w:name="bt本工程承诺书"/>
      <w:bookmarkEnd w:id="16"/>
      <w:bookmarkStart w:id="17" w:name="bt项目管理班子配备情况"/>
      <w:bookmarkEnd w:id="17"/>
      <w:bookmarkStart w:id="18" w:name="合同格式"/>
      <w:bookmarkEnd w:id="18"/>
      <w:bookmarkStart w:id="19" w:name="bt合同条款"/>
      <w:bookmarkEnd w:id="19"/>
      <w:bookmarkStart w:id="20" w:name="bt投标函"/>
      <w:bookmarkEnd w:id="20"/>
      <w:bookmarkStart w:id="21" w:name="bt说明"/>
      <w:bookmarkEnd w:id="21"/>
      <w:bookmarkStart w:id="22" w:name="bt合同条款及格式"/>
      <w:bookmarkEnd w:id="22"/>
      <w:bookmarkStart w:id="23" w:name="bt投标文件签署授权委托书"/>
      <w:bookmarkEnd w:id="23"/>
      <w:r>
        <w:rPr>
          <w:rFonts w:ascii="宋体" w:eastAsia="宋体" w:hAnsi="宋体" w:cs="宋体" w:hint="eastAsia"/>
          <w:kern w:val="2"/>
          <w:sz w:val="21"/>
          <w:lang w:eastAsia="zh-CN"/>
        </w:rPr>
        <w:br w:type="page"/>
      </w:r>
      <w:r>
        <w:rPr>
          <w:rFonts w:ascii="宋体" w:eastAsia="宋体" w:hAnsi="宋体" w:cs="宋体" w:hint="eastAsia"/>
          <w:b/>
          <w:bCs/>
          <w:kern w:val="44"/>
          <w:sz w:val="44"/>
          <w:szCs w:val="44"/>
          <w:lang w:eastAsia="zh-CN"/>
        </w:rPr>
        <w:t>第一册  专用条款</w:t>
      </w:r>
    </w:p>
    <w:p>
      <w:pPr>
        <w:pageBreakBefore w:val="0"/>
        <w:widowControl w:val="0"/>
        <w:kinsoku/>
        <w:overflowPunct/>
        <w:topLinePunct w:val="0"/>
        <w:autoSpaceDE/>
        <w:autoSpaceDN/>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第一章  招标公告</w:t>
      </w:r>
    </w:p>
    <w:p>
      <w:pPr>
        <w:pageBreakBefore w:val="0"/>
        <w:widowControl w:val="0"/>
        <w:numPr>
          <w:ilvl w:val="0"/>
          <w:numId w:val="0"/>
        </w:numPr>
        <w:kinsoku/>
        <w:overflowPunct/>
        <w:topLinePunct w:val="0"/>
        <w:autoSpaceDE/>
        <w:autoSpaceDN/>
        <w:bidi w:val="0"/>
        <w:spacing w:line="360" w:lineRule="auto"/>
        <w:ind w:left="0" w:firstLine="0" w:leftChars="0"/>
        <w:jc w:val="left"/>
        <w:rPr>
          <w:rFonts w:ascii="宋体" w:eastAsia="宋体" w:hAnsi="宋体" w:cs="宋体" w:hint="eastAsia"/>
          <w:b/>
          <w:bCs/>
          <w:kern w:val="2"/>
          <w:lang w:eastAsia="zh-CN"/>
        </w:rPr>
      </w:pPr>
      <w:r>
        <w:rPr>
          <w:rFonts w:ascii="宋体" w:eastAsia="宋体" w:hAnsi="宋体" w:cs="宋体" w:hint="eastAsia"/>
          <w:b/>
          <w:bCs/>
          <w:kern w:val="2"/>
          <w:lang w:eastAsia="zh-CN"/>
        </w:rPr>
        <w:t>投标人资格要求：</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64"/>
        <w:gridCol w:w="7658"/>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567"/>
          <w:jc w:val="center"/>
        </w:trPr>
        <w:tc>
          <w:tcPr>
            <w:tcW w:w="864"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rPr>
                <w:rFonts w:ascii="宋体" w:eastAsia="宋体" w:hAnsi="宋体" w:cs="宋体" w:hint="eastAsia"/>
                <w:b/>
                <w:bCs/>
                <w:kern w:val="2"/>
                <w:sz w:val="28"/>
                <w:szCs w:val="28"/>
                <w:lang w:eastAsia="zh-CN"/>
              </w:rPr>
            </w:pPr>
            <w:r>
              <w:rPr>
                <w:rFonts w:ascii="宋体" w:eastAsia="宋体" w:hAnsi="宋体" w:cs="宋体" w:hint="eastAsia"/>
                <w:b/>
                <w:bCs/>
                <w:sz w:val="28"/>
                <w:szCs w:val="28"/>
                <w:lang w:eastAsia="zh-CN" w:bidi="ar"/>
              </w:rPr>
              <w:t>序号</w:t>
            </w:r>
          </w:p>
        </w:tc>
        <w:tc>
          <w:tcPr>
            <w:tcW w:w="7658" w:type="dxa"/>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overflowPunct/>
              <w:topLinePunct w:val="0"/>
              <w:autoSpaceDE/>
              <w:autoSpaceDN/>
              <w:bidi w:val="0"/>
              <w:spacing w:beforeAutospacing="0" w:afterAutospacing="0" w:line="240" w:lineRule="auto"/>
              <w:ind w:left="0" w:right="0" w:firstLine="0" w:leftChars="0" w:firstLineChars="0"/>
              <w:jc w:val="center"/>
              <w:rPr>
                <w:rFonts w:ascii="宋体" w:eastAsia="宋体" w:hAnsi="宋体" w:cs="宋体" w:hint="eastAsia"/>
                <w:b/>
                <w:bCs/>
                <w:kern w:val="2"/>
                <w:sz w:val="28"/>
                <w:szCs w:val="28"/>
                <w:lang w:eastAsia="zh-CN"/>
              </w:rPr>
            </w:pPr>
            <w:r>
              <w:rPr>
                <w:rFonts w:ascii="宋体" w:eastAsia="宋体" w:hAnsi="宋体" w:cs="宋体" w:hint="eastAsia"/>
                <w:b/>
                <w:bCs/>
                <w:sz w:val="28"/>
                <w:szCs w:val="28"/>
                <w:lang w:eastAsia="zh-CN" w:bidi="ar"/>
              </w:rPr>
              <w:t>内容</w:t>
            </w:r>
          </w:p>
        </w:tc>
      </w:tr>
      <w:tr>
        <w:tblPrEx>
          <w:tblW w:w="5000" w:type="pct"/>
          <w:jc w:val="center"/>
          <w:tblLayout w:type="fixed"/>
          <w:tblCellMar>
            <w:top w:w="20" w:type="dxa"/>
            <w:left w:w="108" w:type="dxa"/>
            <w:bottom w:w="20" w:type="dxa"/>
            <w:right w:w="108" w:type="dxa"/>
          </w:tblCellMar>
        </w:tblPrEx>
        <w:trPr>
          <w:trHeight w:val="567"/>
          <w:jc w:val="center"/>
        </w:trPr>
        <w:tc>
          <w:tcPr>
            <w:tcW w:w="86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rightChars="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w:t>
            </w:r>
          </w:p>
        </w:tc>
        <w:tc>
          <w:tcPr>
            <w:tcW w:w="765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tc>
      </w:tr>
      <w:tr>
        <w:tblPrEx>
          <w:tblW w:w="5000" w:type="pct"/>
          <w:jc w:val="center"/>
          <w:tblLayout w:type="fixed"/>
          <w:tblCellMar>
            <w:top w:w="20" w:type="dxa"/>
            <w:left w:w="108" w:type="dxa"/>
            <w:bottom w:w="20" w:type="dxa"/>
            <w:right w:w="108" w:type="dxa"/>
          </w:tblCellMar>
        </w:tblPrEx>
        <w:trPr>
          <w:trHeight w:val="567"/>
          <w:jc w:val="center"/>
        </w:trPr>
        <w:tc>
          <w:tcPr>
            <w:tcW w:w="86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765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rPr>
            </w:pPr>
            <w:r>
              <w:rPr>
                <w:rFonts w:ascii="宋体" w:eastAsia="宋体" w:hAnsi="宋体" w:cs="宋体" w:hint="eastAsia"/>
                <w:b/>
                <w:bCs/>
                <w:color w:val="0000FF"/>
                <w:sz w:val="21"/>
                <w:szCs w:val="21"/>
                <w:lang w:eastAsia="zh-CN"/>
              </w:rPr>
              <w:t>落实政府采购政策需满足的资格要求：落实政府采购政策需满足的资格要求：本项目属于专门面向中小微企业采购的项目（投标人需提供符合要求的《中小企业声明函》，所投产品制造商企业类型均须为中小微型企业；如投标人为残疾人福利性单位或监狱企业，视同小型、微型企业，提供《残疾人福利性单位声明函》或《监狱企业声明函》及监狱企业证明文件亦视为符合）；</w:t>
            </w:r>
          </w:p>
        </w:tc>
      </w:tr>
      <w:tr>
        <w:tblPrEx>
          <w:tblW w:w="5000" w:type="pct"/>
          <w:jc w:val="center"/>
          <w:tblLayout w:type="fixed"/>
          <w:tblCellMar>
            <w:top w:w="20" w:type="dxa"/>
            <w:left w:w="108" w:type="dxa"/>
            <w:bottom w:w="20" w:type="dxa"/>
            <w:right w:w="108" w:type="dxa"/>
          </w:tblCellMar>
        </w:tblPrEx>
        <w:trPr>
          <w:trHeight w:val="407"/>
          <w:jc w:val="center"/>
        </w:trPr>
        <w:tc>
          <w:tcPr>
            <w:tcW w:w="86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bidi="ar"/>
              </w:rPr>
            </w:pPr>
            <w:r>
              <w:rPr>
                <w:rFonts w:ascii="宋体" w:eastAsia="宋体" w:hAnsi="宋体" w:cs="宋体" w:hint="eastAsia"/>
                <w:sz w:val="21"/>
                <w:szCs w:val="21"/>
                <w:lang w:eastAsia="zh-CN" w:bidi="ar"/>
              </w:rPr>
              <w:t>3</w:t>
            </w:r>
          </w:p>
        </w:tc>
        <w:tc>
          <w:tcPr>
            <w:tcW w:w="765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本项目不接受联合体投标，不接受投标人选用进口产品参与投标；</w:t>
            </w:r>
          </w:p>
        </w:tc>
      </w:tr>
      <w:tr>
        <w:tblPrEx>
          <w:tblW w:w="5000" w:type="pct"/>
          <w:jc w:val="center"/>
          <w:tblLayout w:type="fixed"/>
          <w:tblCellMar>
            <w:top w:w="20" w:type="dxa"/>
            <w:left w:w="108" w:type="dxa"/>
            <w:bottom w:w="20" w:type="dxa"/>
            <w:right w:w="108" w:type="dxa"/>
          </w:tblCellMar>
        </w:tblPrEx>
        <w:trPr>
          <w:trHeight w:val="567"/>
          <w:jc w:val="center"/>
        </w:trPr>
        <w:tc>
          <w:tcPr>
            <w:tcW w:w="86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bidi="ar"/>
              </w:rPr>
            </w:pPr>
            <w:r>
              <w:rPr>
                <w:rFonts w:ascii="宋体" w:eastAsia="宋体" w:hAnsi="宋体" w:cs="宋体" w:hint="eastAsia"/>
                <w:sz w:val="21"/>
                <w:szCs w:val="21"/>
                <w:lang w:eastAsia="zh-CN" w:bidi="ar"/>
              </w:rPr>
              <w:t>4</w:t>
            </w:r>
          </w:p>
        </w:tc>
        <w:tc>
          <w:tcPr>
            <w:tcW w:w="765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rPr>
              <w:t>参与本项目投标前三年内，在经营活动中没有重大违法记录（由供应商在《龙华区教育系统自行采购投标及履约承诺函》中作出声明）；</w:t>
            </w:r>
          </w:p>
        </w:tc>
      </w:tr>
      <w:tr>
        <w:tblPrEx>
          <w:tblW w:w="5000" w:type="pct"/>
          <w:jc w:val="center"/>
          <w:tblLayout w:type="fixed"/>
          <w:tblCellMar>
            <w:top w:w="20" w:type="dxa"/>
            <w:left w:w="108" w:type="dxa"/>
            <w:bottom w:w="20" w:type="dxa"/>
            <w:right w:w="108" w:type="dxa"/>
          </w:tblCellMar>
        </w:tblPrEx>
        <w:trPr>
          <w:trHeight w:val="567"/>
          <w:jc w:val="center"/>
        </w:trPr>
        <w:tc>
          <w:tcPr>
            <w:tcW w:w="86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bidi="ar"/>
              </w:rPr>
            </w:pPr>
            <w:r>
              <w:rPr>
                <w:rFonts w:ascii="宋体" w:eastAsia="宋体" w:hAnsi="宋体" w:cs="宋体" w:hint="eastAsia"/>
                <w:sz w:val="21"/>
                <w:szCs w:val="21"/>
                <w:lang w:eastAsia="zh-CN" w:bidi="ar"/>
              </w:rPr>
              <w:t>5</w:t>
            </w:r>
          </w:p>
        </w:tc>
        <w:tc>
          <w:tcPr>
            <w:tcW w:w="765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rPr>
              <w:t>参与本项目政府采购活动时不存在被有关部门禁止参与政府采购活动且在有效期内的情况（由供应商在《龙华区教育系统自行采购投标及履约承诺函》中作出声明）；</w:t>
            </w:r>
          </w:p>
        </w:tc>
      </w:tr>
      <w:tr>
        <w:tblPrEx>
          <w:tblW w:w="5000" w:type="pct"/>
          <w:jc w:val="center"/>
          <w:tblLayout w:type="fixed"/>
          <w:tblCellMar>
            <w:top w:w="20" w:type="dxa"/>
            <w:left w:w="108" w:type="dxa"/>
            <w:bottom w:w="20" w:type="dxa"/>
            <w:right w:w="108" w:type="dxa"/>
          </w:tblCellMar>
        </w:tblPrEx>
        <w:trPr>
          <w:trHeight w:val="567"/>
          <w:jc w:val="center"/>
        </w:trPr>
        <w:tc>
          <w:tcPr>
            <w:tcW w:w="86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bidi="ar"/>
              </w:rPr>
            </w:pPr>
            <w:r>
              <w:rPr>
                <w:rFonts w:ascii="宋体" w:eastAsia="宋体" w:hAnsi="宋体" w:cs="宋体" w:hint="eastAsia"/>
                <w:sz w:val="21"/>
                <w:szCs w:val="21"/>
                <w:lang w:eastAsia="zh-CN"/>
              </w:rPr>
              <w:t>6</w:t>
            </w:r>
          </w:p>
        </w:tc>
        <w:tc>
          <w:tcPr>
            <w:tcW w:w="765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rPr>
              <w:t>具备《中华人民共和国政府采购法》第二十二条第一款的条件（由供应商在《龙华区教育系统自行采购投标及履约承诺函》中作出声明）；</w:t>
            </w:r>
          </w:p>
        </w:tc>
      </w:tr>
      <w:tr>
        <w:tblPrEx>
          <w:tblW w:w="5000" w:type="pct"/>
          <w:jc w:val="center"/>
          <w:tblLayout w:type="fixed"/>
          <w:tblCellMar>
            <w:top w:w="20" w:type="dxa"/>
            <w:left w:w="108" w:type="dxa"/>
            <w:bottom w:w="20" w:type="dxa"/>
            <w:right w:w="108" w:type="dxa"/>
          </w:tblCellMar>
        </w:tblPrEx>
        <w:trPr>
          <w:trHeight w:val="567"/>
          <w:jc w:val="center"/>
        </w:trPr>
        <w:tc>
          <w:tcPr>
            <w:tcW w:w="86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rPr>
            </w:pPr>
            <w:r>
              <w:rPr>
                <w:rFonts w:ascii="宋体" w:eastAsia="宋体" w:hAnsi="宋体" w:cs="宋体" w:hint="eastAsia"/>
                <w:sz w:val="21"/>
                <w:szCs w:val="21"/>
                <w:lang w:eastAsia="zh-CN" w:bidi="ar"/>
              </w:rPr>
              <w:t>7</w:t>
            </w:r>
          </w:p>
        </w:tc>
        <w:tc>
          <w:tcPr>
            <w:tcW w:w="765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p>
        </w:tc>
      </w:tr>
      <w:tr>
        <w:tblPrEx>
          <w:tblW w:w="5000" w:type="pct"/>
          <w:jc w:val="center"/>
          <w:tblLayout w:type="fixed"/>
          <w:tblCellMar>
            <w:top w:w="20" w:type="dxa"/>
            <w:left w:w="108" w:type="dxa"/>
            <w:bottom w:w="20" w:type="dxa"/>
            <w:right w:w="108" w:type="dxa"/>
          </w:tblCellMar>
        </w:tblPrEx>
        <w:trPr>
          <w:trHeight w:val="567"/>
          <w:jc w:val="center"/>
        </w:trPr>
        <w:tc>
          <w:tcPr>
            <w:tcW w:w="86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center"/>
              <w:textAlignment w:val="auto"/>
              <w:rPr>
                <w:rFonts w:ascii="宋体" w:eastAsia="宋体" w:hAnsi="宋体" w:cs="宋体"/>
                <w:sz w:val="21"/>
                <w:szCs w:val="21"/>
                <w:lang w:eastAsia="zh-CN" w:bidi="ar"/>
              </w:rPr>
            </w:pPr>
            <w:r>
              <w:rPr>
                <w:rFonts w:ascii="宋体" w:eastAsia="宋体" w:hAnsi="宋体" w:cs="宋体" w:hint="eastAsia"/>
                <w:sz w:val="21"/>
                <w:szCs w:val="21"/>
                <w:lang w:eastAsia="zh-CN" w:bidi="ar"/>
              </w:rPr>
              <w:t>2</w:t>
            </w:r>
          </w:p>
        </w:tc>
        <w:tc>
          <w:tcPr>
            <w:tcW w:w="765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rightChars="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依据《中华人民共和国政府采购法实施条例》第十八条第一款规定，单位负责人为同一人或者存在直接控股、管理关系的不同供应商，不得参加同一合同项下的政府采购活动（由供应商在《龙华区教育系统自行采购投标及履约承诺函》中作出声明并根据实际填写“股东构成审查表 ”（详见采购文件相应章节）。</w:t>
            </w:r>
          </w:p>
        </w:tc>
      </w:tr>
    </w:tbl>
    <w:p>
      <w:pPr>
        <w:pageBreakBefore w:val="0"/>
        <w:widowControl w:val="0"/>
        <w:numPr>
          <w:ilvl w:val="0"/>
          <w:numId w:val="0"/>
        </w:numPr>
        <w:kinsoku/>
        <w:overflowPunct/>
        <w:topLinePunct w:val="0"/>
        <w:autoSpaceDE/>
        <w:autoSpaceDN/>
        <w:bidi w:val="0"/>
        <w:spacing w:line="240" w:lineRule="auto"/>
        <w:ind w:left="0" w:firstLine="0" w:left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注：（1）“信用中国”、“中国政府采购网”、“深圳信用网”以及“深圳市政府采购监管网”为供应商信用信息的查询渠道，相关信息以开标当日的查询结果为准；</w:t>
      </w:r>
    </w:p>
    <w:p>
      <w:pPr>
        <w:pageBreakBefore w:val="0"/>
        <w:widowControl w:val="0"/>
        <w:numPr>
          <w:ilvl w:val="0"/>
          <w:numId w:val="0"/>
        </w:numPr>
        <w:kinsoku/>
        <w:overflowPunct/>
        <w:topLinePunct w:val="0"/>
        <w:autoSpaceDE/>
        <w:autoSpaceDN/>
        <w:bidi w:val="0"/>
        <w:spacing w:line="240" w:lineRule="auto"/>
        <w:ind w:left="0" w:firstLine="0" w:left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（2）供应商投标（上传投标文件）必须先行办理注册手续，具体请按照本公告“六、其他补充事宜”相关内容指引办理。</w:t>
      </w:r>
    </w:p>
    <w:p>
      <w:pPr>
        <w:pageBreakBefore w:val="0"/>
        <w:widowControl w:val="0"/>
        <w:numPr>
          <w:ilvl w:val="0"/>
          <w:numId w:val="0"/>
        </w:numPr>
        <w:kinsoku/>
        <w:overflowPunct/>
        <w:topLinePunct w:val="0"/>
        <w:autoSpaceDE/>
        <w:autoSpaceDN/>
        <w:bidi w:val="0"/>
        <w:spacing w:line="240" w:lineRule="auto"/>
        <w:ind w:left="0" w:firstLine="0" w:leftChars="0"/>
        <w:jc w:val="left"/>
        <w:rPr>
          <w:rFonts w:ascii="宋体" w:eastAsia="宋体" w:hAnsi="宋体" w:cs="宋体" w:hint="eastAsia"/>
          <w:kern w:val="2"/>
          <w:lang w:eastAsia="zh-CN"/>
        </w:rPr>
      </w:pPr>
      <w:r>
        <w:rPr>
          <w:rFonts w:ascii="宋体" w:eastAsia="宋体" w:hAnsi="宋体" w:cs="宋体" w:hint="eastAsia"/>
          <w:kern w:val="2"/>
          <w:sz w:val="21"/>
          <w:szCs w:val="21"/>
          <w:highlight w:val="yellow"/>
          <w:lang w:eastAsia="zh-CN"/>
        </w:rPr>
        <w:t>完整公告内容以网站公布信息为准，详见：深圳政府采购自行采购系统网（https://zxcg.szggzy.com/home/index.html）</w:t>
      </w:r>
      <w:r>
        <w:rPr>
          <w:rFonts w:ascii="宋体" w:eastAsia="宋体" w:hAnsi="宋体" w:cs="宋体" w:hint="eastAsia"/>
          <w:kern w:val="2"/>
          <w:u w:val="single"/>
          <w:lang w:eastAsia="zh-CN"/>
        </w:rPr>
        <w:br w:type="page"/>
      </w:r>
    </w:p>
    <w:p>
      <w:pPr>
        <w:pageBreakBefore w:val="0"/>
        <w:widowControl w:val="0"/>
        <w:kinsoku/>
        <w:overflowPunct/>
        <w:topLinePunct w:val="0"/>
        <w:autoSpaceDE/>
        <w:autoSpaceDN/>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 xml:space="preserve">第二章 </w:t>
      </w:r>
      <w:bookmarkStart w:id="24" w:name="_Hlk71926094"/>
      <w:r>
        <w:rPr>
          <w:rFonts w:ascii="宋体" w:eastAsia="宋体" w:hAnsi="宋体" w:cs="宋体" w:hint="eastAsia"/>
          <w:b/>
          <w:bCs/>
          <w:kern w:val="2"/>
          <w:sz w:val="32"/>
          <w:szCs w:val="22"/>
          <w:lang w:eastAsia="zh-CN"/>
        </w:rPr>
        <w:t>对通用条款的补充内容及其他关键信息</w:t>
      </w:r>
      <w:bookmarkEnd w:id="24"/>
    </w:p>
    <w:p>
      <w:pPr>
        <w:keepNext/>
        <w:keepLines/>
        <w:pageBreakBefore w:val="0"/>
        <w:widowControl w:val="0"/>
        <w:kinsoku/>
        <w:overflowPunct/>
        <w:topLinePunct w:val="0"/>
        <w:autoSpaceDE/>
        <w:autoSpaceDN/>
        <w:bidi w:val="0"/>
        <w:spacing w:before="260" w:beforeAutospacing="0" w:after="260" w:afterAutospacing="0" w:line="360" w:lineRule="auto"/>
        <w:ind w:left="0" w:right="0" w:firstLine="0" w:leftChars="0" w:firstLineChars="0"/>
        <w:jc w:val="center"/>
        <w:outlineLvl w:val="2"/>
        <w:rPr>
          <w:rFonts w:ascii="宋体" w:eastAsia="宋体" w:hAnsi="宋体" w:cs="宋体" w:hint="eastAsia"/>
          <w:b/>
          <w:bCs/>
          <w:kern w:val="2"/>
          <w:sz w:val="28"/>
          <w:lang w:eastAsia="zh-CN"/>
        </w:rPr>
      </w:pPr>
      <w:bookmarkStart w:id="25" w:name="_Toc73521547"/>
      <w:bookmarkStart w:id="26" w:name="_Toc73521635"/>
      <w:bookmarkStart w:id="27" w:name="_Toc60631620"/>
      <w:bookmarkStart w:id="28" w:name="_Toc73517639"/>
      <w:bookmarkStart w:id="29" w:name="_Toc100052364"/>
      <w:bookmarkStart w:id="30" w:name="_Toc60560625"/>
      <w:bookmarkStart w:id="31" w:name="_Toc73518117"/>
      <w:bookmarkStart w:id="32" w:name="_Toc101074876"/>
      <w:r>
        <w:rPr>
          <w:rFonts w:ascii="宋体" w:eastAsia="宋体" w:hAnsi="宋体" w:cs="宋体" w:hint="eastAsia"/>
          <w:b/>
          <w:bCs/>
          <w:kern w:val="2"/>
          <w:sz w:val="28"/>
          <w:lang w:eastAsia="zh-CN"/>
        </w:rPr>
        <w:t>一、对通用条款的补充内容</w:t>
      </w:r>
    </w:p>
    <w:bookmarkEnd w:id="25"/>
    <w:bookmarkEnd w:id="26"/>
    <w:bookmarkEnd w:id="27"/>
    <w:bookmarkEnd w:id="28"/>
    <w:bookmarkEnd w:id="29"/>
    <w:bookmarkEnd w:id="30"/>
    <w:bookmarkEnd w:id="31"/>
    <w:bookmarkEnd w:id="32"/>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6"/>
        <w:gridCol w:w="1681"/>
        <w:gridCol w:w="584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kern w:val="2"/>
                <w:sz w:val="21"/>
                <w:lang w:eastAsia="zh-CN"/>
              </w:rPr>
            </w:pPr>
            <w:bookmarkStart w:id="33" w:name="_Hlk72218097"/>
            <w:r>
              <w:rPr>
                <w:rFonts w:ascii="宋体" w:eastAsia="宋体" w:hAnsi="宋体" w:cs="宋体" w:hint="eastAsia"/>
                <w:b/>
                <w:bCs/>
                <w:kern w:val="2"/>
                <w:sz w:val="21"/>
                <w:lang w:eastAsia="zh-CN"/>
              </w:rPr>
              <w:t>通用条款序号</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涉及事项</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3.1</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采购人</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深圳市龙华区民治小学</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3.2</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采购机构</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深圳市泽钧招标有限公司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5.3</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联合体投标</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9</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踏勘现场</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highlight w:val="yellow"/>
                <w:lang w:eastAsia="zh-CN"/>
              </w:rPr>
              <w:t>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10</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标前会议</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12/13</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招标文件的澄清和修改</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不晚于投标截止日三日前，投标人有义务在招标期间在招标代理机构网站浏览与本项目有关的澄清和修改信息。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20</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投标有效期</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u w:val="single"/>
                <w:lang w:eastAsia="zh-CN"/>
              </w:rPr>
              <w:t>120日历天</w:t>
            </w:r>
            <w:r>
              <w:rPr>
                <w:rFonts w:ascii="宋体" w:eastAsia="宋体" w:hAnsi="宋体" w:cs="宋体" w:hint="eastAsia"/>
                <w:kern w:val="2"/>
                <w:sz w:val="21"/>
                <w:lang w:eastAsia="zh-CN"/>
              </w:rPr>
              <w:t>（从投标截止之日算起）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22</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投标人的替代方案</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25</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投标文件的大小</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26</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bookmarkStart w:id="34" w:name="_Hlk71664860"/>
            <w:r>
              <w:rPr>
                <w:rFonts w:ascii="宋体" w:eastAsia="宋体" w:hAnsi="宋体" w:cs="宋体" w:hint="eastAsia"/>
                <w:kern w:val="2"/>
                <w:sz w:val="21"/>
                <w:lang w:eastAsia="zh-CN"/>
              </w:rPr>
              <w:t>样品、现场演示、方案讲解</w:t>
            </w:r>
            <w:bookmarkEnd w:id="34"/>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37</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评审方法</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38</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定标方法</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1606"/>
          <w:jc w:val="center"/>
        </w:trPr>
        <w:tc>
          <w:tcPr>
            <w:tcW w:w="97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46</w:t>
            </w:r>
          </w:p>
        </w:tc>
        <w:tc>
          <w:tcPr>
            <w:tcW w:w="165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履约担保</w:t>
            </w:r>
          </w:p>
        </w:tc>
        <w:tc>
          <w:tcPr>
            <w:tcW w:w="573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不需要</w:t>
            </w:r>
          </w:p>
        </w:tc>
      </w:tr>
      <w:tr>
        <w:tblPrEx>
          <w:tblW w:w="5000" w:type="pct"/>
          <w:jc w:val="center"/>
          <w:tblLayout w:type="fixed"/>
          <w:tblCellMar>
            <w:top w:w="0" w:type="dxa"/>
            <w:left w:w="108" w:type="dxa"/>
            <w:bottom w:w="0" w:type="dxa"/>
            <w:right w:w="108" w:type="dxa"/>
          </w:tblCellMar>
        </w:tblPrEx>
        <w:trPr>
          <w:cantSplit/>
          <w:trHeight w:val="1606"/>
          <w:jc w:val="center"/>
        </w:trPr>
        <w:tc>
          <w:tcPr>
            <w:tcW w:w="978" w:type="dxa"/>
            <w:vAlign w:val="top"/>
          </w:tcPr>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ind w:left="222" w:right="100" w:leftChars="0" w:rightChars="0"/>
              <w:jc w:val="center"/>
              <w:rPr>
                <w:rFonts w:ascii="宋体" w:eastAsia="宋体" w:hAnsi="宋体" w:cs="宋体" w:hint="eastAsia"/>
                <w:kern w:val="2"/>
                <w:sz w:val="21"/>
                <w:lang w:val="zh-CN" w:eastAsia="zh-CN" w:bidi="zh-CN"/>
              </w:rPr>
            </w:pPr>
            <w:r>
              <w:rPr>
                <w:rFonts w:ascii="宋体" w:eastAsia="宋体" w:hAnsi="宋体" w:cs="宋体" w:hint="eastAsia"/>
                <w:kern w:val="2"/>
                <w:sz w:val="21"/>
                <w:lang w:eastAsia="zh-CN" w:bidi="zh-CN"/>
              </w:rPr>
              <w:t>54</w:t>
            </w:r>
            <w:r>
              <w:rPr>
                <w:rFonts w:ascii="宋体" w:eastAsia="宋体" w:hAnsi="宋体" w:cs="宋体" w:hint="eastAsia"/>
                <w:kern w:val="2"/>
                <w:sz w:val="21"/>
                <w:lang w:val="zh-CN" w:eastAsia="zh-CN" w:bidi="zh-CN"/>
              </w:rPr>
              <w:t xml:space="preserve"> </w:t>
            </w:r>
          </w:p>
        </w:tc>
        <w:tc>
          <w:tcPr>
            <w:tcW w:w="1650" w:type="dxa"/>
            <w:vAlign w:val="top"/>
          </w:tcPr>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jc w:val="both"/>
              <w:rPr>
                <w:rFonts w:ascii="宋体" w:eastAsia="宋体" w:hAnsi="宋体" w:cs="宋体" w:hint="eastAsia"/>
                <w:b/>
                <w:kern w:val="2"/>
                <w:sz w:val="20"/>
                <w:lang w:val="zh-CN" w:eastAsia="zh-CN" w:bidi="zh-CN"/>
              </w:rPr>
            </w:pPr>
          </w:p>
          <w:p>
            <w:pPr>
              <w:widowControl w:val="0"/>
              <w:spacing w:before="18"/>
              <w:jc w:val="both"/>
              <w:rPr>
                <w:rFonts w:ascii="宋体" w:eastAsia="宋体" w:hAnsi="宋体" w:cs="宋体" w:hint="eastAsia"/>
                <w:b/>
                <w:kern w:val="2"/>
                <w:lang w:val="zh-CN" w:eastAsia="zh-CN" w:bidi="zh-CN"/>
              </w:rPr>
            </w:pPr>
          </w:p>
          <w:p>
            <w:pPr>
              <w:widowControl w:val="0"/>
              <w:ind w:left="115" w:leftChars="0"/>
              <w:jc w:val="center"/>
              <w:rPr>
                <w:rFonts w:ascii="宋体" w:eastAsia="宋体" w:hAnsi="宋体" w:cs="宋体" w:hint="eastAsia"/>
                <w:kern w:val="2"/>
                <w:sz w:val="21"/>
                <w:lang w:val="zh-CN" w:eastAsia="zh-CN" w:bidi="zh-CN"/>
              </w:rPr>
            </w:pPr>
            <w:r>
              <w:rPr>
                <w:rFonts w:ascii="宋体" w:eastAsia="宋体" w:hAnsi="宋体" w:cs="宋体" w:hint="eastAsia"/>
                <w:kern w:val="2"/>
                <w:sz w:val="21"/>
                <w:lang w:val="zh-CN" w:eastAsia="zh-CN" w:bidi="zh-CN"/>
              </w:rPr>
              <w:t>招标代理服务费</w:t>
            </w:r>
          </w:p>
        </w:tc>
        <w:tc>
          <w:tcPr>
            <w:tcW w:w="5739" w:type="dxa"/>
            <w:vAlign w:val="top"/>
          </w:tcPr>
          <w:p>
            <w:pPr>
              <w:widowControl w:val="0"/>
              <w:spacing w:before="77" w:line="321" w:lineRule="auto"/>
              <w:ind w:left="115" w:right="71"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zh-CN"/>
              </w:rPr>
              <w:t>本项目财政预算金额中已包含招标代理服务费用，</w:t>
            </w:r>
            <w:r>
              <w:rPr>
                <w:rFonts w:ascii="宋体" w:eastAsia="宋体" w:hAnsi="宋体" w:cs="宋体" w:hint="eastAsia"/>
                <w:spacing w:val="4"/>
                <w:kern w:val="2"/>
                <w:sz w:val="21"/>
                <w:lang w:val="zh-CN" w:eastAsia="zh-CN" w:bidi="zh-CN"/>
              </w:rPr>
              <w:t>根据《深圳市财政委员会关于规范深圳市社会采购代理机构管理有关事项的补充通知》“深财购〔2018〕27号”的规定，</w:t>
            </w:r>
            <w:r>
              <w:rPr>
                <w:rFonts w:ascii="宋体" w:eastAsia="宋体" w:hAnsi="宋体" w:cs="宋体" w:hint="eastAsia"/>
                <w:spacing w:val="4"/>
                <w:kern w:val="2"/>
                <w:sz w:val="21"/>
                <w:lang w:eastAsia="zh-CN" w:bidi="zh-CN"/>
              </w:rPr>
              <w:t>本项目的</w:t>
            </w:r>
            <w:r>
              <w:rPr>
                <w:rFonts w:ascii="宋体" w:eastAsia="宋体" w:hAnsi="宋体" w:cs="宋体" w:hint="eastAsia"/>
                <w:kern w:val="2"/>
                <w:sz w:val="21"/>
                <w:szCs w:val="21"/>
                <w:lang w:eastAsia="zh-CN" w:bidi="zh-CN"/>
              </w:rPr>
              <w:t>招标代理服务费用</w:t>
            </w:r>
            <w:r>
              <w:rPr>
                <w:rFonts w:ascii="宋体" w:eastAsia="宋体" w:hAnsi="宋体" w:cs="宋体" w:hint="eastAsia"/>
                <w:spacing w:val="4"/>
                <w:kern w:val="2"/>
                <w:sz w:val="21"/>
                <w:lang w:eastAsia="zh-CN" w:bidi="zh-CN"/>
              </w:rPr>
              <w:t>由中标人支付，</w:t>
            </w:r>
            <w:r>
              <w:rPr>
                <w:rFonts w:ascii="宋体" w:eastAsia="宋体" w:hAnsi="宋体" w:cs="宋体" w:hint="eastAsia"/>
                <w:b/>
                <w:bCs/>
                <w:spacing w:val="4"/>
                <w:kern w:val="2"/>
                <w:sz w:val="21"/>
                <w:lang w:eastAsia="zh-CN" w:bidi="zh-CN"/>
              </w:rPr>
              <w:t>以中标价为计费基准，</w:t>
            </w:r>
            <w:r>
              <w:rPr>
                <w:rFonts w:ascii="宋体" w:eastAsia="宋体" w:hAnsi="宋体" w:cs="宋体" w:hint="eastAsia"/>
                <w:spacing w:val="4"/>
                <w:kern w:val="2"/>
                <w:sz w:val="21"/>
                <w:lang w:eastAsia="zh-CN" w:bidi="zh-CN"/>
              </w:rPr>
              <w:t>按以下差额定率累进法计算收取，详见招标代理服务合同，低于人民币伍仟圆的，按伍仟圆计取</w:t>
            </w:r>
            <w:r>
              <w:rPr>
                <w:rFonts w:ascii="宋体" w:eastAsia="宋体" w:hAnsi="宋体" w:cs="宋体" w:hint="eastAsia"/>
                <w:kern w:val="2"/>
                <w:sz w:val="21"/>
                <w:szCs w:val="21"/>
                <w:lang w:eastAsia="zh-CN"/>
              </w:rPr>
              <w:t>。</w:t>
            </w:r>
          </w:p>
          <w:tbl>
            <w:tblPr>
              <w:tblStyle w:val="TableNormal"/>
              <w:tblW w:w="50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835"/>
              <w:gridCol w:w="1531"/>
              <w:gridCol w:w="1093"/>
              <w:gridCol w:w="1160"/>
            </w:tblGrid>
            <w:tr>
              <w:tblPrEx>
                <w:tblW w:w="50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270"/>
              </w:trPr>
              <w:tc>
                <w:tcPr>
                  <w:tcW w:w="1717" w:type="dxa"/>
                  <w:vMerge w:val="restart"/>
                  <w:tcBorders>
                    <w:tl2br w:val="single" w:sz="2" w:space="0" w:color="auto"/>
                  </w:tcBorders>
                  <w:noWrap w:val="0"/>
                  <w:vAlign w:val="center"/>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right="0" w:firstLine="800" w:firstLineChars="400"/>
                    <w:jc w:val="left"/>
                    <w:textAlignment w:val="baseline"/>
                    <w:rPr>
                      <w:rFonts w:ascii="宋体" w:eastAsia="宋体" w:hAnsi="宋体" w:cs="宋体" w:hint="eastAsia"/>
                      <w:b/>
                      <w:bCs/>
                      <w:color w:val="333333"/>
                      <w:sz w:val="20"/>
                      <w:szCs w:val="20"/>
                      <w:lang w:eastAsia="zh-CN" w:bidi="ar"/>
                    </w:rPr>
                  </w:pPr>
                  <w:r>
                    <w:rPr>
                      <w:rFonts w:ascii="宋体" w:eastAsia="宋体" w:hAnsi="宋体" w:cs="宋体" w:hint="eastAsia"/>
                      <w:b/>
                      <w:bCs/>
                      <w:color w:val="333333"/>
                      <w:sz w:val="20"/>
                      <w:szCs w:val="20"/>
                      <w:lang w:eastAsia="zh-CN" w:bidi="ar"/>
                    </w:rPr>
                    <w:t>类型及费率</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right="0"/>
                    <w:jc w:val="left"/>
                    <w:textAlignment w:val="baseline"/>
                    <w:rPr>
                      <w:rFonts w:ascii="宋体" w:eastAsia="宋体" w:hAnsi="宋体" w:cs="宋体" w:hint="eastAsia"/>
                      <w:b/>
                      <w:kern w:val="2"/>
                      <w:sz w:val="21"/>
                      <w:szCs w:val="21"/>
                      <w:lang w:eastAsia="zh-CN"/>
                    </w:rPr>
                  </w:pPr>
                  <w:r>
                    <w:rPr>
                      <w:rFonts w:ascii="宋体" w:eastAsia="宋体" w:hAnsi="宋体" w:cs="宋体" w:hint="eastAsia"/>
                      <w:b/>
                      <w:bCs/>
                      <w:color w:val="333333"/>
                      <w:sz w:val="20"/>
                      <w:szCs w:val="20"/>
                      <w:lang w:eastAsia="zh-CN" w:bidi="ar"/>
                    </w:rPr>
                    <w:t>中标金额</w:t>
                  </w:r>
                </w:p>
              </w:tc>
              <w:tc>
                <w:tcPr>
                  <w:tcW w:w="3542" w:type="dxa"/>
                  <w:gridSpan w:val="3"/>
                  <w:noWrap w:val="0"/>
                  <w:vAlign w:val="center"/>
                </w:tcPr>
                <w:p>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ascii="宋体" w:eastAsia="宋体" w:hAnsi="宋体" w:cs="宋体" w:hint="eastAsia"/>
                      <w:b/>
                      <w:kern w:val="2"/>
                      <w:sz w:val="21"/>
                      <w:szCs w:val="21"/>
                      <w:lang w:val="zh-CN" w:eastAsia="zh-CN" w:bidi="zh-CN"/>
                    </w:rPr>
                  </w:pPr>
                  <w:r>
                    <w:rPr>
                      <w:rFonts w:ascii="宋体" w:eastAsia="宋体" w:hAnsi="宋体" w:cs="宋体" w:hint="eastAsia"/>
                      <w:b/>
                      <w:kern w:val="2"/>
                      <w:sz w:val="21"/>
                      <w:szCs w:val="21"/>
                      <w:lang w:val="zh-CN" w:eastAsia="zh-CN" w:bidi="zh-CN"/>
                    </w:rPr>
                    <w:t>各类型招标代理服务费计算费率</w:t>
                  </w:r>
                </w:p>
              </w:tc>
            </w:tr>
            <w:tr>
              <w:tblPrEx>
                <w:tblW w:w="5000" w:type="pct"/>
                <w:tblInd w:w="25" w:type="dxa"/>
                <w:tblLayout w:type="fixed"/>
                <w:tblCellMar>
                  <w:top w:w="0" w:type="dxa"/>
                  <w:left w:w="0" w:type="dxa"/>
                  <w:bottom w:w="0" w:type="dxa"/>
                  <w:right w:w="0" w:type="dxa"/>
                </w:tblCellMar>
              </w:tblPrEx>
              <w:trPr>
                <w:trHeight w:val="536"/>
              </w:trPr>
              <w:tc>
                <w:tcPr>
                  <w:tcW w:w="1717" w:type="dxa"/>
                  <w:vMerge/>
                  <w:noWrap w:val="0"/>
                  <w:vAlign w:val="center"/>
                </w:tcPr>
                <w:p>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ascii="宋体" w:eastAsia="宋体" w:hAnsi="宋体" w:cs="宋体" w:hint="eastAsia"/>
                      <w:kern w:val="2"/>
                      <w:sz w:val="21"/>
                      <w:szCs w:val="21"/>
                      <w:lang w:eastAsia="zh-CN"/>
                    </w:rPr>
                  </w:pPr>
                </w:p>
              </w:tc>
              <w:tc>
                <w:tcPr>
                  <w:tcW w:w="1433" w:type="dxa"/>
                  <w:noWrap w:val="0"/>
                  <w:vAlign w:val="center"/>
                </w:tcPr>
                <w:p>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rPr>
                      <w:rFonts w:ascii="宋体" w:eastAsia="宋体" w:hAnsi="宋体" w:cs="宋体" w:hint="eastAsia"/>
                      <w:b/>
                      <w:kern w:val="2"/>
                      <w:sz w:val="21"/>
                      <w:szCs w:val="21"/>
                      <w:lang w:val="zh-CN" w:eastAsia="zh-CN" w:bidi="zh-CN"/>
                    </w:rPr>
                  </w:pPr>
                  <w:r>
                    <w:rPr>
                      <w:rFonts w:ascii="宋体" w:eastAsia="宋体" w:hAnsi="宋体" w:cs="宋体" w:hint="eastAsia"/>
                      <w:b/>
                      <w:kern w:val="2"/>
                      <w:sz w:val="21"/>
                      <w:szCs w:val="21"/>
                      <w:lang w:val="zh-CN" w:eastAsia="zh-CN" w:bidi="zh-CN"/>
                    </w:rPr>
                    <w:t>货物招标</w:t>
                  </w:r>
                </w:p>
              </w:tc>
              <w:tc>
                <w:tcPr>
                  <w:tcW w:w="1023" w:type="dxa"/>
                  <w:noWrap w:val="0"/>
                  <w:vAlign w:val="center"/>
                </w:tcPr>
                <w:p>
                  <w:pPr>
                    <w:keepNext w:val="0"/>
                    <w:keepLines w:val="0"/>
                    <w:pageBreakBefore w:val="0"/>
                    <w:widowControl w:val="0"/>
                    <w:suppressLineNumbers w:val="0"/>
                    <w:kinsoku/>
                    <w:overflowPunct/>
                    <w:topLinePunct w:val="0"/>
                    <w:autoSpaceDE/>
                    <w:autoSpaceDN/>
                    <w:bidi w:val="0"/>
                    <w:adjustRightInd w:val="0"/>
                    <w:snapToGrid w:val="0"/>
                    <w:spacing w:before="85" w:beforeAutospacing="0" w:after="0" w:afterAutospacing="0" w:line="240" w:lineRule="auto"/>
                    <w:ind w:left="0" w:right="107"/>
                    <w:jc w:val="center"/>
                    <w:rPr>
                      <w:rFonts w:ascii="宋体" w:eastAsia="宋体" w:hAnsi="宋体" w:cs="宋体" w:hint="eastAsia"/>
                      <w:b/>
                      <w:kern w:val="2"/>
                      <w:sz w:val="21"/>
                      <w:szCs w:val="21"/>
                      <w:lang w:val="zh-CN" w:eastAsia="zh-CN" w:bidi="zh-CN"/>
                    </w:rPr>
                  </w:pPr>
                  <w:r>
                    <w:rPr>
                      <w:rFonts w:ascii="宋体" w:eastAsia="宋体" w:hAnsi="宋体" w:cs="宋体" w:hint="eastAsia"/>
                      <w:b/>
                      <w:kern w:val="2"/>
                      <w:sz w:val="21"/>
                      <w:szCs w:val="21"/>
                      <w:lang w:val="zh-CN" w:eastAsia="zh-CN" w:bidi="zh-CN"/>
                    </w:rPr>
                    <w:t>服务招标</w:t>
                  </w:r>
                </w:p>
              </w:tc>
              <w:tc>
                <w:tcPr>
                  <w:tcW w:w="1086" w:type="dxa"/>
                  <w:noWrap w:val="0"/>
                  <w:vAlign w:val="center"/>
                </w:tcPr>
                <w:p>
                  <w:pPr>
                    <w:keepNext w:val="0"/>
                    <w:keepLines w:val="0"/>
                    <w:pageBreakBefore w:val="0"/>
                    <w:widowControl w:val="0"/>
                    <w:suppressLineNumbers w:val="0"/>
                    <w:kinsoku/>
                    <w:overflowPunct/>
                    <w:topLinePunct w:val="0"/>
                    <w:autoSpaceDE/>
                    <w:autoSpaceDN/>
                    <w:bidi w:val="0"/>
                    <w:adjustRightInd w:val="0"/>
                    <w:snapToGrid w:val="0"/>
                    <w:spacing w:before="85" w:beforeAutospacing="0" w:after="0" w:afterAutospacing="0" w:line="240" w:lineRule="auto"/>
                    <w:ind w:left="0" w:right="148"/>
                    <w:jc w:val="center"/>
                    <w:rPr>
                      <w:rFonts w:ascii="宋体" w:eastAsia="宋体" w:hAnsi="宋体" w:cs="宋体" w:hint="eastAsia"/>
                      <w:b/>
                      <w:kern w:val="2"/>
                      <w:sz w:val="21"/>
                      <w:szCs w:val="21"/>
                      <w:lang w:val="zh-CN" w:eastAsia="zh-CN" w:bidi="zh-CN"/>
                    </w:rPr>
                  </w:pPr>
                  <w:r>
                    <w:rPr>
                      <w:rFonts w:ascii="宋体" w:eastAsia="宋体" w:hAnsi="宋体" w:cs="宋体" w:hint="eastAsia"/>
                      <w:b/>
                      <w:kern w:val="2"/>
                      <w:sz w:val="21"/>
                      <w:szCs w:val="21"/>
                      <w:lang w:val="zh-CN" w:eastAsia="zh-CN" w:bidi="zh-CN"/>
                    </w:rPr>
                    <w:t>工程招标</w:t>
                  </w:r>
                </w:p>
              </w:tc>
            </w:tr>
            <w:tr>
              <w:tblPrEx>
                <w:tblW w:w="5000" w:type="pct"/>
                <w:tblInd w:w="25" w:type="dxa"/>
                <w:tblLayout w:type="fixed"/>
                <w:tblCellMar>
                  <w:top w:w="0" w:type="dxa"/>
                  <w:left w:w="0" w:type="dxa"/>
                  <w:bottom w:w="0" w:type="dxa"/>
                  <w:right w:w="0" w:type="dxa"/>
                </w:tblCellMar>
              </w:tblPrEx>
              <w:trPr>
                <w:trHeight w:val="270"/>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ascii="宋体" w:eastAsia="宋体" w:hAnsi="宋体" w:cs="宋体" w:hint="eastAsia"/>
                      <w:kern w:val="2"/>
                      <w:sz w:val="20"/>
                      <w:szCs w:val="20"/>
                      <w:lang w:eastAsia="zh-CN"/>
                    </w:rPr>
                  </w:pPr>
                  <w:r>
                    <w:rPr>
                      <w:rFonts w:ascii="宋体" w:eastAsia="宋体" w:hAnsi="宋体" w:cs="宋体" w:hint="eastAsia"/>
                      <w:color w:val="333333"/>
                      <w:sz w:val="20"/>
                      <w:szCs w:val="20"/>
                      <w:lang w:eastAsia="zh-CN" w:bidi="ar"/>
                    </w:rPr>
                    <w:t>100万元以下</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1.5%</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1.5%</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1.0%</w:t>
                  </w:r>
                </w:p>
              </w:tc>
            </w:tr>
            <w:tr>
              <w:tblPrEx>
                <w:tblW w:w="5000" w:type="pct"/>
                <w:tblInd w:w="25" w:type="dxa"/>
                <w:tblLayout w:type="fixed"/>
                <w:tblCellMar>
                  <w:top w:w="0" w:type="dxa"/>
                  <w:left w:w="0" w:type="dxa"/>
                  <w:bottom w:w="0" w:type="dxa"/>
                  <w:right w:w="0" w:type="dxa"/>
                </w:tblCellMar>
              </w:tblPrEx>
              <w:trPr>
                <w:trHeight w:val="505"/>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ascii="宋体" w:eastAsia="宋体" w:hAnsi="宋体" w:cs="宋体" w:hint="eastAsia"/>
                      <w:kern w:val="2"/>
                      <w:sz w:val="20"/>
                      <w:szCs w:val="20"/>
                      <w:lang w:eastAsia="zh-CN"/>
                    </w:rPr>
                  </w:pPr>
                  <w:r>
                    <w:rPr>
                      <w:rFonts w:ascii="宋体" w:eastAsia="宋体" w:hAnsi="宋体" w:cs="宋体" w:hint="eastAsia"/>
                      <w:color w:val="333333"/>
                      <w:sz w:val="20"/>
                      <w:szCs w:val="20"/>
                      <w:lang w:eastAsia="zh-CN" w:bidi="ar"/>
                    </w:rPr>
                    <w:t>100万元（含）-500万元</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1.1%</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0.8%</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0.7%</w:t>
                  </w:r>
                </w:p>
              </w:tc>
            </w:tr>
            <w:tr>
              <w:tblPrEx>
                <w:tblW w:w="5000" w:type="pct"/>
                <w:tblInd w:w="25" w:type="dxa"/>
                <w:tblLayout w:type="fixed"/>
                <w:tblCellMar>
                  <w:top w:w="0" w:type="dxa"/>
                  <w:left w:w="0" w:type="dxa"/>
                  <w:bottom w:w="0" w:type="dxa"/>
                  <w:right w:w="0" w:type="dxa"/>
                </w:tblCellMar>
              </w:tblPrEx>
              <w:trPr>
                <w:trHeight w:val="505"/>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ascii="宋体" w:eastAsia="宋体" w:hAnsi="宋体" w:cs="宋体" w:hint="eastAsia"/>
                      <w:kern w:val="2"/>
                      <w:sz w:val="20"/>
                      <w:szCs w:val="20"/>
                      <w:lang w:eastAsia="zh-CN"/>
                    </w:rPr>
                  </w:pPr>
                  <w:r>
                    <w:rPr>
                      <w:rFonts w:ascii="宋体" w:eastAsia="宋体" w:hAnsi="宋体" w:cs="宋体" w:hint="eastAsia"/>
                      <w:color w:val="333333"/>
                      <w:sz w:val="20"/>
                      <w:szCs w:val="20"/>
                      <w:lang w:eastAsia="zh-CN" w:bidi="ar"/>
                    </w:rPr>
                    <w:t>500万元（含）-1000万元</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0.8%</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0.45%</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0.55%</w:t>
                  </w:r>
                </w:p>
              </w:tc>
            </w:tr>
            <w:tr>
              <w:tblPrEx>
                <w:tblW w:w="5000" w:type="pct"/>
                <w:tblInd w:w="25" w:type="dxa"/>
                <w:tblLayout w:type="fixed"/>
                <w:tblCellMar>
                  <w:top w:w="0" w:type="dxa"/>
                  <w:left w:w="0" w:type="dxa"/>
                  <w:bottom w:w="0" w:type="dxa"/>
                  <w:right w:w="0" w:type="dxa"/>
                </w:tblCellMar>
              </w:tblPrEx>
              <w:trPr>
                <w:trHeight w:val="505"/>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ascii="宋体" w:eastAsia="宋体" w:hAnsi="宋体" w:cs="宋体" w:hint="eastAsia"/>
                      <w:kern w:val="2"/>
                      <w:sz w:val="20"/>
                      <w:szCs w:val="20"/>
                      <w:lang w:eastAsia="zh-CN"/>
                    </w:rPr>
                  </w:pPr>
                  <w:r>
                    <w:rPr>
                      <w:rFonts w:ascii="宋体" w:eastAsia="宋体" w:hAnsi="宋体" w:cs="宋体" w:hint="eastAsia"/>
                      <w:color w:val="333333"/>
                      <w:sz w:val="20"/>
                      <w:szCs w:val="20"/>
                      <w:lang w:eastAsia="zh-CN" w:bidi="ar"/>
                    </w:rPr>
                    <w:t>1000万元（含）-5000万元</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0.5%</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0.25%</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0.35%</w:t>
                  </w:r>
                </w:p>
              </w:tc>
            </w:tr>
            <w:tr>
              <w:tblPrEx>
                <w:tblW w:w="5000" w:type="pct"/>
                <w:tblInd w:w="25" w:type="dxa"/>
                <w:tblLayout w:type="fixed"/>
                <w:tblCellMar>
                  <w:top w:w="0" w:type="dxa"/>
                  <w:left w:w="0" w:type="dxa"/>
                  <w:bottom w:w="0" w:type="dxa"/>
                  <w:right w:w="0" w:type="dxa"/>
                </w:tblCellMar>
              </w:tblPrEx>
              <w:trPr>
                <w:trHeight w:val="505"/>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ascii="宋体" w:eastAsia="宋体" w:hAnsi="宋体" w:cs="宋体" w:hint="eastAsia"/>
                      <w:kern w:val="2"/>
                      <w:sz w:val="20"/>
                      <w:szCs w:val="20"/>
                      <w:lang w:eastAsia="zh-CN"/>
                    </w:rPr>
                  </w:pPr>
                  <w:r>
                    <w:rPr>
                      <w:rFonts w:ascii="宋体" w:eastAsia="宋体" w:hAnsi="宋体" w:cs="宋体" w:hint="eastAsia"/>
                      <w:color w:val="333333"/>
                      <w:sz w:val="20"/>
                      <w:szCs w:val="20"/>
                      <w:lang w:eastAsia="zh-CN" w:bidi="ar"/>
                    </w:rPr>
                    <w:t>5000万元（含）-1亿元</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0.25%</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0.1%</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0.2%</w:t>
                  </w:r>
                </w:p>
              </w:tc>
            </w:tr>
            <w:tr>
              <w:tblPrEx>
                <w:tblW w:w="5000" w:type="pct"/>
                <w:tblInd w:w="25" w:type="dxa"/>
                <w:tblLayout w:type="fixed"/>
                <w:tblCellMar>
                  <w:top w:w="0" w:type="dxa"/>
                  <w:left w:w="0" w:type="dxa"/>
                  <w:bottom w:w="0" w:type="dxa"/>
                  <w:right w:w="0" w:type="dxa"/>
                </w:tblCellMar>
              </w:tblPrEx>
              <w:trPr>
                <w:trHeight w:val="462"/>
              </w:trPr>
              <w:tc>
                <w:tcPr>
                  <w:tcW w:w="1717"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right"/>
                    <w:textAlignment w:val="baseline"/>
                    <w:rPr>
                      <w:rFonts w:ascii="宋体" w:eastAsia="宋体" w:hAnsi="宋体" w:cs="宋体" w:hint="eastAsia"/>
                      <w:kern w:val="2"/>
                      <w:sz w:val="20"/>
                      <w:szCs w:val="20"/>
                      <w:lang w:eastAsia="zh-CN"/>
                    </w:rPr>
                  </w:pPr>
                  <w:r>
                    <w:rPr>
                      <w:rFonts w:ascii="宋体" w:eastAsia="宋体" w:hAnsi="宋体" w:cs="宋体" w:hint="eastAsia"/>
                      <w:color w:val="333333"/>
                      <w:sz w:val="20"/>
                      <w:szCs w:val="20"/>
                      <w:lang w:eastAsia="zh-CN" w:bidi="ar"/>
                    </w:rPr>
                    <w:t>1亿元（含）-5亿元</w:t>
                  </w:r>
                </w:p>
              </w:tc>
              <w:tc>
                <w:tcPr>
                  <w:tcW w:w="143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0.05%</w:t>
                  </w:r>
                </w:p>
              </w:tc>
              <w:tc>
                <w:tcPr>
                  <w:tcW w:w="1023"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0.05%</w:t>
                  </w:r>
                </w:p>
              </w:tc>
              <w:tc>
                <w:tcPr>
                  <w:tcW w:w="1086" w:type="dxa"/>
                  <w:noWrap w:val="0"/>
                  <w:vAlign w:val="top"/>
                </w:tcPr>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val="0"/>
                    <w:snapToGrid w:val="0"/>
                    <w:spacing w:before="0" w:beforeAutospacing="0" w:after="0" w:afterAutospacing="0" w:line="240" w:lineRule="auto"/>
                    <w:ind w:left="0" w:right="0" w:leftChars="0" w:rightChars="0"/>
                    <w:jc w:val="center"/>
                    <w:textAlignment w:val="baseline"/>
                    <w:rPr>
                      <w:rFonts w:ascii="宋体" w:eastAsia="宋体" w:hAnsi="宋体" w:cs="宋体" w:hint="eastAsia"/>
                      <w:kern w:val="2"/>
                      <w:sz w:val="21"/>
                      <w:szCs w:val="21"/>
                      <w:lang w:eastAsia="zh-CN"/>
                    </w:rPr>
                  </w:pPr>
                  <w:r>
                    <w:rPr>
                      <w:rFonts w:ascii="宋体" w:eastAsia="宋体" w:hAnsi="宋体" w:cs="宋体" w:hint="eastAsia"/>
                      <w:color w:val="333333"/>
                      <w:sz w:val="21"/>
                      <w:szCs w:val="21"/>
                      <w:lang w:eastAsia="zh-CN" w:bidi="ar"/>
                    </w:rPr>
                    <w:t>0.05%</w:t>
                  </w:r>
                </w:p>
              </w:tc>
            </w:tr>
          </w:tbl>
          <w:p>
            <w:pPr>
              <w:widowControl w:val="0"/>
              <w:spacing w:line="377" w:lineRule="exact"/>
              <w:ind w:left="115"/>
              <w:jc w:val="both"/>
              <w:rPr>
                <w:rFonts w:ascii="宋体" w:eastAsia="宋体" w:hAnsi="宋体" w:cs="宋体" w:hint="eastAsia"/>
                <w:kern w:val="2"/>
                <w:sz w:val="21"/>
                <w:lang w:val="zh-CN" w:eastAsia="zh-CN" w:bidi="zh-CN"/>
              </w:rPr>
            </w:pPr>
            <w:r>
              <w:rPr>
                <w:rFonts w:ascii="宋体" w:eastAsia="宋体" w:hAnsi="宋体" w:cs="宋体" w:hint="eastAsia"/>
                <w:b/>
                <w:kern w:val="2"/>
                <w:sz w:val="21"/>
                <w:lang w:val="zh-CN" w:eastAsia="zh-CN" w:bidi="zh-CN"/>
              </w:rPr>
              <w:t>注：</w:t>
            </w:r>
            <w:r>
              <w:rPr>
                <w:rFonts w:ascii="宋体" w:eastAsia="宋体" w:hAnsi="宋体" w:cs="宋体" w:hint="eastAsia"/>
                <w:kern w:val="2"/>
                <w:sz w:val="21"/>
                <w:lang w:val="zh-CN" w:eastAsia="zh-CN" w:bidi="zh-CN"/>
              </w:rPr>
              <w:t>招标代理服务费缴纳至：</w:t>
            </w:r>
          </w:p>
          <w:p>
            <w:pPr>
              <w:widowControl w:val="0"/>
              <w:spacing w:before="31" w:line="266" w:lineRule="auto"/>
              <w:ind w:left="535" w:right="112"/>
              <w:jc w:val="both"/>
              <w:rPr>
                <w:rFonts w:ascii="宋体" w:eastAsia="宋体" w:hAnsi="宋体" w:cs="宋体" w:hint="eastAsia"/>
                <w:kern w:val="2"/>
                <w:sz w:val="21"/>
                <w:lang w:eastAsia="zh-CN" w:bidi="zh-CN"/>
              </w:rPr>
            </w:pPr>
            <w:r>
              <w:rPr>
                <w:rFonts w:ascii="宋体" w:eastAsia="宋体" w:hAnsi="宋体" w:cs="宋体" w:hint="eastAsia"/>
                <w:kern w:val="2"/>
                <w:sz w:val="21"/>
                <w:lang w:val="zh-CN" w:eastAsia="zh-CN" w:bidi="zh-CN"/>
              </w:rPr>
              <w:t>开户名称：</w:t>
            </w:r>
            <w:r>
              <w:rPr>
                <w:rFonts w:ascii="宋体" w:eastAsia="宋体" w:hAnsi="宋体" w:cs="宋体" w:hint="eastAsia"/>
                <w:kern w:val="2"/>
                <w:sz w:val="21"/>
                <w:lang w:eastAsia="zh-CN" w:bidi="zh-CN"/>
              </w:rPr>
              <w:t>深圳市泽钧招标有限公司</w:t>
            </w:r>
          </w:p>
          <w:p>
            <w:pPr>
              <w:widowControl w:val="0"/>
              <w:spacing w:before="31" w:line="266" w:lineRule="auto"/>
              <w:ind w:left="535" w:right="112"/>
              <w:jc w:val="both"/>
              <w:rPr>
                <w:rFonts w:ascii="宋体" w:eastAsia="宋体" w:hAnsi="宋体" w:cs="宋体" w:hint="eastAsia"/>
                <w:kern w:val="2"/>
                <w:sz w:val="21"/>
                <w:lang w:val="zh-CN" w:eastAsia="zh-CN" w:bidi="zh-CN"/>
              </w:rPr>
            </w:pPr>
            <w:r>
              <w:rPr>
                <w:rFonts w:ascii="宋体" w:eastAsia="宋体" w:hAnsi="宋体" w:cs="宋体" w:hint="eastAsia"/>
                <w:kern w:val="2"/>
                <w:sz w:val="21"/>
                <w:lang w:val="zh-CN" w:eastAsia="zh-CN" w:bidi="zh-CN"/>
              </w:rPr>
              <w:t>银行帐号：1717 7400 0</w:t>
            </w:r>
          </w:p>
          <w:p>
            <w:pPr>
              <w:widowControl w:val="0"/>
              <w:spacing w:before="3" w:line="252" w:lineRule="exact"/>
              <w:ind w:left="535"/>
              <w:jc w:val="both"/>
              <w:rPr>
                <w:rFonts w:ascii="宋体" w:eastAsia="宋体" w:hAnsi="宋体" w:cs="宋体" w:hint="eastAsia"/>
                <w:kern w:val="2"/>
                <w:sz w:val="21"/>
                <w:lang w:eastAsia="zh-CN" w:bidi="zh-CN"/>
              </w:rPr>
            </w:pPr>
            <w:r>
              <w:rPr>
                <w:rFonts w:ascii="宋体" w:eastAsia="宋体" w:hAnsi="宋体" w:cs="宋体" w:hint="eastAsia"/>
                <w:kern w:val="2"/>
                <w:sz w:val="21"/>
                <w:lang w:val="zh-CN" w:eastAsia="zh-CN" w:bidi="zh-CN"/>
              </w:rPr>
              <w:t>开户银行：</w:t>
            </w:r>
            <w:r>
              <w:rPr>
                <w:rFonts w:ascii="宋体" w:eastAsia="宋体" w:hAnsi="宋体" w:cs="宋体" w:hint="eastAsia"/>
                <w:kern w:val="2"/>
                <w:sz w:val="21"/>
                <w:lang w:eastAsia="zh-CN" w:bidi="zh-CN"/>
              </w:rPr>
              <w:t>中国民生银行龙华支行</w:t>
            </w:r>
          </w:p>
          <w:p>
            <w:pPr>
              <w:widowControl w:val="0"/>
              <w:spacing w:before="3" w:line="252" w:lineRule="exact"/>
              <w:ind w:left="535" w:leftChars="0"/>
              <w:jc w:val="both"/>
              <w:rPr>
                <w:rFonts w:ascii="宋体" w:eastAsia="宋体" w:hAnsi="宋体" w:cs="宋体" w:hint="eastAsia"/>
                <w:kern w:val="2"/>
                <w:sz w:val="21"/>
                <w:lang w:val="zh-CN" w:eastAsia="zh-CN" w:bidi="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备注：本表是通用条款相关条款的补充和明确，如与通用条款内容相冲突的，以本表为准。</w:t>
      </w:r>
    </w:p>
    <w:p>
      <w:pPr>
        <w:keepNext/>
        <w:keepLines/>
        <w:pageBreakBefore w:val="0"/>
        <w:widowControl w:val="0"/>
        <w:kinsoku/>
        <w:overflowPunct/>
        <w:topLinePunct w:val="0"/>
        <w:autoSpaceDE/>
        <w:autoSpaceDN/>
        <w:bidi w:val="0"/>
        <w:spacing w:before="260" w:beforeAutospacing="0" w:after="260" w:afterAutospacing="0" w:line="360" w:lineRule="auto"/>
        <w:ind w:left="0" w:right="0" w:firstLine="0" w:leftChars="0" w:firstLineChars="0"/>
        <w:jc w:val="center"/>
        <w:outlineLvl w:val="2"/>
        <w:rPr>
          <w:rFonts w:ascii="宋体" w:eastAsia="宋体" w:hAnsi="宋体" w:cs="宋体" w:hint="eastAsia"/>
          <w:b/>
          <w:bCs/>
          <w:kern w:val="2"/>
          <w:sz w:val="28"/>
          <w:lang w:eastAsia="zh-CN"/>
        </w:rPr>
      </w:pPr>
      <w:r>
        <w:rPr>
          <w:rFonts w:ascii="宋体" w:eastAsia="宋体" w:hAnsi="宋体" w:cs="宋体" w:hint="eastAsia"/>
          <w:kern w:val="2"/>
          <w:sz w:val="21"/>
          <w:szCs w:val="21"/>
          <w:lang w:eastAsia="zh-CN"/>
        </w:rPr>
        <w:br w:type="page"/>
      </w:r>
      <w:bookmarkEnd w:id="33"/>
      <w:bookmarkStart w:id="35" w:name="_Hlk72218117"/>
      <w:r>
        <w:rPr>
          <w:rFonts w:ascii="宋体" w:eastAsia="宋体" w:hAnsi="宋体" w:cs="宋体" w:hint="eastAsia"/>
          <w:b/>
          <w:bCs/>
          <w:kern w:val="2"/>
          <w:sz w:val="28"/>
          <w:lang w:eastAsia="zh-CN"/>
        </w:rPr>
        <w:t>二、其他关键信息</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kern w:val="2"/>
          <w:sz w:val="21"/>
          <w:lang w:eastAsia="zh-CN"/>
        </w:rPr>
      </w:pPr>
      <w:bookmarkStart w:id="36" w:name="_Hlk72579427"/>
      <w:r>
        <w:rPr>
          <w:rFonts w:ascii="宋体" w:eastAsia="宋体" w:hAnsi="宋体" w:cs="宋体" w:hint="eastAsia"/>
          <w:b/>
          <w:bCs/>
          <w:kern w:val="2"/>
          <w:sz w:val="21"/>
          <w:lang w:eastAsia="zh-CN"/>
        </w:rPr>
        <w:t>（一）与“对通用条款的补充内容”章节相关的事项</w:t>
      </w:r>
    </w:p>
    <w:p>
      <w:pPr>
        <w:widowControl w:val="0"/>
        <w:jc w:val="both"/>
        <w:rPr>
          <w:rFonts w:ascii="宋体" w:eastAsia="宋体" w:hAnsi="宋体" w:cs="宋体" w:hint="eastAsia"/>
          <w:kern w:val="2"/>
          <w:sz w:val="21"/>
          <w:lang w:eastAsia="zh-CN"/>
        </w:rPr>
      </w:pPr>
      <w:r>
        <w:rPr>
          <w:rFonts w:ascii="宋体" w:eastAsia="宋体" w:hAnsi="宋体" w:cs="宋体" w:hint="eastAsia"/>
          <w:b/>
          <w:kern w:val="2"/>
          <w:sz w:val="21"/>
          <w:lang w:eastAsia="zh-CN"/>
        </w:rPr>
        <w:t>1.评定分离项目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noWrap w:val="0"/>
            <w:vAlign w:val="top"/>
          </w:tcPr>
          <w:p>
            <w:pPr>
              <w:jc w:val="center"/>
              <w:rPr>
                <w:rFonts w:ascii="宋体" w:hAnsi="宋体" w:cs="宋体" w:hint="eastAsia"/>
                <w:kern w:val="2"/>
                <w:sz w:val="21"/>
                <w:lang w:eastAsia="zh-CN"/>
              </w:rPr>
            </w:pPr>
            <w:bookmarkStart w:id="37" w:name="_Hlk74239733"/>
            <w:r>
              <w:rPr>
                <w:rFonts w:ascii="宋体" w:hAnsi="宋体" w:cs="宋体" w:hint="eastAsia"/>
                <w:kern w:val="2"/>
                <w:sz w:val="21"/>
                <w:lang w:eastAsia="zh-CN"/>
              </w:rPr>
              <w:t>评标方法</w:t>
            </w:r>
          </w:p>
        </w:tc>
        <w:tc>
          <w:tcPr>
            <w:tcW w:w="4265" w:type="dxa"/>
            <w:noWrap w:val="0"/>
            <w:vAlign w:val="top"/>
          </w:tcPr>
          <w:p>
            <w:pPr>
              <w:jc w:val="center"/>
              <w:rPr>
                <w:rFonts w:ascii="宋体" w:hAnsi="宋体" w:cs="宋体" w:hint="eastAsia"/>
                <w:kern w:val="2"/>
                <w:sz w:val="21"/>
                <w:lang w:eastAsia="zh-CN"/>
              </w:rPr>
            </w:pPr>
            <w:r>
              <w:rPr>
                <w:rFonts w:ascii="宋体" w:hAnsi="宋体" w:cs="宋体" w:hint="eastAsia"/>
                <w:kern w:val="2"/>
                <w:sz w:val="21"/>
                <w:lang w:eastAsia="zh-CN"/>
              </w:rPr>
              <w:t>非评定分离</w:t>
            </w:r>
          </w:p>
        </w:tc>
      </w:tr>
      <w:tr>
        <w:tblPrEx>
          <w:tblW w:w="5000" w:type="pct"/>
          <w:tblInd w:w="0" w:type="dxa"/>
          <w:tblLayout w:type="fixed"/>
          <w:tblCellMar>
            <w:top w:w="0" w:type="dxa"/>
            <w:left w:w="108" w:type="dxa"/>
            <w:bottom w:w="0" w:type="dxa"/>
            <w:right w:w="108" w:type="dxa"/>
          </w:tblCellMar>
        </w:tblPrEx>
        <w:tc>
          <w:tcPr>
            <w:tcW w:w="4264" w:type="dxa"/>
            <w:noWrap w:val="0"/>
            <w:vAlign w:val="top"/>
          </w:tcPr>
          <w:p>
            <w:pPr>
              <w:jc w:val="center"/>
              <w:rPr>
                <w:rFonts w:ascii="宋体" w:hAnsi="宋体" w:cs="宋体" w:hint="eastAsia"/>
                <w:kern w:val="2"/>
                <w:sz w:val="21"/>
                <w:lang w:eastAsia="zh-CN"/>
              </w:rPr>
            </w:pPr>
            <w:r>
              <w:rPr>
                <w:rFonts w:ascii="宋体" w:hAnsi="宋体" w:cs="宋体" w:hint="eastAsia"/>
                <w:kern w:val="2"/>
                <w:sz w:val="21"/>
                <w:lang w:eastAsia="zh-CN"/>
              </w:rPr>
              <w:t>候选中标供应商家数</w:t>
            </w:r>
          </w:p>
        </w:tc>
        <w:tc>
          <w:tcPr>
            <w:tcW w:w="4265" w:type="dxa"/>
            <w:noWrap w:val="0"/>
            <w:vAlign w:val="top"/>
          </w:tcPr>
          <w:p>
            <w:pPr>
              <w:jc w:val="center"/>
              <w:rPr>
                <w:rFonts w:ascii="宋体" w:hAnsi="宋体" w:cs="宋体" w:hint="eastAsia"/>
                <w:kern w:val="2"/>
                <w:sz w:val="21"/>
                <w:lang w:eastAsia="zh-CN"/>
              </w:rPr>
            </w:pPr>
            <w:r>
              <w:rPr>
                <w:rFonts w:ascii="宋体" w:hAnsi="宋体" w:cs="宋体" w:hint="eastAsia"/>
                <w:kern w:val="2"/>
                <w:sz w:val="21"/>
                <w:lang w:eastAsia="zh-CN"/>
              </w:rPr>
              <w:t>非评定分离</w:t>
            </w:r>
          </w:p>
        </w:tc>
      </w:tr>
      <w:tr>
        <w:tblPrEx>
          <w:tblW w:w="5000" w:type="pct"/>
          <w:tblInd w:w="0" w:type="dxa"/>
          <w:tblLayout w:type="fixed"/>
          <w:tblCellMar>
            <w:top w:w="0" w:type="dxa"/>
            <w:left w:w="108" w:type="dxa"/>
            <w:bottom w:w="0" w:type="dxa"/>
            <w:right w:w="108" w:type="dxa"/>
          </w:tblCellMar>
        </w:tblPrEx>
        <w:tc>
          <w:tcPr>
            <w:tcW w:w="4264" w:type="dxa"/>
            <w:noWrap w:val="0"/>
            <w:vAlign w:val="top"/>
          </w:tcPr>
          <w:p>
            <w:pPr>
              <w:jc w:val="center"/>
              <w:rPr>
                <w:rFonts w:ascii="宋体" w:hAnsi="宋体" w:cs="宋体" w:hint="eastAsia"/>
                <w:kern w:val="2"/>
                <w:sz w:val="21"/>
                <w:lang w:eastAsia="zh-CN"/>
              </w:rPr>
            </w:pPr>
            <w:r>
              <w:rPr>
                <w:rFonts w:ascii="宋体" w:hAnsi="宋体" w:cs="宋体" w:hint="eastAsia"/>
                <w:kern w:val="2"/>
                <w:sz w:val="21"/>
                <w:lang w:eastAsia="zh-CN"/>
              </w:rPr>
              <w:t>中标供应商家数</w:t>
            </w:r>
          </w:p>
        </w:tc>
        <w:tc>
          <w:tcPr>
            <w:tcW w:w="4265" w:type="dxa"/>
            <w:noWrap w:val="0"/>
            <w:vAlign w:val="top"/>
          </w:tcPr>
          <w:p>
            <w:pPr>
              <w:jc w:val="center"/>
              <w:rPr>
                <w:rFonts w:ascii="宋体" w:hAnsi="宋体" w:cs="宋体" w:hint="eastAsia"/>
                <w:kern w:val="2"/>
                <w:sz w:val="21"/>
                <w:lang w:eastAsia="zh-CN"/>
              </w:rPr>
            </w:pPr>
            <w:r>
              <w:rPr>
                <w:rFonts w:ascii="宋体" w:hAnsi="宋体" w:cs="宋体" w:hint="eastAsia"/>
                <w:kern w:val="2"/>
                <w:sz w:val="21"/>
                <w:lang w:eastAsia="zh-CN"/>
              </w:rPr>
              <w:t>非评定分离</w:t>
            </w:r>
          </w:p>
        </w:tc>
      </w:tr>
      <w:bookmarkEnd w:id="37"/>
    </w:tbl>
    <w:p>
      <w:pPr>
        <w:widowControl w:val="0"/>
        <w:jc w:val="both"/>
        <w:rPr>
          <w:rFonts w:ascii="宋体" w:eastAsia="宋体" w:hAnsi="宋体" w:cs="宋体" w:hint="eastAsia"/>
          <w:kern w:val="2"/>
          <w:sz w:val="21"/>
          <w:lang w:eastAsia="zh-CN"/>
        </w:rPr>
      </w:pPr>
      <w:r>
        <w:rPr>
          <w:rFonts w:ascii="宋体" w:eastAsia="宋体" w:hAnsi="宋体" w:cs="宋体" w:hint="eastAsia"/>
          <w:b/>
          <w:kern w:val="2"/>
          <w:sz w:val="21"/>
          <w:lang w:eastAsia="zh-CN"/>
        </w:rPr>
        <w:t>2.非评定分离项目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noWrap w:val="0"/>
            <w:vAlign w:val="top"/>
          </w:tcPr>
          <w:p>
            <w:pPr>
              <w:jc w:val="center"/>
              <w:rPr>
                <w:rFonts w:ascii="宋体" w:hAnsi="宋体" w:cs="宋体" w:hint="eastAsia"/>
                <w:kern w:val="2"/>
                <w:sz w:val="21"/>
                <w:lang w:eastAsia="zh-CN"/>
              </w:rPr>
            </w:pPr>
            <w:r>
              <w:rPr>
                <w:rFonts w:ascii="宋体" w:hAnsi="宋体" w:cs="宋体" w:hint="eastAsia"/>
                <w:kern w:val="2"/>
                <w:sz w:val="21"/>
                <w:lang w:eastAsia="zh-CN"/>
              </w:rPr>
              <w:t>评标方法</w:t>
            </w:r>
          </w:p>
        </w:tc>
        <w:tc>
          <w:tcPr>
            <w:tcW w:w="4265" w:type="dxa"/>
            <w:noWrap w:val="0"/>
            <w:vAlign w:val="top"/>
          </w:tcPr>
          <w:p>
            <w:pPr>
              <w:jc w:val="center"/>
              <w:rPr>
                <w:rFonts w:ascii="宋体" w:hAnsi="宋体" w:cs="宋体" w:hint="eastAsia"/>
                <w:kern w:val="2"/>
                <w:sz w:val="21"/>
                <w:lang w:eastAsia="zh-CN"/>
              </w:rPr>
            </w:pPr>
            <w:r>
              <w:rPr>
                <w:rFonts w:ascii="宋体" w:hAnsi="宋体" w:cs="宋体"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4264" w:type="dxa"/>
            <w:noWrap w:val="0"/>
            <w:vAlign w:val="top"/>
          </w:tcPr>
          <w:p>
            <w:pPr>
              <w:jc w:val="center"/>
              <w:rPr>
                <w:rFonts w:ascii="宋体" w:hAnsi="宋体" w:cs="宋体" w:hint="eastAsia"/>
                <w:kern w:val="2"/>
                <w:sz w:val="21"/>
                <w:lang w:eastAsia="zh-CN"/>
              </w:rPr>
            </w:pPr>
            <w:r>
              <w:rPr>
                <w:rFonts w:ascii="宋体" w:hAnsi="宋体" w:cs="宋体" w:hint="eastAsia"/>
                <w:kern w:val="2"/>
                <w:sz w:val="21"/>
                <w:lang w:eastAsia="zh-CN"/>
              </w:rPr>
              <w:t>候选中标供应商家数</w:t>
            </w:r>
          </w:p>
        </w:tc>
        <w:tc>
          <w:tcPr>
            <w:tcW w:w="4265" w:type="dxa"/>
            <w:noWrap w:val="0"/>
            <w:vAlign w:val="top"/>
          </w:tcPr>
          <w:p>
            <w:pPr>
              <w:jc w:val="center"/>
              <w:rPr>
                <w:rFonts w:ascii="宋体" w:hAnsi="宋体" w:cs="宋体" w:hint="eastAsia"/>
                <w:kern w:val="2"/>
                <w:sz w:val="21"/>
                <w:lang w:eastAsia="zh-CN"/>
              </w:rPr>
            </w:pPr>
            <w:r>
              <w:rPr>
                <w:rFonts w:ascii="宋体" w:hAnsi="宋体" w:cs="宋体"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4264" w:type="dxa"/>
            <w:noWrap w:val="0"/>
            <w:vAlign w:val="top"/>
          </w:tcPr>
          <w:p>
            <w:pPr>
              <w:jc w:val="center"/>
              <w:rPr>
                <w:rFonts w:ascii="宋体" w:hAnsi="宋体" w:cs="宋体" w:hint="eastAsia"/>
                <w:kern w:val="2"/>
                <w:sz w:val="21"/>
                <w:lang w:eastAsia="zh-CN"/>
              </w:rPr>
            </w:pPr>
            <w:r>
              <w:rPr>
                <w:rFonts w:ascii="宋体" w:hAnsi="宋体" w:cs="宋体" w:hint="eastAsia"/>
                <w:kern w:val="2"/>
                <w:sz w:val="21"/>
                <w:lang w:eastAsia="zh-CN"/>
              </w:rPr>
              <w:t>中标供应商家数</w:t>
            </w:r>
          </w:p>
        </w:tc>
        <w:tc>
          <w:tcPr>
            <w:tcW w:w="4265" w:type="dxa"/>
            <w:noWrap w:val="0"/>
            <w:vAlign w:val="top"/>
          </w:tcPr>
          <w:p>
            <w:pPr>
              <w:jc w:val="center"/>
              <w:rPr>
                <w:rFonts w:ascii="宋体" w:hAnsi="宋体" w:cs="宋体" w:hint="eastAsia"/>
                <w:kern w:val="2"/>
                <w:sz w:val="21"/>
                <w:lang w:eastAsia="zh-CN"/>
              </w:rPr>
            </w:pPr>
            <w:r>
              <w:rPr>
                <w:rFonts w:ascii="宋体" w:hAnsi="宋体" w:cs="宋体" w:hint="eastAsia"/>
                <w:kern w:val="2"/>
                <w:sz w:val="21"/>
                <w:lang w:eastAsia="zh-CN"/>
              </w:rPr>
              <w:t>1</w:t>
            </w:r>
          </w:p>
        </w:tc>
      </w:tr>
    </w:tbl>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b/>
          <w:bCs/>
          <w:kern w:val="2"/>
          <w:sz w:val="21"/>
          <w:lang w:eastAsia="zh-CN"/>
        </w:rPr>
      </w:pP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b/>
          <w:kern w:val="2"/>
          <w:sz w:val="21"/>
          <w:lang w:eastAsia="zh-CN"/>
        </w:rPr>
      </w:pPr>
      <w:r>
        <w:rPr>
          <w:rFonts w:ascii="宋体" w:eastAsia="宋体" w:hAnsi="宋体" w:cs="宋体" w:hint="eastAsia"/>
          <w:b/>
          <w:kern w:val="2"/>
          <w:sz w:val="21"/>
          <w:lang w:eastAsia="zh-CN"/>
        </w:rPr>
        <w:t>（二）其他事项</w:t>
      </w:r>
      <w:bookmarkEnd w:id="36"/>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1、关于享受优惠政策的主体及价格扣除比例</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（1）投标人提供的货物（以招标文件用户需求书“货物清单明细”的“货物名称”一栏为准）全部均由优惠主体制造，则对其投标总价</w:t>
      </w:r>
      <w:r>
        <w:rPr>
          <w:rFonts w:ascii="宋体" w:eastAsia="宋体" w:hAnsi="宋体" w:cs="宋体" w:hint="eastAsia"/>
          <w:color w:val="FF0000"/>
          <w:kern w:val="2"/>
          <w:sz w:val="21"/>
          <w:lang w:eastAsia="zh-CN"/>
        </w:rPr>
        <w:t>给予【</w:t>
      </w:r>
      <w:r>
        <w:rPr>
          <w:rFonts w:ascii="宋体" w:eastAsia="宋体" w:hAnsi="宋体" w:cs="宋体" w:hint="eastAsia"/>
          <w:color w:val="FF0000"/>
          <w:kern w:val="2"/>
          <w:sz w:val="21"/>
          <w:lang w:eastAsia="zh-CN"/>
        </w:rPr>
        <w:t>/</w:t>
      </w:r>
      <w:r>
        <w:rPr>
          <w:rFonts w:ascii="宋体" w:eastAsia="宋体" w:hAnsi="宋体" w:cs="宋体" w:hint="eastAsia"/>
          <w:color w:val="FF0000"/>
          <w:kern w:val="2"/>
          <w:sz w:val="21"/>
          <w:lang w:eastAsia="zh-CN"/>
        </w:rPr>
        <w:t>】</w:t>
      </w:r>
      <w:r>
        <w:rPr>
          <w:rFonts w:ascii="宋体" w:eastAsia="宋体" w:hAnsi="宋体" w:cs="宋体" w:hint="eastAsia"/>
          <w:kern w:val="2"/>
          <w:sz w:val="21"/>
          <w:lang w:eastAsia="zh-CN"/>
        </w:rPr>
        <w:t>的</w:t>
      </w:r>
      <w:r>
        <w:rPr>
          <w:rFonts w:ascii="宋体" w:eastAsia="宋体" w:hAnsi="宋体" w:cs="宋体" w:hint="eastAsia"/>
          <w:kern w:val="2"/>
          <w:sz w:val="21"/>
          <w:lang w:eastAsia="zh-CN"/>
        </w:rPr>
        <w:t>扣除，用扣除后的价格参与评审。满足多项优惠政策的企业，不重复享受多项价格扣除政策。</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（2）根据</w:t>
      </w:r>
      <w:r>
        <w:rPr>
          <w:rFonts w:ascii="宋体" w:eastAsia="宋体" w:hAnsi="宋体" w:cs="宋体" w:hint="eastAsia"/>
          <w:kern w:val="2"/>
          <w:sz w:val="21"/>
          <w:szCs w:val="22"/>
          <w:lang w:eastAsia="zh-CN"/>
        </w:rPr>
        <w:t>《工业和信息化部、国家统计局、国家发展和改革委员会、财政部关于印发中小企业划型标准规定的通知》（工信部联企业〔2011〕300 号）</w:t>
      </w:r>
      <w:r>
        <w:rPr>
          <w:rFonts w:ascii="宋体" w:eastAsia="宋体" w:hAnsi="宋体" w:cs="宋体" w:hint="eastAsia"/>
          <w:kern w:val="2"/>
          <w:sz w:val="21"/>
          <w:lang w:eastAsia="zh-CN"/>
        </w:rPr>
        <w:t>，</w:t>
      </w:r>
      <w:bookmarkStart w:id="38" w:name="_Hlk71970739"/>
      <w:r>
        <w:rPr>
          <w:rFonts w:ascii="宋体" w:eastAsia="宋体" w:hAnsi="宋体" w:cs="宋体" w:hint="eastAsia"/>
          <w:kern w:val="2"/>
          <w:sz w:val="21"/>
          <w:lang w:eastAsia="zh-CN"/>
        </w:rPr>
        <w:t>本项目</w:t>
      </w:r>
      <w:bookmarkStart w:id="39" w:name="_Hlk71924718"/>
      <w:r>
        <w:rPr>
          <w:rFonts w:ascii="宋体" w:eastAsia="宋体" w:hAnsi="宋体" w:cs="宋体" w:hint="eastAsia"/>
          <w:kern w:val="2"/>
          <w:sz w:val="21"/>
          <w:lang w:eastAsia="zh-CN"/>
        </w:rPr>
        <w:t>采购标的（货物）对应的中小企业划分标准所属行业</w:t>
      </w:r>
      <w:bookmarkEnd w:id="39"/>
      <w:r>
        <w:rPr>
          <w:rFonts w:ascii="宋体" w:eastAsia="宋体" w:hAnsi="宋体" w:cs="宋体" w:hint="eastAsia"/>
          <w:kern w:val="2"/>
          <w:sz w:val="21"/>
          <w:lang w:eastAsia="zh-CN"/>
        </w:rPr>
        <w:t>为</w:t>
      </w:r>
      <w:r>
        <w:rPr>
          <w:rFonts w:ascii="宋体" w:eastAsia="宋体" w:hAnsi="宋体" w:cs="宋体" w:hint="eastAsia"/>
          <w:color w:val="FF0000"/>
          <w:kern w:val="2"/>
          <w:sz w:val="21"/>
          <w:highlight w:val="yellow"/>
          <w:lang w:eastAsia="zh-CN"/>
        </w:rPr>
        <w:t>【工业】</w:t>
      </w:r>
      <w:r>
        <w:rPr>
          <w:rFonts w:ascii="宋体" w:eastAsia="宋体" w:hAnsi="宋体" w:cs="宋体" w:hint="eastAsia"/>
          <w:kern w:val="2"/>
          <w:sz w:val="21"/>
          <w:lang w:eastAsia="zh-CN"/>
        </w:rPr>
        <w:t>。</w:t>
      </w:r>
      <w:bookmarkEnd w:id="38"/>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kern w:val="2"/>
          <w:sz w:val="28"/>
          <w:szCs w:val="28"/>
          <w:lang w:eastAsia="zh-CN"/>
        </w:rPr>
      </w:pPr>
      <w:r>
        <w:rPr>
          <w:rFonts w:ascii="宋体" w:eastAsia="宋体" w:hAnsi="宋体" w:cs="宋体" w:hint="eastAsia"/>
          <w:kern w:val="2"/>
          <w:sz w:val="21"/>
          <w:lang w:eastAsia="zh-CN"/>
        </w:rPr>
        <w:t>（4）享受价格扣除获得政府采购合同的，小微企业不得将合同分包给大中型企业。</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w:t>
      </w:r>
      <w:bookmarkStart w:id="40" w:name="_Hlk72594713"/>
      <w:r>
        <w:rPr>
          <w:rFonts w:ascii="宋体" w:eastAsia="宋体" w:hAnsi="宋体" w:cs="宋体" w:hint="eastAsia"/>
          <w:b/>
          <w:bCs/>
          <w:kern w:val="2"/>
          <w:sz w:val="21"/>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0" w:leftChars="0" w:firstLineChars="0"/>
        <w:jc w:val="both"/>
        <w:textAlignment w:val="auto"/>
        <w:rPr>
          <w:rFonts w:ascii="宋体" w:eastAsia="宋体" w:hAnsi="宋体" w:cs="宋体" w:hint="eastAsia"/>
          <w:kern w:val="2"/>
          <w:sz w:val="21"/>
          <w:lang w:eastAsia="zh-CN"/>
        </w:rPr>
      </w:pPr>
      <w:r>
        <w:rPr>
          <w:rFonts w:ascii="宋体" w:eastAsia="宋体" w:hAnsi="宋体" w:cs="宋体" w:hint="eastAsia"/>
          <w:kern w:val="2"/>
          <w:sz w:val="21"/>
          <w:lang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https://trade.szggzy.com/ggzy/center/#/login/financeplatform/），相关政策法规参阅深圳市政府采购监管网（http://zfcg.sz.gov.cn/）信息公开栏目。咨询电话：0755­88653386。</w:t>
      </w:r>
    </w:p>
    <w:bookmarkEnd w:id="40"/>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sectPr>
          <w:headerReference w:type="default" r:id="rId5"/>
          <w:footerReference w:type="default" r:id="rId6"/>
          <w:pgSz w:w="11906" w:h="16839"/>
          <w:pgMar w:top="1440" w:right="1800" w:bottom="1440" w:left="1800" w:header="567" w:footer="567" w:gutter="0"/>
          <w:pgBorders>
            <w:top w:val="none" w:sz="0" w:space="0" w:color="auto"/>
            <w:left w:val="none" w:sz="0" w:space="0" w:color="auto"/>
            <w:bottom w:val="none" w:sz="0" w:space="0" w:color="auto"/>
            <w:right w:val="none" w:sz="0" w:space="0" w:color="auto"/>
          </w:pgBorders>
          <w:pgNumType w:fmt="numberInDash"/>
          <w:cols w:num="1" w:space="720"/>
        </w:sectPr>
      </w:pPr>
    </w:p>
    <w:bookmarkEnd w:id="35"/>
    <w:p>
      <w:pPr>
        <w:pageBreakBefore w:val="0"/>
        <w:widowControl w:val="0"/>
        <w:kinsoku/>
        <w:overflowPunct/>
        <w:topLinePunct w:val="0"/>
        <w:autoSpaceDE/>
        <w:autoSpaceDN/>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第三章 用户需求书</w:t>
      </w:r>
    </w:p>
    <w:p>
      <w:pPr>
        <w:keepNext/>
        <w:keepLines/>
        <w:pageBreakBefore w:val="0"/>
        <w:widowControl w:val="0"/>
        <w:kinsoku/>
        <w:overflowPunct/>
        <w:topLinePunct w:val="0"/>
        <w:autoSpaceDE/>
        <w:autoSpaceDN/>
        <w:bidi w:val="0"/>
        <w:spacing w:before="260" w:beforeAutospacing="0" w:after="260" w:afterAutospacing="0" w:line="360" w:lineRule="auto"/>
        <w:ind w:left="0" w:right="0" w:firstLine="0" w:leftChars="0" w:firstLineChars="0"/>
        <w:jc w:val="left"/>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一、项目基本信息</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9"/>
        <w:gridCol w:w="2825"/>
        <w:gridCol w:w="1279"/>
        <w:gridCol w:w="1279"/>
        <w:gridCol w:w="257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jc w:val="center"/>
        </w:trPr>
        <w:tc>
          <w:tcPr>
            <w:tcW w:w="569"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282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货物名称</w:t>
            </w:r>
          </w:p>
        </w:tc>
        <w:tc>
          <w:tcPr>
            <w:tcW w:w="12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数量</w:t>
            </w:r>
          </w:p>
        </w:tc>
        <w:tc>
          <w:tcPr>
            <w:tcW w:w="12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单位</w:t>
            </w:r>
          </w:p>
        </w:tc>
        <w:tc>
          <w:tcPr>
            <w:tcW w:w="2572"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财政预算金额/投标最高限价（元）</w:t>
            </w:r>
          </w:p>
        </w:tc>
      </w:tr>
      <w:tr>
        <w:tblPrEx>
          <w:tblW w:w="5000" w:type="pct"/>
          <w:jc w:val="center"/>
          <w:tblLayout w:type="fixed"/>
          <w:tblCellMar>
            <w:top w:w="0" w:type="dxa"/>
            <w:left w:w="108" w:type="dxa"/>
            <w:bottom w:w="0" w:type="dxa"/>
            <w:right w:w="108" w:type="dxa"/>
          </w:tblCellMar>
        </w:tblPrEx>
        <w:trPr>
          <w:trHeight w:val="990"/>
          <w:jc w:val="center"/>
        </w:trPr>
        <w:tc>
          <w:tcPr>
            <w:tcW w:w="569" w:type="dxa"/>
            <w:vAlign w:val="center"/>
          </w:tcPr>
          <w:p>
            <w:pPr>
              <w:pageBreakBefore w:val="0"/>
              <w:widowControl w:val="0"/>
              <w:kinsoku/>
              <w:overflowPunct/>
              <w:topLinePunct w:val="0"/>
              <w:autoSpaceDE/>
              <w:autoSpaceDN/>
              <w:bidi w:val="0"/>
              <w:spacing w:beforeAutospacing="0" w:afterAutospacing="0" w:line="24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2827" w:type="dxa"/>
            <w:vAlign w:val="center"/>
          </w:tcPr>
          <w:p>
            <w:pPr>
              <w:widowControl w:val="0"/>
              <w:spacing w:line="240" w:lineRule="auto"/>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教职工食堂设备采购项目</w:t>
            </w:r>
          </w:p>
        </w:tc>
        <w:tc>
          <w:tcPr>
            <w:tcW w:w="1280" w:type="dxa"/>
            <w:vAlign w:val="center"/>
          </w:tcPr>
          <w:p>
            <w:pPr>
              <w:widowControl w:val="0"/>
              <w:spacing w:line="240" w:lineRule="auto"/>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1280" w:type="dxa"/>
            <w:vAlign w:val="center"/>
          </w:tcPr>
          <w:p>
            <w:pPr>
              <w:widowControl w:val="0"/>
              <w:spacing w:line="240" w:lineRule="auto"/>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批</w:t>
            </w:r>
          </w:p>
        </w:tc>
        <w:tc>
          <w:tcPr>
            <w:tcW w:w="2572" w:type="dxa"/>
            <w:vAlign w:val="center"/>
          </w:tcPr>
          <w:p>
            <w:pPr>
              <w:widowControl w:val="0"/>
              <w:spacing w:line="240" w:lineRule="auto"/>
              <w:jc w:val="center"/>
              <w:rPr>
                <w:rFonts w:eastAsia="宋体" w:hint="eastAsia"/>
                <w:bCs/>
                <w:kern w:val="2"/>
                <w:sz w:val="21"/>
                <w:lang w:eastAsia="zh-CN"/>
              </w:rPr>
            </w:pPr>
            <w:r>
              <w:rPr>
                <w:rFonts w:ascii="宋体" w:eastAsia="宋体" w:hAnsi="宋体" w:cs="宋体" w:hint="eastAsia"/>
                <w:bCs/>
                <w:kern w:val="2"/>
                <w:sz w:val="21"/>
                <w:szCs w:val="21"/>
                <w:highlight w:val="yellow"/>
                <w:lang w:eastAsia="zh-CN"/>
              </w:rPr>
              <w:t xml:space="preserve">550,000.00 </w:t>
            </w:r>
          </w:p>
        </w:tc>
      </w:tr>
    </w:tbl>
    <w:p>
      <w:pPr>
        <w:widowControl w:val="0"/>
        <w:numPr>
          <w:ilvl w:val="0"/>
          <w:numId w:val="0"/>
        </w:numPr>
        <w:spacing w:line="360" w:lineRule="auto"/>
        <w:ind w:left="0" w:firstLine="0"/>
        <w:jc w:val="left"/>
        <w:rPr>
          <w:rFonts w:ascii="宋体" w:eastAsia="宋体" w:hAnsi="宋体" w:cs="宋体" w:hint="eastAsia"/>
          <w:b/>
          <w:kern w:val="2"/>
          <w:sz w:val="21"/>
          <w:szCs w:val="21"/>
          <w:lang w:eastAsia="zh-CN"/>
        </w:rPr>
      </w:pPr>
      <w:bookmarkStart w:id="41" w:name="_Hlk72258617"/>
    </w:p>
    <w:p>
      <w:pPr>
        <w:widowControl w:val="0"/>
        <w:numPr>
          <w:ilvl w:val="0"/>
          <w:numId w:val="0"/>
        </w:numPr>
        <w:spacing w:line="360" w:lineRule="auto"/>
        <w:ind w:left="0" w:firstLine="0"/>
        <w:jc w:val="left"/>
        <w:rPr>
          <w:rFonts w:ascii="宋体" w:eastAsia="宋体" w:hAnsi="宋体" w:cs="宋体" w:hint="eastAsia"/>
          <w:b/>
          <w:color w:val="FF0000"/>
          <w:kern w:val="2"/>
          <w:sz w:val="21"/>
          <w:szCs w:val="21"/>
          <w:lang w:eastAsia="zh-CN"/>
        </w:rPr>
      </w:pPr>
      <w:r>
        <w:rPr>
          <w:rFonts w:ascii="宋体" w:eastAsia="宋体" w:hAnsi="宋体" w:cs="宋体" w:hint="eastAsia"/>
          <w:b/>
          <w:kern w:val="2"/>
          <w:sz w:val="21"/>
          <w:szCs w:val="21"/>
          <w:lang w:eastAsia="zh-CN"/>
        </w:rPr>
        <w:t>备注：本项目的财政预算金额为人民币</w:t>
      </w:r>
      <w:r>
        <w:rPr>
          <w:rFonts w:ascii="宋体" w:eastAsia="宋体" w:hAnsi="宋体" w:cs="宋体" w:hint="eastAsia"/>
          <w:b/>
          <w:color w:val="FF0000"/>
          <w:kern w:val="2"/>
          <w:sz w:val="21"/>
          <w:szCs w:val="21"/>
          <w:highlight w:val="yellow"/>
          <w:lang w:eastAsia="zh-CN"/>
        </w:rPr>
        <w:t>550,000.00 元</w:t>
      </w:r>
      <w:r>
        <w:rPr>
          <w:rFonts w:ascii="宋体" w:eastAsia="宋体" w:hAnsi="宋体" w:cs="宋体" w:hint="eastAsia"/>
          <w:b/>
          <w:kern w:val="2"/>
          <w:sz w:val="21"/>
          <w:szCs w:val="21"/>
          <w:lang w:eastAsia="zh-CN"/>
        </w:rPr>
        <w:t>；本次招标的投标最高限价为人民币</w:t>
      </w:r>
      <w:r>
        <w:rPr>
          <w:rFonts w:ascii="宋体" w:eastAsia="宋体" w:hAnsi="宋体" w:cs="宋体" w:hint="eastAsia"/>
          <w:b/>
          <w:color w:val="FF0000"/>
          <w:kern w:val="2"/>
          <w:sz w:val="21"/>
          <w:szCs w:val="21"/>
          <w:highlight w:val="yellow"/>
          <w:lang w:eastAsia="zh-CN"/>
        </w:rPr>
        <w:t>550,000.00 元</w:t>
      </w:r>
    </w:p>
    <w:p>
      <w:pPr>
        <w:widowControl w:val="0"/>
        <w:spacing w:line="360" w:lineRule="auto"/>
        <w:jc w:val="both"/>
        <w:rPr>
          <w:rFonts w:eastAsia="宋体" w:hint="eastAsia"/>
          <w:b/>
          <w:bCs/>
          <w:kern w:val="2"/>
          <w:lang w:eastAsia="zh-CN"/>
        </w:rPr>
      </w:pPr>
    </w:p>
    <w:p>
      <w:pPr>
        <w:keepNext/>
        <w:keepLines/>
        <w:pageBreakBefore w:val="0"/>
        <w:widowControl w:val="0"/>
        <w:numPr>
          <w:ilvl w:val="0"/>
          <w:numId w:val="1"/>
        </w:numPr>
        <w:kinsoku/>
        <w:overflowPunct/>
        <w:topLinePunct w:val="0"/>
        <w:autoSpaceDE/>
        <w:autoSpaceDN/>
        <w:bidi w:val="0"/>
        <w:spacing w:before="260" w:beforeAutospacing="0" w:after="260" w:afterAutospacing="0" w:line="360" w:lineRule="auto"/>
        <w:ind w:left="0" w:right="0" w:firstLine="0" w:leftChars="0" w:firstLineChars="0"/>
        <w:jc w:val="left"/>
        <w:outlineLvl w:val="2"/>
        <w:rPr>
          <w:rFonts w:ascii="宋体" w:eastAsia="宋体" w:hAnsi="宋体" w:cs="宋体" w:hint="eastAsia"/>
          <w:b/>
          <w:bCs/>
          <w:kern w:val="2"/>
          <w:sz w:val="28"/>
          <w:szCs w:val="28"/>
          <w:lang w:eastAsia="zh-CN"/>
        </w:rPr>
      </w:pPr>
      <w:bookmarkStart w:id="42" w:name="_Hlk72073432"/>
      <w:r>
        <w:rPr>
          <w:rFonts w:ascii="宋体" w:eastAsia="宋体" w:hAnsi="宋体" w:cs="宋体" w:hint="eastAsia"/>
          <w:b/>
          <w:bCs/>
          <w:kern w:val="2"/>
          <w:sz w:val="28"/>
          <w:szCs w:val="28"/>
          <w:lang w:eastAsia="zh-CN"/>
        </w:rPr>
        <w:t>货物</w:t>
      </w:r>
      <w:bookmarkEnd w:id="42"/>
      <w:r>
        <w:rPr>
          <w:rFonts w:ascii="宋体" w:eastAsia="宋体" w:hAnsi="宋体" w:cs="宋体" w:hint="eastAsia"/>
          <w:b/>
          <w:bCs/>
          <w:kern w:val="2"/>
          <w:sz w:val="28"/>
          <w:szCs w:val="28"/>
          <w:lang w:eastAsia="zh-CN"/>
        </w:rPr>
        <w:t>详细清单</w:t>
      </w:r>
    </w:p>
    <w:tbl>
      <w:tblPr>
        <w:tblStyle w:val="TableNormal"/>
        <w:tblW w:w="5000" w:type="pct"/>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36"/>
        <w:gridCol w:w="2760"/>
        <w:gridCol w:w="1120"/>
        <w:gridCol w:w="1206"/>
        <w:gridCol w:w="1479"/>
        <w:gridCol w:w="1121"/>
      </w:tblGrid>
      <w:tr>
        <w:tblPrEx>
          <w:tblW w:w="5000" w:type="pct"/>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540"/>
        </w:trPr>
        <w:tc>
          <w:tcPr>
            <w:tcW w:w="758"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编号</w:t>
            </w:r>
          </w:p>
        </w:tc>
        <w:tc>
          <w:tcPr>
            <w:tcW w:w="2506"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货物名称</w:t>
            </w:r>
          </w:p>
        </w:tc>
        <w:tc>
          <w:tcPr>
            <w:tcW w:w="101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数量</w:t>
            </w:r>
          </w:p>
        </w:tc>
        <w:tc>
          <w:tcPr>
            <w:tcW w:w="109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单位</w:t>
            </w:r>
          </w:p>
        </w:tc>
        <w:tc>
          <w:tcPr>
            <w:tcW w:w="1343"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备注</w:t>
            </w:r>
          </w:p>
        </w:tc>
        <w:tc>
          <w:tcPr>
            <w:tcW w:w="1018"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财政预算限额（元）</w:t>
            </w:r>
          </w:p>
        </w:tc>
      </w:tr>
      <w:tr>
        <w:tblPrEx>
          <w:tblW w:w="5000" w:type="pct"/>
          <w:tblInd w:w="93" w:type="dxa"/>
          <w:tblLayout w:type="fixed"/>
          <w:tblCellMar>
            <w:top w:w="0" w:type="dxa"/>
            <w:left w:w="108" w:type="dxa"/>
            <w:bottom w:w="0" w:type="dxa"/>
            <w:right w:w="108" w:type="dxa"/>
          </w:tblCellMar>
        </w:tblPrEx>
        <w:trPr>
          <w:trHeight w:val="540"/>
        </w:trPr>
        <w:tc>
          <w:tcPr>
            <w:tcW w:w="75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000000"/>
                <w:sz w:val="21"/>
                <w:szCs w:val="21"/>
              </w:rPr>
            </w:pPr>
          </w:p>
        </w:tc>
        <w:tc>
          <w:tcPr>
            <w:tcW w:w="2506"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000000"/>
                <w:sz w:val="21"/>
                <w:szCs w:val="21"/>
              </w:rPr>
            </w:pPr>
          </w:p>
        </w:tc>
        <w:tc>
          <w:tcPr>
            <w:tcW w:w="1017"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000000"/>
                <w:sz w:val="21"/>
                <w:szCs w:val="21"/>
              </w:rPr>
            </w:pPr>
          </w:p>
        </w:tc>
        <w:tc>
          <w:tcPr>
            <w:tcW w:w="109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000000"/>
                <w:sz w:val="21"/>
                <w:szCs w:val="21"/>
              </w:rPr>
            </w:pPr>
          </w:p>
        </w:tc>
        <w:tc>
          <w:tcPr>
            <w:tcW w:w="1343"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000000"/>
                <w:sz w:val="21"/>
                <w:szCs w:val="21"/>
              </w:rPr>
            </w:pP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一</w:t>
            </w:r>
          </w:p>
        </w:tc>
        <w:tc>
          <w:tcPr>
            <w:tcW w:w="4618" w:type="dxa"/>
            <w:gridSpan w:val="3"/>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一楼厨房设备</w:t>
            </w:r>
          </w:p>
        </w:tc>
        <w:tc>
          <w:tcPr>
            <w:tcW w:w="1343" w:type="dxa"/>
            <w:tcBorders>
              <w:top w:val="single" w:sz="4" w:space="0" w:color="000000"/>
              <w:left w:val="single" w:sz="4" w:space="0" w:color="000000"/>
              <w:bottom w:val="single" w:sz="4" w:space="0" w:color="000000"/>
              <w:right w:val="single" w:sz="4" w:space="0" w:color="000000"/>
            </w:tcBorders>
            <w:noWrap w:val="0"/>
            <w:vAlign w:val="bottom"/>
          </w:tcPr>
          <w:p>
            <w:pPr>
              <w:jc w:val="center"/>
              <w:rPr>
                <w:rFonts w:ascii="宋体" w:eastAsia="宋体" w:hAnsi="宋体" w:cs="宋体" w:hint="eastAsia"/>
                <w:color w:val="000000"/>
                <w:sz w:val="20"/>
                <w:szCs w:val="20"/>
              </w:rPr>
            </w:pPr>
          </w:p>
        </w:tc>
        <w:tc>
          <w:tcPr>
            <w:tcW w:w="1018"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550000</w:t>
            </w: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洗手盆连感应烘手机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12</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双星盆水池</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单星盆不锈钢水池1</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单星盆不锈钢水池2</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带星盆拖把池</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160双层平板工作台</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四层冲孔货架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12门更衣柜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9</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拖把柜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10</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150挡鼠板</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11</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180挡鼠板</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12</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单层墙架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13</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190双层墙架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14</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180双层墙架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15</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140双层墙架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16</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110双层墙架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17</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圆孔收餐台</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带锁三拉门吊柜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19</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GN饼盆车柜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20</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食品级双层活动送餐车</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拒绝进口/核心产品</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21</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双通移门荷台柜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22</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方形油网烟罩</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2.5</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m</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23</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柜式环保烟罩带新风</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m</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24</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烟罩风管链接</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10</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m²</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5"/>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25</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炉拼台</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26</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单头大锅灶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27</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不锈钢封墙钢</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m</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28</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升降式紫外线消毒灯</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29</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固定式紫外线消毒灯</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15</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30</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粘捕式灭蚊灯</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15</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31</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1800风幕机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32</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电子落地称</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33</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洗地龙头</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34</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农药检测仪</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35</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刀具消毒柜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36</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单门可视刀具砧板消毒柜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37</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双门留样柜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38</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燃气双门蒸饭柜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39</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食品级304蒸饭盘</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24</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个</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40</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食品级304蒸包盘</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24</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个</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41</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打肉丸机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42</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台式切肉机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43</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台式绞肉机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44</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储存式热水器</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45</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双动和面机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46</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压面机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47</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三层六盘不锈钢烤箱</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48</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烙饼机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49</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40L豆浆机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50</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100kg水压式洗米机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51</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厨房灭火系统（双瓶）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52</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油烟监控系统</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53</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超滤净水器</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套</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54</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16"/>
                <w:szCs w:val="16"/>
              </w:rPr>
            </w:pPr>
            <w:r>
              <w:rPr>
                <w:rFonts w:ascii="宋体" w:eastAsia="宋体" w:hAnsi="宋体" w:cs="宋体" w:hint="eastAsia"/>
                <w:color w:val="000000"/>
                <w:sz w:val="16"/>
                <w:szCs w:val="16"/>
                <w:lang w:eastAsia="zh-CN" w:bidi="ar"/>
              </w:rPr>
              <w:t>净水器接水管配件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项</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二</w:t>
            </w:r>
          </w:p>
        </w:tc>
        <w:tc>
          <w:tcPr>
            <w:tcW w:w="4618" w:type="dxa"/>
            <w:gridSpan w:val="3"/>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二楼厨房设备</w:t>
            </w:r>
          </w:p>
        </w:tc>
        <w:tc>
          <w:tcPr>
            <w:tcW w:w="1343" w:type="dxa"/>
            <w:tcBorders>
              <w:top w:val="single" w:sz="4" w:space="0" w:color="000000"/>
              <w:left w:val="single" w:sz="4" w:space="0" w:color="000000"/>
              <w:bottom w:val="single" w:sz="4" w:space="0" w:color="000000"/>
              <w:right w:val="single" w:sz="4" w:space="0" w:color="000000"/>
            </w:tcBorders>
            <w:noWrap w:val="0"/>
            <w:vAlign w:val="bottom"/>
          </w:tcPr>
          <w:p>
            <w:pPr>
              <w:jc w:val="center"/>
              <w:rPr>
                <w:rFonts w:ascii="宋体" w:eastAsia="宋体" w:hAnsi="宋体" w:cs="宋体" w:hint="eastAsia"/>
                <w:b/>
                <w:bCs/>
                <w:color w:val="000000"/>
                <w:sz w:val="20"/>
                <w:szCs w:val="20"/>
              </w:rPr>
            </w:pP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55</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开口柜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56</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四格售饭柜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57</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单星盆水池柜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58</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拖把池连洗手星</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59</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180双层平板工作台</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60</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160双层墙架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61</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200双层墙架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62</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挂墙茜架</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63</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单门掩门柜带靠背</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64</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双星污碟台（右收残）</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65</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洁碟台</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66</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105挡鼠板</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67</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方形抽气罩</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1.5</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m</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68</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抽气链接风管</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m</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69</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方形油网烟罩</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2.8</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米</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70</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1500风幕机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71</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1200风幕机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72</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煮面连汤炉</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73</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单头肠粉炉(无靠背)</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74</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双温平台雪柜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75</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单温高压花洒龙头</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76</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通道式洗碗机</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75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77</w:t>
            </w:r>
          </w:p>
        </w:tc>
        <w:tc>
          <w:tcPr>
            <w:tcW w:w="250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推车式热风循环（光波）消毒柜</w:t>
            </w:r>
          </w:p>
        </w:tc>
        <w:tc>
          <w:tcPr>
            <w:tcW w:w="101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09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w:t>
            </w:r>
          </w:p>
        </w:tc>
        <w:tc>
          <w:tcPr>
            <w:tcW w:w="134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拒绝进口</w:t>
            </w:r>
          </w:p>
        </w:tc>
        <w:tc>
          <w:tcPr>
            <w:tcW w:w="1018"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r>
      <w:tr>
        <w:tblPrEx>
          <w:tblW w:w="5000" w:type="pct"/>
          <w:tblInd w:w="93" w:type="dxa"/>
          <w:tblLayout w:type="fixed"/>
          <w:tblCellMar>
            <w:top w:w="0" w:type="dxa"/>
            <w:left w:w="108" w:type="dxa"/>
            <w:bottom w:w="0" w:type="dxa"/>
            <w:right w:w="108" w:type="dxa"/>
          </w:tblCellMar>
        </w:tblPrEx>
        <w:trPr>
          <w:trHeight w:val="540"/>
        </w:trPr>
        <w:tc>
          <w:tcPr>
            <w:tcW w:w="3264" w:type="dxa"/>
            <w:gridSpan w:val="2"/>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sz w:val="22"/>
                <w:szCs w:val="22"/>
                <w:lang w:eastAsia="zh-CN" w:bidi="ar"/>
              </w:rPr>
              <w:t>合计</w:t>
            </w:r>
          </w:p>
        </w:tc>
        <w:tc>
          <w:tcPr>
            <w:tcW w:w="1017" w:type="dxa"/>
            <w:tcBorders>
              <w:top w:val="single" w:sz="4" w:space="0" w:color="000000"/>
              <w:left w:val="single" w:sz="4" w:space="0" w:color="000000"/>
              <w:bottom w:val="single" w:sz="4" w:space="0" w:color="000000"/>
              <w:right w:val="single" w:sz="4" w:space="0" w:color="000000"/>
            </w:tcBorders>
            <w:noWrap w:val="0"/>
            <w:vAlign w:val="bottom"/>
          </w:tcPr>
          <w:p>
            <w:pPr>
              <w:jc w:val="center"/>
              <w:rPr>
                <w:rFonts w:ascii="宋体" w:eastAsia="宋体" w:hAnsi="宋体" w:cs="宋体" w:hint="eastAsia"/>
                <w:b/>
                <w:bCs/>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noWrap w:val="0"/>
            <w:vAlign w:val="bottom"/>
          </w:tcPr>
          <w:p>
            <w:pPr>
              <w:jc w:val="center"/>
              <w:rPr>
                <w:rFonts w:ascii="宋体" w:eastAsia="宋体" w:hAnsi="宋体" w:cs="宋体" w:hint="eastAsia"/>
                <w:b/>
                <w:bCs/>
                <w:color w:val="000000"/>
                <w:sz w:val="22"/>
                <w:szCs w:val="22"/>
              </w:rPr>
            </w:pPr>
          </w:p>
        </w:tc>
        <w:tc>
          <w:tcPr>
            <w:tcW w:w="1343" w:type="dxa"/>
            <w:tcBorders>
              <w:top w:val="single" w:sz="4" w:space="0" w:color="000000"/>
              <w:left w:val="single" w:sz="4" w:space="0" w:color="000000"/>
              <w:bottom w:val="single" w:sz="4" w:space="0" w:color="000000"/>
              <w:right w:val="single" w:sz="4" w:space="0" w:color="000000"/>
            </w:tcBorders>
            <w:noWrap w:val="0"/>
            <w:vAlign w:val="bottom"/>
          </w:tcPr>
          <w:p>
            <w:pPr>
              <w:jc w:val="center"/>
              <w:rPr>
                <w:rFonts w:ascii="宋体" w:eastAsia="宋体" w:hAnsi="宋体" w:cs="宋体" w:hint="eastAsia"/>
                <w:color w:val="000000"/>
                <w:sz w:val="20"/>
                <w:szCs w:val="20"/>
              </w:rPr>
            </w:pPr>
          </w:p>
        </w:tc>
        <w:tc>
          <w:tcPr>
            <w:tcW w:w="1018" w:type="dxa"/>
            <w:tcBorders>
              <w:top w:val="single" w:sz="4" w:space="0" w:color="000000"/>
              <w:left w:val="single" w:sz="4" w:space="0" w:color="000000"/>
              <w:bottom w:val="single" w:sz="4" w:space="0" w:color="000000"/>
              <w:right w:val="single" w:sz="4" w:space="0" w:color="000000"/>
            </w:tcBorders>
            <w:noWrap/>
            <w:vAlign w:val="bottom"/>
          </w:tcPr>
          <w:p>
            <w:pPr>
              <w:rPr>
                <w:rFonts w:ascii="Arial" w:hAnsi="Arial" w:cs="Arial" w:hint="eastAsia"/>
                <w:color w:val="000000"/>
                <w:sz w:val="16"/>
                <w:szCs w:val="16"/>
              </w:rPr>
            </w:pPr>
          </w:p>
        </w:tc>
      </w:tr>
    </w:tbl>
    <w:p>
      <w:pPr>
        <w:widowControl w:val="0"/>
        <w:numPr>
          <w:ilvl w:val="0"/>
          <w:numId w:val="0"/>
        </w:numPr>
        <w:ind w:left="0" w:firstLine="0"/>
        <w:jc w:val="both"/>
        <w:rPr>
          <w:rFonts w:ascii="宋体" w:eastAsia="宋体" w:hAnsi="Courier New" w:hint="eastAsia"/>
          <w:kern w:val="2"/>
          <w:sz w:val="21"/>
          <w:szCs w:val="20"/>
          <w:lang w:eastAsia="zh-CN"/>
        </w:rPr>
      </w:pPr>
      <w:r>
        <w:rPr>
          <w:rFonts w:ascii="宋体" w:eastAsia="宋体" w:hAnsi="Courier New" w:hint="eastAsia"/>
          <w:kern w:val="2"/>
          <w:sz w:val="21"/>
          <w:szCs w:val="20"/>
          <w:lang w:eastAsia="zh-CN"/>
        </w:rPr>
        <w:t>备注：</w:t>
      </w:r>
    </w:p>
    <w:p>
      <w:pPr>
        <w:widowControl w:val="0"/>
        <w:numPr>
          <w:ilvl w:val="0"/>
          <w:numId w:val="0"/>
        </w:numPr>
        <w:ind w:left="0" w:firstLine="0"/>
        <w:jc w:val="both"/>
        <w:rPr>
          <w:rFonts w:ascii="宋体" w:eastAsia="宋体" w:hAnsi="Courier New" w:hint="eastAsia"/>
          <w:kern w:val="2"/>
          <w:sz w:val="21"/>
          <w:szCs w:val="20"/>
          <w:lang w:eastAsia="zh-CN"/>
        </w:rPr>
      </w:pPr>
      <w:r>
        <w:rPr>
          <w:rFonts w:ascii="宋体" w:eastAsia="宋体" w:hAnsi="Courier New" w:hint="eastAsia"/>
          <w:kern w:val="2"/>
          <w:sz w:val="21"/>
          <w:szCs w:val="20"/>
          <w:lang w:eastAsia="zh-CN"/>
        </w:rPr>
        <w:t xml:space="preserve">1、备注栏注明“拒绝进口”的产品不接受投标人选用进口产品参与投标；注明“接受进口”的产品允许投标人选用进口产品参与投标，但不排斥国内产品。 </w:t>
      </w:r>
    </w:p>
    <w:p>
      <w:pPr>
        <w:widowControl w:val="0"/>
        <w:numPr>
          <w:ilvl w:val="0"/>
          <w:numId w:val="0"/>
        </w:numPr>
        <w:ind w:left="0" w:firstLine="0"/>
        <w:jc w:val="both"/>
        <w:rPr>
          <w:rFonts w:ascii="宋体" w:eastAsia="宋体" w:hAnsi="Courier New" w:hint="eastAsia"/>
          <w:kern w:val="2"/>
          <w:sz w:val="21"/>
          <w:szCs w:val="20"/>
          <w:lang w:eastAsia="zh-CN"/>
        </w:rPr>
      </w:pPr>
      <w:r>
        <w:rPr>
          <w:rFonts w:ascii="宋体" w:eastAsia="宋体" w:hAnsi="Courier New" w:hint="eastAsia"/>
          <w:kern w:val="2"/>
          <w:sz w:val="21"/>
          <w:szCs w:val="20"/>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0"/>
        </w:numPr>
        <w:ind w:left="0" w:firstLine="0"/>
        <w:jc w:val="both"/>
        <w:rPr>
          <w:rFonts w:ascii="宋体" w:eastAsia="宋体" w:hAnsi="Courier New"/>
          <w:kern w:val="2"/>
          <w:sz w:val="21"/>
          <w:szCs w:val="20"/>
          <w:lang w:eastAsia="zh-CN"/>
        </w:rPr>
      </w:pPr>
      <w:r>
        <w:rPr>
          <w:rFonts w:ascii="宋体" w:eastAsia="宋体" w:hAnsi="Courier New" w:hint="eastAsia"/>
          <w:kern w:val="2"/>
          <w:sz w:val="21"/>
          <w:szCs w:val="20"/>
          <w:lang w:eastAsia="zh-CN"/>
        </w:rPr>
        <w:t>3、本项目核心产品为：</w:t>
      </w:r>
      <w:r>
        <w:rPr>
          <w:rFonts w:ascii="宋体" w:eastAsia="宋体" w:hAnsi="Courier New" w:hint="eastAsia"/>
          <w:kern w:val="2"/>
          <w:sz w:val="21"/>
          <w:szCs w:val="20"/>
          <w:u w:val="single"/>
          <w:lang w:eastAsia="zh-CN"/>
        </w:rPr>
        <w:t xml:space="preserve"> </w:t>
      </w:r>
      <w:r>
        <w:rPr>
          <w:rFonts w:ascii="宋体" w:eastAsia="宋体" w:hAnsi="Courier New" w:hint="eastAsia"/>
          <w:b/>
          <w:bCs/>
          <w:color w:val="0000FF"/>
          <w:kern w:val="2"/>
          <w:sz w:val="21"/>
          <w:szCs w:val="20"/>
          <w:u w:val="single"/>
          <w:lang w:eastAsia="zh-CN"/>
        </w:rPr>
        <w:t xml:space="preserve"> 食品级双层活动送餐车   </w:t>
      </w:r>
      <w:r>
        <w:rPr>
          <w:rFonts w:ascii="宋体" w:eastAsia="宋体" w:hAnsi="Courier New" w:hint="eastAsia"/>
          <w:b/>
          <w:bCs/>
          <w:color w:val="0000FF"/>
          <w:kern w:val="2"/>
          <w:sz w:val="21"/>
          <w:szCs w:val="20"/>
          <w:lang w:eastAsia="zh-CN"/>
        </w:rPr>
        <w:t>。</w:t>
      </w:r>
    </w:p>
    <w:bookmarkEnd w:id="41"/>
    <w:p>
      <w:pPr>
        <w:keepNext/>
        <w:keepLines/>
        <w:pageBreakBefore w:val="0"/>
        <w:widowControl w:val="0"/>
        <w:kinsoku/>
        <w:overflowPunct/>
        <w:topLinePunct w:val="0"/>
        <w:autoSpaceDE/>
        <w:autoSpaceDN/>
        <w:bidi w:val="0"/>
        <w:spacing w:before="260" w:beforeAutospacing="0" w:after="260" w:afterAutospacing="0" w:line="240" w:lineRule="auto"/>
        <w:ind w:left="0" w:right="0" w:firstLine="0" w:leftChars="0" w:firstLineChars="0"/>
        <w:jc w:val="left"/>
        <w:outlineLvl w:val="2"/>
        <w:rPr>
          <w:rFonts w:ascii="宋体" w:eastAsia="宋体" w:hAnsi="宋体" w:cs="宋体" w:hint="eastAsia"/>
          <w:b/>
          <w:bCs/>
          <w:kern w:val="2"/>
          <w:sz w:val="28"/>
          <w:szCs w:val="28"/>
          <w:lang w:eastAsia="zh-CN"/>
        </w:rPr>
        <w:sectPr>
          <w:pgSz w:w="11906" w:h="16839"/>
          <w:pgMar w:top="1440" w:right="1800" w:bottom="1440" w:left="1800" w:header="567" w:footer="567" w:gutter="0"/>
          <w:pgBorders>
            <w:top w:val="none" w:sz="0" w:space="0" w:color="auto"/>
            <w:left w:val="none" w:sz="0" w:space="0" w:color="auto"/>
            <w:bottom w:val="none" w:sz="0" w:space="0" w:color="auto"/>
            <w:right w:val="none" w:sz="0" w:space="0" w:color="auto"/>
          </w:pgBorders>
          <w:pgNumType w:fmt="numberInDash"/>
          <w:cols w:num="1" w:space="720"/>
        </w:sectPr>
      </w:pPr>
      <w:bookmarkStart w:id="43" w:name="_Toc128884461"/>
    </w:p>
    <w:p>
      <w:pPr>
        <w:keepNext/>
        <w:keepLines/>
        <w:pageBreakBefore w:val="0"/>
        <w:widowControl w:val="0"/>
        <w:kinsoku/>
        <w:overflowPunct/>
        <w:topLinePunct w:val="0"/>
        <w:autoSpaceDE/>
        <w:autoSpaceDN/>
        <w:bidi w:val="0"/>
        <w:spacing w:before="260" w:beforeAutospacing="0" w:after="260" w:afterAutospacing="0" w:line="240" w:lineRule="auto"/>
        <w:ind w:left="0" w:right="0" w:firstLine="0" w:leftChars="0" w:firstLineChars="0"/>
        <w:jc w:val="left"/>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778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705"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序号</w:t>
            </w:r>
          </w:p>
        </w:tc>
        <w:tc>
          <w:tcPr>
            <w:tcW w:w="7483"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实质性条款具体内容</w:t>
            </w:r>
          </w:p>
        </w:tc>
      </w:tr>
      <w:tr>
        <w:tblPrEx>
          <w:tblW w:w="5000" w:type="pct"/>
          <w:jc w:val="center"/>
          <w:tblLayout w:type="fixed"/>
          <w:tblCellMar>
            <w:top w:w="0" w:type="dxa"/>
            <w:left w:w="108" w:type="dxa"/>
            <w:bottom w:w="0" w:type="dxa"/>
            <w:right w:w="108" w:type="dxa"/>
          </w:tblCellMar>
        </w:tblPrEx>
        <w:trPr>
          <w:trHeight w:hRule="auto" w:val="0"/>
          <w:jc w:val="center"/>
        </w:trPr>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c>
          <w:tcPr>
            <w:tcW w:w="7483"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投标文件载明的交货期不超过招标文件规定的期限</w:t>
            </w:r>
          </w:p>
        </w:tc>
      </w:tr>
      <w:tr>
        <w:tblPrEx>
          <w:tblW w:w="5000" w:type="pct"/>
          <w:jc w:val="center"/>
          <w:tblLayout w:type="fixed"/>
          <w:tblCellMar>
            <w:top w:w="0" w:type="dxa"/>
            <w:left w:w="108" w:type="dxa"/>
            <w:bottom w:w="0" w:type="dxa"/>
            <w:right w:w="108" w:type="dxa"/>
          </w:tblCellMar>
        </w:tblPrEx>
        <w:trPr>
          <w:trHeight w:hRule="auto" w:val="0"/>
          <w:jc w:val="center"/>
        </w:trPr>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7483"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投标文件载明的免费保修期不低于招标文件规定的期限</w:t>
            </w:r>
          </w:p>
        </w:tc>
      </w:tr>
      <w:tr>
        <w:tblPrEx>
          <w:tblW w:w="5000" w:type="pct"/>
          <w:jc w:val="center"/>
          <w:tblLayout w:type="fixed"/>
          <w:tblCellMar>
            <w:top w:w="0" w:type="dxa"/>
            <w:left w:w="108" w:type="dxa"/>
            <w:bottom w:w="0" w:type="dxa"/>
            <w:right w:w="108" w:type="dxa"/>
          </w:tblCellMar>
        </w:tblPrEx>
        <w:trPr>
          <w:trHeight w:hRule="auto" w:val="0"/>
          <w:jc w:val="center"/>
        </w:trPr>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7483"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招标文件中带“</w:t>
            </w:r>
            <w:r>
              <w:rPr>
                <w:rFonts w:ascii="宋体" w:eastAsia="宋体" w:hAnsi="宋体" w:cs="宋体" w:hint="eastAsia"/>
                <w:b/>
                <w:kern w:val="2"/>
                <w:sz w:val="21"/>
                <w:szCs w:val="21"/>
                <w:lang w:eastAsia="zh-CN"/>
              </w:rPr>
              <w:t>★</w:t>
            </w:r>
            <w:r>
              <w:rPr>
                <w:rFonts w:ascii="宋体" w:eastAsia="宋体" w:hAnsi="宋体" w:cs="宋体" w:hint="eastAsia"/>
                <w:sz w:val="21"/>
                <w:szCs w:val="21"/>
                <w:lang w:eastAsia="zh-CN"/>
              </w:rPr>
              <w:t>”的技术要求、商务需求或其他要求。</w:t>
            </w:r>
          </w:p>
        </w:tc>
      </w:tr>
      <w:tr>
        <w:tblPrEx>
          <w:tblW w:w="5000" w:type="pct"/>
          <w:jc w:val="center"/>
          <w:tblLayout w:type="fixed"/>
          <w:tblCellMar>
            <w:top w:w="0" w:type="dxa"/>
            <w:left w:w="108" w:type="dxa"/>
            <w:bottom w:w="0" w:type="dxa"/>
            <w:right w:w="108" w:type="dxa"/>
          </w:tblCellMar>
        </w:tblPrEx>
        <w:trPr>
          <w:trHeight w:hRule="auto" w:val="0"/>
          <w:jc w:val="center"/>
        </w:trPr>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7483"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w:t>
            </w:r>
          </w:p>
        </w:tc>
      </w:tr>
    </w:tbl>
    <w:p>
      <w:pPr>
        <w:pageBreakBefore w:val="0"/>
        <w:widowControl w:val="0"/>
        <w:tabs>
          <w:tab w:val="left" w:pos="765"/>
        </w:tabs>
        <w:kinsoku/>
        <w:overflowPunct/>
        <w:topLinePunct w:val="0"/>
        <w:autoSpaceDE/>
        <w:autoSpaceDN/>
        <w:bidi w:val="0"/>
        <w:spacing w:before="0" w:beforeAutospacing="0" w:after="0" w:afterAutospacing="0" w:line="360" w:lineRule="auto"/>
        <w:ind w:left="0" w:right="0" w:firstLine="0" w:leftChars="0" w:firstLineChars="0"/>
        <w:jc w:val="both"/>
        <w:outlineLvl w:val="9"/>
        <w:rPr>
          <w:rFonts w:ascii="宋体" w:eastAsia="宋体" w:hAnsi="宋体" w:cs="宋体" w:hint="eastAsia"/>
          <w:b/>
          <w:kern w:val="2"/>
          <w:sz w:val="21"/>
          <w:szCs w:val="21"/>
          <w:lang w:eastAsia="zh-CN"/>
        </w:rPr>
      </w:pPr>
      <w:r>
        <w:rPr>
          <w:rFonts w:ascii="宋体" w:eastAsia="宋体" w:hAnsi="宋体" w:cs="宋体" w:hint="eastAsia"/>
          <w:sz w:val="21"/>
          <w:szCs w:val="21"/>
          <w:lang w:eastAsia="zh-CN"/>
        </w:rPr>
        <w:t>注：上表所列内容为不可负偏离条款</w:t>
      </w:r>
      <w:bookmarkEnd w:id="43"/>
      <w:r>
        <w:rPr>
          <w:rFonts w:ascii="宋体" w:eastAsia="宋体" w:hAnsi="宋体" w:cs="宋体" w:hint="eastAsia"/>
          <w:sz w:val="21"/>
          <w:szCs w:val="21"/>
          <w:lang w:eastAsia="zh-CN"/>
        </w:rPr>
        <w:t>，负偏离将视为未实质性满足招标文件要求作投标无效处理。</w:t>
      </w:r>
    </w:p>
    <w:p>
      <w:pPr>
        <w:keepNext/>
        <w:keepLines/>
        <w:pageBreakBefore w:val="0"/>
        <w:widowControl w:val="0"/>
        <w:kinsoku/>
        <w:overflowPunct/>
        <w:topLinePunct w:val="0"/>
        <w:autoSpaceDE/>
        <w:autoSpaceDN/>
        <w:bidi w:val="0"/>
        <w:spacing w:before="260" w:beforeAutospacing="0" w:after="260" w:afterAutospacing="0" w:line="360" w:lineRule="auto"/>
        <w:ind w:left="0" w:right="0" w:firstLine="0" w:leftChars="0" w:firstLineChars="0"/>
        <w:jc w:val="left"/>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四、技术要求</w:t>
      </w:r>
    </w:p>
    <w:p>
      <w:pPr>
        <w:jc w:val="left"/>
        <w:rPr>
          <w:rFonts w:ascii="宋体" w:hAnsi="宋体" w:cs="宋体"/>
          <w:b/>
          <w:bCs/>
        </w:rPr>
      </w:pPr>
      <w:r>
        <w:rPr>
          <w:rFonts w:ascii="宋体" w:eastAsia="宋体" w:hAnsi="宋体" w:cs="宋体" w:hint="eastAsia"/>
          <w:b/>
          <w:bCs/>
          <w:lang w:eastAsia="zh-CN"/>
        </w:rPr>
        <w:t>4</w:t>
      </w:r>
      <w:r>
        <w:rPr>
          <w:rFonts w:ascii="宋体" w:hAnsi="宋体" w:cs="宋体"/>
          <w:b/>
          <w:bCs/>
        </w:rPr>
        <w:t xml:space="preserve">.1 </w:t>
      </w:r>
      <w:r>
        <w:rPr>
          <w:rFonts w:ascii="宋体" w:hAnsi="宋体" w:cs="宋体" w:hint="eastAsia"/>
          <w:b/>
          <w:bCs/>
        </w:rPr>
        <w:t>项目背景</w:t>
      </w:r>
    </w:p>
    <w:p>
      <w:pPr>
        <w:keepNext/>
        <w:keepLines/>
        <w:widowControl w:val="0"/>
        <w:numPr>
          <w:ilvl w:val="0"/>
          <w:numId w:val="0"/>
        </w:numPr>
        <w:shd w:val="clear" w:color="auto" w:fill="auto"/>
        <w:bidi w:val="0"/>
        <w:spacing w:before="0" w:after="200" w:line="472" w:lineRule="exact"/>
        <w:ind w:left="0" w:right="0" w:firstLine="440" w:leftChars="0" w:rightChars="0" w:firstLineChars="200"/>
        <w:jc w:val="both"/>
        <w:outlineLvl w:val="3"/>
        <w:rPr>
          <w:rFonts w:ascii="宋体" w:eastAsia="宋体" w:hAnsi="宋体" w:cs="宋体"/>
          <w:b/>
          <w:color w:val="FF0000"/>
          <w:sz w:val="22"/>
          <w:szCs w:val="21"/>
          <w:lang w:val="zh-TW" w:eastAsia="zh-TW" w:bidi="zh-TW"/>
        </w:rPr>
      </w:pPr>
      <w:bookmarkStart w:id="44" w:name="bookmark108"/>
      <w:r>
        <w:rPr>
          <w:rFonts w:ascii="宋体" w:eastAsia="宋体" w:hAnsi="宋体" w:cs="宋体"/>
          <w:color w:val="000000"/>
          <w:sz w:val="22"/>
          <w:szCs w:val="22"/>
          <w:lang w:val="zh-TW" w:eastAsia="zh-TW" w:bidi="zh-TW"/>
        </w:rPr>
        <w:t>为</w:t>
      </w:r>
      <w:r>
        <w:rPr>
          <w:rFonts w:ascii="宋体" w:eastAsia="宋体" w:hAnsi="宋体" w:cs="宋体" w:hint="eastAsia"/>
          <w:color w:val="000000"/>
          <w:sz w:val="22"/>
          <w:szCs w:val="22"/>
          <w:lang w:eastAsia="zh-CN" w:bidi="zh-TW"/>
        </w:rPr>
        <w:t>解决</w:t>
      </w:r>
      <w:r>
        <w:rPr>
          <w:rFonts w:ascii="宋体" w:eastAsia="宋体" w:hAnsi="宋体" w:cs="宋体" w:hint="eastAsia"/>
          <w:color w:val="000000"/>
          <w:sz w:val="22"/>
          <w:szCs w:val="22"/>
          <w:lang w:val="zh-TW" w:eastAsia="zh-TW" w:bidi="zh-TW"/>
        </w:rPr>
        <w:t>深圳市龙华区</w:t>
      </w:r>
      <w:r>
        <w:rPr>
          <w:rFonts w:ascii="宋体" w:eastAsia="宋体" w:hAnsi="宋体" w:cs="宋体" w:hint="eastAsia"/>
          <w:color w:val="000000"/>
          <w:sz w:val="22"/>
          <w:szCs w:val="22"/>
          <w:lang w:eastAsia="zh-CN" w:bidi="zh-TW"/>
        </w:rPr>
        <w:t>民治小学教职工食堂生产</w:t>
      </w:r>
      <w:r>
        <w:rPr>
          <w:rFonts w:ascii="宋体" w:eastAsia="宋体" w:hAnsi="宋体" w:cs="宋体"/>
          <w:color w:val="000000"/>
          <w:sz w:val="22"/>
          <w:szCs w:val="22"/>
          <w:lang w:val="zh-TW" w:eastAsia="zh-TW" w:bidi="zh-TW"/>
        </w:rPr>
        <w:t>问题，现向社会公开招标，选择优秀的供应商</w:t>
      </w:r>
      <w:bookmarkEnd w:id="44"/>
      <w:bookmarkStart w:id="45" w:name="bookmark111"/>
      <w:bookmarkStart w:id="46" w:name="bookmark110"/>
      <w:bookmarkStart w:id="47" w:name="bookmark109"/>
      <w:r>
        <w:rPr>
          <w:rFonts w:ascii="宋体" w:eastAsia="宋体" w:hAnsi="宋体" w:cs="宋体" w:hint="eastAsia"/>
          <w:color w:val="000000"/>
          <w:sz w:val="22"/>
          <w:szCs w:val="22"/>
          <w:lang w:eastAsia="zh-CN" w:bidi="zh-TW"/>
        </w:rPr>
        <w:t>配置食堂所需要的生产设备</w:t>
      </w:r>
      <w:r>
        <w:rPr>
          <w:rFonts w:ascii="宋体" w:eastAsia="宋体" w:hAnsi="宋体" w:cs="宋体"/>
          <w:color w:val="000000"/>
          <w:sz w:val="22"/>
          <w:szCs w:val="22"/>
          <w:lang w:val="zh-TW" w:eastAsia="zh-TW" w:bidi="zh-TW"/>
        </w:rPr>
        <w:t>。</w:t>
      </w:r>
      <w:bookmarkEnd w:id="45"/>
      <w:bookmarkEnd w:id="46"/>
      <w:bookmarkEnd w:id="47"/>
    </w:p>
    <w:p>
      <w:pPr>
        <w:rPr>
          <w:b/>
          <w:color w:val="FF0000"/>
          <w:szCs w:val="21"/>
        </w:rPr>
      </w:pPr>
      <w:r>
        <w:rPr>
          <w:rFonts w:ascii="宋体" w:eastAsia="宋体" w:hAnsi="宋体" w:cs="宋体" w:hint="eastAsia"/>
          <w:b/>
          <w:bCs/>
          <w:lang w:eastAsia="zh-CN"/>
        </w:rPr>
        <w:t>4</w:t>
      </w:r>
      <w:r>
        <w:rPr>
          <w:rFonts w:ascii="宋体" w:hAnsi="宋体" w:cs="宋体" w:hint="eastAsia"/>
          <w:b/>
          <w:bCs/>
        </w:rPr>
        <w:t>.2 货物用途、功能说明</w:t>
      </w:r>
    </w:p>
    <w:p>
      <w:pPr>
        <w:ind w:firstLine="220" w:firstLineChars="100"/>
        <w:rPr>
          <w:rFonts w:ascii="宋体" w:eastAsia="宋体" w:hAnsi="宋体" w:cs="宋体"/>
          <w:color w:val="000000"/>
          <w:sz w:val="22"/>
          <w:szCs w:val="22"/>
          <w:lang w:eastAsia="zh-CN"/>
        </w:rPr>
      </w:pPr>
      <w:r>
        <w:rPr>
          <w:rFonts w:ascii="宋体" w:eastAsia="宋体" w:hAnsi="宋体" w:cs="宋体" w:hint="eastAsia"/>
          <w:color w:val="000000"/>
          <w:sz w:val="22"/>
          <w:szCs w:val="22"/>
        </w:rPr>
        <w:t>深圳市龙华区</w:t>
      </w:r>
      <w:r>
        <w:rPr>
          <w:rFonts w:ascii="宋体" w:eastAsia="宋体" w:hAnsi="宋体" w:cs="宋体" w:hint="eastAsia"/>
          <w:color w:val="000000"/>
          <w:sz w:val="22"/>
          <w:szCs w:val="22"/>
          <w:lang w:eastAsia="zh-CN"/>
        </w:rPr>
        <w:t>民治小学教职工食堂的生产，保障教职工的用餐出品。</w:t>
      </w:r>
    </w:p>
    <w:p>
      <w:pPr>
        <w:widowControl w:val="0"/>
        <w:spacing w:line="360" w:lineRule="auto"/>
        <w:jc w:val="both"/>
        <w:rPr>
          <w:rFonts w:eastAsia="宋体"/>
          <w:b/>
          <w:bCs/>
          <w:kern w:val="2"/>
          <w:lang w:eastAsia="zh-CN"/>
        </w:rPr>
      </w:pPr>
    </w:p>
    <w:p>
      <w:pPr>
        <w:jc w:val="left"/>
        <w:rPr>
          <w:rFonts w:ascii="宋体" w:hAnsi="宋体" w:cs="宋体" w:hint="eastAsia"/>
          <w:b/>
          <w:bCs/>
        </w:rPr>
      </w:pPr>
      <w:r>
        <w:rPr>
          <w:rFonts w:ascii="宋体" w:eastAsia="宋体" w:hAnsi="宋体" w:cs="宋体" w:hint="eastAsia"/>
          <w:b/>
          <w:bCs/>
          <w:lang w:eastAsia="zh-CN"/>
        </w:rPr>
        <w:t>4</w:t>
      </w:r>
      <w:r>
        <w:rPr>
          <w:rFonts w:ascii="宋体" w:hAnsi="宋体" w:cs="宋体" w:hint="eastAsia"/>
          <w:b/>
          <w:bCs/>
        </w:rPr>
        <w:t>.3 采购技术要求表</w:t>
      </w:r>
    </w:p>
    <w:p>
      <w:pPr>
        <w:jc w:val="left"/>
        <w:rPr>
          <w:rFonts w:ascii="宋体" w:hAnsi="宋体" w:cs="宋体" w:hint="eastAsia"/>
          <w:b/>
          <w:sz w:val="22"/>
        </w:rPr>
      </w:pPr>
      <w:r>
        <w:rPr>
          <w:rFonts w:ascii="宋体" w:hAnsi="宋体" w:cs="宋体" w:hint="eastAsia"/>
          <w:b/>
          <w:sz w:val="22"/>
          <w:highlight w:val="yellow"/>
        </w:rPr>
        <w:t>注意：带▲符合的为重点技术参数。带★符号的为实质性条款，若有一条不满足，则不满足采购要求，投标将被否决，非单一产品采购项目，请标注核心产品。</w:t>
      </w:r>
    </w:p>
    <w:tbl>
      <w:tblPr>
        <w:tblStyle w:val="TableNormal"/>
        <w:tblW w:w="5000" w:type="pct"/>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786"/>
        <w:gridCol w:w="1385"/>
        <w:gridCol w:w="6345"/>
      </w:tblGrid>
      <w:tr>
        <w:tblPrEx>
          <w:tblW w:w="5000" w:type="pct"/>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70"/>
        </w:trPr>
        <w:tc>
          <w:tcPr>
            <w:tcW w:w="76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编号</w:t>
            </w:r>
          </w:p>
        </w:tc>
        <w:tc>
          <w:tcPr>
            <w:tcW w:w="13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货物名称</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招标技术要求</w:t>
            </w:r>
          </w:p>
        </w:tc>
      </w:tr>
      <w:tr>
        <w:tblPrEx>
          <w:tblW w:w="5000" w:type="pct"/>
          <w:tblInd w:w="93" w:type="dxa"/>
          <w:tblLayout w:type="fixed"/>
          <w:tblCellMar>
            <w:top w:w="0" w:type="dxa"/>
            <w:left w:w="108" w:type="dxa"/>
            <w:bottom w:w="0" w:type="dxa"/>
            <w:right w:w="108" w:type="dxa"/>
          </w:tblCellMar>
        </w:tblPrEx>
        <w:trPr>
          <w:trHeight w:val="270"/>
        </w:trPr>
        <w:tc>
          <w:tcPr>
            <w:tcW w:w="76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一</w:t>
            </w:r>
          </w:p>
        </w:tc>
        <w:tc>
          <w:tcPr>
            <w:tcW w:w="7533" w:type="dxa"/>
            <w:gridSpan w:val="2"/>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一楼厨房设备</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洗手盆连感应烘手机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1.规格:500*450*600mm(±5%）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3.台面采用采用1.2mm（±5%）不锈钢板；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4.星斗采用1.0mm（±5%）厚不锈钢板；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5.配感应水龙头一个，烘手机；</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双星盆水池</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1.规格:1200*700*800+150mm(±5%）；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4.纱纹为拉丝磨砂板；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5.星盆斗一体冲压成型；</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6.加强筋用1.2mm(±5%)厚不锈钢板；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7.挡水背150mm(±5%)高；</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8.配可调子弹脚，配水龙头；</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单星盆不锈钢水池1</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1.规格:700*700*800+150mm(±5%）；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4.纱纹为拉丝磨砂板；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5.星盆斗一体冲压成型；</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6.加强筋用1.2mm(±5%)厚不锈钢板；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7.挡水背150mm(±5%)高；</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8.配可调子弹脚，配水龙头；</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单星盆不锈钢水池2</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1.规格:1000*700*800+150mm(±5%）；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4.纱纹为拉丝磨砂板；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5.星盆斗一体冲压成型；</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6.加强筋用1.2mm(±5%)厚不锈钢板；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7.挡水背150mm(±5%)高；</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8.配可调子弹脚，配水龙头；</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带星盆拖把池</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1.规格:800*500*800+150mm(±5%）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4.纱纹为拉丝磨砂板；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5.星盆斗一体冲压成型；</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6.加强筋用1.2mm(±5%)厚不锈钢板；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7.挡水背150mm民治小学教职工食堂设备采购高</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8.配可调子弹脚，配水龙头。</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160双层平板工作台</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1.规格:1800*760*950mm(±5%）；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 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3.台面板采用壁厚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4.层板采用 1.0mm(±5%) 厚不锈钢板，距离地面 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5.加强筋用 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6.台脚采用壁厚 1.5mm(±5%)，宽38x高38mm(均±5%)不锈钢方管；</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7.配可调子弹脚；</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四层冲孔货架</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1.规格:1200*500*1550mm(±5%）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3.面板采用1.2mm(±5%)厚不锈钢板；1.2mm(±5%)厚码仔加硬；</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4.支撑架采用38x38x1.2mm(±5%)不锈钢方管；</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5.带不锈钢可调子弹脚；</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6.每层间距等分；</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12门更衣柜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1.规格:900*390*1800mm(±5%）;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3.柜身用1.2mm(±5%)厚不锈钢板；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4.门外壳、门内壳、层板1.2mm(±5%)厚不锈钢板；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5.配可调子弹脚，带锁分格存柜；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9</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拖把柜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1.规格:850*500*1800mm(±5%）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3.柜身用1.2mm(±5%)厚不锈钢板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4.门外壳、门内壳、层板1.2mm(±5%)厚不锈钢板；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5.配可调子弹脚；</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10</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150挡鼠板</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1.规格:1500*10*500mm(±5%）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3.面板用1.0mm(±5%)厚不锈钢板；二侧带插槽</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11</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180挡鼠板</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1.规格:1800*10*500mm(±5%）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3.面板用1.0mm(±5%)厚不锈钢板；二侧带插槽</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12</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单层墙架</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1.规格:1750*350*240mm(±5%）；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3.面板采用1.2mm(±5%)厚不锈钢板；1.2mm(±5%)厚码仔加硬；</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13</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190双层墙架</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1.规格:1900*300*640mm(±5%）；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3.面板采用1.2mm(±5%)厚不锈钢板；1.2mm(±5%)厚码仔加硬；</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14</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180双层墙架</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1.规格:1800*300*640mm(±5%）；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3.面板采用1.2mm(±5%)厚不锈钢板；1.2mm(±5%)厚码仔加硬；</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15</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140双层墙架</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1.规格:1400*300*640mm(±5%）；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3.面板采用1.2mm(±5%)厚不锈钢板；1.2mm(±5%)厚码仔加硬；</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16</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110双层墙架</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1.规格:1100*300*640mm(±5%）；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3.面板采用1.2mm(±5%)厚不锈钢板；1.2mm(±5%)厚码仔加硬；</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17</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圆孔收餐台</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1.规格:950*760*800+150mm(±5%）；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3.台面开孔直径#200；</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4.台脚用38X38X1.5mm(±5%)不锈钢方管；</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带锁三拉门吊柜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1.规格:1800*350*600mm(±5%）；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 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3.台面板用壁厚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4.层板、底板、侧板用 1.0mm(±5%) 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5.加强筋用壁厚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19</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GN饼盆车柜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1.规格：410*650*1850mm(±5%)；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2.支架管采用38x38x1.5mm(±5%）不锈钢方管；</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3.配3寸防滑聚酯万向轮；</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4.2个带刹车摯；</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20</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食品级双层活动送餐车</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1.规格:850*510*900mm(±5%）;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 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3.台面板用壁厚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4.层板、底板、用 1.0mm(±5%) 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5.加强筋用壁厚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6.配3寸防滑聚酯万向轮;</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7.2个带刹车摯;</w:t>
            </w:r>
          </w:p>
        </w:tc>
      </w:tr>
      <w:tr>
        <w:tblPrEx>
          <w:tblW w:w="5000" w:type="pct"/>
          <w:tblInd w:w="93" w:type="dxa"/>
          <w:tblLayout w:type="fixed"/>
          <w:tblCellMar>
            <w:top w:w="0" w:type="dxa"/>
            <w:left w:w="108" w:type="dxa"/>
            <w:bottom w:w="0" w:type="dxa"/>
            <w:right w:w="108" w:type="dxa"/>
          </w:tblCellMar>
        </w:tblPrEx>
        <w:trPr>
          <w:trHeight w:val="240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▲8.投标人或制造商依据产品标准GB4806.1-2016;GB4806.9-2016取得《食品接触产品安全认证证书》，认证产品“不锈钢推车”，认证系列及型号需包含“不锈钢送餐车”，参考GB 4806.9-2016《食品安全国家标准合格食品接触用金属材料及制品》，从感官感官和理化指标进行测试。经4%乙酸，沸腾≧30 分钟，室温放置≧24 小时的测试后，砷，镉，铬，镍，铅均未检出。</w:t>
            </w:r>
            <w:r>
              <w:rPr>
                <w:rFonts w:ascii="宋体" w:eastAsia="宋体" w:hAnsi="宋体" w:cs="宋体" w:hint="eastAsia"/>
                <w:color w:val="000000"/>
                <w:sz w:val="20"/>
                <w:szCs w:val="20"/>
                <w:lang w:eastAsia="zh-CN" w:bidi="ar"/>
              </w:rPr>
              <w:br/>
            </w:r>
            <w:r>
              <w:rPr>
                <w:rFonts w:ascii="宋体" w:eastAsia="宋体" w:hAnsi="宋体" w:cs="宋体" w:hint="eastAsia"/>
                <w:color w:val="000000"/>
                <w:sz w:val="20"/>
                <w:szCs w:val="20"/>
                <w:lang w:eastAsia="zh-CN" w:bidi="ar"/>
              </w:rPr>
              <w:t>需提供国家有关认证机构出具的处于有效期之内的资质证书（超过一年的需取得年度监督审核合格印花）及有效期内第三方检测机构出具的具有CNAS或CMA标识的检测报告，若为制造商的，需提供制造商证书使用的授权委托书，证书需在全国认证认可信息公共服务平台（认 e 云）</w:t>
            </w:r>
            <w:r>
              <w:rPr>
                <w:rFonts w:ascii="宋体" w:eastAsia="宋体" w:hAnsi="宋体" w:cs="宋体" w:hint="eastAsia"/>
                <w:color w:val="000000"/>
                <w:sz w:val="20"/>
                <w:szCs w:val="20"/>
                <w:lang w:eastAsia="zh-CN" w:bidi="ar"/>
              </w:rPr>
              <w:br/>
            </w:r>
            <w:r>
              <w:rPr>
                <w:rFonts w:ascii="宋体" w:eastAsia="宋体" w:hAnsi="宋体" w:cs="宋体" w:hint="eastAsia"/>
                <w:color w:val="000000"/>
                <w:sz w:val="20"/>
                <w:szCs w:val="20"/>
                <w:lang w:eastAsia="zh-CN" w:bidi="ar"/>
              </w:rPr>
              <w:t>（http://cx.cnca.cn/CertECloud/index/index/page）查询有效的截图，原件备查。</w:t>
            </w:r>
          </w:p>
        </w:tc>
      </w:tr>
      <w:tr>
        <w:tblPrEx>
          <w:tblW w:w="5000" w:type="pct"/>
          <w:tblInd w:w="93" w:type="dxa"/>
          <w:tblLayout w:type="fixed"/>
          <w:tblCellMar>
            <w:top w:w="0" w:type="dxa"/>
            <w:left w:w="108" w:type="dxa"/>
            <w:bottom w:w="0" w:type="dxa"/>
            <w:right w:w="108" w:type="dxa"/>
          </w:tblCellMar>
        </w:tblPrEx>
        <w:trPr>
          <w:trHeight w:val="255"/>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21</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双通移门荷台柜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1.规格:1800*700*800mm(±5%）；</w:t>
            </w:r>
          </w:p>
        </w:tc>
      </w:tr>
      <w:tr>
        <w:tblPrEx>
          <w:tblW w:w="5000" w:type="pct"/>
          <w:tblInd w:w="93" w:type="dxa"/>
          <w:tblLayout w:type="fixed"/>
          <w:tblCellMar>
            <w:top w:w="0" w:type="dxa"/>
            <w:left w:w="108" w:type="dxa"/>
            <w:bottom w:w="0" w:type="dxa"/>
            <w:right w:w="108" w:type="dxa"/>
          </w:tblCellMar>
        </w:tblPrEx>
        <w:trPr>
          <w:trHeight w:val="255"/>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 304#不锈钢板制作；</w:t>
            </w:r>
          </w:p>
        </w:tc>
      </w:tr>
      <w:tr>
        <w:tblPrEx>
          <w:tblW w:w="5000" w:type="pct"/>
          <w:tblInd w:w="93" w:type="dxa"/>
          <w:tblLayout w:type="fixed"/>
          <w:tblCellMar>
            <w:top w:w="0" w:type="dxa"/>
            <w:left w:w="108" w:type="dxa"/>
            <w:bottom w:w="0" w:type="dxa"/>
            <w:right w:w="108" w:type="dxa"/>
          </w:tblCellMar>
        </w:tblPrEx>
        <w:trPr>
          <w:trHeight w:val="255"/>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3.台面板用壁厚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4.层板、底板、侧板用 1.0mm(±5%) 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5.加强筋用壁厚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6.Φ38mm(±5%)不锈钢可调脚；</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22</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方形油网烟罩</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1.规格:2500*1000*500mm(±5%）;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3.面板采用1.0mm(±5%)厚不锈钢板；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23</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柜式环保烟罩带新风</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1.规格:9000*1300*600mm(±5%）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2.材质：采用304#不锈钢板制作，钢材厚度 1.2mm(±5%)；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3.配环保油网；底部接油槽及活动集油器。</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24</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烟罩风管链接</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1.规格:500*500mm(±5%）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 304#不锈钢板,厚度1.0mm(±5%)制作；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25</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炉拼台</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1.规格:300*1100*800+450mm(±5%）；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 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3.面板用壁厚 1.2mm(±5%)，不锈钢板制作；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26</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单头大锅灶</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1.规格:1100*1100*800+450mm(±5%）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 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3.炉面板采用 1.5mm(均±5%) 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4.侧身及背板采用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5.炉体骨架采用 L50x50x5mm(均±5%)角钢；</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6.炉脚采用φ2寸无逢钢管，带不锈钢可调子弹脚；</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7.配 2 个摇摆出水口；配节 4寸(±5%)炉头， 外套不锈钢管；</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8.配低噪音环保型炉用风机，配置电子打火，熄火保护装置；</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27</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不锈钢封墙钢</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1.规格:18000*10*2000mm(±5%）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2.材质：采用 304#不锈钢板制作，钢材厚度 1.0mm(±5%)；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28</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升降式紫外线消毒灯</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 1250*60*130mm(±5%)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2.杀菌方式：紫外线；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3.电压： 220v，功率： ≥40W；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4.升降行程： 可调节高度：最小值 300mm—最大值 1800mm</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5.主体材质：铝合金外壳，特制特氟龙防高温静音升降绳，</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6.消毒灯管材质：石英玻璃灯管</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7.消毒时间可以多档位设定</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8.对大肠杆菌、金黄色葡萄球菌、白色葡萄球菌、溶血性链球菌灭杀率≥99.99%；</w:t>
            </w:r>
          </w:p>
        </w:tc>
      </w:tr>
      <w:tr>
        <w:tblPrEx>
          <w:tblW w:w="5000" w:type="pct"/>
          <w:tblInd w:w="93" w:type="dxa"/>
          <w:tblLayout w:type="fixed"/>
          <w:tblCellMar>
            <w:top w:w="0" w:type="dxa"/>
            <w:left w:w="108" w:type="dxa"/>
            <w:bottom w:w="0" w:type="dxa"/>
            <w:right w:w="108" w:type="dxa"/>
          </w:tblCellMar>
        </w:tblPrEx>
        <w:trPr>
          <w:trHeight w:val="72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9.投标人所投产品中的“灯管”需出具由市场监督管理部门资质认定的第三方检测机构依据《消毒技术规范》卫生部2002年版-21.5.1“灭菌与消毒器械消毒功效鉴定试验”检测实验：对大肠杆菌、金黄色葡萄球菌、白色葡萄球菌、溶血性链球菌灭杀率≥99.99%,需同时提供标注CMA或CNAS标识的检测报告(检测报告的委托单位需为投标人或制造商，若投标人为代理商，需提供制造商关于产品品牌的授权委托书)原件备查，及检测报告在全国认证认可信息公共服务平台网站</w:t>
            </w:r>
            <w:r>
              <w:rPr>
                <w:rFonts w:ascii="宋体" w:eastAsia="宋体" w:hAnsi="宋体" w:cs="宋体" w:hint="eastAsia"/>
                <w:color w:val="000000"/>
                <w:sz w:val="20"/>
                <w:szCs w:val="20"/>
                <w:lang w:eastAsia="zh-CN" w:bidi="ar"/>
              </w:rPr>
              <w:br/>
            </w:r>
            <w:r>
              <w:rPr>
                <w:rFonts w:ascii="宋体" w:eastAsia="宋体" w:hAnsi="宋体" w:cs="宋体" w:hint="eastAsia"/>
                <w:color w:val="000000"/>
                <w:sz w:val="20"/>
                <w:szCs w:val="20"/>
                <w:lang w:eastAsia="zh-CN" w:bidi="ar"/>
              </w:rPr>
              <w:t>(http://cx.cnca.cn/CertECloud/qts/qts/qtsPage)查询截图扫描件作为得分依据，否则不得分。</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29</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固定式紫外线消毒灯</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1.支架长度:1.23米(冷轧钢)</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灯管长度:1.2米(T8石英管)</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紫外线强度:&gt;120uW/cm2</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2、额定电压： 220V(±10%)</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3、功率≥34W，效率≥95%，功率因数≥0.55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4、工作频率： 40K~70KHz</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5、启动方式：瞬时启动</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6、环境温度： -15~40 摄氏度</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7、最大外壳温度：70 摄氏度(±10%)</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30</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粘捕式灭蚊灯</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1.规格：500*165*380mm(±5%）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2.额定功率： 45W，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3.额定电压： 220V</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4.灯管规格：450mm(±5%)，15W；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5.净重：2.9kg</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6.耐低温-20℃(±2℃)，耐高温60℃(±2℃)，正常工作无异常;</w:t>
            </w:r>
          </w:p>
        </w:tc>
      </w:tr>
      <w:tr>
        <w:tblPrEx>
          <w:tblW w:w="5000" w:type="pct"/>
          <w:tblInd w:w="93" w:type="dxa"/>
          <w:tblLayout w:type="fixed"/>
          <w:tblCellMar>
            <w:top w:w="0" w:type="dxa"/>
            <w:left w:w="108" w:type="dxa"/>
            <w:bottom w:w="0" w:type="dxa"/>
            <w:right w:w="108" w:type="dxa"/>
          </w:tblCellMar>
        </w:tblPrEx>
        <w:trPr>
          <w:trHeight w:val="9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▲7.依据GB 4706.1-2005，GB4706.76-2008检测“对触及带电部件的防护”“稳定性和机械危险”“机械强度”“结构”“内部布线”“外部导线用接线端子”“接地措施”“电气间隙、爬电距离和固体绝缘”“耐热和耐燃”检测合格；依据 GB/T 2423.1-2008耐低温-20℃(±2℃)，依据 GB/T 2423.2-2008标准要求耐高温60℃(±2℃)检测，通电工作2小时后检测合格，设备正常工作无异常；需同时提供具有CMA或CNAS标识的符合技术要求的检测报告扫描件及产品制造商出具的本项目授权书(格式自拟)。检测报告的生产企业、产品型号需与分项报价清单产品一致，原件备查。及在全国认证认可信息公共服务平台（认e云）http://cx.cnca.cn网站查询有效的截图。否则不得分。</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31</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1800风幕机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1.规格:1800L(±5%）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2.电压：220v，功率：1kw；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3.机器功能：隔热功能，防虫功能、防尘功能，隔异味功能</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32</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电子落地称</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1.规格：400mm*500mm*700mm(±5%）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2.工作温度0~40°；</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3.LOD6位数/字高14mm/LED背光；</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4.承重60kg；220v0.75kw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33</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洗地龙头</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 L=10m(±5%)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2.碳钢开放式卷盘，表面静电喷塑处理；</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3.中心轴采用硬度高、不易磨损钢材；自动回卷；</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4.接水口口径为 1/2寸外螺纹；配高压喷枪；</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5.10 米黑色复合材料软管，软管进水口20mm，耐温 75℃,承压 300PSI;</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34</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农药检测仪</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1.规格:420*310*200mm(±5%)</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2.乙酰胆碱酯酶和丁酰胆碱酯酶试剂均可以使用，符合国家标准和农业部标准的要求。</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3.仪器具有 100 多种蔬菜名称菜单库，分类管理，并可按需添加或删除蔬菜名，编辑蔬菜名称，可直接打印出蔬菜名称。</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4.检测通道：6个检测通道，可以同时测试多个样品，循环检测，即放即检，自动判断样品是否合格。</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5.智能操作系统，多核 1.88Ghz 处理器。</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6.显示方式： 7 英寸高灵敏真彩触摸屏显示。</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7.抑制率显示范围： 最小值 0%～最大值 100%；抑制率测量范围：最小值 0%～最大值 100%；</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8.透射比准确度：±1.5%；透射比重复性：≤0.5%；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35</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刀具消毒柜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1.规格:430*230*625mm(±5%）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2.电压：220v，功率：1kw；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3.消毒方式：紫外线，容量40L；</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36</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单门可视刀具砧板消毒柜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1.规格:640*620*1790mm(±5%）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2.电压：220v，功率：1kw；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3.消毒方式：紫外线+臭氧+中温热风循环杀菌消毒，可放置：5块砧板、10把刀具；</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37</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双门留样柜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1.规格:1100*580*1800mm(±5%）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2.电压：220V</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3.功率：3.5KW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4.频率：50HZ</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5.可控制温度：0~8度，制冷方式：直冷制冷；</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38</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燃气双门蒸饭柜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1.规格:1000*900*1850mm(±5%）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2.炉面板用1.5mm(±5%）厚不锈钢板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3.炉侧板、前板、背板1.2mm(±5%）厚不锈钢板；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4.底架采用3mm×40×40mm(±5%)角铁架及2mm(±5%)黑铁炉膛焊接组成；</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5.炉脚配可调子弹脚，配置电子打火，熄火保护装置；</w:t>
            </w:r>
          </w:p>
        </w:tc>
      </w:tr>
      <w:tr>
        <w:tblPrEx>
          <w:tblW w:w="5000" w:type="pct"/>
          <w:tblInd w:w="93" w:type="dxa"/>
          <w:tblLayout w:type="fixed"/>
          <w:tblCellMar>
            <w:top w:w="0" w:type="dxa"/>
            <w:left w:w="108" w:type="dxa"/>
            <w:bottom w:w="0" w:type="dxa"/>
            <w:right w:w="108" w:type="dxa"/>
          </w:tblCellMar>
        </w:tblPrEx>
        <w:trPr>
          <w:trHeight w:val="103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▲6.投标人或制造商需获得Q/GDZR011-2019《燃气燃烧器具安装维修服务质量评价规范》标准的要求《五星级》，认证范围为：厨房设备的安装维修服务</w:t>
            </w:r>
            <w:r>
              <w:rPr>
                <w:rFonts w:ascii="宋体" w:eastAsia="宋体" w:hAnsi="宋体" w:cs="宋体" w:hint="eastAsia"/>
                <w:color w:val="000000"/>
                <w:sz w:val="20"/>
                <w:szCs w:val="20"/>
                <w:lang w:eastAsia="zh-CN" w:bidi="ar"/>
              </w:rPr>
              <w:br/>
            </w:r>
            <w:r>
              <w:rPr>
                <w:rFonts w:ascii="宋体" w:eastAsia="宋体" w:hAnsi="宋体" w:cs="宋体" w:hint="eastAsia"/>
                <w:color w:val="000000"/>
                <w:sz w:val="20"/>
                <w:szCs w:val="20"/>
                <w:lang w:eastAsia="zh-CN" w:bidi="ar"/>
              </w:rPr>
              <w:t>需提供国家有关认证机构出具的、处于有效期之内的资质证书（超过一年的需取得年度监督审核合格印花），若为制造商的，需提供制造商证书使用的授权委托书，</w:t>
            </w:r>
            <w:r>
              <w:rPr>
                <w:rFonts w:ascii="宋体" w:eastAsia="宋体" w:hAnsi="宋体" w:cs="宋体" w:hint="eastAsia"/>
                <w:color w:val="000000"/>
                <w:sz w:val="20"/>
                <w:szCs w:val="20"/>
                <w:lang w:eastAsia="zh-CN" w:bidi="ar"/>
              </w:rPr>
              <w:br/>
            </w:r>
            <w:r>
              <w:rPr>
                <w:rFonts w:ascii="宋体" w:eastAsia="宋体" w:hAnsi="宋体" w:cs="宋体" w:hint="eastAsia"/>
                <w:color w:val="000000"/>
                <w:sz w:val="20"/>
                <w:szCs w:val="20"/>
                <w:lang w:eastAsia="zh-CN" w:bidi="ar"/>
              </w:rPr>
              <w:t>证书需在全国认证认可信息公共服务平台（认 e 云）</w:t>
            </w:r>
            <w:r>
              <w:rPr>
                <w:rFonts w:ascii="宋体" w:eastAsia="宋体" w:hAnsi="宋体" w:cs="宋体" w:hint="eastAsia"/>
                <w:color w:val="000000"/>
                <w:sz w:val="20"/>
                <w:szCs w:val="20"/>
                <w:lang w:eastAsia="zh-CN" w:bidi="ar"/>
              </w:rPr>
              <w:br/>
            </w:r>
            <w:r>
              <w:rPr>
                <w:rFonts w:ascii="宋体" w:eastAsia="宋体" w:hAnsi="宋体" w:cs="宋体" w:hint="eastAsia"/>
                <w:color w:val="000000"/>
                <w:sz w:val="20"/>
                <w:szCs w:val="20"/>
                <w:lang w:eastAsia="zh-CN" w:bidi="ar"/>
              </w:rPr>
              <w:t>（http://cx.cnca.cn/CertECloud/index/index/page）查询有效的截图，原件备查。</w:t>
            </w:r>
          </w:p>
        </w:tc>
      </w:tr>
      <w:tr>
        <w:tblPrEx>
          <w:tblW w:w="5000" w:type="pct"/>
          <w:tblInd w:w="93" w:type="dxa"/>
          <w:tblLayout w:type="fixed"/>
          <w:tblCellMar>
            <w:top w:w="0" w:type="dxa"/>
            <w:left w:w="108" w:type="dxa"/>
            <w:bottom w:w="0" w:type="dxa"/>
            <w:right w:w="108" w:type="dxa"/>
          </w:tblCellMar>
        </w:tblPrEx>
        <w:trPr>
          <w:trHeight w:val="255"/>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39</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食品级304蒸饭盘</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1.规格:600*400*50mm(±5%）</w:t>
            </w:r>
          </w:p>
        </w:tc>
      </w:tr>
      <w:tr>
        <w:tblPrEx>
          <w:tblW w:w="5000" w:type="pct"/>
          <w:tblInd w:w="93" w:type="dxa"/>
          <w:tblLayout w:type="fixed"/>
          <w:tblCellMar>
            <w:top w:w="0" w:type="dxa"/>
            <w:left w:w="108" w:type="dxa"/>
            <w:bottom w:w="0" w:type="dxa"/>
            <w:right w:w="108" w:type="dxa"/>
          </w:tblCellMar>
        </w:tblPrEx>
        <w:trPr>
          <w:trHeight w:val="255"/>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2.材质： 采用 304#不锈钢板制作，钢材厚度 0.8mm(±5%)；</w:t>
            </w:r>
          </w:p>
        </w:tc>
      </w:tr>
      <w:tr>
        <w:tblPrEx>
          <w:tblW w:w="5000" w:type="pct"/>
          <w:tblInd w:w="93" w:type="dxa"/>
          <w:tblLayout w:type="fixed"/>
          <w:tblCellMar>
            <w:top w:w="0" w:type="dxa"/>
            <w:left w:w="108" w:type="dxa"/>
            <w:bottom w:w="0" w:type="dxa"/>
            <w:right w:w="108" w:type="dxa"/>
          </w:tblCellMar>
        </w:tblPrEx>
        <w:trPr>
          <w:trHeight w:val="216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▲3.所投产品依据产品标准GB4806.1-2016;GB4806.9-2016取得食品接触食品接触产品卫生认证证书，认证产品“不锈钢餐盘”，参考GB 4806.9-2016《食品安全国家标准合格食品接触用金属材料及制品》，从感官感官和理化指标进行测试。经4%乙酸，沸腾≧30 分钟，室温放置≧24 小时的测试后，砷，镉，铬，镍，铅均未检出。</w:t>
            </w:r>
            <w:r>
              <w:rPr>
                <w:rFonts w:ascii="宋体" w:eastAsia="宋体" w:hAnsi="宋体" w:cs="宋体" w:hint="eastAsia"/>
                <w:color w:val="000000"/>
                <w:sz w:val="20"/>
                <w:szCs w:val="20"/>
                <w:lang w:eastAsia="zh-CN" w:bidi="ar"/>
              </w:rPr>
              <w:br/>
            </w:r>
            <w:r>
              <w:rPr>
                <w:rFonts w:ascii="宋体" w:eastAsia="宋体" w:hAnsi="宋体" w:cs="宋体" w:hint="eastAsia"/>
                <w:color w:val="000000"/>
                <w:sz w:val="20"/>
                <w:szCs w:val="20"/>
                <w:lang w:eastAsia="zh-CN" w:bidi="ar"/>
              </w:rPr>
              <w:t xml:space="preserve"> 投标人或制造商需提供国家有关认证机构出具的、处于有效期之内的资质证书（超过一年的需取得年度监督审核合格印花）及有效期内第三方检测机构出具的具有CNAS或CMA标识的检测报告，若为制造商的，需提供制造商证书使用的授权委托书，证书需在全国认证认可信息公共服务平台（认 e 云）</w:t>
            </w:r>
            <w:r>
              <w:rPr>
                <w:rFonts w:ascii="宋体" w:eastAsia="宋体" w:hAnsi="宋体" w:cs="宋体" w:hint="eastAsia"/>
                <w:color w:val="000000"/>
                <w:sz w:val="20"/>
                <w:szCs w:val="20"/>
                <w:lang w:eastAsia="zh-CN" w:bidi="ar"/>
              </w:rPr>
              <w:br/>
            </w:r>
            <w:r>
              <w:rPr>
                <w:rFonts w:ascii="宋体" w:eastAsia="宋体" w:hAnsi="宋体" w:cs="宋体" w:hint="eastAsia"/>
                <w:color w:val="000000"/>
                <w:sz w:val="20"/>
                <w:szCs w:val="20"/>
                <w:lang w:eastAsia="zh-CN" w:bidi="ar"/>
              </w:rPr>
              <w:t>（http://cx.cnca.cn/CertECloud/index/index/page）查询有效的截图，原件备查。</w:t>
            </w:r>
          </w:p>
        </w:tc>
      </w:tr>
      <w:tr>
        <w:tblPrEx>
          <w:tblW w:w="5000" w:type="pct"/>
          <w:tblInd w:w="93" w:type="dxa"/>
          <w:tblLayout w:type="fixed"/>
          <w:tblCellMar>
            <w:top w:w="0" w:type="dxa"/>
            <w:left w:w="108" w:type="dxa"/>
            <w:bottom w:w="0" w:type="dxa"/>
            <w:right w:w="108" w:type="dxa"/>
          </w:tblCellMar>
        </w:tblPrEx>
        <w:trPr>
          <w:trHeight w:val="255"/>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40</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食品级304蒸包盘</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1.规格:600*400*50mm(±5%）</w:t>
            </w:r>
          </w:p>
        </w:tc>
      </w:tr>
      <w:tr>
        <w:tblPrEx>
          <w:tblW w:w="5000" w:type="pct"/>
          <w:tblInd w:w="93" w:type="dxa"/>
          <w:tblLayout w:type="fixed"/>
          <w:tblCellMar>
            <w:top w:w="0" w:type="dxa"/>
            <w:left w:w="108" w:type="dxa"/>
            <w:bottom w:w="0" w:type="dxa"/>
            <w:right w:w="108" w:type="dxa"/>
          </w:tblCellMar>
        </w:tblPrEx>
        <w:trPr>
          <w:trHeight w:val="255"/>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2.材质： 采用 304#不锈钢板制作，钢材厚度 0.8mm(±5%)；</w:t>
            </w:r>
          </w:p>
        </w:tc>
      </w:tr>
      <w:tr>
        <w:tblPrEx>
          <w:tblW w:w="5000" w:type="pct"/>
          <w:tblInd w:w="93" w:type="dxa"/>
          <w:tblLayout w:type="fixed"/>
          <w:tblCellMar>
            <w:top w:w="0" w:type="dxa"/>
            <w:left w:w="108" w:type="dxa"/>
            <w:bottom w:w="0" w:type="dxa"/>
            <w:right w:w="108" w:type="dxa"/>
          </w:tblCellMar>
        </w:tblPrEx>
        <w:trPr>
          <w:trHeight w:val="255"/>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41</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打肉丸机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1.规格:20型(±5%）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 220V</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3.容量：2-5斤</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4.功率： 1.5KW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42</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台式切肉机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 3-0inch(±5%）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 220V</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3.功率： 1.1KW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4.频率： 50HZ</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43</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台式绞肉机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 12型(±5%）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 220V</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3.功率： 1.5KW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4.频率： 50HZ</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44</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储存式热水器</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1.规格：80L(±5%)；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 220v；</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3.功率： 2kw；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4.容量： 80L(±5%)；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45</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双动和面机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1.规格:800*430*910mm(±5%）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2.主要材质：不锈钢， 容量：30L</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3.电机过载急停开关， 电流电机负荷超重会暂停设备，保护电机寿命</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4.不锈钢安全保护网罩，提起网罩，停止和面工作；</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5.智能控制面板：手动和自动两种模式切换，带有点动装置，以及高速/低速计时功能</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6.电压/功率/频率：220V /1.5KW/50Hz</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7.搅拌转速： 150/280/min，料筒转速 12.5/25r/min</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46</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压面机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1.规格:440*280*860mm(±5%）</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2.采用经皮带轮链条转动，结构紧凑，操作方便，动力强劲；料斗、接料板采用优质不锈钢板制造；</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3.调节厚度：1-10mm(±5%)，压面宽度：1-10cm(±5%)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4.电压/功率/频率： 220V/1.5KW/50HZ;压面量：30GK/H</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47</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三层六盘不锈钢烤箱</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1.规格:1320*900*1740mm(±5%）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 380V，功率：19.8KW；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3.配置：三层六个不锈钢份数盘</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4.不锈钢份数盘尺寸：长400*宽600mm(均±5%)，；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5.材质： 全不锈钢机身，钢化玻璃门；</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6.温度范围： 0-400℃, 适建范围：0-99min；</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48</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烙饼机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1.规格:600*740*760mm(±5%）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 220v，功率：5kw；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3.不锈钢机身；温控范围：50~300c°</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49</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40L豆浆机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1.规格：40L(±5%)；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2.不锈钢机身；</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3.电压： 220v，功率：5kw(±5%)；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50</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100kg水压式洗米机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1.规格：700*568*950mm(±5%)；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2.不锈钢机身；</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3.容量：100KG(±5%)；</w:t>
            </w:r>
          </w:p>
        </w:tc>
      </w:tr>
      <w:tr>
        <w:tblPrEx>
          <w:tblW w:w="5000" w:type="pct"/>
          <w:tblInd w:w="93" w:type="dxa"/>
          <w:tblLayout w:type="fixed"/>
          <w:tblCellMar>
            <w:top w:w="0" w:type="dxa"/>
            <w:left w:w="108" w:type="dxa"/>
            <w:bottom w:w="0" w:type="dxa"/>
            <w:right w:w="108" w:type="dxa"/>
          </w:tblCellMar>
        </w:tblPrEx>
        <w:trPr>
          <w:trHeight w:val="192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51</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厨房灭火系统（双瓶）</w:t>
            </w:r>
          </w:p>
        </w:tc>
        <w:tc>
          <w:tcPr>
            <w:tcW w:w="6183"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▲1.规格:685mm*240mm*620mm (均±5%）；投标产品具有应急管理部消防产品合格评定中心出具的消防产品认证证书，依据XF-498-2012 标准,符合消防类产品认证实施规则</w:t>
            </w:r>
            <w:r>
              <w:rPr>
                <w:rFonts w:ascii="宋体" w:eastAsia="宋体" w:hAnsi="宋体" w:cs="宋体" w:hint="eastAsia"/>
                <w:color w:val="000000"/>
                <w:sz w:val="20"/>
                <w:szCs w:val="20"/>
                <w:lang w:eastAsia="zh-CN" w:bidi="ar"/>
              </w:rPr>
              <w:br/>
            </w:r>
            <w:r>
              <w:rPr>
                <w:rFonts w:ascii="宋体" w:eastAsia="宋体" w:hAnsi="宋体" w:cs="宋体" w:hint="eastAsia"/>
                <w:color w:val="000000"/>
                <w:sz w:val="20"/>
                <w:szCs w:val="20"/>
                <w:lang w:eastAsia="zh-CN" w:bidi="ar"/>
              </w:rPr>
              <w:t>CCCF-CPRZ-21:2019 的要求，取得消防产品认证证书，且投标人投标时需同时提供有效期内第三方检测机构出具的具有CNAS 或CMA标识的检测报告扫描件和产品制造商出具的使用授权书(格式自拟)，认证证书的生产企业需与分项报价清单产品一致，原件备查。及在全国认证认可信息公共服务平台（认e云）http://cx.cnca.cn网站查询有效的截图。</w:t>
            </w:r>
          </w:p>
        </w:tc>
      </w:tr>
      <w:tr>
        <w:tblPrEx>
          <w:tblW w:w="5000" w:type="pct"/>
          <w:tblInd w:w="93" w:type="dxa"/>
          <w:tblLayout w:type="fixed"/>
          <w:tblCellMar>
            <w:top w:w="0" w:type="dxa"/>
            <w:left w:w="108" w:type="dxa"/>
            <w:bottom w:w="0" w:type="dxa"/>
            <w:right w:w="108" w:type="dxa"/>
          </w:tblCellMar>
        </w:tblPrEx>
        <w:trPr>
          <w:trHeight w:val="255"/>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2.厨房设备灭火装置使用温度：4℃～55℃。</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3.变压器、蓄电池、控制盘三者集中在主机面板中心位置，外观设计一体化，防潮防水，便于安装。</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4.工作原理：自动启动，手动启动，机械启动。</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5.灭火剂贮存容器：灭火时间3-5s,灭火剂类型：食用油专用灭火剂（无毒、无味、无污染、无公害），充装质量：12kg；</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6.驱动气瓶贮存容器：气体介质：氮气；容积：1.4L。</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7.减压阀工作压力：前压力12MPa，后压力1.2MPa。</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8.控制盘：外接电源220V，工作电源12V。</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9.感温器动作温度：185℃；轴承角轮：最大使用温度350℃。</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10.连接管压力：40兆帕，接头为不锈钢。</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11.抗飞溅：装置启动后灭火剂喷射时无燃烧的油液飞溅出来，在灭火剂喷射过程中无油点飞溅出来。</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12.配置18个喷嘴，可覆盖10米内的厨房灶台。</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13.控制盘备用电池满足正常监视状态下连续工作48h，期间保证装置可靠启动，主、备电源能自动切换供电，并有工作指示。</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14.药剂连接管、管路、管件采用304不锈钢制造；符合Q/MYE1-2018标准的要求。</w:t>
            </w:r>
          </w:p>
        </w:tc>
      </w:tr>
      <w:tr>
        <w:tblPrEx>
          <w:tblW w:w="5000" w:type="pct"/>
          <w:tblInd w:w="93" w:type="dxa"/>
          <w:tblLayout w:type="fixed"/>
          <w:tblCellMar>
            <w:top w:w="0" w:type="dxa"/>
            <w:left w:w="108" w:type="dxa"/>
            <w:bottom w:w="0" w:type="dxa"/>
            <w:right w:w="108" w:type="dxa"/>
          </w:tblCellMar>
        </w:tblPrEx>
        <w:trPr>
          <w:trHeight w:val="72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15.箱体面板上设有三个按钮：启动开关、消音开关、一键测试，一键测试键用于安装完毕或日常巡检（现场水电具备的情况下）对设备进行喷洒测试，消音开关是在设备正常启动过程关闭设备声光报警器，启动开关是设备电路的开关键。</w:t>
            </w:r>
          </w:p>
        </w:tc>
      </w:tr>
      <w:tr>
        <w:tblPrEx>
          <w:tblW w:w="5000" w:type="pct"/>
          <w:tblInd w:w="93" w:type="dxa"/>
          <w:tblLayout w:type="fixed"/>
          <w:tblCellMar>
            <w:top w:w="0" w:type="dxa"/>
            <w:left w:w="108" w:type="dxa"/>
            <w:bottom w:w="0" w:type="dxa"/>
            <w:right w:w="108" w:type="dxa"/>
          </w:tblCellMar>
        </w:tblPrEx>
        <w:trPr>
          <w:trHeight w:val="72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16.厨房设备灭火装置组成部分：包括机械驱动器、驱动气瓶、灭火剂瓶、水流阀、减压阀、控制盘、连接管件、等部位固定于CMJS型不锈钢箱体内。每个装置设计需要的感温易融金属拉索释放器、远程手动启动器都与装置组件相连。</w:t>
            </w:r>
          </w:p>
        </w:tc>
      </w:tr>
      <w:tr>
        <w:tblPrEx>
          <w:tblW w:w="5000" w:type="pct"/>
          <w:tblInd w:w="93" w:type="dxa"/>
          <w:tblLayout w:type="fixed"/>
          <w:tblCellMar>
            <w:top w:w="0" w:type="dxa"/>
            <w:left w:w="108" w:type="dxa"/>
            <w:bottom w:w="0" w:type="dxa"/>
            <w:right w:w="108" w:type="dxa"/>
          </w:tblCellMar>
        </w:tblPrEx>
        <w:trPr>
          <w:trHeight w:val="240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▲17.所投产品依据 XF498-2012,CCCF-CPRZ-21:2019 检验：在灭火剂完全喷射后，立即切换喷水时间≤2S,喷射时间≥15S，延迟时间≤2S，喷嘴工作压力≤0.25MPa，冷却水喷嘴压力≤0.2MPa，报警信号声压级应在 95＜dB(A)＞90，减压阀前压力12.0MPa(±1MPa)，减压阀后压力 1.0MPa (±0.2MPa），驱动力 220N (±10N）以及启动方式、联动性能、灭火性能、抗飞溅性能、材料、密封、强度、抗震性能、耐腐蚀性能、耐高低温性能、压力显示器、电源要求、报警功能、工作可靠性等检测合格， 投标人需同时提供有效期内第三方检测机构出具的具有CNAS或CMA标识的检测报告并提供检测报告在全国认证认可信息公共服务平台网站</w:t>
            </w:r>
            <w:r>
              <w:rPr>
                <w:rFonts w:ascii="宋体" w:eastAsia="宋体" w:hAnsi="宋体" w:cs="宋体" w:hint="eastAsia"/>
                <w:color w:val="000000"/>
                <w:sz w:val="20"/>
                <w:szCs w:val="20"/>
                <w:lang w:eastAsia="zh-CN" w:bidi="ar"/>
              </w:rPr>
              <w:br/>
            </w:r>
            <w:r>
              <w:rPr>
                <w:rFonts w:ascii="宋体" w:eastAsia="宋体" w:hAnsi="宋体" w:cs="宋体" w:hint="eastAsia"/>
                <w:color w:val="000000"/>
                <w:sz w:val="20"/>
                <w:szCs w:val="20"/>
                <w:lang w:eastAsia="zh-CN" w:bidi="ar"/>
              </w:rPr>
              <w:t>(http://cx.cnca.cn/CertECloud/qts/qts/qtsPage)的查询结果截图证明；（报告需体现符合上述参数，缺项不得分，原件备查）。</w:t>
            </w:r>
          </w:p>
        </w:tc>
      </w:tr>
      <w:tr>
        <w:tblPrEx>
          <w:tblW w:w="5000" w:type="pct"/>
          <w:tblInd w:w="93" w:type="dxa"/>
          <w:tblLayout w:type="fixed"/>
          <w:tblCellMar>
            <w:top w:w="0" w:type="dxa"/>
            <w:left w:w="108" w:type="dxa"/>
            <w:bottom w:w="0" w:type="dxa"/>
            <w:right w:w="108" w:type="dxa"/>
          </w:tblCellMar>
        </w:tblPrEx>
        <w:trPr>
          <w:trHeight w:val="255"/>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52</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油烟监控系统</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1.规格：270mm×262mm×90mm(±10%)；</w:t>
            </w:r>
          </w:p>
        </w:tc>
      </w:tr>
      <w:tr>
        <w:tblPrEx>
          <w:tblW w:w="5000" w:type="pct"/>
          <w:tblInd w:w="93" w:type="dxa"/>
          <w:tblLayout w:type="fixed"/>
          <w:tblCellMar>
            <w:top w:w="0" w:type="dxa"/>
            <w:left w:w="108" w:type="dxa"/>
            <w:bottom w:w="0" w:type="dxa"/>
            <w:right w:w="108" w:type="dxa"/>
          </w:tblCellMar>
        </w:tblPrEx>
        <w:trPr>
          <w:trHeight w:val="96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系统包括电脑端web系统和手机端微信公众号管理平台，具有用户权限管理、数据查询、企业信息、清洗维护、统计分析、监控仪管理等功能；饮食业油烟浓度在线监控仪安装于排烟口，可实时连续在线监测油烟、颗粒物、非甲烷总烃排放浓度、油烟净化设备和风机运行状态；</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3.微信公众号管理平台可实现信息推送功能，自动推送预警信息到餐厅、运维人员，包括油烟排放浓度超标、净化设备运行异常、数据异常等；</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4.饮食业油烟浓度在线监控仪工作电源：AC 220V±15％；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5.饮食业油烟浓度在线监控仪外形尺寸：270mm×262mm×90mm(±10%)；</w:t>
            </w:r>
          </w:p>
        </w:tc>
      </w:tr>
      <w:tr>
        <w:tblPrEx>
          <w:tblW w:w="5000" w:type="pct"/>
          <w:tblInd w:w="93" w:type="dxa"/>
          <w:tblLayout w:type="fixed"/>
          <w:tblCellMar>
            <w:top w:w="0" w:type="dxa"/>
            <w:left w:w="108" w:type="dxa"/>
            <w:bottom w:w="0" w:type="dxa"/>
            <w:right w:w="108" w:type="dxa"/>
          </w:tblCellMar>
        </w:tblPrEx>
        <w:trPr>
          <w:trHeight w:val="1236"/>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▲6.投标产品获得《环境保护产品认证证书》，认证依据:《餐饮业油烟在线监测报警仪认证技术规范》(RIGF 006-2022)，所检项目的实测结果符合RJGF 006-2022餐饮业油烟浓度在线监测仪中国环境保护产品认证技术规范的技术要求。其中通过高浓度影响实验，试验后仪器能正常工作，示值误差-6％（±10％）；仪器通过风速影响试验，仪器显示值不超出0.08mg／m³；投标人需同时提供认证证书及认证证书在全国认证认可信息公共服务平台(认e云http://cx.cnca.cn）查询“有效”的截图扫描件及有效期内第三方检测机构出具的具有CNAS 或CMA标识的检测报告扫描件，原件备查。</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53</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超滤净水器</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1.规格：φ143*948mm（±5);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2.材质：采用不锈钢；</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3.超滤净化水产量： 2500 升/小时(±10%）；</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4.水处理效果：微生物、菌落主要指标达到国家瓶装饮用水标准；</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5.工作压力：0.08~0.35mpa；</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54</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净水器接水管配件</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1.规格：现场度做；</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2.材质：pvc管制作；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3.接驳净水系统；</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4.连水阀开关；</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5.含人工安装；</w:t>
            </w:r>
          </w:p>
        </w:tc>
      </w:tr>
      <w:tr>
        <w:tblPrEx>
          <w:tblW w:w="5000" w:type="pct"/>
          <w:tblInd w:w="93" w:type="dxa"/>
          <w:tblLayout w:type="fixed"/>
          <w:tblCellMar>
            <w:top w:w="0" w:type="dxa"/>
            <w:left w:w="108" w:type="dxa"/>
            <w:bottom w:w="0" w:type="dxa"/>
            <w:right w:w="108" w:type="dxa"/>
          </w:tblCellMar>
        </w:tblPrEx>
        <w:trPr>
          <w:trHeight w:val="270"/>
        </w:trPr>
        <w:tc>
          <w:tcPr>
            <w:tcW w:w="765"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二</w:t>
            </w:r>
          </w:p>
        </w:tc>
        <w:tc>
          <w:tcPr>
            <w:tcW w:w="135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sz w:val="20"/>
                <w:szCs w:val="20"/>
                <w:lang w:eastAsia="zh-CN" w:bidi="ar"/>
              </w:rPr>
              <w:t>二楼厨房设备</w:t>
            </w:r>
          </w:p>
        </w:tc>
        <w:tc>
          <w:tcPr>
            <w:tcW w:w="6183" w:type="dxa"/>
            <w:tcBorders>
              <w:top w:val="single" w:sz="4" w:space="0" w:color="000000"/>
              <w:left w:val="single" w:sz="4" w:space="0" w:color="000000"/>
              <w:bottom w:val="single" w:sz="4" w:space="0" w:color="000000"/>
              <w:right w:val="single" w:sz="4" w:space="0" w:color="000000"/>
            </w:tcBorders>
            <w:noWrap w:val="0"/>
            <w:vAlign w:val="bottom"/>
          </w:tcPr>
          <w:p>
            <w:pPr>
              <w:jc w:val="center"/>
              <w:rPr>
                <w:rFonts w:ascii="宋体" w:eastAsia="宋体" w:hAnsi="宋体" w:cs="宋体" w:hint="eastAsia"/>
                <w:b/>
                <w:bCs/>
                <w:color w:val="000000"/>
                <w:sz w:val="20"/>
                <w:szCs w:val="20"/>
              </w:rPr>
            </w:pP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55</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开口柜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1.规格:500*700*800mm(±5%）；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 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3.台面板用壁厚 1.2(±5%)mm，不锈钢板；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4.层板、底板、侧板用 1.0(±5%)mm 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5.加强筋用壁厚 1.2(±5%)mm，不锈钢板；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6.Φ38mm(±5%)不锈钢可调脚；</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56</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四格售饭柜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1.规格:800*700*800mm(±5%）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3.台面板采用1.2(±5%)mm厚不锈钢板，侧板采用1.0mm(±5%)；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4.配按键式微电脑温控器；</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5.U型发热管一条藏于内胆U型水槽；</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6.电量3KW/220V；</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7.配置4个份数盆；</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57</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单星盆水池柜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1.规格:700*760*800+150mm(±5%）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3.台面板采用1.2mm(±5%)厚不锈钢板，侧板采用1.0mm(±5%)；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4.纱纹为拉丝磨砂板；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5.星盆斗一体冲压成型；</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6.加强筋用1.2mm(±5%)厚不锈钢板；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7.配可调子弹脚，配水龙头；</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58</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拖把池连洗手星</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1.规格:850*600*800+150mm(±5%）；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4.纱纹为拉丝磨砂板；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5.星盆斗一体冲压成型；</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6.加强筋用1.2mm(±5%)厚不锈钢板；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7.挡水背150mm(±5%)高；</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8.配可调子弹脚，配水龙头；</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59</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180双层平板工作台</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1.规格:1600*800*800+150mm(±5%）；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 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3.台面板采用壁厚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4.层板采用 1.0mm(±5%) 厚不锈钢板，距离地面150mm(±5%)；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5.加强筋用 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6.台脚采用壁厚 1.5mm(±5%)，宽 38x 高 38mm(均±5%)不锈钢方管；</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7.配可调子弹脚；</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60</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160双层墙架</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1.规格:1600*300*640mm(±5%）；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3.面板采用1.2mm(±5%)厚不锈钢板；1.2mm(±5%)厚码仔加硬；</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61</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200双层墙架</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1.规格:2000*300*640mm(±5%）；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3.面板采用1.2mm(±5%)厚不锈钢板；1.2mm(±5%)厚码仔加硬；</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62</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挂墙茜架</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1.规格:1410*500*300mm(±5%）；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3.面板采用1.2mm(±5%)厚不锈钢板；1.2mm(±5%)厚码仔加硬；</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63</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单门掩门柜带靠背</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1.规格：550*600*800+150mm(±5%）；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 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3.台面板用壁厚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4.层板、底板、侧板用 1.0mm(±5%) 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5.加强筋用壁厚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6.Φ38mm(±5%)不锈钢可调脚；</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64</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双星污碟台（右收残）</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1.规格:2100*800*800+150mm(±5%）；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4.纱纹为拉丝磨砂板；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5.星盆斗一体冲压成型；</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6.加强筋用1.2mm(±5%)厚不锈钢板；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7.挡水背150mm(±5%)高；</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8.配可调子弹脚，配水龙头；</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65</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洁碟台</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1.规格:1400*800*800+150mm(±5%）；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 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3.台面板采用壁厚 1.2mm(±5%)，不锈钢板；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4.层板采用 1.0mm(±5%)厚不锈钢板，距离地面 150mm(±5%)；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5.加强筋用 1.2mm(±5%)厚不锈钢板；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6.台脚采用壁厚 1.5mm(±5%)，宽38x高38mm(均±5%)不锈钢方管；</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7.配可调子弹脚；</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66</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105挡鼠板</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1.规格:1050*10*500mm(±5%）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3.面板用1.0mm(±5%)厚不锈钢板；二侧带插槽</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67</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方形抽气罩</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1.规格:1500*1000*500mm(±5%）;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3.面板采用1.0mm(±5%)厚不锈钢板；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68</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抽气链接风管</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1.规格:400*400mm(±5%）;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2.采用镀锌制作；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69</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方形油网烟罩</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1.规格:2800*1000*500mm(±5%）;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3.面板采用1.0mm(±5%)厚不锈钢板；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70</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1500风幕机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1.规格:1500L(±5%）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2.电压：220v，功率：1kw；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3.机器功能：隔热功能，防虫功能、防尘功能，隔异味功能</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71</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1200风幕机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1.规格:1200L(±5%）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2.电压：220v，功率：1kw；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3.机器功能：隔热功能，防虫功能、防尘功能，隔异味功能</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72</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煮面连汤炉</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1.规格:960*700*800mm(±5%）;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3.台面板采用1.2mm(±5%)厚不锈钢板，侧板采用1.0mm(±5%)；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4.带加热保温系统，含保护装置，功率：2*220v3kw；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5.保温内胆采用采用1.0mm不锈钢板；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73</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单头肠粉炉(无靠背)</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1.规格:560*700*800mm(±5%）;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2.采用304#不锈钢板制作；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3.台面板采用1.2(±5%)mm厚不锈钢板，侧板采用1.0(±5%)mm；</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4.带加热保温系统，含保护装置，功率：2*220v3kw；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5.保温内胆采用采用1.0mm不锈钢板；</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74</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双温平台雪柜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1.规格:1800*760*800mm(±5%）；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 220V  功率： 320w(±5%)；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3.温度范围(℃)：-12℃～-6℃/0℃～10℃；</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4.制冷方式：直冷；</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75</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单温高压花洒龙头</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1.规格:198*520*1050mm(±5%）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2.黄铜底座+伸缩钢丝软管+高压花洒喷头+不锈钢编织单温进水管等配件组成</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76</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通道式洗碗机</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1.规格:1300*780*1870mm(±5%）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2.机器配置：单缸双喷淋+漂洗消毒</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3.功率参数：整机功率≤48KW(380V/50Hz）；</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4.有效装载清洗宽度620mm(±5%)，高度420mm(±5%)；耗水量≤270L/h；</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 xml:space="preserve">5.水箱配置：强力清洗水箱+高温漂洗箱+导水循环即热高温水箱；                                                                                                                                                     </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6.清洗温度：主洗55-65℃，漂洗80-95℃，稳定恒温清洗模式；</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7.清洗数量：1500-2500件（6寸碟/小时）；</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8.材质选配：钢板、万向轮重力脚、紧固件、均采用国标A级304不锈钢、SYS316不锈钢三角翻边发热管；</w:t>
            </w:r>
          </w:p>
        </w:tc>
      </w:tr>
      <w:tr>
        <w:tblPrEx>
          <w:tblW w:w="5000" w:type="pct"/>
          <w:tblInd w:w="93" w:type="dxa"/>
          <w:tblLayout w:type="fixed"/>
          <w:tblCellMar>
            <w:top w:w="0" w:type="dxa"/>
            <w:left w:w="108" w:type="dxa"/>
            <w:bottom w:w="0" w:type="dxa"/>
            <w:right w:w="108" w:type="dxa"/>
          </w:tblCellMar>
        </w:tblPrEx>
        <w:trPr>
          <w:trHeight w:val="72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9.操作系统：触控式操作、数字显示实时温度，操作简单，机器运行状态一目了然，自动进水、自动补水、自动溢水、自动升温、开门停机等人性化功能提高了设备整体性能；</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10.传送功能：输送带清洗速度使用无极变频调速功能，适应清洗各材质餐具；</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11.节能装置：多组特定的红外光电感应开关，有效节水装置；</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12.外观设计：可视化设计，直观动态清洗，防止无效清洗可能；</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13.清洗结构特点：可拆卸式喷淋管便于清洗，整体水箱瀑布式回水结构，减少热水流失，</w:t>
            </w:r>
          </w:p>
        </w:tc>
      </w:tr>
      <w:tr>
        <w:tblPrEx>
          <w:tblW w:w="5000" w:type="pct"/>
          <w:tblInd w:w="93" w:type="dxa"/>
          <w:tblLayout w:type="fixed"/>
          <w:tblCellMar>
            <w:top w:w="0" w:type="dxa"/>
            <w:left w:w="108" w:type="dxa"/>
            <w:bottom w:w="0" w:type="dxa"/>
            <w:right w:w="108" w:type="dxa"/>
          </w:tblCellMar>
        </w:tblPrEx>
        <w:trPr>
          <w:trHeight w:val="4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14.电箱保护装置：电箱顶部双层设计，坚实耐用，有效隔热，防水，保障电箱安全；</w:t>
            </w:r>
          </w:p>
        </w:tc>
      </w:tr>
      <w:tr>
        <w:tblPrEx>
          <w:tblW w:w="5000" w:type="pct"/>
          <w:tblInd w:w="93" w:type="dxa"/>
          <w:tblLayout w:type="fixed"/>
          <w:tblCellMar>
            <w:top w:w="0" w:type="dxa"/>
            <w:left w:w="108" w:type="dxa"/>
            <w:bottom w:w="0" w:type="dxa"/>
            <w:right w:w="108" w:type="dxa"/>
          </w:tblCellMar>
        </w:tblPrEx>
        <w:trPr>
          <w:trHeight w:val="216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▲15.所投产品制造商管理体系符合GB/T19001-2016/IS09001:2015质量管理体系标准（该体系认证所覆盖的范围:商用洗碗机的研发、生产与销售），洗碗机智能电控箱通过GB/T 4208-2017 《外壳防护等级（IP 代码）》、GJB150.10A-2009 《军用装备实验室环境试验方法通用要求》的标准要求，智能电控箱IP6X 防尘试：验检测浮尘8h，内抽负压，内部无进尘。IPX7 防水试验：浸入23℃水中，距离水面 1m，试验持续时间≧30min，内部应无进水。外壳防护IP67,需同时提供认证证书及在全国认证认可信息公共服务平台（认e云）http://cx.cnca.cn网站查询有效的截图扫描件及具有CMA或CNAS标识的符合技术要求的检测报告扫描件、产品制造商出具的本项目授权书(格式自拟)。检测报告的生产企业需与分项报价清单产品一致，否则不得分。原件备查。</w:t>
            </w:r>
          </w:p>
        </w:tc>
      </w:tr>
      <w:tr>
        <w:tblPrEx>
          <w:tblW w:w="5000" w:type="pct"/>
          <w:tblInd w:w="93" w:type="dxa"/>
          <w:tblLayout w:type="fixed"/>
          <w:tblCellMar>
            <w:top w:w="0" w:type="dxa"/>
            <w:left w:w="108" w:type="dxa"/>
            <w:bottom w:w="0" w:type="dxa"/>
            <w:right w:w="108" w:type="dxa"/>
          </w:tblCellMar>
        </w:tblPrEx>
        <w:trPr>
          <w:trHeight w:val="16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▲16.所投产品制造商洗碗机电热管符合GB/T 2423.17-2008的检测标准，检测符合标准，洗碗机摆放方式呈倾斜25度，沉降盐液溶度值≦5%；沉降盐液PH值≦6.5；驻留时间≧230小时，测试后经检查，样品漆膜无气泡、生锈、脱落、点蚀、裂纹等现象，电热管完好，检验合格。检测报告的生产企业需与分项报价清单产品一致，需同时提供具有CMA或CNAS标识的符合技术要求的检测报告扫描件、产品制造商出具的本项目授权书(格式自拟)及在全国认证认可信息公共服务平台（认e云）http://cx.cnca.cn网站查询有效的截图。否则不得分，原件备查。</w:t>
            </w:r>
          </w:p>
        </w:tc>
      </w:tr>
      <w:tr>
        <w:tblPrEx>
          <w:tblW w:w="5000" w:type="pct"/>
          <w:tblInd w:w="93" w:type="dxa"/>
          <w:tblLayout w:type="fixed"/>
          <w:tblCellMar>
            <w:top w:w="0" w:type="dxa"/>
            <w:left w:w="108" w:type="dxa"/>
            <w:bottom w:w="0" w:type="dxa"/>
            <w:right w:w="108" w:type="dxa"/>
          </w:tblCellMar>
        </w:tblPrEx>
        <w:trPr>
          <w:trHeight w:val="168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▲16.所投产品制造商洗碗机符合GB/T26125-2011的的检测标准，检测符合要求，大肠埃希氏菌、金黄色葡萄球菌，除菌率及抗菌率检验结果为＞99.9%，洗碗机洗涤、干燥时的声功率级噪声不大于58dB(A 计权)，5.9 无故障运行时间，检测报告的生产企业需与分项报价清单产品一致，需同时提供具有CMA或CNAS标识的符合技术要求的检测报告扫描件、产品制造商出具的本项目授权书(格式自拟)及在全国认证认可信息公共服务平台（认e云）http://cx.cnca.cn网站查询有效的截图。否则不得分，原件备查。</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77</w:t>
            </w:r>
          </w:p>
        </w:tc>
        <w:tc>
          <w:tcPr>
            <w:tcW w:w="135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推车式热风循环（光波）消毒柜</w:t>
            </w: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1.规格：1440*670*1940mm(±5%）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2.电压：220V~38Hz 功率：4kW</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3.容量：900L(±5%)</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4.柜身选用  不锈钢砂板精工制作；</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5.硅胶门封；三边保温隔热；</w:t>
            </w:r>
          </w:p>
        </w:tc>
      </w:tr>
      <w:tr>
        <w:tblPrEx>
          <w:tblW w:w="5000" w:type="pct"/>
          <w:tblInd w:w="93" w:type="dxa"/>
          <w:tblLayout w:type="fixed"/>
          <w:tblCellMar>
            <w:top w:w="0" w:type="dxa"/>
            <w:left w:w="108" w:type="dxa"/>
            <w:bottom w:w="0" w:type="dxa"/>
            <w:right w:w="108" w:type="dxa"/>
          </w:tblCellMar>
        </w:tblPrEx>
        <w:trPr>
          <w:trHeight w:val="270"/>
        </w:trPr>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0"/>
                <w:szCs w:val="20"/>
              </w:rPr>
            </w:pPr>
          </w:p>
        </w:tc>
        <w:tc>
          <w:tcPr>
            <w:tcW w:w="6183"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lang w:eastAsia="zh-CN" w:bidi="ar"/>
              </w:rPr>
              <w:t>6.消毒方式：光波+循环式热风；</w:t>
            </w:r>
          </w:p>
        </w:tc>
      </w:tr>
    </w:tbl>
    <w:p>
      <w:pPr>
        <w:widowControl w:val="0"/>
        <w:numPr>
          <w:ilvl w:val="0"/>
          <w:numId w:val="0"/>
        </w:numPr>
        <w:ind w:left="0" w:firstLine="0"/>
        <w:jc w:val="both"/>
        <w:rPr>
          <w:rFonts w:ascii="宋体" w:eastAsia="宋体" w:hAnsi="Courier New" w:hint="eastAsia"/>
          <w:kern w:val="2"/>
          <w:sz w:val="21"/>
          <w:szCs w:val="20"/>
          <w:lang w:eastAsia="zh-CN"/>
        </w:rPr>
      </w:pPr>
    </w:p>
    <w:p>
      <w:pPr>
        <w:keepNext/>
        <w:keepLines/>
        <w:pageBreakBefore w:val="0"/>
        <w:widowControl w:val="0"/>
        <w:kinsoku/>
        <w:overflowPunct/>
        <w:topLinePunct w:val="0"/>
        <w:autoSpaceDE/>
        <w:autoSpaceDN/>
        <w:bidi w:val="0"/>
        <w:spacing w:before="260" w:beforeAutospacing="0" w:after="260" w:afterAutospacing="0" w:line="360" w:lineRule="auto"/>
        <w:ind w:left="0" w:right="0" w:firstLine="0" w:leftChars="0" w:firstLineChars="0"/>
        <w:jc w:val="left"/>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五、商务要求</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b/>
          <w:kern w:val="2"/>
          <w:sz w:val="21"/>
          <w:lang w:eastAsia="zh-CN"/>
        </w:rPr>
      </w:pPr>
      <w:r>
        <w:rPr>
          <w:rFonts w:ascii="宋体" w:eastAsia="宋体" w:hAnsi="宋体" w:cs="宋体" w:hint="eastAsia"/>
          <w:b/>
          <w:kern w:val="2"/>
          <w:sz w:val="21"/>
          <w:szCs w:val="21"/>
          <w:lang w:eastAsia="zh-CN"/>
        </w:rPr>
        <w:t>说明：</w:t>
      </w:r>
      <w:r>
        <w:rPr>
          <w:rFonts w:ascii="宋体" w:eastAsia="宋体" w:hAnsi="宋体" w:cs="宋体" w:hint="eastAsia"/>
          <w:b/>
          <w:kern w:val="2"/>
          <w:sz w:val="21"/>
          <w:lang w:eastAsia="zh-CN"/>
        </w:rPr>
        <w:t>1、评分时，如对一项招标商务要求（以划分框为准）中的内容存在两处（或以上）负偏离的，在评分时只作一项负偏离扣分。</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2、带“★”指标项为实质性条款，如出现负偏离，将被视为未实质性满足招标文件要求作投标无效处理；带“</w:t>
      </w:r>
      <w:r>
        <w:rPr>
          <w:rFonts w:ascii="宋体" w:eastAsia="宋体" w:hAnsi="宋体" w:cs="宋体" w:hint="eastAsia"/>
          <w:kern w:val="2"/>
          <w:sz w:val="21"/>
          <w:lang w:eastAsia="zh-CN"/>
        </w:rPr>
        <w:t>▲</w:t>
      </w:r>
      <w:r>
        <w:rPr>
          <w:rFonts w:ascii="宋体" w:eastAsia="宋体" w:hAnsi="宋体" w:cs="宋体" w:hint="eastAsia"/>
          <w:b/>
          <w:kern w:val="2"/>
          <w:sz w:val="21"/>
          <w:szCs w:val="21"/>
          <w:lang w:eastAsia="zh-CN"/>
        </w:rPr>
        <w:t>”指标项为重要参数，负偏离时依相关评分准则内容作重点扣分处理。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66"/>
        <w:gridCol w:w="1628"/>
        <w:gridCol w:w="5622"/>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260" w:type="dxa"/>
            <w:noWrap w:val="0"/>
            <w:vAlign w:val="center"/>
          </w:tcPr>
          <w:p>
            <w:pPr>
              <w:jc w:val="center"/>
              <w:rPr>
                <w:b/>
              </w:rPr>
            </w:pPr>
            <w:r>
              <w:rPr>
                <w:rFonts w:hint="eastAsia"/>
                <w:b/>
              </w:rPr>
              <w:t>序号</w:t>
            </w:r>
          </w:p>
        </w:tc>
        <w:tc>
          <w:tcPr>
            <w:tcW w:w="1620" w:type="dxa"/>
            <w:noWrap w:val="0"/>
            <w:vAlign w:val="center"/>
          </w:tcPr>
          <w:p>
            <w:pPr>
              <w:jc w:val="center"/>
              <w:rPr>
                <w:b/>
              </w:rPr>
            </w:pPr>
            <w:r>
              <w:rPr>
                <w:rFonts w:hint="eastAsia"/>
                <w:b/>
              </w:rPr>
              <w:t>目录</w:t>
            </w:r>
          </w:p>
        </w:tc>
        <w:tc>
          <w:tcPr>
            <w:tcW w:w="5594" w:type="dxa"/>
            <w:noWrap w:val="0"/>
            <w:vAlign w:val="center"/>
          </w:tcPr>
          <w:p>
            <w:pPr>
              <w:jc w:val="center"/>
              <w:rPr>
                <w:b/>
              </w:rPr>
            </w:pPr>
            <w:r>
              <w:rPr>
                <w:rFonts w:hint="eastAsia"/>
                <w:b/>
              </w:rPr>
              <w:t>采购商务需求</w:t>
            </w:r>
          </w:p>
        </w:tc>
      </w:tr>
      <w:tr>
        <w:tblPrEx>
          <w:tblW w:w="5000" w:type="pct"/>
          <w:tblInd w:w="108" w:type="dxa"/>
          <w:tblLayout w:type="fixed"/>
          <w:tblCellMar>
            <w:top w:w="0" w:type="dxa"/>
            <w:left w:w="108" w:type="dxa"/>
            <w:bottom w:w="0" w:type="dxa"/>
            <w:right w:w="108" w:type="dxa"/>
          </w:tblCellMar>
        </w:tblPrEx>
        <w:trPr>
          <w:trHeight w:val="280"/>
        </w:trPr>
        <w:tc>
          <w:tcPr>
            <w:tcW w:w="8474" w:type="dxa"/>
            <w:gridSpan w:val="3"/>
            <w:noWrap w:val="0"/>
            <w:vAlign w:val="top"/>
          </w:tcPr>
          <w:p>
            <w:pPr>
              <w:rPr>
                <w:b/>
              </w:rPr>
            </w:pPr>
            <w:r>
              <w:rPr>
                <w:rFonts w:hint="eastAsia"/>
                <w:b/>
              </w:rPr>
              <w:t>（一）免费保修期内售后服务要求</w:t>
            </w:r>
          </w:p>
        </w:tc>
      </w:tr>
      <w:tr>
        <w:tblPrEx>
          <w:tblW w:w="5000" w:type="pct"/>
          <w:tblInd w:w="108" w:type="dxa"/>
          <w:tblLayout w:type="fixed"/>
          <w:tblCellMar>
            <w:top w:w="0" w:type="dxa"/>
            <w:left w:w="108" w:type="dxa"/>
            <w:bottom w:w="0" w:type="dxa"/>
            <w:right w:w="108" w:type="dxa"/>
          </w:tblCellMar>
        </w:tblPrEx>
        <w:trPr>
          <w:trHeight w:val="150"/>
        </w:trPr>
        <w:tc>
          <w:tcPr>
            <w:tcW w:w="1260" w:type="dxa"/>
            <w:noWrap w:val="0"/>
            <w:vAlign w:val="center"/>
          </w:tcPr>
          <w:p>
            <w:pPr>
              <w:jc w:val="center"/>
              <w:rPr>
                <w:b/>
              </w:rPr>
            </w:pPr>
            <w:r>
              <w:rPr>
                <w:rFonts w:hint="eastAsia"/>
                <w:b/>
              </w:rPr>
              <w:t>1</w:t>
            </w:r>
          </w:p>
        </w:tc>
        <w:tc>
          <w:tcPr>
            <w:tcW w:w="1620" w:type="dxa"/>
            <w:noWrap w:val="0"/>
            <w:vAlign w:val="center"/>
          </w:tcPr>
          <w:p>
            <w:r>
              <w:rPr>
                <w:rFonts w:hint="eastAsia"/>
              </w:rPr>
              <w:t>免费保修期</w:t>
            </w:r>
          </w:p>
        </w:tc>
        <w:tc>
          <w:tcPr>
            <w:tcW w:w="5594" w:type="dxa"/>
            <w:noWrap w:val="0"/>
            <w:vAlign w:val="top"/>
          </w:tcPr>
          <w:p>
            <w:pPr>
              <w:rPr>
                <w:b/>
              </w:rPr>
            </w:pPr>
            <w:r>
              <w:rPr>
                <w:rFonts w:ascii="宋体" w:hAnsi="宋体" w:cs="宋体" w:hint="eastAsia"/>
                <w:szCs w:val="21"/>
              </w:rPr>
              <w:t>★</w:t>
            </w:r>
            <w:r>
              <w:rPr>
                <w:rFonts w:hint="eastAsia"/>
                <w:bCs/>
                <w:szCs w:val="21"/>
              </w:rPr>
              <w:t>货物免费保修期至少_</w:t>
            </w:r>
            <w:r>
              <w:rPr>
                <w:rFonts w:hint="eastAsia"/>
                <w:bCs/>
                <w:szCs w:val="21"/>
                <w:u w:val="single"/>
                <w:lang w:eastAsia="zh-CN"/>
              </w:rPr>
              <w:t>3</w:t>
            </w:r>
            <w:r>
              <w:rPr>
                <w:rFonts w:hint="eastAsia"/>
                <w:bCs/>
                <w:szCs w:val="21"/>
              </w:rPr>
              <w:t>_年，时间自最终验收合格并交付使用之日起计算。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320"/>
        </w:trPr>
        <w:tc>
          <w:tcPr>
            <w:tcW w:w="1260" w:type="dxa"/>
            <w:noWrap w:val="0"/>
            <w:vAlign w:val="center"/>
          </w:tcPr>
          <w:p>
            <w:pPr>
              <w:jc w:val="center"/>
              <w:rPr>
                <w:b/>
              </w:rPr>
            </w:pPr>
            <w:r>
              <w:rPr>
                <w:rFonts w:hint="eastAsia"/>
                <w:b/>
              </w:rPr>
              <w:t>2</w:t>
            </w:r>
          </w:p>
        </w:tc>
        <w:tc>
          <w:tcPr>
            <w:tcW w:w="1620" w:type="dxa"/>
            <w:noWrap w:val="0"/>
            <w:vAlign w:val="top"/>
          </w:tcPr>
          <w:p>
            <w:r>
              <w:rPr>
                <w:rFonts w:hint="eastAsia"/>
              </w:rPr>
              <w:t>维修响应及故障解决时间</w:t>
            </w:r>
          </w:p>
        </w:tc>
        <w:tc>
          <w:tcPr>
            <w:tcW w:w="5594" w:type="dxa"/>
            <w:noWrap w:val="0"/>
            <w:vAlign w:val="top"/>
          </w:tcPr>
          <w:p>
            <w:pPr>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tblPrEx>
          <w:tblW w:w="5000" w:type="pct"/>
          <w:tblInd w:w="108" w:type="dxa"/>
          <w:tblLayout w:type="fixed"/>
          <w:tblCellMar>
            <w:top w:w="0" w:type="dxa"/>
            <w:left w:w="108" w:type="dxa"/>
            <w:bottom w:w="0" w:type="dxa"/>
            <w:right w:w="108" w:type="dxa"/>
          </w:tblCellMar>
        </w:tblPrEx>
        <w:trPr>
          <w:trHeight w:val="523"/>
        </w:trPr>
        <w:tc>
          <w:tcPr>
            <w:tcW w:w="1260" w:type="dxa"/>
            <w:noWrap w:val="0"/>
            <w:vAlign w:val="center"/>
          </w:tcPr>
          <w:p>
            <w:pPr>
              <w:jc w:val="center"/>
              <w:rPr>
                <w:b/>
              </w:rPr>
            </w:pPr>
            <w:r>
              <w:rPr>
                <w:rFonts w:hint="eastAsia"/>
                <w:b/>
                <w:lang w:eastAsia="zh-CN"/>
              </w:rPr>
              <w:t>3</w:t>
            </w:r>
          </w:p>
        </w:tc>
        <w:tc>
          <w:tcPr>
            <w:tcW w:w="1620" w:type="dxa"/>
            <w:noWrap w:val="0"/>
            <w:vAlign w:val="center"/>
          </w:tcPr>
          <w:p>
            <w:pPr>
              <w:rPr>
                <w:b/>
              </w:rPr>
            </w:pPr>
            <w:r>
              <w:rPr>
                <w:rFonts w:hint="eastAsia"/>
              </w:rPr>
              <w:t>其他</w:t>
            </w:r>
          </w:p>
        </w:tc>
        <w:tc>
          <w:tcPr>
            <w:tcW w:w="5594" w:type="dxa"/>
            <w:noWrap w:val="0"/>
            <w:vAlign w:val="center"/>
          </w:tcPr>
          <w:p>
            <w:pPr>
              <w:rPr>
                <w:b/>
              </w:rPr>
            </w:pPr>
            <w:r>
              <w:rPr>
                <w:rFonts w:hint="eastAsia"/>
                <w:bCs/>
                <w:szCs w:val="21"/>
                <w:lang w:eastAsia="zh-CN"/>
              </w:rPr>
              <w:t>投标人中标后，</w:t>
            </w:r>
            <w:r>
              <w:rPr>
                <w:rFonts w:hint="eastAsia"/>
                <w:bCs/>
                <w:szCs w:val="21"/>
              </w:rPr>
              <w:t>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350"/>
        </w:trPr>
        <w:tc>
          <w:tcPr>
            <w:tcW w:w="8474" w:type="dxa"/>
            <w:gridSpan w:val="3"/>
            <w:noWrap w:val="0"/>
            <w:vAlign w:val="top"/>
          </w:tcPr>
          <w:p>
            <w:pPr>
              <w:rPr>
                <w:b/>
              </w:rPr>
            </w:pPr>
            <w:r>
              <w:rPr>
                <w:rFonts w:hint="eastAsia"/>
                <w:b/>
              </w:rPr>
              <w:t>（</w:t>
            </w:r>
            <w:r>
              <w:rPr>
                <w:rFonts w:hint="eastAsia"/>
                <w:b/>
                <w:lang w:eastAsia="zh-CN"/>
              </w:rPr>
              <w:t>二</w:t>
            </w:r>
            <w:r>
              <w:rPr>
                <w:rFonts w:hint="eastAsia"/>
                <w:b/>
              </w:rPr>
              <w:t>）其他商务要求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b/>
              </w:rPr>
            </w:pPr>
            <w:r>
              <w:rPr>
                <w:rFonts w:hint="eastAsia"/>
                <w:b/>
              </w:rPr>
              <w:t>1</w:t>
            </w:r>
          </w:p>
        </w:tc>
        <w:tc>
          <w:tcPr>
            <w:tcW w:w="1620" w:type="dxa"/>
            <w:vMerge w:val="restart"/>
            <w:noWrap w:val="0"/>
            <w:vAlign w:val="center"/>
          </w:tcPr>
          <w:p>
            <w:pPr>
              <w:jc w:val="center"/>
            </w:pPr>
            <w:r>
              <w:rPr>
                <w:rFonts w:hint="eastAsia"/>
              </w:rPr>
              <w:t>关于交货</w:t>
            </w:r>
          </w:p>
        </w:tc>
        <w:tc>
          <w:tcPr>
            <w:tcW w:w="5594" w:type="dxa"/>
            <w:noWrap w:val="0"/>
            <w:vAlign w:val="top"/>
          </w:tcPr>
          <w:p>
            <w:pPr>
              <w:rPr>
                <w:b/>
              </w:rPr>
            </w:pPr>
            <w:r>
              <w:rPr>
                <w:rFonts w:hint="eastAsia"/>
                <w:bCs/>
                <w:szCs w:val="21"/>
              </w:rPr>
              <w:t>1.1</w:t>
            </w:r>
            <w:r>
              <w:rPr>
                <w:rFonts w:ascii="宋体" w:hAnsi="宋体" w:cs="宋体" w:hint="eastAsia"/>
                <w:szCs w:val="21"/>
              </w:rPr>
              <w:t>★</w:t>
            </w:r>
            <w:r>
              <w:rPr>
                <w:rFonts w:hint="eastAsia"/>
                <w:bCs/>
                <w:szCs w:val="21"/>
              </w:rPr>
              <w:t>签订合同后</w:t>
            </w:r>
            <w:r>
              <w:rPr>
                <w:rFonts w:hint="eastAsia"/>
                <w:bCs/>
                <w:szCs w:val="21"/>
                <w:u w:val="single"/>
                <w:lang w:eastAsia="zh-CN"/>
              </w:rPr>
              <w:t>25</w:t>
            </w:r>
            <w:r>
              <w:rPr>
                <w:rFonts w:hint="eastAsia"/>
                <w:bCs/>
                <w:szCs w:val="21"/>
              </w:rPr>
              <w:t>天（日历日）内。</w:t>
            </w:r>
          </w:p>
        </w:tc>
      </w:tr>
      <w:tr>
        <w:tblPrEx>
          <w:tblW w:w="5000" w:type="pct"/>
          <w:tblInd w:w="108" w:type="dxa"/>
          <w:tblLayout w:type="fixed"/>
          <w:tblCellMar>
            <w:top w:w="0" w:type="dxa"/>
            <w:left w:w="108" w:type="dxa"/>
            <w:bottom w:w="0" w:type="dxa"/>
            <w:right w:w="108" w:type="dxa"/>
          </w:tblCellMar>
        </w:tblPrEx>
        <w:trPr>
          <w:trHeight w:val="451"/>
        </w:trPr>
        <w:tc>
          <w:tcPr>
            <w:tcW w:w="1260" w:type="dxa"/>
            <w:vMerge/>
            <w:noWrap w:val="0"/>
            <w:vAlign w:val="center"/>
          </w:tcPr>
          <w:p>
            <w:pPr>
              <w:jc w:val="center"/>
              <w:rPr>
                <w:b/>
              </w:rPr>
            </w:pPr>
          </w:p>
        </w:tc>
        <w:tc>
          <w:tcPr>
            <w:tcW w:w="1620" w:type="dxa"/>
            <w:vMerge/>
            <w:noWrap w:val="0"/>
            <w:vAlign w:val="center"/>
          </w:tcPr>
          <w:p>
            <w:pPr>
              <w:jc w:val="center"/>
            </w:pPr>
          </w:p>
        </w:tc>
        <w:tc>
          <w:tcPr>
            <w:tcW w:w="5594" w:type="dxa"/>
            <w:noWrap w:val="0"/>
            <w:vAlign w:val="top"/>
          </w:tcPr>
          <w:p>
            <w:pPr>
              <w:rPr>
                <w:bCs/>
                <w:szCs w:val="21"/>
              </w:rPr>
            </w:pPr>
            <w:r>
              <w:rPr>
                <w:rFonts w:hint="eastAsia"/>
                <w:bCs/>
                <w:szCs w:val="21"/>
              </w:rPr>
              <w:t>1.2</w:t>
            </w:r>
            <w:r>
              <w:rPr>
                <w:rFonts w:hint="eastAsia"/>
                <w:bCs/>
                <w:szCs w:val="21"/>
                <w:lang w:eastAsia="zh-CN"/>
              </w:rPr>
              <w:t>投标人中标后，</w:t>
            </w:r>
            <w:r>
              <w:rPr>
                <w:rFonts w:hint="eastAsia"/>
                <w:bCs/>
                <w:szCs w:val="21"/>
              </w:rPr>
              <w:t>必须承担设备运输、安装调试、验收检测和提供设备操作说明书、图纸等其他类似的义务。</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b/>
              </w:rPr>
            </w:pPr>
            <w:r>
              <w:rPr>
                <w:rFonts w:hint="eastAsia"/>
                <w:b/>
              </w:rPr>
              <w:t>2</w:t>
            </w:r>
          </w:p>
        </w:tc>
        <w:tc>
          <w:tcPr>
            <w:tcW w:w="1620" w:type="dxa"/>
            <w:vMerge w:val="restart"/>
            <w:noWrap w:val="0"/>
            <w:vAlign w:val="center"/>
          </w:tcPr>
          <w:p>
            <w:pPr>
              <w:jc w:val="center"/>
            </w:pPr>
            <w:r>
              <w:rPr>
                <w:rFonts w:hint="eastAsia"/>
              </w:rPr>
              <w:t>关于验收</w:t>
            </w:r>
          </w:p>
        </w:tc>
        <w:tc>
          <w:tcPr>
            <w:tcW w:w="5594" w:type="dxa"/>
            <w:noWrap w:val="0"/>
            <w:vAlign w:val="top"/>
          </w:tcPr>
          <w:p>
            <w:pPr>
              <w:spacing w:line="340" w:lineRule="exact"/>
              <w:rPr>
                <w:bCs/>
                <w:szCs w:val="21"/>
              </w:rPr>
            </w:pPr>
            <w:r>
              <w:rPr>
                <w:rFonts w:hint="eastAsia"/>
                <w:bCs/>
                <w:szCs w:val="21"/>
              </w:rPr>
              <w:t>2.1</w:t>
            </w:r>
            <w:r>
              <w:rPr>
                <w:rFonts w:hint="eastAsia"/>
                <w:bCs/>
                <w:szCs w:val="21"/>
                <w:lang w:eastAsia="zh-CN"/>
              </w:rPr>
              <w:t>投标人中标后，其</w:t>
            </w:r>
            <w:r>
              <w:rPr>
                <w:rFonts w:hint="eastAsia"/>
                <w:bCs/>
                <w:szCs w:val="21"/>
              </w:rPr>
              <w:t>货物经过双方检验认可后，签署验收报告，产品保修期自验收合格之日起算，由</w:t>
            </w:r>
            <w:r>
              <w:rPr>
                <w:rFonts w:hint="eastAsia"/>
                <w:bCs/>
                <w:szCs w:val="21"/>
                <w:lang w:eastAsia="zh-CN"/>
              </w:rPr>
              <w:t>投标人</w:t>
            </w:r>
            <w:r>
              <w:rPr>
                <w:rFonts w:hint="eastAsia"/>
                <w:bCs/>
                <w:szCs w:val="21"/>
              </w:rPr>
              <w:t>提供产品保修文件。</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b/>
              </w:rPr>
            </w:pPr>
          </w:p>
        </w:tc>
        <w:tc>
          <w:tcPr>
            <w:tcW w:w="1620" w:type="dxa"/>
            <w:vMerge/>
            <w:noWrap w:val="0"/>
            <w:vAlign w:val="top"/>
          </w:tcPr>
          <w:p>
            <w:pPr>
              <w:rPr>
                <w:b/>
              </w:rPr>
            </w:pPr>
          </w:p>
        </w:tc>
        <w:tc>
          <w:tcPr>
            <w:tcW w:w="5594" w:type="dxa"/>
            <w:noWrap w:val="0"/>
            <w:vAlign w:val="top"/>
          </w:tcPr>
          <w:p>
            <w:pPr>
              <w:spacing w:line="340" w:lineRule="exact"/>
              <w:rPr>
                <w:bCs/>
                <w:szCs w:val="21"/>
              </w:rPr>
            </w:pPr>
            <w:r>
              <w:rPr>
                <w:rFonts w:hint="eastAsia"/>
                <w:bCs/>
                <w:szCs w:val="21"/>
              </w:rPr>
              <w:t>2.2</w:t>
            </w:r>
            <w:r>
              <w:rPr>
                <w:rFonts w:hint="eastAsia"/>
                <w:bCs/>
                <w:szCs w:val="21"/>
                <w:lang w:eastAsia="zh-CN"/>
              </w:rPr>
              <w:t>投标人中标后，</w:t>
            </w:r>
            <w:r>
              <w:rPr>
                <w:rFonts w:hint="eastAsia"/>
                <w:bCs/>
                <w:szCs w:val="21"/>
              </w:rPr>
              <w:t>当满足以下条件时，采购人才向</w:t>
            </w:r>
            <w:r>
              <w:rPr>
                <w:rFonts w:hint="eastAsia"/>
                <w:bCs/>
                <w:szCs w:val="21"/>
                <w:lang w:eastAsia="zh-CN"/>
              </w:rPr>
              <w:t>投标人</w:t>
            </w:r>
            <w:r>
              <w:rPr>
                <w:rFonts w:hint="eastAsia"/>
                <w:bCs/>
                <w:szCs w:val="21"/>
              </w:rPr>
              <w:t>签发货物验收报告：</w:t>
            </w:r>
          </w:p>
          <w:p>
            <w:pPr>
              <w:tabs>
                <w:tab w:val="left" w:pos="1260"/>
              </w:tabs>
              <w:spacing w:line="340" w:lineRule="exact"/>
              <w:rPr>
                <w:bCs/>
                <w:szCs w:val="21"/>
              </w:rPr>
            </w:pPr>
            <w:r>
              <w:rPr>
                <w:bCs/>
                <w:szCs w:val="21"/>
              </w:rPr>
              <w:t>a</w:t>
            </w:r>
            <w:r>
              <w:rPr>
                <w:rFonts w:hint="eastAsia"/>
                <w:bCs/>
                <w:szCs w:val="21"/>
              </w:rPr>
              <w:t>、</w:t>
            </w:r>
            <w:r>
              <w:rPr>
                <w:rFonts w:hint="eastAsia"/>
                <w:bCs/>
                <w:szCs w:val="21"/>
                <w:lang w:eastAsia="zh-CN"/>
              </w:rPr>
              <w:t>投标人</w:t>
            </w:r>
            <w:r>
              <w:rPr>
                <w:rFonts w:hint="eastAsia"/>
                <w:bCs/>
                <w:szCs w:val="21"/>
              </w:rPr>
              <w:t>已按照合同规定提供了全部产品及完整的技术资料。</w:t>
            </w:r>
          </w:p>
          <w:p>
            <w:pPr>
              <w:tabs>
                <w:tab w:val="left" w:pos="1260"/>
              </w:tabs>
              <w:spacing w:line="340" w:lineRule="exact"/>
              <w:rPr>
                <w:bCs/>
                <w:szCs w:val="21"/>
              </w:rPr>
            </w:pPr>
            <w:r>
              <w:rPr>
                <w:bCs/>
                <w:szCs w:val="21"/>
              </w:rPr>
              <w:t>b</w:t>
            </w:r>
            <w:r>
              <w:rPr>
                <w:rFonts w:hint="eastAsia"/>
                <w:bCs/>
                <w:szCs w:val="21"/>
              </w:rPr>
              <w:t>、</w:t>
            </w:r>
            <w:r>
              <w:rPr>
                <w:rFonts w:hint="eastAsia"/>
                <w:bCs/>
                <w:szCs w:val="21"/>
              </w:rPr>
              <w:t>货物符合采购文件技术规格书的要求，性能满足要求。</w:t>
            </w:r>
          </w:p>
          <w:p>
            <w:pPr>
              <w:tabs>
                <w:tab w:val="left" w:pos="1260"/>
              </w:tabs>
              <w:spacing w:line="340" w:lineRule="exact"/>
              <w:rPr>
                <w:bCs/>
                <w:szCs w:val="21"/>
              </w:rPr>
            </w:pPr>
            <w:r>
              <w:rPr>
                <w:bCs/>
                <w:szCs w:val="21"/>
              </w:rPr>
              <w:t>c</w:t>
            </w:r>
            <w:r>
              <w:rPr>
                <w:rFonts w:hint="eastAsia"/>
                <w:bCs/>
                <w:szCs w:val="21"/>
              </w:rPr>
              <w:t>、</w:t>
            </w:r>
            <w:r>
              <w:rPr>
                <w:rFonts w:hint="eastAsia"/>
                <w:bCs/>
                <w:szCs w:val="21"/>
              </w:rPr>
              <w:t>货物具备产品合格证。</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hint="eastAsia"/>
                <w:bCs/>
              </w:rPr>
            </w:pPr>
            <w:r>
              <w:rPr>
                <w:rFonts w:hint="eastAsia"/>
                <w:bCs/>
              </w:rPr>
              <w:t>3</w:t>
            </w:r>
          </w:p>
        </w:tc>
        <w:tc>
          <w:tcPr>
            <w:tcW w:w="1620" w:type="dxa"/>
            <w:vMerge w:val="restart"/>
            <w:noWrap w:val="0"/>
            <w:vAlign w:val="center"/>
          </w:tcPr>
          <w:p>
            <w:pPr>
              <w:jc w:val="center"/>
              <w:rPr>
                <w:rFonts w:hint="eastAsia"/>
                <w:bCs/>
              </w:rPr>
            </w:pPr>
            <w:r>
              <w:rPr>
                <w:rFonts w:hint="eastAsia"/>
                <w:bCs/>
              </w:rPr>
              <w:t>违约责任</w:t>
            </w:r>
          </w:p>
        </w:tc>
        <w:tc>
          <w:tcPr>
            <w:tcW w:w="5594" w:type="dxa"/>
            <w:noWrap w:val="0"/>
            <w:vAlign w:val="top"/>
          </w:tcPr>
          <w:p>
            <w:pPr>
              <w:spacing w:line="340" w:lineRule="exact"/>
              <w:rPr>
                <w:rFonts w:ascii="宋体" w:hAnsi="宋体" w:cs="宋体" w:hint="eastAsia"/>
                <w:bCs/>
                <w:szCs w:val="21"/>
              </w:rPr>
            </w:pPr>
            <w:r>
              <w:rPr>
                <w:rFonts w:hint="eastAsia"/>
              </w:rPr>
              <w:t>3.1如</w:t>
            </w:r>
            <w:r>
              <w:rPr>
                <w:rFonts w:hint="eastAsia"/>
                <w:bCs/>
                <w:szCs w:val="21"/>
                <w:lang w:eastAsia="zh-CN"/>
              </w:rPr>
              <w:t>投标人中标后</w:t>
            </w:r>
            <w:r>
              <w:rPr>
                <w:rFonts w:hint="eastAsia"/>
              </w:rPr>
              <w:t>未按照投标文件中承诺的时间交货或提供服务，</w:t>
            </w:r>
            <w:r>
              <w:rPr>
                <w:rFonts w:hint="eastAsia"/>
                <w:bCs/>
                <w:szCs w:val="21"/>
                <w:lang w:eastAsia="zh-CN"/>
              </w:rPr>
              <w:t>投标人</w:t>
            </w:r>
            <w:r>
              <w:rPr>
                <w:rFonts w:hint="eastAsia"/>
              </w:rPr>
              <w:t>应承担延期交货和延期服务的违约责任，并赔偿采购人因此造成的实际经济损失，采购人有权终止合同。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hint="eastAsia"/>
                <w:bCs/>
              </w:rPr>
            </w:pPr>
          </w:p>
        </w:tc>
        <w:tc>
          <w:tcPr>
            <w:tcW w:w="1620" w:type="dxa"/>
            <w:vMerge/>
            <w:noWrap w:val="0"/>
            <w:vAlign w:val="center"/>
          </w:tcPr>
          <w:p>
            <w:pPr>
              <w:jc w:val="center"/>
              <w:rPr>
                <w:rFonts w:hint="eastAsia"/>
                <w:bCs/>
              </w:rPr>
            </w:pPr>
          </w:p>
        </w:tc>
        <w:tc>
          <w:tcPr>
            <w:tcW w:w="5594" w:type="dxa"/>
            <w:noWrap w:val="0"/>
            <w:vAlign w:val="top"/>
          </w:tcPr>
          <w:p>
            <w:pPr>
              <w:spacing w:line="340" w:lineRule="exact"/>
              <w:rPr>
                <w:rFonts w:ascii="宋体" w:hAnsi="宋体" w:cs="宋体" w:hint="eastAsia"/>
                <w:bCs/>
                <w:szCs w:val="21"/>
              </w:rPr>
            </w:pPr>
            <w:r>
              <w:rPr>
                <w:rFonts w:ascii="宋体" w:hAnsi="宋体" w:cs="宋体" w:hint="eastAsia"/>
                <w:bCs/>
                <w:szCs w:val="21"/>
              </w:rPr>
              <w:t>3.2</w:t>
            </w:r>
            <w:r>
              <w:rPr>
                <w:rFonts w:hint="eastAsia"/>
                <w:bCs/>
                <w:szCs w:val="21"/>
                <w:lang w:eastAsia="zh-CN"/>
              </w:rPr>
              <w:t>投标人中标后</w:t>
            </w:r>
            <w:r>
              <w:rPr>
                <w:rFonts w:ascii="宋体" w:hAnsi="宋体" w:cs="宋体" w:hint="eastAsia"/>
                <w:bCs/>
                <w:szCs w:val="21"/>
              </w:rPr>
              <w:t>所交设备的品种、型号、规格、质量、功能、技术参数等方面不能实质性满足采购文件要求的，采购人有权拒绝收货，</w:t>
            </w:r>
            <w:r>
              <w:rPr>
                <w:rFonts w:hint="eastAsia"/>
                <w:bCs/>
                <w:szCs w:val="21"/>
                <w:lang w:eastAsia="zh-CN"/>
              </w:rPr>
              <w:t>投标人</w:t>
            </w:r>
            <w:r>
              <w:rPr>
                <w:rFonts w:ascii="宋体" w:hAnsi="宋体" w:cs="宋体" w:hint="eastAsia"/>
                <w:bCs/>
                <w:szCs w:val="21"/>
              </w:rPr>
              <w:t>向采购人偿付项目采购金额</w:t>
            </w:r>
            <w:r>
              <w:rPr>
                <w:rFonts w:ascii="宋体" w:hAnsi="宋体" w:cs="宋体" w:hint="eastAsia"/>
                <w:bCs/>
                <w:szCs w:val="21"/>
                <w:highlight w:val="yellow"/>
              </w:rPr>
              <w:t>【</w:t>
            </w:r>
            <w:r>
              <w:rPr>
                <w:rFonts w:ascii="宋体" w:hAnsi="宋体" w:cs="宋体" w:hint="eastAsia"/>
                <w:bCs/>
                <w:szCs w:val="21"/>
                <w:highlight w:val="yellow"/>
                <w:lang w:eastAsia="zh-CN"/>
              </w:rPr>
              <w:t>20</w:t>
            </w:r>
            <w:r>
              <w:rPr>
                <w:rFonts w:ascii="宋体" w:hAnsi="宋体" w:cs="宋体" w:hint="eastAsia"/>
                <w:bCs/>
                <w:szCs w:val="21"/>
                <w:highlight w:val="yellow"/>
              </w:rPr>
              <w:t xml:space="preserve">】% </w:t>
            </w:r>
            <w:r>
              <w:rPr>
                <w:rFonts w:ascii="宋体" w:hAnsi="宋体" w:cs="宋体" w:hint="eastAsia"/>
                <w:bCs/>
                <w:szCs w:val="21"/>
              </w:rPr>
              <w:t>的违约金</w:t>
            </w:r>
            <w:r>
              <w:rPr>
                <w:rFonts w:ascii="宋体" w:hAnsi="宋体" w:cs="宋体" w:hint="eastAsia"/>
                <w:bCs/>
                <w:szCs w:val="21"/>
                <w:lang w:eastAsia="zh-CN"/>
              </w:rPr>
              <w:t>并采取更换、补足等补救措施，致使逾期交付的，还应承担逾期交付的违约责任</w:t>
            </w:r>
            <w:r>
              <w:rPr>
                <w:rFonts w:ascii="宋体" w:hAnsi="宋体" w:cs="宋体" w:hint="eastAsia"/>
                <w:bCs/>
                <w:szCs w:val="21"/>
              </w:rPr>
              <w:t xml:space="preserve">。 </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hint="eastAsia"/>
                <w:bCs/>
              </w:rPr>
            </w:pPr>
          </w:p>
        </w:tc>
        <w:tc>
          <w:tcPr>
            <w:tcW w:w="1620" w:type="dxa"/>
            <w:vMerge/>
            <w:noWrap w:val="0"/>
            <w:vAlign w:val="center"/>
          </w:tcPr>
          <w:p>
            <w:pPr>
              <w:jc w:val="center"/>
              <w:rPr>
                <w:rFonts w:hint="eastAsia"/>
                <w:bCs/>
              </w:rPr>
            </w:pPr>
          </w:p>
        </w:tc>
        <w:tc>
          <w:tcPr>
            <w:tcW w:w="5594" w:type="dxa"/>
            <w:noWrap w:val="0"/>
            <w:vAlign w:val="top"/>
          </w:tcPr>
          <w:p>
            <w:pPr>
              <w:spacing w:line="340" w:lineRule="exact"/>
              <w:rPr>
                <w:rFonts w:ascii="宋体" w:hAnsi="宋体" w:cs="宋体" w:hint="eastAsia"/>
                <w:bCs/>
                <w:szCs w:val="21"/>
              </w:rPr>
            </w:pPr>
            <w:r>
              <w:rPr>
                <w:rFonts w:ascii="宋体" w:hAnsi="宋体" w:cs="宋体" w:hint="eastAsia"/>
                <w:bCs/>
                <w:szCs w:val="21"/>
              </w:rPr>
              <w:t>3.3</w:t>
            </w:r>
            <w:r>
              <w:rPr>
                <w:rFonts w:hint="eastAsia"/>
                <w:bCs/>
                <w:szCs w:val="21"/>
                <w:lang w:eastAsia="zh-CN"/>
              </w:rPr>
              <w:t>投标人中标后</w:t>
            </w:r>
            <w:r>
              <w:rPr>
                <w:rFonts w:ascii="宋体" w:hAnsi="宋体" w:cs="宋体" w:hint="eastAsia"/>
                <w:bCs/>
                <w:szCs w:val="21"/>
              </w:rPr>
              <w:t>不能交付设备的，</w:t>
            </w:r>
            <w:r>
              <w:rPr>
                <w:rFonts w:hint="eastAsia"/>
                <w:bCs/>
                <w:szCs w:val="21"/>
                <w:lang w:eastAsia="zh-CN"/>
              </w:rPr>
              <w:t>投标人</w:t>
            </w:r>
            <w:r>
              <w:rPr>
                <w:rFonts w:ascii="宋体" w:hAnsi="宋体" w:cs="宋体" w:hint="eastAsia"/>
                <w:bCs/>
                <w:szCs w:val="21"/>
              </w:rPr>
              <w:t>向采购人偿付项目采购金额</w:t>
            </w:r>
            <w:r>
              <w:rPr>
                <w:rFonts w:ascii="宋体" w:hAnsi="宋体" w:cs="宋体" w:hint="eastAsia"/>
                <w:bCs/>
                <w:szCs w:val="21"/>
                <w:highlight w:val="yellow"/>
              </w:rPr>
              <w:t>【</w:t>
            </w:r>
            <w:r>
              <w:rPr>
                <w:rFonts w:ascii="宋体" w:hAnsi="宋体" w:cs="宋体" w:hint="eastAsia"/>
                <w:bCs/>
                <w:szCs w:val="21"/>
                <w:highlight w:val="yellow"/>
                <w:lang w:eastAsia="zh-CN"/>
              </w:rPr>
              <w:t>20</w:t>
            </w:r>
            <w:r>
              <w:rPr>
                <w:rFonts w:ascii="宋体" w:hAnsi="宋体" w:cs="宋体" w:hint="eastAsia"/>
                <w:bCs/>
                <w:szCs w:val="21"/>
                <w:highlight w:val="yellow"/>
              </w:rPr>
              <w:t>】%</w:t>
            </w:r>
            <w:r>
              <w:rPr>
                <w:rFonts w:ascii="宋体" w:hAnsi="宋体" w:cs="宋体" w:hint="eastAsia"/>
                <w:bCs/>
                <w:szCs w:val="21"/>
              </w:rPr>
              <w:t>的违约金。</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hint="eastAsia"/>
                <w:bCs/>
              </w:rPr>
            </w:pPr>
          </w:p>
        </w:tc>
        <w:tc>
          <w:tcPr>
            <w:tcW w:w="1620" w:type="dxa"/>
            <w:vMerge/>
            <w:noWrap w:val="0"/>
            <w:vAlign w:val="top"/>
          </w:tcPr>
          <w:p>
            <w:pPr>
              <w:rPr>
                <w:rFonts w:hint="eastAsia"/>
                <w:bCs/>
              </w:rPr>
            </w:pPr>
          </w:p>
        </w:tc>
        <w:tc>
          <w:tcPr>
            <w:tcW w:w="5594" w:type="dxa"/>
            <w:noWrap w:val="0"/>
            <w:vAlign w:val="top"/>
          </w:tcPr>
          <w:p>
            <w:pPr>
              <w:spacing w:line="340" w:lineRule="exact"/>
              <w:rPr>
                <w:rFonts w:ascii="宋体" w:hAnsi="宋体" w:cs="宋体" w:hint="eastAsia"/>
                <w:bCs/>
                <w:szCs w:val="21"/>
              </w:rPr>
            </w:pPr>
            <w:r>
              <w:rPr>
                <w:rFonts w:ascii="宋体" w:hAnsi="宋体" w:cs="宋体" w:hint="eastAsia"/>
                <w:bCs/>
                <w:szCs w:val="21"/>
              </w:rPr>
              <w:t>3.4</w:t>
            </w:r>
            <w:r>
              <w:rPr>
                <w:rFonts w:hint="eastAsia"/>
                <w:bCs/>
                <w:szCs w:val="21"/>
                <w:lang w:eastAsia="zh-CN"/>
              </w:rPr>
              <w:t>投标人中标后</w:t>
            </w:r>
            <w:r>
              <w:rPr>
                <w:rFonts w:ascii="宋体" w:hAnsi="宋体" w:cs="宋体" w:hint="eastAsia"/>
                <w:bCs/>
                <w:szCs w:val="21"/>
              </w:rPr>
              <w:t>逾期交付货物的，每逾期1天，</w:t>
            </w:r>
            <w:r>
              <w:rPr>
                <w:rFonts w:hint="eastAsia"/>
                <w:bCs/>
                <w:szCs w:val="21"/>
                <w:lang w:eastAsia="zh-CN"/>
              </w:rPr>
              <w:t>投标人</w:t>
            </w:r>
            <w:r>
              <w:rPr>
                <w:rFonts w:ascii="宋体" w:hAnsi="宋体" w:cs="宋体" w:hint="eastAsia"/>
                <w:bCs/>
                <w:szCs w:val="21"/>
              </w:rPr>
              <w:t>向采购人偿付</w:t>
            </w:r>
            <w:r>
              <w:rPr>
                <w:rFonts w:ascii="宋体" w:hAnsi="宋体" w:cs="宋体" w:hint="eastAsia"/>
                <w:bCs/>
                <w:szCs w:val="21"/>
                <w:lang w:eastAsia="zh-CN"/>
              </w:rPr>
              <w:t>项目采购金</w:t>
            </w:r>
            <w:r>
              <w:rPr>
                <w:rFonts w:ascii="宋体" w:hAnsi="宋体" w:cs="宋体" w:hint="eastAsia"/>
                <w:bCs/>
                <w:szCs w:val="21"/>
              </w:rPr>
              <w:t>额的</w:t>
            </w:r>
            <w:r>
              <w:rPr>
                <w:rFonts w:ascii="宋体" w:hAnsi="宋体" w:cs="宋体" w:hint="eastAsia"/>
                <w:bCs/>
                <w:szCs w:val="21"/>
                <w:highlight w:val="yellow"/>
              </w:rPr>
              <w:t>【</w:t>
            </w:r>
            <w:r>
              <w:rPr>
                <w:rFonts w:ascii="宋体" w:hAnsi="宋体" w:cs="宋体" w:hint="eastAsia"/>
                <w:bCs/>
                <w:szCs w:val="21"/>
                <w:highlight w:val="yellow"/>
                <w:lang w:eastAsia="zh-CN"/>
              </w:rPr>
              <w:t>5</w:t>
            </w:r>
            <w:r>
              <w:rPr>
                <w:rFonts w:ascii="宋体" w:hAnsi="宋体" w:cs="宋体" w:hint="eastAsia"/>
                <w:bCs/>
                <w:szCs w:val="21"/>
                <w:highlight w:val="yellow"/>
              </w:rPr>
              <w:t>】‰</w:t>
            </w:r>
            <w:r>
              <w:rPr>
                <w:rFonts w:ascii="宋体" w:hAnsi="宋体" w:cs="宋体" w:hint="eastAsia"/>
                <w:bCs/>
                <w:szCs w:val="21"/>
              </w:rPr>
              <w:t>的</w:t>
            </w:r>
            <w:r>
              <w:rPr>
                <w:rFonts w:ascii="宋体" w:hAnsi="宋体" w:cs="宋体" w:hint="eastAsia"/>
                <w:bCs/>
                <w:szCs w:val="21"/>
                <w:lang w:eastAsia="zh-CN"/>
              </w:rPr>
              <w:t>违约</w:t>
            </w:r>
            <w:r>
              <w:rPr>
                <w:rFonts w:ascii="宋体" w:hAnsi="宋体" w:cs="宋体" w:hint="eastAsia"/>
                <w:bCs/>
                <w:szCs w:val="21"/>
              </w:rPr>
              <w:t>金。如</w:t>
            </w:r>
            <w:r>
              <w:rPr>
                <w:rFonts w:hint="eastAsia"/>
                <w:bCs/>
                <w:szCs w:val="21"/>
                <w:lang w:eastAsia="zh-CN"/>
              </w:rPr>
              <w:t>投标人</w:t>
            </w:r>
            <w:r>
              <w:rPr>
                <w:rFonts w:ascii="宋体" w:hAnsi="宋体" w:cs="宋体" w:hint="eastAsia"/>
                <w:bCs/>
                <w:szCs w:val="21"/>
              </w:rPr>
              <w:t>逾期交货达</w:t>
            </w:r>
            <w:r>
              <w:rPr>
                <w:rFonts w:ascii="宋体" w:hAnsi="宋体" w:cs="宋体" w:hint="eastAsia"/>
                <w:bCs/>
                <w:szCs w:val="21"/>
                <w:highlight w:val="yellow"/>
                <w:u w:val="single"/>
              </w:rPr>
              <w:t xml:space="preserve"> </w:t>
            </w:r>
            <w:r>
              <w:rPr>
                <w:rFonts w:ascii="宋体" w:hAnsi="宋体" w:cs="宋体" w:hint="eastAsia"/>
                <w:bCs/>
                <w:szCs w:val="21"/>
                <w:highlight w:val="yellow"/>
                <w:u w:val="single"/>
                <w:lang w:eastAsia="zh-CN"/>
              </w:rPr>
              <w:t>20</w:t>
            </w:r>
            <w:r>
              <w:rPr>
                <w:rFonts w:ascii="宋体" w:hAnsi="宋体" w:cs="宋体" w:hint="eastAsia"/>
                <w:bCs/>
                <w:szCs w:val="21"/>
                <w:highlight w:val="yellow"/>
                <w:u w:val="single"/>
              </w:rPr>
              <w:t xml:space="preserve"> </w:t>
            </w:r>
            <w:r>
              <w:rPr>
                <w:rFonts w:ascii="宋体" w:hAnsi="宋体" w:cs="宋体" w:hint="eastAsia"/>
                <w:bCs/>
                <w:szCs w:val="21"/>
              </w:rPr>
              <w:t>天，采购人有权解除合同。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hint="eastAsia"/>
                <w:bCs/>
              </w:rPr>
            </w:pPr>
          </w:p>
        </w:tc>
        <w:tc>
          <w:tcPr>
            <w:tcW w:w="1620" w:type="dxa"/>
            <w:vMerge/>
            <w:noWrap w:val="0"/>
            <w:vAlign w:val="top"/>
          </w:tcPr>
          <w:p>
            <w:pPr>
              <w:rPr>
                <w:bCs/>
              </w:rPr>
            </w:pPr>
          </w:p>
        </w:tc>
        <w:tc>
          <w:tcPr>
            <w:tcW w:w="5594" w:type="dxa"/>
            <w:noWrap w:val="0"/>
            <w:vAlign w:val="top"/>
          </w:tcPr>
          <w:p>
            <w:pPr>
              <w:rPr>
                <w:rFonts w:ascii="宋体" w:hAnsi="宋体" w:cs="宋体" w:hint="eastAsia"/>
                <w:b/>
              </w:rPr>
            </w:pPr>
            <w:r>
              <w:rPr>
                <w:rFonts w:ascii="宋体" w:hAnsi="宋体" w:cs="宋体" w:hint="eastAsia"/>
                <w:bCs/>
              </w:rPr>
              <w:t>3.5</w:t>
            </w:r>
            <w:r>
              <w:rPr>
                <w:rFonts w:hint="eastAsia"/>
                <w:bCs/>
                <w:szCs w:val="21"/>
                <w:lang w:eastAsia="zh-CN"/>
              </w:rPr>
              <w:t>投标人中标后，在其</w:t>
            </w:r>
            <w:r>
              <w:rPr>
                <w:rFonts w:ascii="宋体" w:hAnsi="宋体" w:cs="宋体" w:hint="eastAsia"/>
                <w:bCs/>
              </w:rPr>
              <w:t>承诺的或国家规定的质量保证期内（取两者中最长的期限），如经</w:t>
            </w:r>
            <w:r>
              <w:rPr>
                <w:rFonts w:hint="eastAsia"/>
                <w:bCs/>
                <w:szCs w:val="21"/>
                <w:lang w:eastAsia="zh-CN"/>
              </w:rPr>
              <w:t>投标人</w:t>
            </w:r>
            <w:r>
              <w:rPr>
                <w:rFonts w:ascii="宋体" w:hAnsi="宋体" w:cs="宋体" w:hint="eastAsia"/>
                <w:bCs/>
              </w:rPr>
              <w:t>两次维修或更换，货物仍不能达到采购文件要求及投标文件承诺的质量标准，采购人有权退货，</w:t>
            </w:r>
            <w:r>
              <w:rPr>
                <w:rFonts w:hint="eastAsia"/>
                <w:bCs/>
                <w:szCs w:val="21"/>
                <w:lang w:eastAsia="zh-CN"/>
              </w:rPr>
              <w:t>投标人</w:t>
            </w:r>
            <w:r>
              <w:rPr>
                <w:rFonts w:ascii="宋体" w:hAnsi="宋体" w:cs="宋体" w:hint="eastAsia"/>
                <w:bCs/>
              </w:rPr>
              <w:t>应退回全部货款并赔偿采购人因此遭受的损失。</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hint="eastAsia"/>
                <w:bCs/>
              </w:rPr>
            </w:pPr>
          </w:p>
        </w:tc>
        <w:tc>
          <w:tcPr>
            <w:tcW w:w="1620" w:type="dxa"/>
            <w:vMerge/>
            <w:noWrap w:val="0"/>
            <w:vAlign w:val="top"/>
          </w:tcPr>
          <w:p>
            <w:pPr>
              <w:rPr>
                <w:bCs/>
              </w:rPr>
            </w:pPr>
          </w:p>
        </w:tc>
        <w:tc>
          <w:tcPr>
            <w:tcW w:w="5594" w:type="dxa"/>
            <w:noWrap w:val="0"/>
            <w:vAlign w:val="top"/>
          </w:tcPr>
          <w:p>
            <w:pPr>
              <w:rPr>
                <w:rFonts w:ascii="宋体" w:hAnsi="宋体" w:cs="宋体" w:hint="eastAsia"/>
                <w:b/>
              </w:rPr>
            </w:pPr>
            <w:r>
              <w:rPr>
                <w:rFonts w:ascii="宋体" w:hAnsi="宋体" w:cs="宋体" w:hint="eastAsia"/>
                <w:bCs/>
              </w:rPr>
              <w:t>3.6</w:t>
            </w:r>
            <w:r>
              <w:rPr>
                <w:rFonts w:hint="eastAsia"/>
                <w:bCs/>
                <w:szCs w:val="21"/>
                <w:lang w:eastAsia="zh-CN"/>
              </w:rPr>
              <w:t>投标人中标后</w:t>
            </w:r>
            <w:r>
              <w:rPr>
                <w:rFonts w:ascii="宋体" w:hAnsi="宋体" w:cs="宋体" w:hint="eastAsia"/>
                <w:bCs/>
              </w:rPr>
              <w:t>在承担上述一项或多项违约责任后，仍应继续履行合同规定的义务（采购人解除合同的除外）。采购人未能及时追究</w:t>
            </w:r>
            <w:r>
              <w:rPr>
                <w:rFonts w:hint="eastAsia"/>
                <w:bCs/>
                <w:szCs w:val="21"/>
                <w:lang w:eastAsia="zh-CN"/>
              </w:rPr>
              <w:t>投标人</w:t>
            </w:r>
            <w:r>
              <w:rPr>
                <w:rFonts w:ascii="宋体" w:hAnsi="宋体" w:cs="宋体" w:hint="eastAsia"/>
                <w:bCs/>
              </w:rPr>
              <w:t>的任何一项违约责任并不表明采购人放弃追究</w:t>
            </w:r>
            <w:r>
              <w:rPr>
                <w:rFonts w:hint="eastAsia"/>
                <w:bCs/>
                <w:szCs w:val="21"/>
                <w:lang w:eastAsia="zh-CN"/>
              </w:rPr>
              <w:t>投标人</w:t>
            </w:r>
            <w:r>
              <w:rPr>
                <w:rFonts w:ascii="宋体" w:hAnsi="宋体" w:cs="宋体" w:hint="eastAsia"/>
                <w:bCs/>
              </w:rPr>
              <w:t>该项或其他违约责任。</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hint="eastAsia"/>
                <w:bCs/>
              </w:rPr>
            </w:pPr>
            <w:r>
              <w:rPr>
                <w:rFonts w:hint="eastAsia"/>
                <w:bCs/>
              </w:rPr>
              <w:t>4</w:t>
            </w:r>
          </w:p>
        </w:tc>
        <w:tc>
          <w:tcPr>
            <w:tcW w:w="1620" w:type="dxa"/>
            <w:noWrap w:val="0"/>
            <w:vAlign w:val="top"/>
          </w:tcPr>
          <w:p>
            <w:pPr>
              <w:rPr>
                <w:rFonts w:hint="eastAsia"/>
                <w:bCs/>
              </w:rPr>
            </w:pPr>
            <w:r>
              <w:rPr>
                <w:rFonts w:hint="eastAsia"/>
                <w:bCs/>
              </w:rPr>
              <w:t>其他</w:t>
            </w:r>
          </w:p>
        </w:tc>
        <w:tc>
          <w:tcPr>
            <w:tcW w:w="5594" w:type="dxa"/>
            <w:noWrap w:val="0"/>
            <w:vAlign w:val="top"/>
          </w:tcPr>
          <w:p>
            <w:pPr>
              <w:rPr>
                <w:rFonts w:ascii="宋体" w:hAnsi="宋体" w:cs="宋体" w:hint="eastAsia"/>
                <w:bCs/>
              </w:rPr>
            </w:pPr>
            <w:r>
              <w:rPr>
                <w:rFonts w:ascii="宋体" w:hAnsi="宋体" w:cs="宋体" w:hint="eastAsia"/>
                <w:bCs/>
                <w:lang w:eastAsia="zh-CN"/>
              </w:rPr>
              <w:t>投标人</w:t>
            </w:r>
            <w:r>
              <w:rPr>
                <w:rFonts w:hint="eastAsia"/>
                <w:bCs/>
                <w:szCs w:val="21"/>
                <w:lang w:eastAsia="zh-CN"/>
              </w:rPr>
              <w:t>中标后</w:t>
            </w:r>
            <w:r>
              <w:rPr>
                <w:rFonts w:ascii="宋体" w:hAnsi="宋体" w:cs="宋体" w:hint="eastAsia"/>
                <w:bCs/>
              </w:rPr>
              <w:t>应按其投标文件中的承诺，进行其他售后服务工作。</w:t>
            </w:r>
          </w:p>
        </w:tc>
      </w:tr>
    </w:tbl>
    <w:p>
      <w:pPr>
        <w:widowControl w:val="0"/>
        <w:spacing w:before="0" w:after="0" w:line="360" w:lineRule="auto"/>
        <w:jc w:val="both"/>
        <w:outlineLvl w:val="9"/>
        <w:rPr>
          <w:rFonts w:eastAsia="宋体" w:hint="eastAsia"/>
          <w:kern w:val="2"/>
          <w:sz w:val="21"/>
          <w:szCs w:val="28"/>
          <w:lang w:eastAsia="zh-CN"/>
        </w:rPr>
      </w:pPr>
    </w:p>
    <w:p>
      <w:pPr>
        <w:keepNext/>
        <w:keepLines/>
        <w:pageBreakBefore w:val="0"/>
        <w:widowControl w:val="0"/>
        <w:kinsoku/>
        <w:overflowPunct/>
        <w:topLinePunct w:val="0"/>
        <w:autoSpaceDE/>
        <w:autoSpaceDN/>
        <w:bidi w:val="0"/>
        <w:spacing w:before="260" w:beforeAutospacing="0" w:after="260" w:afterAutospacing="0" w:line="360" w:lineRule="auto"/>
        <w:ind w:left="0" w:right="0" w:firstLine="0" w:leftChars="0" w:firstLineChars="0"/>
        <w:jc w:val="left"/>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六、付款方式</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1、合同签订后</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5</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个工作日内，采购人向中标供应商支付合同总价【</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】%的款项；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2、全部货物送到采购人指定地点、完成安装并验收合格后</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7</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个工作日内，采购人向中标供应商支付合同总价【</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】%的款项；</w:t>
      </w:r>
    </w:p>
    <w:p>
      <w:pPr>
        <w:widowControl w:val="0"/>
        <w:spacing w:line="360" w:lineRule="auto"/>
        <w:jc w:val="both"/>
        <w:rPr>
          <w:rFonts w:ascii="黑体" w:eastAsia="黑体" w:hAnsi="黑体" w:hint="eastAsia"/>
          <w:b/>
          <w:bCs/>
          <w:sz w:val="28"/>
          <w:szCs w:val="28"/>
          <w:lang w:eastAsia="zh-CN"/>
        </w:rPr>
      </w:pPr>
      <w:r>
        <w:rPr>
          <w:rFonts w:ascii="宋体" w:eastAsia="宋体" w:hAnsi="宋体" w:cs="宋体" w:hint="eastAsia"/>
          <w:kern w:val="2"/>
          <w:sz w:val="21"/>
          <w:szCs w:val="21"/>
          <w:lang w:eastAsia="zh-CN"/>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outlineLvl w:val="0"/>
        <w:rPr>
          <w:rFonts w:ascii="宋体" w:hAnsi="宋体"/>
          <w:b/>
          <w:sz w:val="28"/>
          <w:szCs w:val="28"/>
        </w:rPr>
      </w:pPr>
      <w:r>
        <w:rPr>
          <w:rFonts w:ascii="宋体" w:hAnsi="宋体" w:hint="eastAsia"/>
          <w:b/>
          <w:sz w:val="28"/>
          <w:szCs w:val="28"/>
        </w:rPr>
        <w:t>七、投标报价要求</w:t>
      </w:r>
    </w:p>
    <w:p>
      <w:pPr>
        <w:widowControl w:val="0"/>
        <w:spacing w:before="60" w:beforeLines="25" w:beforeAutospacing="1" w:after="60" w:afterLines="25" w:afterAutospacing="1"/>
        <w:ind w:firstLine="393" w:firstLineChars="187"/>
        <w:rPr>
          <w:rFonts w:ascii="宋体" w:eastAsia="宋体" w:hAnsi="宋体" w:cs="宋体" w:hint="eastAsia"/>
          <w:szCs w:val="21"/>
          <w:lang w:eastAsia="zh-CN"/>
        </w:rPr>
      </w:pPr>
      <w:r>
        <w:rPr>
          <w:rFonts w:ascii="宋体" w:eastAsia="宋体" w:hAnsi="宋体" w:cs="宋体" w:hint="eastAsia"/>
          <w:sz w:val="21"/>
          <w:szCs w:val="21"/>
          <w:lang w:eastAsia="zh-CN" w:bidi="ar"/>
        </w:rPr>
        <w:t>1、本项目服务费采用包干制，应包括服务成本、法定税费和利润。由</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根据采购文件所提供的资料自行测算投标报价；一经中标，投标报价总价作为中标单位与采购单位</w:t>
      </w:r>
      <w:r>
        <w:rPr>
          <w:rFonts w:ascii="宋体" w:eastAsia="宋体" w:hAnsi="宋体" w:cs="宋体" w:hint="eastAsia"/>
          <w:sz w:val="21"/>
          <w:szCs w:val="21"/>
          <w:lang w:eastAsia="zh-CN" w:bidi="ar"/>
        </w:rPr>
        <w:t>签定</w:t>
      </w:r>
      <w:r>
        <w:rPr>
          <w:rFonts w:ascii="宋体" w:eastAsia="宋体" w:hAnsi="宋体" w:cs="宋体" w:hint="eastAsia"/>
          <w:sz w:val="21"/>
          <w:szCs w:val="21"/>
          <w:lang w:eastAsia="zh-CN" w:bidi="ar"/>
        </w:rPr>
        <w:t>的合同金额，合同期限内不</w:t>
      </w:r>
      <w:r>
        <w:rPr>
          <w:rFonts w:ascii="宋体" w:eastAsia="宋体" w:hAnsi="宋体" w:cs="宋体" w:hint="eastAsia"/>
          <w:sz w:val="21"/>
          <w:szCs w:val="21"/>
          <w:lang w:eastAsia="zh-CN" w:bidi="ar"/>
        </w:rPr>
        <w:t>做调整</w:t>
      </w:r>
      <w:r>
        <w:rPr>
          <w:rFonts w:ascii="宋体" w:eastAsia="宋体" w:hAnsi="宋体" w:cs="宋体" w:hint="eastAsia"/>
          <w:sz w:val="21"/>
          <w:szCs w:val="21"/>
          <w:lang w:eastAsia="zh-CN" w:bidi="ar"/>
        </w:rPr>
        <w:t>；</w:t>
      </w:r>
    </w:p>
    <w:p>
      <w:pPr>
        <w:widowControl w:val="0"/>
        <w:spacing w:before="60" w:beforeLines="25" w:beforeAutospacing="1" w:after="60" w:afterLines="25" w:afterAutospacing="1"/>
        <w:ind w:firstLine="393" w:firstLineChars="187"/>
        <w:rPr>
          <w:rFonts w:ascii="宋体" w:eastAsia="宋体" w:hAnsi="宋体" w:cs="宋体" w:hint="eastAsia"/>
          <w:bCs/>
          <w:sz w:val="21"/>
          <w:szCs w:val="21"/>
          <w:lang w:eastAsia="zh-CN" w:bidi="ar"/>
        </w:rPr>
      </w:pPr>
      <w:r>
        <w:rPr>
          <w:rFonts w:ascii="宋体" w:eastAsia="宋体" w:hAnsi="宋体" w:cs="宋体" w:hint="eastAsia"/>
          <w:sz w:val="21"/>
          <w:szCs w:val="21"/>
          <w:lang w:eastAsia="zh-CN" w:bidi="ar"/>
        </w:rPr>
        <w:t>2、</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应根据其成本自行决定报价。</w:t>
      </w:r>
      <w:r>
        <w:rPr>
          <w:rFonts w:ascii="宋体" w:eastAsia="宋体" w:hAnsi="宋体" w:cs="宋体" w:hint="eastAsia"/>
          <w:b/>
          <w:sz w:val="21"/>
          <w:szCs w:val="21"/>
          <w:lang w:eastAsia="zh-CN" w:bidi="ar"/>
        </w:rPr>
        <w:t>评审小组</w:t>
      </w:r>
      <w:r>
        <w:rPr>
          <w:rFonts w:ascii="宋体" w:eastAsia="宋体" w:hAnsi="宋体" w:cs="宋体" w:hint="eastAsia"/>
          <w:sz w:val="21"/>
          <w:szCs w:val="21"/>
          <w:lang w:eastAsia="zh-CN" w:bidi="ar"/>
        </w:rPr>
        <w:t>认为</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的报价明显低于其他通过符合性审查</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的报价，有可能影响服务质量或不能诚信履约的，将会要求该</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在评审现场合理的时间内提供书面说明，必要时提交相关证明材料。</w:t>
      </w:r>
      <w:r>
        <w:rPr>
          <w:rFonts w:ascii="宋体" w:eastAsia="宋体" w:hAnsi="宋体" w:cs="宋体" w:hint="eastAsia"/>
          <w:bCs/>
          <w:sz w:val="21"/>
          <w:szCs w:val="21"/>
          <w:lang w:eastAsia="zh-CN" w:bidi="ar"/>
        </w:rPr>
        <w:t>投标人</w:t>
      </w:r>
      <w:r>
        <w:rPr>
          <w:rFonts w:ascii="宋体" w:eastAsia="宋体" w:hAnsi="宋体" w:cs="宋体" w:hint="eastAsia"/>
          <w:bCs/>
          <w:sz w:val="21"/>
          <w:szCs w:val="21"/>
          <w:lang w:eastAsia="zh-CN" w:bidi="ar"/>
        </w:rPr>
        <w:t>不能证明其报价合理性的，评审委员会应将其作为无效投标处理。若</w:t>
      </w:r>
      <w:r>
        <w:rPr>
          <w:rFonts w:ascii="宋体" w:eastAsia="宋体" w:hAnsi="宋体" w:cs="宋体" w:hint="eastAsia"/>
          <w:b/>
          <w:bCs/>
          <w:sz w:val="21"/>
          <w:szCs w:val="21"/>
          <w:lang w:eastAsia="zh-CN" w:bidi="ar"/>
        </w:rPr>
        <w:t>评审小组</w:t>
      </w:r>
      <w:r>
        <w:rPr>
          <w:rFonts w:ascii="宋体" w:eastAsia="宋体" w:hAnsi="宋体" w:cs="宋体" w:hint="eastAsia"/>
          <w:bCs/>
          <w:sz w:val="21"/>
          <w:szCs w:val="21"/>
          <w:lang w:eastAsia="zh-CN" w:bidi="ar"/>
        </w:rPr>
        <w:t>对是否须由</w:t>
      </w:r>
      <w:r>
        <w:rPr>
          <w:rFonts w:ascii="宋体" w:eastAsia="宋体" w:hAnsi="宋体" w:cs="宋体" w:hint="eastAsia"/>
          <w:bCs/>
          <w:sz w:val="21"/>
          <w:szCs w:val="21"/>
          <w:lang w:eastAsia="zh-CN" w:bidi="ar"/>
        </w:rPr>
        <w:t>投标人</w:t>
      </w:r>
      <w:r>
        <w:rPr>
          <w:rFonts w:ascii="宋体" w:eastAsia="宋体" w:hAnsi="宋体" w:cs="宋体" w:hint="eastAsia"/>
          <w:bCs/>
          <w:sz w:val="21"/>
          <w:szCs w:val="21"/>
          <w:lang w:eastAsia="zh-CN" w:bidi="ar"/>
        </w:rPr>
        <w:t>作出报价合理性说明，以及书面说明是否采纳等判断不一致的，按照“少数服从多数”的原则确定</w:t>
      </w:r>
      <w:r>
        <w:rPr>
          <w:rFonts w:ascii="宋体" w:eastAsia="宋体" w:hAnsi="宋体" w:cs="宋体" w:hint="eastAsia"/>
          <w:b/>
          <w:bCs/>
          <w:sz w:val="21"/>
          <w:szCs w:val="21"/>
          <w:lang w:eastAsia="zh-CN" w:bidi="ar"/>
        </w:rPr>
        <w:t>评审小组</w:t>
      </w:r>
      <w:r>
        <w:rPr>
          <w:rFonts w:ascii="宋体" w:eastAsia="宋体" w:hAnsi="宋体" w:cs="宋体" w:hint="eastAsia"/>
          <w:bCs/>
          <w:sz w:val="21"/>
          <w:szCs w:val="21"/>
          <w:lang w:eastAsia="zh-CN" w:bidi="ar"/>
        </w:rPr>
        <w:t>的意见。</w:t>
      </w:r>
    </w:p>
    <w:p>
      <w:pPr>
        <w:widowControl w:val="0"/>
        <w:spacing w:before="60" w:beforeLines="25" w:beforeAutospacing="1" w:after="60" w:afterLines="25" w:afterAutospacing="1"/>
        <w:ind w:firstLine="393" w:firstLineChars="187"/>
        <w:rPr>
          <w:rFonts w:ascii="宋体" w:eastAsia="宋体" w:hAnsi="宋体" w:cs="宋体" w:hint="eastAsia"/>
          <w:szCs w:val="21"/>
          <w:lang w:eastAsia="zh-CN"/>
        </w:rPr>
      </w:pPr>
      <w:r>
        <w:rPr>
          <w:rFonts w:ascii="宋体" w:eastAsia="宋体" w:hAnsi="宋体" w:cs="宋体" w:hint="eastAsia"/>
          <w:bCs/>
          <w:sz w:val="21"/>
          <w:szCs w:val="21"/>
          <w:lang w:eastAsia="zh-CN" w:bidi="ar"/>
        </w:rPr>
        <w:t>3、</w:t>
      </w:r>
      <w:r>
        <w:rPr>
          <w:rFonts w:ascii="宋体" w:eastAsia="宋体" w:hAnsi="宋体" w:cs="宋体" w:hint="eastAsia"/>
          <w:sz w:val="21"/>
          <w:szCs w:val="21"/>
          <w:lang w:eastAsia="zh-CN" w:bidi="ar"/>
        </w:rPr>
        <w:t>如果中标价低于财政预算限额的70%，该项目将被列为优先实施履约检查的项目。</w:t>
      </w:r>
    </w:p>
    <w:p>
      <w:pPr>
        <w:widowControl w:val="0"/>
        <w:spacing w:before="60" w:beforeLines="25" w:beforeAutospacing="1" w:after="60" w:afterLines="25" w:afterAutospacing="1"/>
        <w:ind w:firstLine="393" w:firstLineChars="187"/>
        <w:rPr>
          <w:rFonts w:ascii="宋体" w:eastAsia="宋体" w:hAnsi="宋体" w:cs="宋体" w:hint="eastAsia"/>
          <w:szCs w:val="21"/>
          <w:lang w:eastAsia="zh-CN"/>
        </w:rPr>
      </w:pPr>
      <w:r>
        <w:rPr>
          <w:rFonts w:ascii="宋体" w:eastAsia="宋体" w:hAnsi="宋体" w:cs="宋体" w:hint="eastAsia"/>
          <w:sz w:val="21"/>
          <w:szCs w:val="21"/>
          <w:lang w:eastAsia="zh-CN" w:bidi="ar"/>
        </w:rPr>
        <w:t>4、</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的投标报价不得超过财政预算限额，如设投标最高限价的，报价不得超过最高限价；</w:t>
      </w:r>
    </w:p>
    <w:p>
      <w:pPr>
        <w:widowControl w:val="0"/>
        <w:spacing w:before="60" w:beforeLines="25" w:beforeAutospacing="1" w:after="60" w:afterLines="25" w:afterAutospacing="1"/>
        <w:ind w:firstLine="393" w:firstLineChars="187"/>
        <w:rPr>
          <w:rFonts w:ascii="宋体" w:eastAsia="宋体" w:hAnsi="宋体" w:cs="宋体" w:hint="eastAsia"/>
          <w:szCs w:val="21"/>
          <w:lang w:eastAsia="zh-CN"/>
        </w:rPr>
      </w:pPr>
      <w:r>
        <w:rPr>
          <w:rFonts w:ascii="宋体" w:eastAsia="宋体" w:hAnsi="宋体" w:cs="宋体" w:hint="eastAsia"/>
          <w:sz w:val="21"/>
          <w:szCs w:val="21"/>
          <w:lang w:eastAsia="zh-CN" w:bidi="ar"/>
        </w:rPr>
        <w:t>5、</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的投标报价，应是本项目采购范围和采购文件及合同条款上所列的各项内容中所述的全部，不得以任何理由予以重复，并以</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在中提出的综合单价或总价为依据；</w:t>
      </w:r>
    </w:p>
    <w:p>
      <w:pPr>
        <w:widowControl w:val="0"/>
        <w:spacing w:before="60" w:beforeLines="25" w:beforeAutospacing="1" w:after="60" w:afterLines="25" w:afterAutospacing="1"/>
        <w:ind w:firstLine="393" w:firstLineChars="187"/>
        <w:rPr>
          <w:rFonts w:ascii="宋体" w:eastAsia="宋体" w:hAnsi="宋体" w:cs="宋体" w:hint="eastAsia"/>
          <w:szCs w:val="21"/>
          <w:lang w:eastAsia="zh-CN"/>
        </w:rPr>
      </w:pPr>
      <w:r>
        <w:rPr>
          <w:rFonts w:ascii="宋体" w:eastAsia="宋体" w:hAnsi="宋体" w:cs="宋体" w:hint="eastAsia"/>
          <w:sz w:val="21"/>
          <w:szCs w:val="21"/>
          <w:lang w:eastAsia="zh-CN" w:bidi="ar"/>
        </w:rPr>
        <w:t>6、除非</w:t>
      </w:r>
      <w:r>
        <w:rPr>
          <w:rFonts w:eastAsia="宋体" w:hint="eastAsia"/>
          <w:sz w:val="21"/>
          <w:szCs w:val="21"/>
          <w:lang w:eastAsia="zh-CN"/>
        </w:rPr>
        <w:t>龙华区教育系统</w:t>
      </w:r>
      <w:r>
        <w:rPr>
          <w:rFonts w:ascii="宋体" w:eastAsia="宋体" w:hAnsi="宋体" w:cs="宋体" w:hint="eastAsia"/>
          <w:sz w:val="21"/>
          <w:szCs w:val="21"/>
          <w:lang w:eastAsia="zh-CN" w:bidi="ar"/>
        </w:rPr>
        <w:t>通过修改采购文件予以更正，否则，</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应毫无例外地按采购文件所列的清单中项目和数量填报综合单价和合价。</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未填综合单价或合价的项目，视作该项费用已包括</w:t>
      </w:r>
      <w:r>
        <w:rPr>
          <w:rFonts w:ascii="宋体" w:eastAsia="宋体" w:hAnsi="宋体" w:cs="宋体" w:hint="eastAsia"/>
          <w:sz w:val="21"/>
          <w:szCs w:val="21"/>
          <w:lang w:eastAsia="zh-CN" w:bidi="ar"/>
        </w:rPr>
        <w:t>在其它</w:t>
      </w:r>
      <w:r>
        <w:rPr>
          <w:rFonts w:ascii="宋体" w:eastAsia="宋体" w:hAnsi="宋体" w:cs="宋体" w:hint="eastAsia"/>
          <w:sz w:val="21"/>
          <w:szCs w:val="21"/>
          <w:lang w:eastAsia="zh-CN" w:bidi="ar"/>
        </w:rPr>
        <w:t>有价款的综合单价或合价内；</w:t>
      </w:r>
    </w:p>
    <w:p>
      <w:pPr>
        <w:widowControl w:val="0"/>
        <w:spacing w:before="60" w:beforeLines="25" w:beforeAutospacing="1" w:after="60" w:afterLines="25" w:afterAutospacing="1"/>
        <w:ind w:firstLine="393" w:firstLineChars="187"/>
        <w:rPr>
          <w:rFonts w:ascii="宋体" w:eastAsia="宋体" w:hAnsi="宋体" w:cs="宋体" w:hint="eastAsia"/>
          <w:szCs w:val="21"/>
          <w:lang w:eastAsia="zh-CN"/>
        </w:rPr>
      </w:pPr>
      <w:r>
        <w:rPr>
          <w:rFonts w:ascii="宋体" w:eastAsia="宋体" w:hAnsi="宋体" w:cs="宋体" w:hint="eastAsia"/>
          <w:sz w:val="21"/>
          <w:szCs w:val="21"/>
          <w:lang w:eastAsia="zh-CN" w:bidi="ar"/>
        </w:rPr>
        <w:t>7、</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应先到项目地点踏勘以充分了解项目的位置、情况、道路及任何</w:t>
      </w:r>
      <w:r>
        <w:rPr>
          <w:rFonts w:ascii="宋体" w:eastAsia="宋体" w:hAnsi="宋体" w:cs="宋体" w:hint="eastAsia"/>
          <w:sz w:val="21"/>
          <w:szCs w:val="21"/>
          <w:lang w:eastAsia="zh-CN" w:bidi="ar"/>
        </w:rPr>
        <w:t>其它</w:t>
      </w:r>
      <w:r>
        <w:rPr>
          <w:rFonts w:ascii="宋体" w:eastAsia="宋体" w:hAnsi="宋体" w:cs="宋体" w:hint="eastAsia"/>
          <w:sz w:val="21"/>
          <w:szCs w:val="21"/>
          <w:lang w:eastAsia="zh-CN" w:bidi="ar"/>
        </w:rPr>
        <w:t>足以影响投标报价的情况，任何因忽视或误解项目情况而导致的索赔或服务期限延长申请将不获批准；</w:t>
      </w:r>
    </w:p>
    <w:p>
      <w:pPr>
        <w:widowControl w:val="0"/>
        <w:spacing w:before="60" w:beforeLines="25" w:beforeAutospacing="1" w:after="60" w:afterLines="25" w:afterAutospacing="1"/>
        <w:ind w:firstLine="393" w:firstLineChars="187"/>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8、</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不得期望通过索赔等方式获取补偿，否则，除可能遭到拒绝外，还可能将被作为不良行为记录在案，并可能影响其以后参加</w:t>
      </w:r>
      <w:r>
        <w:rPr>
          <w:rFonts w:eastAsia="宋体" w:hint="eastAsia"/>
          <w:sz w:val="21"/>
          <w:szCs w:val="21"/>
          <w:lang w:eastAsia="zh-CN"/>
        </w:rPr>
        <w:t>龙华区教育系统自行采购</w:t>
      </w:r>
      <w:r>
        <w:rPr>
          <w:rFonts w:ascii="宋体" w:eastAsia="宋体" w:hAnsi="宋体" w:cs="宋体" w:hint="eastAsia"/>
          <w:sz w:val="21"/>
          <w:szCs w:val="21"/>
          <w:lang w:eastAsia="zh-CN" w:bidi="ar"/>
        </w:rPr>
        <w:t>的项目投标。各</w:t>
      </w:r>
      <w:r>
        <w:rPr>
          <w:rFonts w:ascii="宋体" w:eastAsia="宋体" w:hAnsi="宋体" w:cs="宋体" w:hint="eastAsia"/>
          <w:sz w:val="21"/>
          <w:szCs w:val="21"/>
          <w:lang w:eastAsia="zh-CN" w:bidi="ar"/>
        </w:rPr>
        <w:t>投标人</w:t>
      </w:r>
      <w:r>
        <w:rPr>
          <w:rFonts w:ascii="宋体" w:eastAsia="宋体" w:hAnsi="宋体" w:cs="宋体" w:hint="eastAsia"/>
          <w:sz w:val="21"/>
          <w:szCs w:val="21"/>
          <w:lang w:eastAsia="zh-CN" w:bidi="ar"/>
        </w:rPr>
        <w:t>在投标报价时，应充分考虑投标报价的风险。</w:t>
      </w:r>
    </w:p>
    <w:p>
      <w:pPr>
        <w:outlineLvl w:val="0"/>
        <w:rPr>
          <w:rFonts w:ascii="黑体" w:eastAsia="黑体" w:hAnsi="黑体" w:hint="eastAsia"/>
          <w:sz w:val="28"/>
          <w:szCs w:val="28"/>
        </w:rPr>
      </w:pPr>
      <w:r>
        <w:rPr>
          <w:rFonts w:ascii="黑体" w:eastAsia="黑体" w:hAnsi="黑体" w:hint="eastAsia"/>
          <w:sz w:val="28"/>
          <w:szCs w:val="28"/>
        </w:rPr>
        <w:t>八、注意事项</w:t>
      </w:r>
    </w:p>
    <w:p>
      <w:pPr>
        <w:widowControl w:val="0"/>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1、中标供应商</w:t>
      </w:r>
      <w:r>
        <w:rPr>
          <w:rFonts w:ascii="宋体" w:eastAsia="宋体" w:hAnsi="宋体"/>
          <w:kern w:val="2"/>
          <w:sz w:val="21"/>
          <w:szCs w:val="21"/>
          <w:lang w:eastAsia="zh-CN"/>
        </w:rPr>
        <w:t>不得将项目非法分包或转包给任何单位和个人。否则，采购单位有权即刻终止合同，并要求</w:t>
      </w:r>
      <w:r>
        <w:rPr>
          <w:rFonts w:ascii="宋体" w:eastAsia="宋体" w:hAnsi="宋体" w:hint="eastAsia"/>
          <w:kern w:val="2"/>
          <w:sz w:val="21"/>
          <w:szCs w:val="21"/>
          <w:lang w:eastAsia="zh-CN"/>
        </w:rPr>
        <w:t>中标供应商</w:t>
      </w:r>
      <w:r>
        <w:rPr>
          <w:rFonts w:ascii="宋体" w:eastAsia="宋体" w:hAnsi="宋体"/>
          <w:kern w:val="2"/>
          <w:sz w:val="21"/>
          <w:szCs w:val="21"/>
          <w:lang w:eastAsia="zh-CN"/>
        </w:rPr>
        <w:t>赔偿相应损失。</w:t>
      </w:r>
    </w:p>
    <w:p>
      <w:pPr>
        <w:widowControl w:val="0"/>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投标人</w:t>
      </w:r>
      <w:r>
        <w:rPr>
          <w:rFonts w:ascii="宋体" w:eastAsia="宋体" w:hAnsi="宋体" w:hint="eastAsia"/>
          <w:kern w:val="2"/>
          <w:sz w:val="21"/>
          <w:szCs w:val="21"/>
          <w:lang w:eastAsia="zh-CN"/>
        </w:rPr>
        <w:t>使用的标准必须是国际公认或国家</w:t>
      </w:r>
      <w:r>
        <w:rPr>
          <w:rFonts w:ascii="宋体" w:eastAsia="宋体" w:hAnsi="宋体" w:hint="eastAsia"/>
          <w:kern w:val="2"/>
          <w:sz w:val="21"/>
          <w:szCs w:val="21"/>
          <w:lang w:eastAsia="zh-CN"/>
        </w:rPr>
        <w:t>、或</w:t>
      </w:r>
      <w:r>
        <w:rPr>
          <w:rFonts w:ascii="宋体" w:eastAsia="宋体" w:hAnsi="宋体" w:hint="eastAsia"/>
          <w:kern w:val="2"/>
          <w:sz w:val="21"/>
          <w:szCs w:val="21"/>
          <w:lang w:eastAsia="zh-CN"/>
        </w:rPr>
        <w:t>地方政府颁布的同等或更高的标准，如</w:t>
      </w:r>
      <w:r>
        <w:rPr>
          <w:rFonts w:ascii="宋体" w:eastAsia="宋体" w:hAnsi="宋体" w:hint="eastAsia"/>
          <w:kern w:val="2"/>
          <w:sz w:val="21"/>
          <w:szCs w:val="21"/>
          <w:lang w:eastAsia="zh-CN"/>
        </w:rPr>
        <w:t>投标人</w:t>
      </w:r>
      <w:r>
        <w:rPr>
          <w:rFonts w:ascii="宋体" w:eastAsia="宋体" w:hAnsi="宋体" w:hint="eastAsia"/>
          <w:kern w:val="2"/>
          <w:sz w:val="21"/>
          <w:szCs w:val="21"/>
          <w:lang w:eastAsia="zh-CN"/>
        </w:rPr>
        <w:t>使用的标准低于上述标准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评审委员会将有权不予</w:t>
      </w:r>
      <w:r>
        <w:rPr>
          <w:rFonts w:ascii="宋体" w:eastAsia="宋体" w:hAnsi="宋体" w:hint="eastAsia"/>
          <w:kern w:val="2"/>
          <w:sz w:val="21"/>
          <w:szCs w:val="21"/>
          <w:lang w:eastAsia="zh-CN"/>
        </w:rPr>
        <w:t>接受</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投标人</w:t>
      </w:r>
      <w:r>
        <w:rPr>
          <w:rFonts w:ascii="宋体" w:eastAsia="宋体" w:hAnsi="宋体" w:hint="eastAsia"/>
          <w:kern w:val="2"/>
          <w:sz w:val="21"/>
          <w:szCs w:val="21"/>
          <w:lang w:eastAsia="zh-CN"/>
        </w:rPr>
        <w:t>必须列表将明显的差异详细说明。</w:t>
      </w:r>
    </w:p>
    <w:p>
      <w:pPr>
        <w:ind w:firstLine="480" w:firstLineChars="200"/>
        <w:rPr>
          <w:rFonts w:hint="eastAsia"/>
        </w:rPr>
      </w:pPr>
      <w:r>
        <w:rPr>
          <w:rFonts w:hint="eastAsia"/>
        </w:rPr>
        <w:t>3、供应商须在质疑期内一次性提出针对同一采购程序环节的质疑。</w:t>
      </w:r>
    </w:p>
    <w:p>
      <w:pPr>
        <w:ind w:firstLine="480" w:firstLineChars="200"/>
        <w:rPr>
          <w:b/>
          <w:bCs/>
          <w:color w:val="FF0000"/>
        </w:rPr>
      </w:pPr>
      <w:r>
        <w:rPr>
          <w:rFonts w:hint="eastAsia"/>
          <w:b/>
          <w:bCs/>
          <w:color w:val="FF0000"/>
        </w:rPr>
        <w:t>4、本项目按照深圳市龙华区教育局的相关采购规定执行，招标文件未明确的事项，参照政府采购有关法律法规执行</w:t>
      </w:r>
    </w:p>
    <w:p>
      <w:pPr>
        <w:pageBreakBefore w:val="0"/>
        <w:widowControl w:val="0"/>
        <w:kinsoku/>
        <w:overflowPunct/>
        <w:topLinePunct w:val="0"/>
        <w:autoSpaceDE/>
        <w:autoSpaceDN/>
        <w:bidi w:val="0"/>
        <w:spacing w:line="360" w:lineRule="auto"/>
        <w:ind w:left="0" w:firstLine="0" w:firstLineChars="0"/>
        <w:jc w:val="both"/>
        <w:rPr>
          <w:rFonts w:ascii="宋体" w:eastAsia="宋体" w:hAnsi="宋体" w:cs="宋体" w:hint="eastAsia"/>
          <w:kern w:val="2"/>
          <w:sz w:val="21"/>
          <w:lang w:eastAsia="zh-CN"/>
        </w:rPr>
      </w:pPr>
      <w:r>
        <w:rPr>
          <w:rFonts w:ascii="宋体" w:eastAsia="宋体" w:hAnsi="宋体" w:cs="宋体" w:hint="eastAsia"/>
          <w:kern w:val="2"/>
          <w:sz w:val="21"/>
          <w:lang w:eastAsia="zh-CN"/>
        </w:rPr>
        <w:br w:type="page"/>
      </w:r>
    </w:p>
    <w:p>
      <w:pPr>
        <w:pageBreakBefore w:val="0"/>
        <w:widowControl w:val="0"/>
        <w:kinsoku/>
        <w:overflowPunct/>
        <w:topLinePunct w:val="0"/>
        <w:autoSpaceDE/>
        <w:autoSpaceDN/>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第四章  投标文件组成要求及格式</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ascii="宋体" w:eastAsia="宋体" w:hAnsi="宋体" w:cs="宋体" w:hint="eastAsia"/>
          <w:bCs/>
          <w:kern w:val="2"/>
          <w:lang w:eastAsia="zh-CN"/>
        </w:rPr>
      </w:pPr>
      <w:r>
        <w:rPr>
          <w:rFonts w:ascii="宋体" w:eastAsia="宋体" w:hAnsi="宋体" w:cs="宋体" w:hint="eastAsia"/>
          <w:bCs/>
          <w:kern w:val="2"/>
          <w:lang w:eastAsia="zh-CN"/>
        </w:rPr>
        <w:t>特别提醒：</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2"/>
        <w:rPr>
          <w:rFonts w:ascii="宋体" w:eastAsia="宋体" w:hAnsi="宋体" w:cs="宋体" w:hint="eastAsia"/>
          <w:bCs/>
          <w:kern w:val="2"/>
          <w:sz w:val="28"/>
          <w:szCs w:val="28"/>
          <w:lang w:eastAsia="zh-CN"/>
        </w:rPr>
      </w:pPr>
      <w:r>
        <w:rPr>
          <w:rFonts w:ascii="宋体" w:eastAsia="宋体" w:hAnsi="宋体" w:cs="宋体" w:hint="eastAsia"/>
          <w:bCs/>
          <w:kern w:val="2"/>
          <w:sz w:val="28"/>
          <w:szCs w:val="28"/>
          <w:lang w:eastAsia="zh-CN"/>
        </w:rPr>
        <w:t>投标文件组成：</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2"/>
        <w:rPr>
          <w:rFonts w:ascii="宋体" w:eastAsia="宋体" w:hAnsi="宋体" w:cs="宋体" w:hint="eastAsia"/>
          <w:b/>
          <w:bCs/>
          <w:kern w:val="2"/>
          <w:sz w:val="22"/>
          <w:szCs w:val="22"/>
          <w:lang w:eastAsia="zh-CN"/>
        </w:rPr>
      </w:pPr>
      <w:bookmarkStart w:id="48" w:name="_Hlk72257253"/>
      <w:r>
        <w:rPr>
          <w:rFonts w:ascii="宋体" w:eastAsia="宋体" w:hAnsi="宋体" w:cs="宋体" w:hint="eastAsia"/>
          <w:b/>
          <w:bCs/>
          <w:kern w:val="2"/>
          <w:sz w:val="22"/>
          <w:szCs w:val="22"/>
          <w:lang w:eastAsia="zh-CN"/>
        </w:rPr>
        <w:t>1.投标文件正文，主要包括以下内容：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bookmarkStart w:id="49" w:name="_Hlk72070784"/>
      <w:r>
        <w:rPr>
          <w:rFonts w:ascii="宋体" w:eastAsia="宋体" w:hAnsi="宋体" w:cs="宋体" w:hint="eastAsia"/>
          <w:kern w:val="2"/>
          <w:sz w:val="21"/>
          <w:szCs w:val="21"/>
          <w:lang w:eastAsia="zh-CN"/>
        </w:rPr>
        <w:t>投标函</w:t>
      </w:r>
      <w:bookmarkEnd w:id="49"/>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（2）龙华区教育系统自行采购投标及履约承诺函</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（3）投标人情况及资格证明文件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bookmarkStart w:id="50" w:name="_Hlk72257201"/>
      <w:r>
        <w:rPr>
          <w:rFonts w:ascii="宋体" w:eastAsia="宋体" w:hAnsi="宋体" w:cs="宋体" w:hint="eastAsia"/>
          <w:kern w:val="2"/>
          <w:sz w:val="21"/>
          <w:szCs w:val="21"/>
          <w:lang w:eastAsia="zh-CN"/>
        </w:rPr>
        <w:t>（4）项目详细报价</w:t>
      </w:r>
    </w:p>
    <w:bookmarkEnd w:id="50"/>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2"/>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2.投标文件附件：主要包括以下内容：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（1）法定代表人（负责人）证明书</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（2）投标文件签署授权委托书</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（3）政府采购违法行为风险知悉确认书</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（4）实质性条款响应情况表</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（5）技术规格偏离表</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（6）商务要求偏离表</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（7）技术保障措施</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（8）售后服务</w:t>
      </w:r>
      <w:r>
        <w:rPr>
          <w:rFonts w:ascii="宋体" w:eastAsia="宋体" w:hAnsi="宋体" w:cs="宋体" w:hint="eastAsia"/>
          <w:kern w:val="2"/>
          <w:sz w:val="21"/>
          <w:szCs w:val="21"/>
          <w:lang w:eastAsia="zh-CN"/>
        </w:rPr>
        <w:t>保障措施</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（9）现场踏勘</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设计安装方案</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（11）同类项目业绩</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（12）投标人认为需要加以说明的其他内容</w:t>
      </w:r>
      <w:bookmarkEnd w:id="48"/>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bookmarkStart w:id="51" w:name="_Hlk72257771"/>
      <w:r>
        <w:rPr>
          <w:rFonts w:ascii="宋体" w:eastAsia="宋体" w:hAnsi="宋体" w:cs="宋体" w:hint="eastAsia"/>
          <w:b/>
          <w:kern w:val="2"/>
          <w:sz w:val="21"/>
          <w:szCs w:val="21"/>
          <w:lang w:eastAsia="zh-CN"/>
        </w:rPr>
        <w:t>备注：</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1.本项目为网上电子投标项目，投标文件不需法人或授权委托人另行签字，无需加盖单位公章，招标文件专用条款另有规定的除外。</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FF0000"/>
          <w:kern w:val="2"/>
          <w:sz w:val="21"/>
          <w:szCs w:val="21"/>
          <w:lang w:eastAsia="zh-CN"/>
        </w:rPr>
      </w:pPr>
      <w:bookmarkStart w:id="52" w:name="_Hlk72263559"/>
      <w:r>
        <w:rPr>
          <w:rFonts w:ascii="宋体" w:eastAsia="宋体" w:hAnsi="宋体" w:cs="宋体" w:hint="eastAsia"/>
          <w:b/>
          <w:kern w:val="2"/>
          <w:sz w:val="21"/>
          <w:szCs w:val="21"/>
          <w:lang w:eastAsia="zh-CN"/>
        </w:rPr>
        <w:t>2.关于填写“开标一览表”的说明：“开标一览表”中除“投标总价”外，其他信息不作评审依据。</w:t>
      </w:r>
      <w:bookmarkEnd w:id="51"/>
      <w:bookmarkEnd w:id="52"/>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FF0000"/>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FF0000"/>
          <w:kern w:val="2"/>
          <w:lang w:eastAsia="zh-CN"/>
        </w:rPr>
      </w:pPr>
    </w:p>
    <w:p>
      <w:pPr>
        <w:pageBreakBefore w:val="0"/>
        <w:widowControl w:val="0"/>
        <w:kinsoku/>
        <w:overflowPunct/>
        <w:topLinePunct w:val="0"/>
        <w:autoSpaceDE/>
        <w:autoSpaceDN/>
        <w:bidi w:val="0"/>
        <w:spacing w:line="360" w:lineRule="auto"/>
        <w:ind w:left="0" w:firstLine="0" w:firstLineChars="0"/>
        <w:jc w:val="both"/>
        <w:rPr>
          <w:rFonts w:ascii="宋体" w:eastAsia="宋体" w:hAnsi="宋体" w:cs="宋体" w:hint="eastAsia"/>
          <w:b/>
          <w:color w:val="FF0000"/>
          <w:kern w:val="2"/>
          <w:sz w:val="28"/>
          <w:szCs w:val="28"/>
          <w:lang w:eastAsia="zh-CN"/>
        </w:rPr>
      </w:pPr>
      <w:r>
        <w:rPr>
          <w:rFonts w:ascii="宋体" w:eastAsia="宋体" w:hAnsi="宋体" w:cs="宋体" w:hint="eastAsia"/>
          <w:b/>
          <w:color w:val="FF0000"/>
          <w:kern w:val="2"/>
          <w:sz w:val="28"/>
          <w:szCs w:val="28"/>
          <w:lang w:eastAsia="zh-CN"/>
        </w:rPr>
        <w:br w:type="page"/>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1"/>
        <w:rPr>
          <w:rFonts w:ascii="宋体" w:eastAsia="宋体" w:hAnsi="宋体" w:cs="宋体" w:hint="eastAsia"/>
          <w:b/>
          <w:color w:val="FF0000"/>
          <w:kern w:val="2"/>
          <w:sz w:val="28"/>
          <w:szCs w:val="28"/>
          <w:lang w:eastAsia="zh-CN"/>
        </w:rPr>
      </w:pPr>
      <w:r>
        <w:rPr>
          <w:rFonts w:ascii="宋体" w:eastAsia="宋体" w:hAnsi="宋体" w:cs="宋体" w:hint="eastAsia"/>
          <w:b/>
          <w:color w:val="FF0000"/>
          <w:kern w:val="2"/>
          <w:sz w:val="28"/>
          <w:szCs w:val="28"/>
          <w:lang w:eastAsia="zh-CN"/>
        </w:rPr>
        <w:t>投标文件正文</w:t>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kern w:val="2"/>
          <w:sz w:val="32"/>
          <w:szCs w:val="40"/>
          <w:lang w:eastAsia="zh-CN"/>
        </w:rPr>
      </w:pPr>
      <w:r>
        <w:rPr>
          <w:rFonts w:ascii="宋体" w:eastAsia="宋体" w:hAnsi="宋体" w:cs="宋体" w:hint="eastAsia"/>
          <w:b/>
          <w:kern w:val="2"/>
          <w:sz w:val="32"/>
          <w:szCs w:val="40"/>
          <w:lang w:eastAsia="zh-CN"/>
        </w:rPr>
        <w:t>一、投标函</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bookmarkStart w:id="53" w:name="_Hlk72257506"/>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 xml:space="preserve">深圳市泽钧招标有限公司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bookmarkStart w:id="54" w:name="_Hlk73818812"/>
      <w:r>
        <w:rPr>
          <w:rFonts w:ascii="宋体" w:eastAsia="宋体" w:hAnsi="宋体" w:cs="宋体" w:hint="eastAsia"/>
          <w:kern w:val="2"/>
          <w:sz w:val="21"/>
          <w:szCs w:val="21"/>
          <w:lang w:eastAsia="zh-CN"/>
        </w:rPr>
        <w:t>1、根据已收到贵单位的项目编号为</w:t>
      </w:r>
      <w:r>
        <w:rPr>
          <w:rFonts w:ascii="宋体" w:eastAsia="宋体" w:hAnsi="宋体" w:cs="宋体" w:hint="eastAsia"/>
          <w:kern w:val="2"/>
          <w:sz w:val="21"/>
          <w:szCs w:val="21"/>
          <w:u w:val="single"/>
          <w:lang w:eastAsia="zh-CN"/>
        </w:rPr>
        <w:t xml:space="preserve"> （项目编号） </w:t>
      </w:r>
      <w:r>
        <w:rPr>
          <w:rFonts w:ascii="宋体" w:eastAsia="宋体" w:hAnsi="宋体" w:cs="宋体" w:hint="eastAsia"/>
          <w:kern w:val="2"/>
          <w:sz w:val="21"/>
          <w:szCs w:val="21"/>
          <w:lang w:eastAsia="zh-CN"/>
        </w:rPr>
        <w:t>的</w:t>
      </w:r>
      <w:r>
        <w:rPr>
          <w:rFonts w:ascii="宋体" w:eastAsia="宋体" w:hAnsi="宋体" w:cs="宋体" w:hint="eastAsia"/>
          <w:kern w:val="2"/>
          <w:sz w:val="21"/>
          <w:szCs w:val="21"/>
          <w:u w:val="single"/>
          <w:lang w:eastAsia="zh-CN"/>
        </w:rPr>
        <w:t xml:space="preserve"> （项目名称） </w:t>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55" w:name="_Hlk72263588"/>
      <w:r>
        <w:rPr>
          <w:rFonts w:ascii="宋体" w:eastAsia="宋体" w:hAnsi="宋体" w:cs="宋体" w:hint="eastAsia"/>
          <w:kern w:val="2"/>
          <w:sz w:val="21"/>
          <w:szCs w:val="21"/>
          <w:lang w:eastAsia="zh-CN"/>
        </w:rPr>
        <w:t>愿意按照招标文件要求承包上述项目并修补其任何缺陷。</w:t>
      </w:r>
      <w:bookmarkEnd w:id="55"/>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bookmarkStart w:id="56" w:name="_Hlk73819847"/>
      <w:r>
        <w:rPr>
          <w:rFonts w:ascii="宋体" w:eastAsia="宋体" w:hAnsi="宋体" w:cs="宋体" w:hint="eastAsia"/>
          <w:kern w:val="2"/>
          <w:sz w:val="21"/>
          <w:szCs w:val="21"/>
          <w:lang w:eastAsia="zh-CN"/>
        </w:rPr>
        <w:t>投标价格见投标书编制软件中《开标一览表》中填写的投标总价。</w:t>
      </w:r>
      <w:bookmarkEnd w:id="56"/>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3、如果我单位中标，我单位将按照招标文件的要求足额提交履约担保。</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54"/>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eastAsia="宋体" w:hint="eastAsia"/>
          <w:kern w:val="2"/>
          <w:sz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rPr>
        <w:t>我方已知晓本次投标报价中已包含招标代理服务费（招标代理服务费将按照招标文件第二章“对通用条款的补充内容”中“招标代理服务费”所列收费标准计算），并承诺向贵单位足额支付。</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单位地址：</w:t>
      </w:r>
      <w:r>
        <w:rPr>
          <w:rFonts w:ascii="宋体" w:eastAsia="宋体" w:hAnsi="宋体" w:cs="宋体" w:hint="eastAsia"/>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法定代表人（负责人）或其委托代理人：</w:t>
      </w:r>
      <w:r>
        <w:rPr>
          <w:rFonts w:ascii="宋体" w:eastAsia="宋体" w:hAnsi="宋体" w:cs="宋体" w:hint="eastAsia"/>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邮箱：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传真：</w:t>
      </w:r>
      <w:r>
        <w:rPr>
          <w:rFonts w:ascii="宋体" w:eastAsia="宋体" w:hAnsi="宋体" w:cs="宋体" w:hint="eastAsia"/>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lang w:eastAsia="zh-CN"/>
        </w:rPr>
        <w:tab/>
      </w:r>
      <w:r>
        <w:rPr>
          <w:rFonts w:ascii="宋体" w:eastAsia="宋体" w:hAnsi="宋体" w:cs="宋体" w:hint="eastAsia"/>
          <w:kern w:val="2"/>
          <w:sz w:val="21"/>
          <w:szCs w:val="21"/>
          <w:lang w:eastAsia="zh-CN"/>
        </w:rPr>
        <w:t>开户银行账号：</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开户银行地址：</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lang w:eastAsia="zh-CN"/>
        </w:rPr>
        <w:tab/>
      </w:r>
      <w:r>
        <w:rPr>
          <w:rFonts w:ascii="宋体" w:eastAsia="宋体" w:hAnsi="宋体" w:cs="宋体" w:hint="eastAsia"/>
          <w:kern w:val="2"/>
          <w:sz w:val="21"/>
          <w:szCs w:val="21"/>
          <w:lang w:eastAsia="zh-CN"/>
        </w:rPr>
        <w:t>开户银行电话：</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r>
        <w:rPr>
          <w:rFonts w:ascii="宋体" w:eastAsia="宋体" w:hAnsi="宋体" w:cs="宋体" w:hint="eastAsia"/>
          <w:kern w:val="2"/>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p>
    <w:bookmarkEnd w:id="53"/>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br w:type="page"/>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kern w:val="2"/>
          <w:sz w:val="32"/>
          <w:szCs w:val="40"/>
          <w:lang w:eastAsia="zh-CN"/>
        </w:rPr>
      </w:pPr>
      <w:r>
        <w:rPr>
          <w:rFonts w:ascii="宋体" w:eastAsia="宋体" w:hAnsi="宋体" w:cs="宋体" w:hint="eastAsia"/>
          <w:b/>
          <w:kern w:val="2"/>
          <w:sz w:val="32"/>
          <w:szCs w:val="40"/>
          <w:lang w:eastAsia="zh-CN"/>
        </w:rPr>
        <w:t>二、龙华区教育系统自行采购投标及履约承诺函</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u w:val="single"/>
          <w:lang w:eastAsia="zh-CN"/>
        </w:rPr>
      </w:pPr>
      <w:bookmarkStart w:id="57" w:name="_Hlk72257530"/>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深圳市泽钧招标有限公司</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3.我单位参与本项目</w:t>
      </w:r>
      <w:r>
        <w:rPr>
          <w:rFonts w:ascii="宋体" w:eastAsia="宋体" w:hAnsi="宋体" w:cs="宋体" w:hint="eastAsia"/>
          <w:kern w:val="2"/>
          <w:sz w:val="21"/>
          <w:lang w:eastAsia="zh-CN"/>
        </w:rPr>
        <w:t>政府采购活动时不存在被有关部门禁止参与政府采购活动且在有效期内的情况。</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bookmarkStart w:id="58" w:name="_Hlk72587269"/>
      <w:bookmarkStart w:id="59" w:name="_Hlk72587299"/>
      <w:r>
        <w:rPr>
          <w:rFonts w:ascii="宋体" w:eastAsia="宋体" w:hAnsi="宋体" w:cs="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8"/>
      <w:r>
        <w:rPr>
          <w:rFonts w:ascii="宋体" w:eastAsia="宋体" w:hAnsi="宋体" w:cs="宋体" w:hint="eastAsia"/>
          <w:kern w:val="2"/>
          <w:sz w:val="21"/>
          <w:szCs w:val="21"/>
          <w:lang w:eastAsia="zh-CN"/>
        </w:rPr>
        <w:t>。</w:t>
      </w:r>
      <w:r>
        <w:rPr>
          <w:rFonts w:ascii="宋体" w:eastAsia="宋体" w:hAnsi="宋体" w:cs="宋体" w:hint="eastAsia"/>
          <w:kern w:val="2"/>
          <w:sz w:val="21"/>
          <w:lang w:eastAsia="zh-CN"/>
        </w:rPr>
        <w:t>我单位严格遵守政府采购相关法律，投标做到诚实，不造假，不围 标、串标、陪标，不存在编制、加密或上传标书的设备 mac 地址与其他投标人相同的情形。</w:t>
      </w:r>
    </w:p>
    <w:bookmarkEnd w:id="59"/>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9.我单位承诺中标后项目不转包，未经采购人同意不进行分包。</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szCs w:val="21"/>
          <w:lang w:eastAsia="zh-CN"/>
        </w:rPr>
        <w:t>10.</w:t>
      </w:r>
      <w:r>
        <w:rPr>
          <w:rFonts w:ascii="宋体" w:eastAsia="宋体" w:hAnsi="宋体" w:cs="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11.</w:t>
      </w:r>
      <w:r>
        <w:rPr>
          <w:rFonts w:ascii="宋体" w:eastAsia="宋体" w:hAnsi="宋体" w:cs="宋体" w:hint="eastAsia"/>
          <w:kern w:val="2"/>
          <w:sz w:val="21"/>
          <w:highlight w:val="green"/>
          <w:lang w:eastAsia="zh-CN"/>
        </w:rPr>
        <w:t>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12.我单位承诺，符合《中华人民共和国政府采购法实施条例》第十八条第一款规定，不存在我单位与其他供应商的负责人为同一人或者存在直接控股、管理关系的情况。</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13.所投标（响应）的货物、工程或服务，不存在侵犯知识产权的情况；已知悉并同意中标（成交）结果信息公示（公开）的内容。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highlight w:val="green"/>
          <w:lang w:eastAsia="zh-CN"/>
        </w:rPr>
      </w:pPr>
      <w:r>
        <w:rPr>
          <w:rFonts w:ascii="宋体" w:eastAsia="宋体" w:hAnsi="宋体" w:cs="宋体" w:hint="eastAsia"/>
          <w:kern w:val="2"/>
          <w:sz w:val="21"/>
          <w:highlight w:val="green"/>
          <w:lang w:eastAsia="zh-CN"/>
        </w:rPr>
        <w:t>14.本单位（公司）不存在《深圳市财政局政府采购供应商信用信息管理办法》（深财规〔2023〕3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highlight w:val="green"/>
          <w:lang w:eastAsia="zh-CN"/>
        </w:rPr>
        <w:t>1</w:t>
      </w:r>
      <w:r>
        <w:rPr>
          <w:rFonts w:ascii="宋体" w:eastAsia="宋体" w:hAnsi="宋体" w:cs="宋体" w:hint="eastAsia"/>
          <w:kern w:val="2"/>
          <w:sz w:val="21"/>
          <w:lang w:eastAsia="zh-CN"/>
        </w:rPr>
        <w:t>5.我单位自愿遵照龙华区教育系统自行采购的有关管理制度和规定，并自愿接受龙华区教育局和财政部门的有关监督。</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color w:val="FF0000"/>
          <w:kern w:val="2"/>
          <w:sz w:val="21"/>
          <w:szCs w:val="21"/>
          <w:lang w:eastAsia="zh-CN"/>
        </w:rPr>
        <w:t xml:space="preserve">                </w:t>
      </w:r>
      <w:r>
        <w:rPr>
          <w:rFonts w:ascii="宋体" w:eastAsia="宋体" w:hAnsi="宋体" w:cs="宋体" w:hint="eastAsia"/>
          <w:kern w:val="2"/>
          <w:sz w:val="21"/>
          <w:szCs w:val="21"/>
          <w:lang w:eastAsia="zh-CN"/>
        </w:rPr>
        <w:t xml:space="preserve"> 投标人：</w:t>
      </w:r>
      <w:r>
        <w:rPr>
          <w:rFonts w:ascii="宋体" w:eastAsia="宋体" w:hAnsi="宋体" w:cs="宋体" w:hint="eastAsia"/>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bookmarkEnd w:id="57"/>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kern w:val="2"/>
          <w:lang w:eastAsia="zh-CN"/>
        </w:rPr>
      </w:pP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br w:type="page"/>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kern w:val="2"/>
          <w:sz w:val="32"/>
          <w:szCs w:val="40"/>
          <w:lang w:eastAsia="zh-CN"/>
        </w:rPr>
      </w:pPr>
      <w:r>
        <w:rPr>
          <w:rFonts w:ascii="宋体" w:eastAsia="宋体" w:hAnsi="宋体" w:cs="宋体" w:hint="eastAsia"/>
          <w:b/>
          <w:kern w:val="2"/>
          <w:sz w:val="32"/>
          <w:szCs w:val="40"/>
          <w:lang w:eastAsia="zh-CN"/>
        </w:rPr>
        <w:t>三、投标人情况及资格证明文件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3"/>
        <w:rPr>
          <w:rFonts w:ascii="宋体" w:eastAsia="宋体" w:hAnsi="宋体" w:cs="宋体" w:hint="eastAsia"/>
          <w:bCs/>
          <w:szCs w:val="32"/>
          <w:lang w:eastAsia="zh-CN"/>
        </w:rPr>
      </w:pPr>
      <w:bookmarkStart w:id="60" w:name="_Hlk72257590"/>
      <w:r>
        <w:rPr>
          <w:rFonts w:ascii="宋体" w:eastAsia="宋体" w:hAnsi="宋体" w:cs="宋体" w:hint="eastAsia"/>
          <w:bCs/>
          <w:szCs w:val="32"/>
          <w:lang w:eastAsia="zh-CN"/>
        </w:rPr>
        <w:t>（一）投标人资格证明文件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lang w:eastAsia="zh-CN"/>
        </w:rPr>
      </w:pPr>
      <w:r>
        <w:rPr>
          <w:rFonts w:ascii="宋体" w:eastAsia="宋体" w:hAnsi="宋体" w:cs="宋体" w:hint="eastAsia"/>
          <w:b/>
          <w:bCs/>
          <w:color w:val="FF0000"/>
          <w:kern w:val="2"/>
          <w:sz w:val="21"/>
          <w:lang w:eastAsia="zh-CN"/>
        </w:rPr>
        <w:t>（特别提示：投标人须按本招标文件第一册第一章招标公告 “申请人的资格要求”（即投标人资格要求）提供相关的资格证明资料，未提供或提供不完整、不符合要求的，将作投标无效处理。）</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lang w:eastAsia="zh-CN"/>
        </w:rPr>
      </w:pPr>
    </w:p>
    <w:p>
      <w:pPr>
        <w:keepNext w:val="0"/>
        <w:keepLines w:val="0"/>
        <w:pageBreakBefore w:val="0"/>
        <w:widowControl/>
        <w:kinsoku w:val="0"/>
        <w:wordWrap w:val="0"/>
        <w:overflowPunct/>
        <w:topLinePunct w:val="0"/>
        <w:autoSpaceDE w:val="0"/>
        <w:autoSpaceDN w:val="0"/>
        <w:bidi w:val="0"/>
        <w:adjustRightInd w:val="0"/>
        <w:snapToGrid w:val="0"/>
        <w:spacing w:before="78" w:line="221" w:lineRule="auto"/>
        <w:ind w:left="23"/>
        <w:jc w:val="both"/>
        <w:textAlignment w:val="baseline"/>
        <w:rPr>
          <w:rFonts w:ascii="黑体" w:eastAsia="黑体" w:hAnsi="黑体" w:cs="黑体" w:hint="eastAsia"/>
          <w:kern w:val="2"/>
          <w:lang w:eastAsia="zh-CN"/>
        </w:rPr>
      </w:pPr>
      <w:r>
        <w:rPr>
          <w:rFonts w:ascii="黑体" w:eastAsia="黑体" w:hAnsi="黑体" w:cs="黑体" w:hint="eastAsia"/>
          <w:b/>
          <w:bCs/>
          <w:spacing w:val="-3"/>
          <w:kern w:val="2"/>
          <w:lang w:eastAsia="zh-CN"/>
        </w:rPr>
        <w:t>1.</w:t>
      </w:r>
      <w:r>
        <w:rPr>
          <w:rFonts w:ascii="黑体" w:eastAsia="黑体" w:hAnsi="黑体" w:cs="黑体"/>
          <w:b/>
          <w:bCs/>
          <w:spacing w:val="-3"/>
          <w:kern w:val="2"/>
          <w:lang w:eastAsia="zh-CN"/>
        </w:rPr>
        <w:t>信用信息证明材料</w:t>
      </w:r>
      <w:r>
        <w:rPr>
          <w:rFonts w:ascii="黑体" w:eastAsia="黑体" w:hAnsi="黑体" w:cs="黑体" w:hint="eastAsia"/>
          <w:b/>
          <w:bCs/>
          <w:spacing w:val="-3"/>
          <w:kern w:val="2"/>
          <w:lang w:eastAsia="zh-CN"/>
        </w:rPr>
        <w:t>要求</w:t>
      </w:r>
    </w:p>
    <w:p>
      <w:pPr>
        <w:keepNext w:val="0"/>
        <w:keepLines w:val="0"/>
        <w:pageBreakBefore w:val="0"/>
        <w:widowControl/>
        <w:kinsoku w:val="0"/>
        <w:wordWrap w:val="0"/>
        <w:overflowPunct/>
        <w:topLinePunct w:val="0"/>
        <w:autoSpaceDE w:val="0"/>
        <w:autoSpaceDN w:val="0"/>
        <w:bidi w:val="0"/>
        <w:adjustRightInd w:val="0"/>
        <w:snapToGrid w:val="0"/>
        <w:spacing w:before="40" w:line="227" w:lineRule="auto"/>
        <w:ind w:left="441"/>
        <w:jc w:val="both"/>
        <w:textAlignment w:val="baseline"/>
        <w:rPr>
          <w:rFonts w:ascii="宋体" w:eastAsia="宋体" w:hAnsi="宋体" w:cs="宋体"/>
          <w:kern w:val="2"/>
          <w:sz w:val="20"/>
          <w:szCs w:val="20"/>
          <w:lang w:eastAsia="zh-CN"/>
        </w:rPr>
      </w:pPr>
      <w:r>
        <w:rPr>
          <w:rFonts w:ascii="宋体" w:eastAsia="宋体" w:hAnsi="宋体" w:cs="宋体"/>
          <w:spacing w:val="8"/>
          <w:kern w:val="2"/>
          <w:sz w:val="20"/>
          <w:szCs w:val="20"/>
          <w:lang w:eastAsia="zh-CN"/>
        </w:rPr>
        <w:t>截图要求</w:t>
      </w:r>
      <w:r>
        <w:rPr>
          <w:rFonts w:ascii="宋体" w:eastAsia="宋体" w:hAnsi="宋体" w:cs="宋体"/>
          <w:spacing w:val="3"/>
          <w:kern w:val="2"/>
          <w:sz w:val="20"/>
          <w:szCs w:val="20"/>
          <w:lang w:eastAsia="zh-CN"/>
        </w:rPr>
        <w:t>：</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ascii="宋体" w:eastAsia="宋体" w:hAnsi="宋体" w:cs="宋体"/>
          <w:color w:val="0C0C0C"/>
          <w:spacing w:val="12"/>
          <w:kern w:val="2"/>
          <w:position w:val="2"/>
          <w:sz w:val="20"/>
          <w:szCs w:val="20"/>
          <w:lang w:eastAsia="zh-CN"/>
        </w:rPr>
      </w:pPr>
      <w:r>
        <w:rPr>
          <w:rFonts w:ascii="宋体" w:eastAsia="宋体" w:hAnsi="宋体" w:cs="宋体"/>
          <w:color w:val="0C0C0C"/>
          <w:spacing w:val="12"/>
          <w:kern w:val="2"/>
          <w:position w:val="2"/>
          <w:sz w:val="20"/>
          <w:szCs w:val="20"/>
          <w:lang w:eastAsia="zh-CN"/>
        </w:rPr>
        <w:t>（1）信用信息查询需登录信用中国查询网址</w:t>
      </w:r>
      <w:hyperlink r:id="rId7" w:history="1">
        <w:r>
          <w:rPr>
            <w:rFonts w:ascii="宋体" w:eastAsia="宋体" w:hAnsi="宋体" w:cs="宋体"/>
            <w:color w:val="0C0C0C"/>
            <w:kern w:val="2"/>
            <w:position w:val="2"/>
            <w:sz w:val="20"/>
            <w:szCs w:val="20"/>
            <w:lang w:eastAsia="zh-CN"/>
          </w:rPr>
          <w:t>www</w:t>
        </w:r>
        <w:r>
          <w:rPr>
            <w:rFonts w:ascii="宋体" w:eastAsia="宋体" w:hAnsi="宋体" w:cs="宋体"/>
            <w:color w:val="0C0C0C"/>
            <w:spacing w:val="12"/>
            <w:kern w:val="2"/>
            <w:position w:val="2"/>
            <w:sz w:val="20"/>
            <w:szCs w:val="20"/>
            <w:lang w:eastAsia="zh-CN"/>
          </w:rPr>
          <w:t>.</w:t>
        </w:r>
        <w:r>
          <w:rPr>
            <w:rFonts w:ascii="宋体" w:eastAsia="宋体" w:hAnsi="宋体" w:cs="宋体"/>
            <w:color w:val="0C0C0C"/>
            <w:kern w:val="2"/>
            <w:position w:val="2"/>
            <w:sz w:val="20"/>
            <w:szCs w:val="20"/>
            <w:lang w:eastAsia="zh-CN"/>
          </w:rPr>
          <w:t>creditchina</w:t>
        </w:r>
        <w:r>
          <w:rPr>
            <w:rFonts w:ascii="宋体" w:eastAsia="宋体" w:hAnsi="宋体" w:cs="宋体"/>
            <w:color w:val="0C0C0C"/>
            <w:spacing w:val="12"/>
            <w:kern w:val="2"/>
            <w:position w:val="2"/>
            <w:sz w:val="20"/>
            <w:szCs w:val="20"/>
            <w:lang w:eastAsia="zh-CN"/>
          </w:rPr>
          <w:t>.</w:t>
        </w:r>
        <w:r>
          <w:rPr>
            <w:rFonts w:ascii="宋体" w:eastAsia="宋体" w:hAnsi="宋体" w:cs="宋体"/>
            <w:color w:val="0C0C0C"/>
            <w:kern w:val="2"/>
            <w:position w:val="2"/>
            <w:sz w:val="20"/>
            <w:szCs w:val="20"/>
            <w:lang w:eastAsia="zh-CN"/>
          </w:rPr>
          <w:t>gov</w:t>
        </w:r>
        <w:r>
          <w:rPr>
            <w:rFonts w:ascii="宋体" w:eastAsia="宋体" w:hAnsi="宋体" w:cs="宋体"/>
            <w:color w:val="0C0C0C"/>
            <w:spacing w:val="12"/>
            <w:kern w:val="2"/>
            <w:position w:val="2"/>
            <w:sz w:val="20"/>
            <w:szCs w:val="20"/>
            <w:lang w:eastAsia="zh-CN"/>
          </w:rPr>
          <w:t>.</w:t>
        </w:r>
        <w:r>
          <w:rPr>
            <w:rFonts w:ascii="宋体" w:eastAsia="宋体" w:hAnsi="宋体" w:cs="宋体"/>
            <w:color w:val="0C0C0C"/>
            <w:kern w:val="2"/>
            <w:position w:val="2"/>
            <w:sz w:val="20"/>
            <w:szCs w:val="20"/>
            <w:lang w:eastAsia="zh-CN"/>
          </w:rPr>
          <w:t>cn</w:t>
        </w:r>
      </w:hyperlink>
      <w:r>
        <w:rPr>
          <w:rFonts w:ascii="宋体" w:eastAsia="宋体" w:hAnsi="宋体" w:cs="宋体"/>
          <w:color w:val="0C0C0C"/>
          <w:spacing w:val="12"/>
          <w:kern w:val="2"/>
          <w:position w:val="2"/>
          <w:sz w:val="20"/>
          <w:szCs w:val="20"/>
          <w:lang w:eastAsia="zh-CN"/>
        </w:rPr>
        <w:t>、、中国政府采购网查询网址www.ccgp.gov.cn 下载企业信用信息，信用文档需体现信用中国、中国政 府采购网站标志、投标人在信用中国的查询结果信息、报告生成时间（需下载完整的报 告， 以下截图为首页模板）。</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ascii="宋体" w:eastAsia="宋体" w:hAnsi="宋体" w:cs="宋体"/>
          <w:color w:val="0C0C0C"/>
          <w:spacing w:val="12"/>
          <w:kern w:val="2"/>
          <w:position w:val="2"/>
          <w:sz w:val="20"/>
          <w:szCs w:val="20"/>
          <w:lang w:eastAsia="zh-CN"/>
        </w:rPr>
      </w:pPr>
      <w:r>
        <w:rPr>
          <w:rFonts w:ascii="宋体" w:eastAsia="宋体" w:hAnsi="宋体" w:cs="宋体"/>
          <w:color w:val="0C0C0C"/>
          <w:spacing w:val="12"/>
          <w:kern w:val="2"/>
          <w:position w:val="2"/>
          <w:sz w:val="20"/>
          <w:szCs w:val="20"/>
          <w:lang w:eastAsia="zh-CN"/>
        </w:rPr>
        <w:t>（2）信用信息生成时间须为采购公告发布之日后。</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ascii="宋体" w:eastAsia="宋体" w:hAnsi="宋体" w:cs="宋体"/>
          <w:color w:val="0C0C0C"/>
          <w:spacing w:val="12"/>
          <w:kern w:val="2"/>
          <w:position w:val="2"/>
          <w:sz w:val="20"/>
          <w:szCs w:val="20"/>
          <w:lang w:eastAsia="zh-CN"/>
        </w:rPr>
      </w:pPr>
      <w:r>
        <w:rPr>
          <w:rFonts w:ascii="宋体" w:eastAsia="宋体" w:hAnsi="宋体" w:cs="宋体"/>
          <w:color w:val="0C0C0C"/>
          <w:spacing w:val="12"/>
          <w:kern w:val="2"/>
          <w:position w:val="2"/>
          <w:sz w:val="20"/>
          <w:szCs w:val="20"/>
          <w:lang w:eastAsia="zh-CN"/>
        </w:rPr>
        <w:t>（3）如查询结果存在“列入失信被执行人、重大税收违法案件当事人名单、政府采购 严重违法失信行为记录名单 ”的，且仍处在有效时段及范围内的，则不符合投标人资格 要求，其投标文件将被否决。</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ascii="宋体" w:eastAsia="宋体" w:hAnsi="宋体" w:cs="宋体"/>
          <w:color w:val="0C0C0C"/>
          <w:spacing w:val="12"/>
          <w:kern w:val="2"/>
          <w:position w:val="2"/>
          <w:sz w:val="20"/>
          <w:szCs w:val="20"/>
          <w:lang w:eastAsia="zh-CN"/>
        </w:rPr>
      </w:pPr>
      <w:r>
        <w:rPr>
          <w:rFonts w:ascii="宋体" w:eastAsia="宋体" w:hAnsi="宋体" w:cs="宋体"/>
          <w:color w:val="0C0C0C"/>
          <w:spacing w:val="12"/>
          <w:kern w:val="2"/>
          <w:position w:val="2"/>
          <w:sz w:val="20"/>
          <w:szCs w:val="20"/>
          <w:lang w:eastAsia="zh-CN"/>
        </w:rPr>
        <w:t>（4）采购人、</w:t>
      </w:r>
      <w:r>
        <w:rPr>
          <w:rFonts w:ascii="宋体" w:eastAsia="宋体" w:hAnsi="宋体" w:cs="宋体" w:hint="eastAsia"/>
          <w:color w:val="0C0C0C"/>
          <w:spacing w:val="12"/>
          <w:kern w:val="2"/>
          <w:position w:val="2"/>
          <w:sz w:val="20"/>
          <w:szCs w:val="20"/>
          <w:lang w:eastAsia="zh-CN"/>
        </w:rPr>
        <w:t>深圳市泽钧招标有限公司</w:t>
      </w:r>
      <w:r>
        <w:rPr>
          <w:rFonts w:ascii="宋体" w:eastAsia="宋体" w:hAnsi="宋体" w:cs="宋体"/>
          <w:color w:val="0C0C0C"/>
          <w:spacing w:val="12"/>
          <w:kern w:val="2"/>
          <w:position w:val="2"/>
          <w:sz w:val="20"/>
          <w:szCs w:val="20"/>
          <w:lang w:eastAsia="zh-CN"/>
        </w:rPr>
        <w:t>有权对该信用信息的真实性进行核实。</w:t>
      </w:r>
    </w:p>
    <w:p>
      <w:pPr>
        <w:keepNext w:val="0"/>
        <w:keepLines w:val="0"/>
        <w:pageBreakBefore w:val="0"/>
        <w:widowControl/>
        <w:kinsoku w:val="0"/>
        <w:wordWrap w:val="0"/>
        <w:overflowPunct/>
        <w:topLinePunct w:val="0"/>
        <w:autoSpaceDE w:val="0"/>
        <w:autoSpaceDN w:val="0"/>
        <w:bidi w:val="0"/>
        <w:adjustRightInd w:val="0"/>
        <w:snapToGrid w:val="0"/>
        <w:spacing w:line="436"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4455" w:lineRule="exact"/>
        <w:ind w:firstLine="14"/>
        <w:jc w:val="both"/>
        <w:textAlignment w:val="baseline"/>
        <w:rPr>
          <w:rFonts w:eastAsia="宋体"/>
          <w:kern w:val="2"/>
          <w:sz w:val="21"/>
          <w:lang w:eastAsia="zh-CN"/>
        </w:rPr>
      </w:pPr>
      <w:r>
        <w:rPr>
          <w:position w:val="-89"/>
        </w:rPr>
        <w:drawing>
          <wp:inline distT="0" distB="0" distL="0" distR="0">
            <wp:extent cx="5266690" cy="2828290"/>
            <wp:effectExtent l="0" t="0" r="10160" b="1016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xmlns:r="http://schemas.openxmlformats.org/officeDocument/2006/relationships" r:embed="rId8"/>
                    <a:stretch>
                      <a:fillRect/>
                    </a:stretch>
                  </pic:blipFill>
                  <pic:spPr>
                    <a:xfrm>
                      <a:off x="0" y="0"/>
                      <a:ext cx="5266944" cy="2828543"/>
                    </a:xfrm>
                    <a:prstGeom prst="rect">
                      <a:avLst/>
                    </a:prstGeom>
                  </pic:spPr>
                </pic:pic>
              </a:graphicData>
            </a:graphic>
          </wp:inline>
        </w:drawing>
      </w:r>
    </w:p>
    <w:p>
      <w:pPr>
        <w:keepNext w:val="0"/>
        <w:keepLines w:val="0"/>
        <w:pageBreakBefore w:val="0"/>
        <w:widowControl/>
        <w:kinsoku w:val="0"/>
        <w:wordWrap w:val="0"/>
        <w:overflowPunct/>
        <w:topLinePunct w:val="0"/>
        <w:autoSpaceDE w:val="0"/>
        <w:autoSpaceDN w:val="0"/>
        <w:bidi w:val="0"/>
        <w:adjustRightInd w:val="0"/>
        <w:snapToGrid w:val="0"/>
        <w:spacing w:before="165" w:line="6135" w:lineRule="exact"/>
        <w:ind w:firstLine="1691"/>
        <w:jc w:val="both"/>
        <w:textAlignment w:val="baseline"/>
        <w:rPr>
          <w:rFonts w:eastAsia="宋体"/>
          <w:kern w:val="2"/>
          <w:sz w:val="21"/>
          <w:lang w:eastAsia="zh-CN"/>
        </w:rPr>
      </w:pPr>
      <w:r>
        <w:rPr>
          <w:position w:val="-122"/>
        </w:rPr>
        <w:drawing>
          <wp:anchor distT="0" distB="0" distL="0" distR="0" simplePos="0" relativeHeight="251659264" behindDoc="0" locked="0" layoutInCell="1" allowOverlap="1">
            <wp:simplePos x="0" y="0"/>
            <wp:positionH relativeFrom="column">
              <wp:posOffset>259715</wp:posOffset>
            </wp:positionH>
            <wp:positionV relativeFrom="paragraph">
              <wp:posOffset>638810</wp:posOffset>
            </wp:positionV>
            <wp:extent cx="4651375" cy="5956300"/>
            <wp:effectExtent l="0" t="0" r="15875" b="6350"/>
            <wp:wrapTopAndBottom/>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xmlns:r="http://schemas.openxmlformats.org/officeDocument/2006/relationships" r:embed="rId9"/>
                    <a:stretch>
                      <a:fillRect/>
                    </a:stretch>
                  </pic:blipFill>
                  <pic:spPr>
                    <a:xfrm>
                      <a:off x="0" y="0"/>
                      <a:ext cx="4651375" cy="5956300"/>
                    </a:xfrm>
                    <a:prstGeom prst="rect">
                      <a:avLst/>
                    </a:prstGeom>
                  </pic:spPr>
                </pic:pic>
              </a:graphicData>
            </a:graphic>
          </wp:anchor>
        </w:drawing>
      </w:r>
    </w:p>
    <w:p>
      <w:pPr>
        <w:keepNext w:val="0"/>
        <w:keepLines w:val="0"/>
        <w:pageBreakBefore w:val="0"/>
        <w:widowControl/>
        <w:kinsoku w:val="0"/>
        <w:wordWrap w:val="0"/>
        <w:overflowPunct/>
        <w:topLinePunct w:val="0"/>
        <w:autoSpaceDE w:val="0"/>
        <w:autoSpaceDN w:val="0"/>
        <w:bidi w:val="0"/>
        <w:adjustRightInd w:val="0"/>
        <w:snapToGrid w:val="0"/>
        <w:spacing w:line="25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56"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before="99" w:line="5124" w:lineRule="exact"/>
        <w:ind w:firstLine="14"/>
        <w:jc w:val="both"/>
        <w:textAlignment w:val="baseline"/>
        <w:rPr>
          <w:rFonts w:eastAsia="宋体"/>
          <w:kern w:val="2"/>
          <w:sz w:val="21"/>
          <w:lang w:eastAsia="zh-CN"/>
        </w:rPr>
      </w:pPr>
      <w:r>
        <w:rPr>
          <w:position w:val="-102"/>
        </w:rPr>
        <w:drawing>
          <wp:inline distT="0" distB="0" distL="0" distR="0">
            <wp:extent cx="5273040" cy="3253740"/>
            <wp:effectExtent l="0" t="0" r="3810" b="381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xmlns:r="http://schemas.openxmlformats.org/officeDocument/2006/relationships" r:embed="rId10"/>
                    <a:stretch>
                      <a:fillRect/>
                    </a:stretch>
                  </pic:blipFill>
                  <pic:spPr>
                    <a:xfrm>
                      <a:off x="0" y="0"/>
                      <a:ext cx="5273040" cy="3253740"/>
                    </a:xfrm>
                    <a:prstGeom prst="rect">
                      <a:avLst/>
                    </a:prstGeom>
                  </pic:spPr>
                </pic:pic>
              </a:graphicData>
            </a:graphic>
          </wp:inline>
        </w:drawing>
      </w:r>
    </w:p>
    <w:p>
      <w:pPr>
        <w:keepNext w:val="0"/>
        <w:keepLines w:val="0"/>
        <w:pageBreakBefore w:val="0"/>
        <w:widowControl/>
        <w:kinsoku w:val="0"/>
        <w:wordWrap w:val="0"/>
        <w:overflowPunct/>
        <w:topLinePunct w:val="0"/>
        <w:autoSpaceDE w:val="0"/>
        <w:autoSpaceDN w:val="0"/>
        <w:bidi w:val="0"/>
        <w:adjustRightInd w:val="0"/>
        <w:snapToGrid w:val="0"/>
        <w:spacing w:before="125" w:line="218" w:lineRule="auto"/>
        <w:ind w:left="1899"/>
        <w:jc w:val="both"/>
        <w:textAlignment w:val="baseline"/>
        <w:rPr>
          <w:rFonts w:ascii="宋体" w:eastAsia="宋体" w:hAnsi="宋体" w:cs="宋体"/>
          <w:b/>
          <w:bCs/>
          <w:spacing w:val="-3"/>
          <w:kern w:val="2"/>
          <w:lang w:eastAsia="zh-CN"/>
        </w:rPr>
      </w:pPr>
      <w:r>
        <w:rPr>
          <w:rFonts w:ascii="宋体" w:eastAsia="宋体" w:hAnsi="宋体" w:cs="宋体"/>
          <w:b/>
          <w:bCs/>
          <w:spacing w:val="-3"/>
          <w:kern w:val="2"/>
          <w:lang w:eastAsia="zh-CN"/>
        </w:rPr>
        <w:t>（以上截图为首页模板，需下载完整报告）</w:t>
      </w:r>
    </w:p>
    <w:p>
      <w:pPr>
        <w:widowControl w:val="0"/>
        <w:jc w:val="both"/>
        <w:rPr>
          <w:rFonts w:ascii="宋体" w:eastAsia="宋体" w:hAnsi="宋体" w:cs="宋体"/>
          <w:b/>
          <w:bCs/>
          <w:spacing w:val="-3"/>
          <w:kern w:val="2"/>
          <w:lang w:eastAsia="zh-CN"/>
        </w:rPr>
      </w:pPr>
      <w:r>
        <w:rPr>
          <w:rFonts w:ascii="宋体" w:eastAsia="宋体" w:hAnsi="宋体" w:cs="宋体"/>
          <w:b/>
          <w:bCs/>
          <w:spacing w:val="-3"/>
          <w:kern w:val="2"/>
          <w:lang w:eastAsia="zh-CN"/>
        </w:rPr>
        <w:br w:type="page"/>
      </w:r>
    </w:p>
    <w:p>
      <w:pPr>
        <w:keepNext w:val="0"/>
        <w:keepLines w:val="0"/>
        <w:pageBreakBefore w:val="0"/>
        <w:widowControl/>
        <w:kinsoku w:val="0"/>
        <w:wordWrap w:val="0"/>
        <w:overflowPunct/>
        <w:topLinePunct w:val="0"/>
        <w:autoSpaceDE w:val="0"/>
        <w:autoSpaceDN w:val="0"/>
        <w:bidi w:val="0"/>
        <w:adjustRightInd w:val="0"/>
        <w:snapToGrid w:val="0"/>
        <w:spacing w:before="125" w:line="218" w:lineRule="auto"/>
        <w:ind w:left="1899"/>
        <w:jc w:val="both"/>
        <w:textAlignment w:val="baseline"/>
        <w:rPr>
          <w:rFonts w:ascii="宋体" w:eastAsia="宋体" w:hAnsi="宋体" w:cs="宋体"/>
          <w:b/>
          <w:bCs/>
          <w:spacing w:val="-3"/>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before="182" w:line="221" w:lineRule="auto"/>
        <w:ind w:left="596"/>
        <w:jc w:val="both"/>
        <w:textAlignment w:val="baseline"/>
        <w:rPr>
          <w:rFonts w:ascii="黑体" w:eastAsia="黑体" w:hAnsi="黑体" w:cs="黑体" w:hint="eastAsia"/>
          <w:kern w:val="2"/>
          <w:lang w:eastAsia="zh-CN"/>
        </w:rPr>
      </w:pPr>
      <w:r>
        <w:rPr>
          <w:rFonts w:ascii="宋体" w:eastAsia="宋体" w:hAnsi="宋体" w:cs="宋体" w:hint="eastAsia"/>
          <w:b/>
          <w:bCs/>
          <w:kern w:val="2"/>
          <w:lang w:eastAsia="zh-CN"/>
        </w:rPr>
        <w:t>2.</w:t>
      </w:r>
      <w:r>
        <w:rPr>
          <w:rFonts w:ascii="黑体" w:eastAsia="黑体" w:hAnsi="黑体" w:cs="黑体"/>
          <w:b/>
          <w:bCs/>
          <w:spacing w:val="-3"/>
          <w:kern w:val="2"/>
          <w:lang w:eastAsia="zh-CN"/>
        </w:rPr>
        <w:t>股东构成审查表</w:t>
      </w:r>
      <w:r>
        <w:rPr>
          <w:rFonts w:ascii="黑体" w:eastAsia="黑体" w:hAnsi="黑体" w:cs="黑体" w:hint="eastAsia"/>
          <w:b/>
          <w:bCs/>
          <w:spacing w:val="-3"/>
          <w:kern w:val="2"/>
          <w:lang w:eastAsia="zh-CN"/>
        </w:rPr>
        <w:t>要求</w:t>
      </w:r>
    </w:p>
    <w:p>
      <w:pPr>
        <w:keepNext w:val="0"/>
        <w:keepLines w:val="0"/>
        <w:pageBreakBefore w:val="0"/>
        <w:widowControl/>
        <w:kinsoku w:val="0"/>
        <w:wordWrap w:val="0"/>
        <w:overflowPunct/>
        <w:topLinePunct w:val="0"/>
        <w:autoSpaceDE w:val="0"/>
        <w:autoSpaceDN w:val="0"/>
        <w:bidi w:val="0"/>
        <w:adjustRightInd w:val="0"/>
        <w:snapToGrid w:val="0"/>
        <w:spacing w:before="41"/>
        <w:jc w:val="both"/>
        <w:textAlignment w:val="baseline"/>
        <w:rPr>
          <w:rFonts w:eastAsia="宋体"/>
          <w:kern w:val="2"/>
          <w:sz w:val="21"/>
          <w:lang w:eastAsia="zh-CN"/>
        </w:rPr>
      </w:pPr>
    </w:p>
    <w:p>
      <w:pPr>
        <w:keepNext/>
        <w:keepLines/>
        <w:widowControl w:val="0"/>
        <w:numPr>
          <w:ilvl w:val="0"/>
          <w:numId w:val="0"/>
        </w:numPr>
        <w:spacing w:before="0" w:after="0" w:line="360" w:lineRule="auto"/>
        <w:ind w:left="0" w:firstLine="0"/>
        <w:jc w:val="both"/>
        <w:outlineLvl w:val="2"/>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1、提供投标人所在地的市场监督管理部门“商事登记簿查询（商事主体登记及备案信息查询）”查询截图；参考示例“深圳市市场监督管理局——商事登记簿查询（商事主体登记及备案信息查询）：</w:t>
      </w:r>
      <w:hyperlink r:id="rId11" w:history="1">
        <w:r>
          <w:rPr>
            <w:rFonts w:ascii="宋体" w:eastAsia="宋体" w:hAnsi="宋体" w:cs="宋体" w:hint="eastAsia"/>
            <w:color w:val="0000FF"/>
            <w:kern w:val="2"/>
            <w:sz w:val="21"/>
            <w:szCs w:val="21"/>
            <w:u w:val="single"/>
            <w:lang w:eastAsia="zh-CN"/>
          </w:rPr>
          <w:t>https://amr.sz.gov.cn/outer/entSelect/gs.html”。</w:t>
        </w:r>
      </w:hyperlink>
    </w:p>
    <w:p>
      <w:pPr>
        <w:widowControl w:val="0"/>
        <w:jc w:val="both"/>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宋体" w:eastAsia="宋体" w:hAnsi="宋体" w:cs="宋体" w:hint="eastAsia"/>
          <w:kern w:val="2"/>
          <w:sz w:val="21"/>
          <w:szCs w:val="21"/>
          <w:lang w:eastAsia="zh-CN"/>
        </w:rPr>
      </w:pPr>
    </w:p>
    <w:p>
      <w:pPr>
        <w:keepNext/>
        <w:keepLines/>
        <w:widowControl w:val="0"/>
        <w:spacing w:before="0" w:after="0" w:line="360" w:lineRule="auto"/>
        <w:jc w:val="both"/>
        <w:outlineLvl w:val="2"/>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11"/>
        <w:gridCol w:w="6305"/>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□是，其控股股东为：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autoSpaceDE w:val="0"/>
              <w:autoSpaceDN w:val="0"/>
              <w:adjustRightInd w:val="0"/>
              <w:snapToGrid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其他主要股东及其股份占比：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autoSpaceDE w:val="0"/>
              <w:autoSpaceDN w:val="0"/>
              <w:adjustRightInd w:val="0"/>
              <w:snapToGrid w:val="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□是，该单位为：</w:t>
            </w:r>
            <w:r>
              <w:rPr>
                <w:rFonts w:ascii="宋体" w:eastAsia="宋体" w:hAnsi="宋体" w:cs="宋体" w:hint="eastAsia"/>
                <w:color w:val="000000"/>
                <w:sz w:val="21"/>
                <w:szCs w:val="21"/>
                <w:u w:val="single"/>
                <w:lang w:eastAsia="zh-CN"/>
              </w:rPr>
              <w:t xml:space="preserve">                                          </w:t>
            </w:r>
          </w:p>
          <w:p>
            <w:pPr>
              <w:widowControl w:val="0"/>
              <w:autoSpaceDE w:val="0"/>
              <w:autoSpaceDN w:val="0"/>
              <w:adjustRightInd w:val="0"/>
              <w:snapToGrid w:val="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□是，与招标人的关系为：</w:t>
            </w:r>
            <w:r>
              <w:rPr>
                <w:rFonts w:ascii="宋体" w:eastAsia="宋体" w:hAnsi="宋体" w:cs="宋体" w:hint="eastAsia"/>
                <w:color w:val="000000"/>
                <w:sz w:val="21"/>
                <w:szCs w:val="21"/>
                <w:u w:val="single"/>
                <w:lang w:eastAsia="zh-CN"/>
              </w:rPr>
              <w:t xml:space="preserve">                                   </w:t>
            </w:r>
          </w:p>
          <w:p>
            <w:pPr>
              <w:widowControl w:val="0"/>
              <w:autoSpaceDE w:val="0"/>
              <w:autoSpaceDN w:val="0"/>
              <w:adjustRightInd w:val="0"/>
              <w:snapToGrid w:val="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□否</w:t>
            </w:r>
          </w:p>
        </w:tc>
      </w:tr>
    </w:tbl>
    <w:p>
      <w:pPr>
        <w:widowControl w:val="0"/>
        <w:autoSpaceDE w:val="0"/>
        <w:autoSpaceDN w:val="0"/>
        <w:adjustRightInd w:val="0"/>
        <w:snapToGrid w:val="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autoSpaceDE w:val="0"/>
        <w:autoSpaceDN w:val="0"/>
        <w:adjustRightInd w:val="0"/>
        <w:snapToGrid w:val="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autoSpaceDE w:val="0"/>
        <w:autoSpaceDN w:val="0"/>
        <w:adjustRightInd w:val="0"/>
        <w:snapToGrid w:val="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keepNext w:val="0"/>
        <w:keepLines w:val="0"/>
        <w:pageBreakBefore w:val="0"/>
        <w:widowControl/>
        <w:kinsoku w:val="0"/>
        <w:wordWrap w:val="0"/>
        <w:overflowPunct/>
        <w:topLinePunct w:val="0"/>
        <w:autoSpaceDE w:val="0"/>
        <w:autoSpaceDN w:val="0"/>
        <w:bidi w:val="0"/>
        <w:adjustRightInd w:val="0"/>
        <w:snapToGrid w:val="0"/>
        <w:spacing w:before="15" w:line="312" w:lineRule="exact"/>
        <w:ind w:left="452"/>
        <w:jc w:val="both"/>
        <w:textAlignment w:val="baseline"/>
        <w:rPr>
          <w:rFonts w:ascii="宋体" w:eastAsia="宋体" w:hAnsi="宋体" w:cs="宋体" w:hint="eastAsia"/>
          <w:color w:val="0C0C0C"/>
          <w:spacing w:val="12"/>
          <w:kern w:val="2"/>
          <w:position w:val="2"/>
          <w:sz w:val="20"/>
          <w:szCs w:val="20"/>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245" w:lineRule="auto"/>
        <w:jc w:val="both"/>
        <w:textAlignment w:val="baseline"/>
        <w:rPr>
          <w:rFonts w:eastAsia="宋体"/>
          <w:b/>
          <w:bCs/>
          <w:kern w:val="2"/>
          <w:lang w:eastAsia="zh-CN"/>
        </w:rPr>
      </w:pPr>
    </w:p>
    <w:p>
      <w:pPr>
        <w:keepNext w:val="0"/>
        <w:keepLines w:val="0"/>
        <w:pageBreakBefore w:val="0"/>
        <w:widowControl/>
        <w:kinsoku w:val="0"/>
        <w:wordWrap w:val="0"/>
        <w:overflowPunct/>
        <w:topLinePunct w:val="0"/>
        <w:autoSpaceDE w:val="0"/>
        <w:autoSpaceDN w:val="0"/>
        <w:bidi w:val="0"/>
        <w:adjustRightInd w:val="0"/>
        <w:snapToGrid w:val="0"/>
        <w:spacing w:before="116" w:line="13596" w:lineRule="exact"/>
        <w:ind w:firstLine="434"/>
        <w:jc w:val="both"/>
        <w:textAlignment w:val="baseline"/>
        <w:rPr>
          <w:rFonts w:eastAsia="宋体"/>
          <w:kern w:val="2"/>
          <w:sz w:val="21"/>
          <w:lang w:eastAsia="zh-CN"/>
        </w:rPr>
      </w:pPr>
      <w:r>
        <w:rPr>
          <w:position w:val="-271"/>
        </w:rPr>
        <w:drawing>
          <wp:inline distT="0" distB="0" distL="0" distR="0">
            <wp:extent cx="4780280" cy="7652385"/>
            <wp:effectExtent l="0" t="0" r="1270" b="5715"/>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xmlns:r="http://schemas.openxmlformats.org/officeDocument/2006/relationships" r:embed="rId12"/>
                    <a:stretch>
                      <a:fillRect/>
                    </a:stretch>
                  </pic:blipFill>
                  <pic:spPr>
                    <a:xfrm>
                      <a:off x="0" y="0"/>
                      <a:ext cx="4780280" cy="7652385"/>
                    </a:xfrm>
                    <a:prstGeom prst="rect">
                      <a:avLst/>
                    </a:prstGeom>
                  </pic:spPr>
                </pic:pic>
              </a:graphicData>
            </a:graphic>
          </wp:inline>
        </w:drawing>
      </w:r>
    </w:p>
    <w:p>
      <w:pPr>
        <w:keepNext w:val="0"/>
        <w:keepLines w:val="0"/>
        <w:pageBreakBefore w:val="0"/>
        <w:widowControl/>
        <w:kinsoku w:val="0"/>
        <w:wordWrap w:val="0"/>
        <w:overflowPunct/>
        <w:topLinePunct w:val="0"/>
        <w:autoSpaceDE w:val="0"/>
        <w:autoSpaceDN w:val="0"/>
        <w:bidi w:val="0"/>
        <w:adjustRightInd w:val="0"/>
        <w:snapToGrid w:val="0"/>
        <w:spacing w:line="241" w:lineRule="auto"/>
        <w:jc w:val="both"/>
        <w:textAlignment w:val="baseline"/>
        <w:rPr>
          <w:rFonts w:eastAsia="宋体"/>
          <w:b/>
          <w:bCs/>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3"/>
        <w:rPr>
          <w:rFonts w:ascii="宋体" w:eastAsia="宋体" w:hAnsi="宋体" w:cs="宋体" w:hint="eastAsia"/>
          <w:b/>
          <w:szCs w:val="32"/>
          <w:lang w:eastAsia="zh-CN"/>
        </w:rPr>
      </w:pPr>
      <w:bookmarkStart w:id="61" w:name="_Hlk72257908"/>
      <w:r>
        <w:rPr>
          <w:rFonts w:ascii="宋体" w:eastAsia="宋体" w:hAnsi="宋体" w:cs="宋体" w:hint="eastAsia"/>
          <w:b/>
          <w:szCs w:val="32"/>
          <w:lang w:eastAsia="zh-CN"/>
        </w:rPr>
        <w:t>（二）中小企业声明函、残疾人福利性单位声明函及监狱企业声明函</w:t>
      </w:r>
    </w:p>
    <w:bookmarkEnd w:id="60"/>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填写指引：</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
          <w:bCs/>
          <w:color w:val="FF0000"/>
          <w:kern w:val="2"/>
          <w:sz w:val="21"/>
          <w:szCs w:val="21"/>
          <w:lang w:eastAsia="zh-CN"/>
        </w:rPr>
      </w:pPr>
      <w:r>
        <w:rPr>
          <w:rFonts w:ascii="宋体" w:eastAsia="宋体" w:hAnsi="宋体" w:cs="宋体" w:hint="eastAsia"/>
          <w:b/>
          <w:bCs/>
          <w:color w:val="FF0000"/>
          <w:kern w:val="2"/>
          <w:sz w:val="21"/>
          <w:szCs w:val="21"/>
          <w:lang w:eastAsia="zh-CN"/>
        </w:rPr>
        <w:t>1、该部分内容由投标人根据自身实际情况填写，不符合要求的投标人可以不填写或直接删除相应的声明函（关于视同中小企业的其他主体（如民办非企、社会组织团体等）请遵照《财政部《政府采购促进中小企业发展管理办法》（财库〔2020〕46号）》第二十三条 “关于视同中小企业的其他主体的政府采购扶持政策，由财政部会同有关部门另行规定”谨慎填写！）。投标人提供的声明函不属实的，属于提供虚假资料谋取中标，依照《中华人民共和国政府采购法》等国家有关规定追究相应责任。</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2、该部分内容填写需要参考的相关文件：(1)财政部《政府采购促进中小企业发展管理办法》（财库〔2020〕46号）；(2)</w:t>
      </w:r>
      <w:bookmarkStart w:id="62" w:name="_Hlk71925120"/>
      <w:r>
        <w:rPr>
          <w:rFonts w:ascii="宋体" w:eastAsia="宋体" w:hAnsi="宋体" w:cs="宋体" w:hint="eastAsia"/>
          <w:color w:val="FF0000"/>
          <w:kern w:val="2"/>
          <w:sz w:val="21"/>
          <w:szCs w:val="21"/>
          <w:lang w:eastAsia="zh-CN"/>
        </w:rPr>
        <w:t>《工业和信息化部、国家统计局、国家发展和改革委员会、财政部关于印发中小企业划型标准规定的通知》（工信部联企业〔2011〕300 号</w:t>
      </w:r>
      <w:bookmarkEnd w:id="62"/>
      <w:r>
        <w:rPr>
          <w:rFonts w:ascii="宋体" w:eastAsia="宋体" w:hAnsi="宋体" w:cs="宋体" w:hint="eastAsia"/>
          <w:color w:val="FF0000"/>
          <w:kern w:val="2"/>
          <w:sz w:val="21"/>
          <w:szCs w:val="21"/>
          <w:lang w:eastAsia="zh-CN"/>
        </w:rPr>
        <w:t>，以下简称300号文）。</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3、请依照提供的格式和内容填写声明函，不要随意变更格式；声明函不需要盖章或签字；</w:t>
      </w:r>
      <w:r>
        <w:rPr>
          <w:rFonts w:ascii="宋体" w:eastAsia="宋体" w:hAnsi="宋体" w:cs="宋体" w:hint="eastAsia"/>
          <w:color w:val="FF0000"/>
          <w:kern w:val="2"/>
          <w:sz w:val="21"/>
          <w:szCs w:val="21"/>
          <w:lang w:eastAsia="zh-CN"/>
        </w:rPr>
        <w:t>满足多项优惠政策的投标人，不重复享受多项价格扣除政策。</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4、声明函具体填写要求：</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（1）声明是中小企业须填写《中小企业声明函》的以下内容：</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第一处，在“单位名称”下划线处如实填写采购人名称（深圳市泽钧招标有限公司不是本项目的采购人，而是组织实施机构）；</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第二处，在“项目名称”下划线处如实填写采购项目名称；</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（2）声明是残疾人福利性单位须填写《残疾人福利性单位声明函》的相关内容，具体参照以上《中小企业声明函》填写要求执行。</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（3）声明是监狱企业须填写《监狱企业声明函》的三项内容（填写位置的字体已加粗），具体参照以上《中小企业声明函》填写要求执行。</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b/>
          <w:color w:val="FF0000"/>
          <w:sz w:val="21"/>
          <w:szCs w:val="21"/>
          <w:highlight w:val="green"/>
          <w:u w:val="single"/>
          <w:lang w:eastAsia="zh-CN"/>
        </w:rPr>
      </w:pPr>
      <w:r>
        <w:rPr>
          <w:rFonts w:ascii="宋体" w:eastAsia="宋体" w:hAnsi="宋体" w:cs="宋体" w:hint="eastAsia"/>
          <w:b/>
          <w:color w:val="FF0000"/>
          <w:sz w:val="21"/>
          <w:szCs w:val="21"/>
          <w:highlight w:val="green"/>
          <w:u w:val="single"/>
          <w:lang w:eastAsia="zh-CN"/>
        </w:rPr>
        <w:t>（4）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pPr>
        <w:pageBreakBefore w:val="0"/>
        <w:widowControl w:val="0"/>
        <w:kinsoku/>
        <w:overflowPunct/>
        <w:topLinePunct w:val="0"/>
        <w:autoSpaceDE/>
        <w:autoSpaceDN/>
        <w:bidi w:val="0"/>
        <w:spacing w:beforeAutospacing="0" w:afterAutospacing="0" w:line="240" w:lineRule="auto"/>
        <w:ind w:left="0" w:right="0" w:firstLine="0" w:leftChars="0" w:firstLineChars="0"/>
        <w:jc w:val="both"/>
        <w:outlineLvl w:val="9"/>
        <w:rPr>
          <w:rFonts w:ascii="宋体" w:eastAsia="宋体" w:hAnsi="宋体" w:cs="宋体" w:hint="eastAsia"/>
          <w:kern w:val="2"/>
          <w:sz w:val="21"/>
          <w:lang w:eastAsia="zh-CN"/>
        </w:rPr>
      </w:pPr>
      <w:r>
        <w:rPr>
          <w:rFonts w:ascii="宋体" w:eastAsia="宋体" w:hAnsi="宋体" w:cs="宋体" w:hint="eastAsia"/>
          <w:bCs/>
          <w:color w:val="FF0000"/>
          <w:sz w:val="21"/>
          <w:szCs w:val="21"/>
          <w:lang w:eastAsia="zh-CN"/>
        </w:rPr>
        <w:t>5、声明函的有效性最终由评审委员会判定；如评审委员会判定声明函无效，相关供应商不享受</w:t>
      </w:r>
      <w:r>
        <w:rPr>
          <w:rFonts w:ascii="宋体" w:eastAsia="宋体" w:hAnsi="宋体" w:cs="宋体" w:hint="eastAsia"/>
          <w:color w:val="FF0000"/>
          <w:kern w:val="2"/>
          <w:sz w:val="21"/>
          <w:szCs w:val="21"/>
          <w:lang w:eastAsia="zh-CN"/>
        </w:rPr>
        <w:t>价格扣除</w:t>
      </w:r>
      <w:r>
        <w:rPr>
          <w:rFonts w:ascii="宋体" w:eastAsia="宋体" w:hAnsi="宋体" w:cs="宋体" w:hint="eastAsia"/>
          <w:bCs/>
          <w:color w:val="FF0000"/>
          <w:sz w:val="21"/>
          <w:szCs w:val="21"/>
          <w:lang w:eastAsia="zh-CN"/>
        </w:rPr>
        <w:t>（但不作投标无效处理）。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br w:type="page"/>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lang w:eastAsia="zh-CN"/>
        </w:rPr>
      </w:pPr>
    </w:p>
    <w:p>
      <w:pPr>
        <w:pageBreakBefore w:val="0"/>
        <w:widowControl w:val="0"/>
        <w:kinsoku/>
        <w:overflowPunct/>
        <w:topLinePunct w:val="0"/>
        <w:autoSpaceDE/>
        <w:autoSpaceDN/>
        <w:bidi w:val="0"/>
        <w:spacing w:line="360" w:lineRule="auto"/>
        <w:ind w:left="0" w:firstLine="0" w:firstLineChars="0"/>
        <w:jc w:val="center"/>
        <w:outlineLvl w:val="9"/>
        <w:rPr>
          <w:rFonts w:ascii="宋体" w:eastAsia="宋体" w:hAnsi="宋体" w:cs="宋体" w:hint="eastAsia"/>
          <w:kern w:val="2"/>
          <w:sz w:val="21"/>
          <w:szCs w:val="21"/>
          <w:lang w:eastAsia="zh-CN"/>
        </w:rPr>
      </w:pPr>
      <w:r>
        <w:rPr>
          <w:rFonts w:ascii="宋体" w:eastAsia="宋体" w:hAnsi="宋体" w:cs="宋体" w:hint="eastAsia"/>
          <w:b/>
          <w:kern w:val="2"/>
          <w:lang w:eastAsia="zh-CN"/>
        </w:rPr>
        <w:t>1、</w:t>
      </w:r>
      <w:bookmarkStart w:id="63" w:name="_Hlk73562275"/>
      <w:r>
        <w:rPr>
          <w:rFonts w:ascii="宋体" w:eastAsia="宋体" w:hAnsi="宋体" w:cs="宋体" w:hint="eastAsia"/>
          <w:b/>
          <w:kern w:val="2"/>
          <w:lang w:eastAsia="zh-CN"/>
        </w:rPr>
        <w:t>中小企业声明函（货物）</w:t>
      </w:r>
    </w:p>
    <w:p>
      <w:pPr>
        <w:pageBreakBefore w:val="0"/>
        <w:widowControl w:val="0"/>
        <w:kinsoku/>
        <w:overflowPunct/>
        <w:topLinePunct w:val="0"/>
        <w:autoSpaceDE/>
        <w:autoSpaceDN/>
        <w:bidi w:val="0"/>
        <w:spacing w:line="360" w:lineRule="auto"/>
        <w:ind w:left="0" w:firstLine="0" w:firstLineChars="0"/>
        <w:jc w:val="both"/>
        <w:outlineLvl w:val="9"/>
        <w:rPr>
          <w:rFonts w:ascii="宋体" w:eastAsia="宋体" w:hAnsi="宋体" w:cs="宋体" w:hint="eastAsia"/>
          <w:b/>
          <w:bCs/>
          <w:kern w:val="2"/>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本公司（联合体）郑重声明，根据《政府采购促进中小企业发展管理办法》（财库﹝2020﹞46 号）的规定，本公司（联合体）参加</w:t>
      </w:r>
      <w:r>
        <w:rPr>
          <w:rFonts w:ascii="宋体" w:eastAsia="宋体" w:hAnsi="宋体" w:cs="宋体" w:hint="eastAsia"/>
          <w:kern w:val="2"/>
          <w:sz w:val="21"/>
          <w:u w:val="single"/>
          <w:lang w:eastAsia="zh-CN"/>
        </w:rPr>
        <w:t>（单位名称）</w:t>
      </w:r>
      <w:r>
        <w:rPr>
          <w:rFonts w:ascii="宋体" w:eastAsia="宋体" w:hAnsi="宋体" w:cs="宋体" w:hint="eastAsia"/>
          <w:kern w:val="2"/>
          <w:sz w:val="21"/>
          <w:lang w:eastAsia="zh-CN"/>
        </w:rPr>
        <w:t>的</w:t>
      </w:r>
      <w:r>
        <w:rPr>
          <w:rFonts w:ascii="宋体" w:eastAsia="宋体" w:hAnsi="宋体" w:cs="宋体" w:hint="eastAsia"/>
          <w:kern w:val="2"/>
          <w:sz w:val="21"/>
          <w:u w:val="single"/>
          <w:lang w:eastAsia="zh-CN"/>
        </w:rPr>
        <w:t>（项目名称）</w:t>
      </w:r>
      <w:r>
        <w:rPr>
          <w:rFonts w:ascii="宋体" w:eastAsia="宋体" w:hAnsi="宋体" w:cs="宋体" w:hint="eastAsia"/>
          <w:kern w:val="2"/>
          <w:sz w:val="21"/>
          <w:lang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1. </w:t>
      </w:r>
      <w:r>
        <w:rPr>
          <w:rFonts w:ascii="宋体" w:eastAsia="宋体" w:hAnsi="宋体" w:cs="宋体" w:hint="eastAsia"/>
          <w:kern w:val="2"/>
          <w:sz w:val="21"/>
          <w:u w:val="single"/>
          <w:lang w:eastAsia="zh-CN"/>
        </w:rPr>
        <w:t xml:space="preserve">（标的名称） </w:t>
      </w:r>
      <w:r>
        <w:rPr>
          <w:rFonts w:ascii="宋体" w:eastAsia="宋体" w:hAnsi="宋体" w:cs="宋体" w:hint="eastAsia"/>
          <w:kern w:val="2"/>
          <w:sz w:val="21"/>
          <w:lang w:eastAsia="zh-CN"/>
        </w:rPr>
        <w:t>，属于</w:t>
      </w:r>
      <w:r>
        <w:rPr>
          <w:rFonts w:ascii="宋体" w:eastAsia="宋体" w:hAnsi="宋体" w:cs="宋体" w:hint="eastAsia"/>
          <w:kern w:val="2"/>
          <w:sz w:val="21"/>
          <w:u w:val="single"/>
          <w:lang w:eastAsia="zh-CN"/>
        </w:rPr>
        <w:t>（采购文件中明确的所属行业）</w:t>
      </w:r>
      <w:r>
        <w:rPr>
          <w:rFonts w:ascii="宋体" w:eastAsia="宋体" w:hAnsi="宋体" w:cs="宋体" w:hint="eastAsia"/>
          <w:kern w:val="2"/>
          <w:sz w:val="21"/>
          <w:lang w:eastAsia="zh-CN"/>
        </w:rPr>
        <w:t xml:space="preserve"> 行业；制造商为</w:t>
      </w:r>
      <w:r>
        <w:rPr>
          <w:rFonts w:ascii="宋体" w:eastAsia="宋体" w:hAnsi="宋体" w:cs="宋体" w:hint="eastAsia"/>
          <w:kern w:val="2"/>
          <w:sz w:val="21"/>
          <w:u w:val="single"/>
          <w:lang w:eastAsia="zh-CN"/>
        </w:rPr>
        <w:t>（企业名称）</w:t>
      </w:r>
      <w:r>
        <w:rPr>
          <w:rFonts w:ascii="宋体" w:eastAsia="宋体" w:hAnsi="宋体" w:cs="宋体" w:hint="eastAsia"/>
          <w:kern w:val="2"/>
          <w:sz w:val="21"/>
          <w:lang w:eastAsia="zh-CN"/>
        </w:rPr>
        <w:t>，从业人员</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u w:val="single"/>
          <w:lang w:eastAsia="zh-CN"/>
        </w:rPr>
        <w:tab/>
      </w:r>
      <w:r>
        <w:rPr>
          <w:rFonts w:ascii="宋体" w:eastAsia="宋体" w:hAnsi="宋体" w:cs="宋体" w:hint="eastAsia"/>
          <w:kern w:val="2"/>
          <w:sz w:val="21"/>
          <w:lang w:eastAsia="zh-CN"/>
        </w:rPr>
        <w:t>人，营业收入为</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u w:val="single"/>
          <w:lang w:eastAsia="zh-CN"/>
        </w:rPr>
        <w:tab/>
      </w:r>
      <w:r>
        <w:rPr>
          <w:rFonts w:ascii="宋体" w:eastAsia="宋体" w:hAnsi="宋体" w:cs="宋体" w:hint="eastAsia"/>
          <w:kern w:val="2"/>
          <w:sz w:val="21"/>
          <w:lang w:eastAsia="zh-CN"/>
        </w:rPr>
        <w:t>万元，资产总额为</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u w:val="single"/>
          <w:lang w:eastAsia="zh-CN"/>
        </w:rPr>
        <w:tab/>
      </w:r>
      <w:r>
        <w:rPr>
          <w:rFonts w:ascii="宋体" w:eastAsia="宋体" w:hAnsi="宋体" w:cs="宋体" w:hint="eastAsia"/>
          <w:kern w:val="2"/>
          <w:sz w:val="21"/>
          <w:lang w:eastAsia="zh-CN"/>
        </w:rPr>
        <w:t>万元，属于</w:t>
      </w:r>
      <w:r>
        <w:rPr>
          <w:rFonts w:ascii="宋体" w:eastAsia="宋体" w:hAnsi="宋体" w:cs="宋体" w:hint="eastAsia"/>
          <w:kern w:val="2"/>
          <w:sz w:val="21"/>
          <w:u w:val="single"/>
          <w:lang w:eastAsia="zh-CN"/>
        </w:rPr>
        <w:t>（中型企业、小 型企业、微型企业）</w:t>
      </w:r>
      <w:r>
        <w:rPr>
          <w:rFonts w:ascii="宋体" w:eastAsia="宋体" w:hAnsi="宋体" w:cs="宋体" w:hint="eastAsia"/>
          <w:kern w:val="2"/>
          <w:sz w:val="21"/>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jc w:val="both"/>
        <w:textAlignment w:val="auto"/>
        <w:outlineLvl w:val="9"/>
        <w:rPr>
          <w:rFonts w:ascii="宋体" w:eastAsia="宋体" w:hAnsi="宋体" w:cs="宋体" w:hint="eastAsia"/>
          <w:kern w:val="2"/>
          <w:sz w:val="21"/>
          <w:lang w:eastAsia="zh-CN"/>
        </w:rPr>
      </w:pPr>
      <w:r>
        <w:rPr>
          <w:rFonts w:ascii="宋体" w:eastAsia="宋体" w:hAnsi="宋体" w:cs="宋体" w:hint="eastAsia"/>
          <w:kern w:val="2"/>
          <w:sz w:val="21"/>
          <w:u w:val="single"/>
          <w:lang w:eastAsia="zh-CN"/>
        </w:rPr>
        <w:t>（标的名称）</w:t>
      </w:r>
      <w:r>
        <w:rPr>
          <w:rFonts w:ascii="宋体" w:eastAsia="宋体" w:hAnsi="宋体" w:cs="宋体" w:hint="eastAsia"/>
          <w:kern w:val="2"/>
          <w:sz w:val="21"/>
          <w:lang w:eastAsia="zh-CN"/>
        </w:rPr>
        <w:t xml:space="preserve"> ，属于</w:t>
      </w:r>
      <w:r>
        <w:rPr>
          <w:rFonts w:ascii="宋体" w:eastAsia="宋体" w:hAnsi="宋体" w:cs="宋体" w:hint="eastAsia"/>
          <w:kern w:val="2"/>
          <w:sz w:val="21"/>
          <w:u w:val="single"/>
          <w:lang w:eastAsia="zh-CN"/>
        </w:rPr>
        <w:t>（采购文件中明确的所属行业）</w:t>
      </w:r>
      <w:r>
        <w:rPr>
          <w:rFonts w:ascii="宋体" w:eastAsia="宋体" w:hAnsi="宋体" w:cs="宋体" w:hint="eastAsia"/>
          <w:kern w:val="2"/>
          <w:sz w:val="21"/>
          <w:lang w:eastAsia="zh-CN"/>
        </w:rPr>
        <w:t>行业；制造商为</w:t>
      </w:r>
      <w:r>
        <w:rPr>
          <w:rFonts w:ascii="宋体" w:eastAsia="宋体" w:hAnsi="宋体" w:cs="宋体" w:hint="eastAsia"/>
          <w:kern w:val="2"/>
          <w:sz w:val="21"/>
          <w:u w:val="single"/>
          <w:lang w:eastAsia="zh-CN"/>
        </w:rPr>
        <w:t>（企业名称）</w:t>
      </w:r>
      <w:r>
        <w:rPr>
          <w:rFonts w:ascii="宋体" w:eastAsia="宋体" w:hAnsi="宋体" w:cs="宋体" w:hint="eastAsia"/>
          <w:kern w:val="2"/>
          <w:sz w:val="21"/>
          <w:lang w:eastAsia="zh-CN"/>
        </w:rPr>
        <w:t>，从业人员</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u w:val="single"/>
          <w:lang w:eastAsia="zh-CN"/>
        </w:rPr>
        <w:tab/>
      </w:r>
      <w:r>
        <w:rPr>
          <w:rFonts w:ascii="宋体" w:eastAsia="宋体" w:hAnsi="宋体" w:cs="宋体" w:hint="eastAsia"/>
          <w:kern w:val="2"/>
          <w:sz w:val="21"/>
          <w:lang w:eastAsia="zh-CN"/>
        </w:rPr>
        <w:t>人，营业收入 为</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u w:val="single"/>
          <w:lang w:eastAsia="zh-CN"/>
        </w:rPr>
        <w:tab/>
      </w:r>
      <w:r>
        <w:rPr>
          <w:rFonts w:ascii="宋体" w:eastAsia="宋体" w:hAnsi="宋体" w:cs="宋体" w:hint="eastAsia"/>
          <w:kern w:val="2"/>
          <w:sz w:val="21"/>
          <w:lang w:eastAsia="zh-CN"/>
        </w:rPr>
        <w:t>万元，资产总额为</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u w:val="single"/>
          <w:lang w:eastAsia="zh-CN"/>
        </w:rPr>
        <w:tab/>
      </w:r>
      <w:r>
        <w:rPr>
          <w:rFonts w:ascii="宋体" w:eastAsia="宋体" w:hAnsi="宋体" w:cs="宋体" w:hint="eastAsia"/>
          <w:kern w:val="2"/>
          <w:sz w:val="21"/>
          <w:lang w:eastAsia="zh-CN"/>
        </w:rPr>
        <w:t>万元，属于</w:t>
      </w:r>
      <w:r>
        <w:rPr>
          <w:rFonts w:ascii="宋体" w:eastAsia="宋体" w:hAnsi="宋体" w:cs="宋体" w:hint="eastAsia"/>
          <w:kern w:val="2"/>
          <w:sz w:val="21"/>
          <w:u w:val="single"/>
          <w:lang w:eastAsia="zh-CN"/>
        </w:rPr>
        <w:t>（中型企业、小型企业、微型企业）</w:t>
      </w:r>
      <w:r>
        <w:rPr>
          <w:rFonts w:ascii="宋体" w:eastAsia="宋体" w:hAnsi="宋体" w:cs="宋体" w:hint="eastAsia"/>
          <w:kern w:val="2"/>
          <w:sz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ascii="宋体" w:eastAsia="宋体" w:hAnsi="宋体" w:cs="宋体" w:hint="eastAsia"/>
          <w:kern w:val="2"/>
          <w:sz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本企业对上述声明内容的真实性负责。如有虚假，将依法承担相应责任。</w:t>
      </w:r>
    </w:p>
    <w:p>
      <w:pPr>
        <w:pageBreakBefore w:val="0"/>
        <w:widowControl w:val="0"/>
        <w:kinsoku/>
        <w:overflowPunct/>
        <w:topLinePunct w:val="0"/>
        <w:autoSpaceDE/>
        <w:autoSpaceDN/>
        <w:bidi w:val="0"/>
        <w:spacing w:line="360" w:lineRule="auto"/>
        <w:ind w:left="0" w:firstLine="0" w:firstLineChars="0"/>
        <w:jc w:val="both"/>
        <w:outlineLvl w:val="9"/>
        <w:rPr>
          <w:rFonts w:ascii="宋体" w:eastAsia="宋体" w:hAnsi="宋体" w:cs="宋体" w:hint="eastAsia"/>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企业名称：</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 期：</w:t>
      </w:r>
    </w:p>
    <w:p>
      <w:pPr>
        <w:pageBreakBefore w:val="0"/>
        <w:widowControl w:val="0"/>
        <w:kinsoku/>
        <w:overflowPunct/>
        <w:topLinePunct w:val="0"/>
        <w:autoSpaceDE/>
        <w:autoSpaceDN/>
        <w:bidi w:val="0"/>
        <w:spacing w:line="360" w:lineRule="auto"/>
        <w:ind w:left="0" w:firstLine="0" w:firstLineChars="0"/>
        <w:jc w:val="both"/>
        <w:outlineLvl w:val="9"/>
        <w:rPr>
          <w:rFonts w:ascii="宋体" w:eastAsia="宋体" w:hAnsi="宋体" w:cs="宋体" w:hint="eastAsia"/>
          <w:kern w:val="2"/>
          <w:sz w:val="21"/>
          <w:lang w:eastAsia="zh-CN"/>
        </w:rPr>
      </w:pPr>
    </w:p>
    <w:p>
      <w:pPr>
        <w:pageBreakBefore w:val="0"/>
        <w:widowControl w:val="0"/>
        <w:kinsoku/>
        <w:overflowPunct/>
        <w:topLinePunct w:val="0"/>
        <w:autoSpaceDE/>
        <w:autoSpaceDN/>
        <w:bidi w:val="0"/>
        <w:spacing w:line="240" w:lineRule="auto"/>
        <w:ind w:left="0" w:firstLine="0" w:firstLineChars="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注： 从业人员、营业收入、资产总额填报上一年度数据，无上一年度数据的新成立企业可不填报。</w:t>
      </w:r>
    </w:p>
    <w:p>
      <w:pPr>
        <w:pageBreakBefore w:val="0"/>
        <w:widowControl w:val="0"/>
        <w:kinsoku/>
        <w:overflowPunct/>
        <w:topLinePunct w:val="0"/>
        <w:autoSpaceDE/>
        <w:autoSpaceDN/>
        <w:bidi w:val="0"/>
        <w:spacing w:line="240" w:lineRule="auto"/>
        <w:ind w:left="0" w:firstLine="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3"/>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bCs/>
          <w:color w:val="FF0000"/>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lang w:eastAsia="zh-CN"/>
        </w:rPr>
      </w:pP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br w:type="page"/>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b/>
          <w:kern w:val="2"/>
          <w:lang w:eastAsia="zh-CN"/>
        </w:rPr>
      </w:pPr>
      <w:r>
        <w:rPr>
          <w:rFonts w:ascii="宋体" w:eastAsia="宋体" w:hAnsi="宋体" w:cs="宋体" w:hint="eastAsia"/>
          <w:b/>
          <w:kern w:val="2"/>
          <w:lang w:eastAsia="zh-CN"/>
        </w:rPr>
        <w:t>2、残疾人福利性单位声明函（货物类）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b/>
          <w:bCs/>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本投标人郑重声明，根据《财政部民政部中国残疾人联合会关于促进残疾人就业政府采购政策的通知》（财库〔2017〕141 号）的规定，本投标人参加</w:t>
      </w:r>
      <w:r>
        <w:rPr>
          <w:rFonts w:ascii="宋体" w:eastAsia="宋体" w:hAnsi="宋体" w:cs="宋体" w:hint="eastAsia"/>
          <w:b/>
          <w:bCs/>
          <w:kern w:val="2"/>
          <w:sz w:val="21"/>
          <w:szCs w:val="21"/>
          <w:u w:val="single"/>
          <w:lang w:eastAsia="zh-CN"/>
        </w:rPr>
        <w:t>（采购人名称）</w:t>
      </w:r>
      <w:r>
        <w:rPr>
          <w:rFonts w:ascii="宋体" w:eastAsia="宋体" w:hAnsi="宋体" w:cs="宋体" w:hint="eastAsia"/>
          <w:kern w:val="2"/>
          <w:sz w:val="21"/>
          <w:szCs w:val="21"/>
          <w:lang w:eastAsia="zh-CN"/>
        </w:rPr>
        <w:t>的</w:t>
      </w:r>
      <w:r>
        <w:rPr>
          <w:rFonts w:ascii="宋体" w:eastAsia="宋体" w:hAnsi="宋体" w:cs="宋体" w:hint="eastAsia"/>
          <w:b/>
          <w:b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采购活动，提供的货物全部由符合政策要求的残疾人福利性单位制造。相关残疾人福利性单位的具体情况如下：</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 xml:space="preserve"> （标的名称）</w:t>
      </w:r>
      <w:r>
        <w:rPr>
          <w:rFonts w:ascii="宋体" w:eastAsia="宋体" w:hAnsi="宋体" w:cs="宋体" w:hint="eastAsia"/>
          <w:kern w:val="2"/>
          <w:sz w:val="21"/>
          <w:szCs w:val="21"/>
          <w:lang w:eastAsia="zh-CN"/>
        </w:rPr>
        <w:t xml:space="preserve"> ，制造商为</w:t>
      </w:r>
      <w:r>
        <w:rPr>
          <w:rFonts w:ascii="宋体" w:eastAsia="宋体" w:hAnsi="宋体" w:cs="宋体" w:hint="eastAsia"/>
          <w:b/>
          <w:bCs/>
          <w:kern w:val="2"/>
          <w:sz w:val="21"/>
          <w:szCs w:val="21"/>
          <w:u w:val="single"/>
          <w:lang w:eastAsia="zh-CN"/>
        </w:rPr>
        <w:t>（单位名称）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残疾人福利性单位</w:t>
      </w:r>
      <w:r>
        <w:rPr>
          <w:rFonts w:ascii="宋体" w:eastAsia="宋体" w:hAnsi="宋体" w:cs="宋体" w:hint="eastAsia"/>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kern w:val="2"/>
          <w:sz w:val="21"/>
          <w:szCs w:val="21"/>
          <w:u w:val="single"/>
          <w:lang w:eastAsia="zh-CN"/>
        </w:rPr>
        <w:t xml:space="preserve"> （标的名称）</w:t>
      </w:r>
      <w:r>
        <w:rPr>
          <w:rFonts w:ascii="宋体" w:eastAsia="宋体" w:hAnsi="宋体" w:cs="宋体" w:hint="eastAsia"/>
          <w:kern w:val="2"/>
          <w:sz w:val="21"/>
          <w:szCs w:val="21"/>
          <w:lang w:eastAsia="zh-CN"/>
        </w:rPr>
        <w:t xml:space="preserve"> ，制造商为</w:t>
      </w:r>
      <w:r>
        <w:rPr>
          <w:rFonts w:ascii="宋体" w:eastAsia="宋体" w:hAnsi="宋体" w:cs="宋体" w:hint="eastAsia"/>
          <w:b/>
          <w:bCs/>
          <w:kern w:val="2"/>
          <w:sz w:val="21"/>
          <w:szCs w:val="21"/>
          <w:u w:val="single"/>
          <w:lang w:eastAsia="zh-CN"/>
        </w:rPr>
        <w:t>（单位名称）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残疾人福利性单位</w:t>
      </w:r>
      <w:r>
        <w:rPr>
          <w:rFonts w:ascii="宋体" w:eastAsia="宋体" w:hAnsi="宋体" w:cs="宋体" w:hint="eastAsia"/>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bookmarkStart w:id="64" w:name="_Hlk73562331"/>
      <w:bookmarkStart w:id="65" w:name="_Hlk73562245"/>
      <w:r>
        <w:rPr>
          <w:rFonts w:ascii="宋体" w:eastAsia="宋体" w:hAnsi="宋体" w:cs="宋体" w:hint="eastAsia"/>
          <w:kern w:val="2"/>
          <w:sz w:val="21"/>
          <w:lang w:eastAsia="zh-CN"/>
        </w:rPr>
        <w:t>本投标人已知悉《财政部民政部中国残疾人联合会关于促进残疾人就业政府采购政策的通知》（财库〔2017〕141 号）的规定，承诺提供的声明函内容是真实的，如提供声明函内容不实，则依法追究相关法律责任。</w:t>
      </w:r>
      <w:bookmarkEnd w:id="64"/>
    </w:p>
    <w:bookmarkEnd w:id="65"/>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企业名称：</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 期：</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b/>
          <w:kern w:val="2"/>
          <w:lang w:eastAsia="zh-CN"/>
        </w:rPr>
      </w:pPr>
      <w:r>
        <w:rPr>
          <w:rFonts w:ascii="宋体" w:eastAsia="宋体" w:hAnsi="宋体" w:cs="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本投标人郑重声明，根据《财政部司法部关于政府采购支持监狱企业发展有关问题的通知》（财库〔2014〕68号）的规定，本投标人参加</w:t>
      </w:r>
      <w:r>
        <w:rPr>
          <w:rFonts w:ascii="宋体" w:eastAsia="宋体" w:hAnsi="宋体" w:cs="宋体" w:hint="eastAsia"/>
          <w:b/>
          <w:bCs/>
          <w:kern w:val="2"/>
          <w:sz w:val="21"/>
          <w:szCs w:val="21"/>
          <w:u w:val="single"/>
          <w:lang w:eastAsia="zh-CN"/>
        </w:rPr>
        <w:t>（采购人名称）</w:t>
      </w:r>
      <w:r>
        <w:rPr>
          <w:rFonts w:ascii="宋体" w:eastAsia="宋体" w:hAnsi="宋体" w:cs="宋体" w:hint="eastAsia"/>
          <w:kern w:val="2"/>
          <w:sz w:val="21"/>
          <w:szCs w:val="21"/>
          <w:lang w:eastAsia="zh-CN"/>
        </w:rPr>
        <w:t>的</w:t>
      </w:r>
      <w:r>
        <w:rPr>
          <w:rFonts w:ascii="宋体" w:eastAsia="宋体" w:hAnsi="宋体" w:cs="宋体" w:hint="eastAsia"/>
          <w:b/>
          <w:b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采购活动，提供的货物全部由符合政策要求的监狱企业制造。相关监狱企业的具体情况如下：</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 xml:space="preserve"> （标的名称）</w:t>
      </w:r>
      <w:r>
        <w:rPr>
          <w:rFonts w:ascii="宋体" w:eastAsia="宋体" w:hAnsi="宋体" w:cs="宋体" w:hint="eastAsia"/>
          <w:kern w:val="2"/>
          <w:sz w:val="21"/>
          <w:szCs w:val="21"/>
          <w:lang w:eastAsia="zh-CN"/>
        </w:rPr>
        <w:t xml:space="preserve"> ，制造商为</w:t>
      </w:r>
      <w:r>
        <w:rPr>
          <w:rFonts w:ascii="宋体" w:eastAsia="宋体" w:hAnsi="宋体" w:cs="宋体" w:hint="eastAsia"/>
          <w:b/>
          <w:bCs/>
          <w:kern w:val="2"/>
          <w:sz w:val="21"/>
          <w:szCs w:val="21"/>
          <w:u w:val="single"/>
          <w:lang w:eastAsia="zh-CN"/>
        </w:rPr>
        <w:t>（企业名称）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监狱企业</w:t>
      </w:r>
      <w:r>
        <w:rPr>
          <w:rFonts w:ascii="宋体" w:eastAsia="宋体" w:hAnsi="宋体" w:cs="宋体" w:hint="eastAsia"/>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kern w:val="2"/>
          <w:sz w:val="21"/>
          <w:szCs w:val="21"/>
          <w:u w:val="single"/>
          <w:lang w:eastAsia="zh-CN"/>
        </w:rPr>
        <w:t xml:space="preserve"> （标的名称）</w:t>
      </w:r>
      <w:r>
        <w:rPr>
          <w:rFonts w:ascii="宋体" w:eastAsia="宋体" w:hAnsi="宋体" w:cs="宋体" w:hint="eastAsia"/>
          <w:kern w:val="2"/>
          <w:sz w:val="21"/>
          <w:szCs w:val="21"/>
          <w:lang w:eastAsia="zh-CN"/>
        </w:rPr>
        <w:t xml:space="preserve"> ，制造商为</w:t>
      </w:r>
      <w:r>
        <w:rPr>
          <w:rFonts w:ascii="宋体" w:eastAsia="宋体" w:hAnsi="宋体" w:cs="宋体" w:hint="eastAsia"/>
          <w:b/>
          <w:bCs/>
          <w:kern w:val="2"/>
          <w:sz w:val="21"/>
          <w:szCs w:val="21"/>
          <w:u w:val="single"/>
          <w:lang w:eastAsia="zh-CN"/>
        </w:rPr>
        <w:t>（企业名称）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监狱企业</w:t>
      </w:r>
      <w:r>
        <w:rPr>
          <w:rFonts w:ascii="宋体" w:eastAsia="宋体" w:hAnsi="宋体" w:cs="宋体" w:hint="eastAsia"/>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附：省级以上监狱管理局、戒毒管理局（含新疆生产建设兵团）出具的监狱企业证明文件。</w:t>
      </w:r>
    </w:p>
    <w:bookmarkEnd w:id="61"/>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企业名称：</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righ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 期：</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9"/>
        <w:rPr>
          <w:rFonts w:ascii="宋体" w:eastAsia="宋体" w:hAnsi="宋体" w:cs="宋体" w:hint="eastAsia"/>
          <w:b/>
          <w:bCs/>
          <w:kern w:val="2"/>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kern w:val="2"/>
          <w:sz w:val="32"/>
          <w:szCs w:val="40"/>
          <w:lang w:eastAsia="zh-CN"/>
        </w:rPr>
      </w:pPr>
      <w:bookmarkStart w:id="66" w:name="_Hlk72259976"/>
      <w:r>
        <w:rPr>
          <w:rFonts w:ascii="宋体" w:eastAsia="宋体" w:hAnsi="宋体" w:cs="宋体" w:hint="eastAsia"/>
          <w:b/>
          <w:kern w:val="2"/>
          <w:sz w:val="32"/>
          <w:szCs w:val="40"/>
          <w:lang w:eastAsia="zh-CN"/>
        </w:rPr>
        <w:t>四、项目详细报价</w:t>
      </w:r>
    </w:p>
    <w:p>
      <w:pPr>
        <w:pageBreakBefore w:val="0"/>
        <w:widowControl w:val="0"/>
        <w:tabs>
          <w:tab w:val="left" w:pos="720"/>
        </w:tabs>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（一）分项报价表</w:t>
      </w:r>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7"/>
        <w:gridCol w:w="2436"/>
        <w:gridCol w:w="838"/>
        <w:gridCol w:w="731"/>
        <w:gridCol w:w="867"/>
        <w:gridCol w:w="551"/>
        <w:gridCol w:w="444"/>
        <w:gridCol w:w="681"/>
        <w:gridCol w:w="673"/>
        <w:gridCol w:w="83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trPr>
        <w:tc>
          <w:tcPr>
            <w:tcW w:w="426"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序号</w:t>
            </w:r>
          </w:p>
        </w:tc>
        <w:tc>
          <w:tcPr>
            <w:tcW w:w="226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货物名称</w:t>
            </w:r>
          </w:p>
        </w:tc>
        <w:tc>
          <w:tcPr>
            <w:tcW w:w="7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规格/品牌/型号</w:t>
            </w:r>
          </w:p>
        </w:tc>
        <w:tc>
          <w:tcPr>
            <w:tcW w:w="6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
                <w:color w:val="FF0000"/>
                <w:kern w:val="2"/>
                <w:sz w:val="21"/>
                <w:szCs w:val="21"/>
                <w:lang w:eastAsia="zh-CN"/>
              </w:rPr>
              <w:t>原产地</w:t>
            </w:r>
          </w:p>
        </w:tc>
        <w:tc>
          <w:tcPr>
            <w:tcW w:w="80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制造商名称</w:t>
            </w:r>
          </w:p>
        </w:tc>
        <w:tc>
          <w:tcPr>
            <w:tcW w:w="5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数量</w:t>
            </w:r>
          </w:p>
        </w:tc>
        <w:tc>
          <w:tcPr>
            <w:tcW w:w="4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单位</w:t>
            </w:r>
          </w:p>
        </w:tc>
        <w:tc>
          <w:tcPr>
            <w:tcW w:w="63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单价(元)</w:t>
            </w:r>
          </w:p>
        </w:tc>
        <w:tc>
          <w:tcPr>
            <w:tcW w:w="626"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合价(元)</w:t>
            </w:r>
          </w:p>
        </w:tc>
        <w:tc>
          <w:tcPr>
            <w:tcW w:w="7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财政预算限额（元）</w:t>
            </w:r>
          </w:p>
        </w:tc>
      </w:tr>
      <w:tr>
        <w:tblPrEx>
          <w:tblW w:w="5000" w:type="pct"/>
          <w:tblInd w:w="0" w:type="dxa"/>
          <w:tblLayout w:type="fixed"/>
          <w:tblCellMar>
            <w:top w:w="0" w:type="dxa"/>
            <w:left w:w="108" w:type="dxa"/>
            <w:bottom w:w="0" w:type="dxa"/>
            <w:right w:w="108" w:type="dxa"/>
          </w:tblCellMar>
        </w:tblPrEx>
        <w:trPr>
          <w:trHeight w:val="170"/>
        </w:trPr>
        <w:tc>
          <w:tcPr>
            <w:tcW w:w="4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226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***（填写相关内容）</w:t>
            </w:r>
          </w:p>
        </w:tc>
        <w:tc>
          <w:tcPr>
            <w:tcW w:w="7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6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80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5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4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63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626"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780"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kern w:val="2"/>
                <w:sz w:val="21"/>
                <w:szCs w:val="21"/>
                <w:lang w:eastAsia="zh-CN"/>
              </w:rPr>
            </w:pPr>
            <w:r>
              <w:rPr>
                <w:rFonts w:ascii="宋体" w:eastAsia="宋体" w:hAnsi="宋体" w:cs="宋体" w:hint="eastAsia"/>
                <w:bCs/>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70"/>
        </w:trPr>
        <w:tc>
          <w:tcPr>
            <w:tcW w:w="4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w:t>
            </w:r>
          </w:p>
        </w:tc>
        <w:tc>
          <w:tcPr>
            <w:tcW w:w="226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7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6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80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5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4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63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626"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780"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4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w:t>
            </w:r>
          </w:p>
        </w:tc>
        <w:tc>
          <w:tcPr>
            <w:tcW w:w="226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7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6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80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5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4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63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626"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780"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4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w:t>
            </w:r>
          </w:p>
        </w:tc>
        <w:tc>
          <w:tcPr>
            <w:tcW w:w="226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7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6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80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5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4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63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626"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780"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70"/>
        </w:trPr>
        <w:tc>
          <w:tcPr>
            <w:tcW w:w="4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w:t>
            </w:r>
          </w:p>
        </w:tc>
        <w:tc>
          <w:tcPr>
            <w:tcW w:w="226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7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68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807"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5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413"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w:t>
            </w:r>
          </w:p>
        </w:tc>
        <w:tc>
          <w:tcPr>
            <w:tcW w:w="63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626"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p>
        </w:tc>
        <w:tc>
          <w:tcPr>
            <w:tcW w:w="780"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FF0000"/>
                <w:kern w:val="2"/>
                <w:sz w:val="21"/>
                <w:szCs w:val="21"/>
                <w:lang w:eastAsia="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注：1.本表可按同样格式扩展。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 如所投货物属于定制类的非量产货物或无具体品牌、型号的货物，可以在“规格/品牌/型号”一栏仅填写规格信息而不填写品牌、型号等信息（品牌、型号信息用“定制”描述即可）；</w:t>
      </w:r>
      <w:bookmarkStart w:id="67" w:name="_Hlk73646428"/>
      <w:r>
        <w:rPr>
          <w:rFonts w:ascii="宋体" w:eastAsia="宋体" w:hAnsi="宋体" w:cs="宋体" w:hint="eastAsia"/>
          <w:b/>
          <w:kern w:val="2"/>
          <w:sz w:val="21"/>
          <w:szCs w:val="21"/>
          <w:lang w:eastAsia="zh-CN"/>
        </w:rPr>
        <w:t>此类填写错误（所投货物为定制类的非量产货物但供应商却错误填报了品牌、型号）的不利后果由供应商承担，经评审委员会认定，在使用综合评分法的项目中一项此类填写错误将按照一项招标技术要求负偏离作处理。</w:t>
      </w:r>
      <w:bookmarkEnd w:id="67"/>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3.</w:t>
      </w:r>
      <w:bookmarkStart w:id="68" w:name="_Hlk72074795"/>
      <w:r>
        <w:rPr>
          <w:rFonts w:ascii="宋体" w:eastAsia="宋体" w:hAnsi="宋体" w:cs="宋体" w:hint="eastAsia"/>
          <w:b/>
          <w:kern w:val="2"/>
          <w:sz w:val="21"/>
          <w:szCs w:val="21"/>
          <w:lang w:eastAsia="zh-CN"/>
        </w:rPr>
        <w:t>“原产地”是指该货物的实际生产加工地，而非品牌总公司所在地</w:t>
      </w:r>
      <w:bookmarkEnd w:id="68"/>
      <w:r>
        <w:rPr>
          <w:rFonts w:ascii="宋体" w:eastAsia="宋体" w:hAnsi="宋体" w:cs="宋体" w:hint="eastAsia"/>
          <w:b/>
          <w:kern w:val="2"/>
          <w:sz w:val="21"/>
          <w:szCs w:val="21"/>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4.所投货物均应填写制造商名称。</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5.以上分项报价表的投标总价应当与开标一览表的投标总价一致。</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6.单价、合价和投标总价为包干价，即三者均应包含货物的价款、包装、运输、装卸、安装、调试、技术指导、培训、咨询、服务、保险、税费、检测、验收合格交付使用之前以及技术和售后服务等其他各项有关费用。</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7.所有价格应按“招标文件”中规定的货币单位填写；投标总价应为以上各分项价格之和；投标总价和项目报价表中单个采购预算条目报价均不得超过对应的财政预算限额，否则将导致投标无效。</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color w:val="FF0000"/>
          <w:kern w:val="2"/>
          <w:lang w:eastAsia="zh-CN"/>
        </w:rPr>
      </w:pPr>
    </w:p>
    <w:p>
      <w:pPr>
        <w:widowControl w:val="0"/>
        <w:jc w:val="both"/>
        <w:rPr>
          <w:rFonts w:ascii="宋体" w:eastAsia="宋体" w:hAnsi="宋体" w:cs="宋体" w:hint="eastAsia"/>
          <w:b/>
          <w:color w:val="FF0000"/>
          <w:kern w:val="2"/>
          <w:lang w:eastAsia="zh-CN"/>
        </w:rPr>
      </w:pPr>
      <w:r>
        <w:rPr>
          <w:rFonts w:ascii="宋体" w:eastAsia="宋体" w:hAnsi="宋体" w:cs="宋体" w:hint="eastAsia"/>
          <w:b/>
          <w:color w:val="FF0000"/>
          <w:kern w:val="2"/>
          <w:lang w:eastAsia="zh-CN"/>
        </w:rPr>
        <w:br w:type="page"/>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color w:val="FF0000"/>
          <w:kern w:val="2"/>
          <w:lang w:eastAsia="zh-CN"/>
        </w:rPr>
      </w:pPr>
    </w:p>
    <w:p>
      <w:pPr>
        <w:pageBreakBefore w:val="0"/>
        <w:widowControl w:val="0"/>
        <w:tabs>
          <w:tab w:val="left" w:pos="720"/>
        </w:tabs>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lang w:eastAsia="zh-CN"/>
        </w:rPr>
      </w:pPr>
      <w:r>
        <w:rPr>
          <w:rFonts w:ascii="宋体" w:eastAsia="宋体" w:hAnsi="宋体" w:cs="宋体" w:hint="eastAsia"/>
          <w:b/>
          <w:kern w:val="2"/>
          <w:lang w:eastAsia="zh-CN"/>
        </w:rPr>
        <w:t>（二）核心产品品牌</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color w:val="FF0000"/>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我单位所投核心产品的品牌为：</w:t>
      </w:r>
      <w:r>
        <w:rPr>
          <w:rFonts w:ascii="宋体" w:eastAsia="宋体" w:hAnsi="宋体" w:cs="宋体" w:hint="eastAsia"/>
          <w:b/>
          <w:kern w:val="2"/>
          <w:u w:val="single"/>
          <w:lang w:eastAsia="zh-CN"/>
        </w:rPr>
        <w:t xml:space="preserve">               </w:t>
      </w:r>
      <w:r>
        <w:rPr>
          <w:rFonts w:ascii="宋体" w:eastAsia="宋体" w:hAnsi="宋体" w:cs="宋体" w:hint="eastAsia"/>
          <w:b/>
          <w:kern w:val="2"/>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color w:val="FF0000"/>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r>
        <w:rPr>
          <w:rFonts w:ascii="宋体" w:eastAsia="宋体" w:hAnsi="宋体" w:cs="宋体" w:hint="eastAsia"/>
          <w:kern w:val="2"/>
          <w:lang w:eastAsia="zh-CN"/>
        </w:rPr>
        <w:t>备注：招标文件未列明核心产品的，无需填写该项。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color w:val="FF0000"/>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color w:val="FF0000"/>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p>
    <w:p>
      <w:pPr>
        <w:pageBreakBefore w:val="0"/>
        <w:widowControl w:val="0"/>
        <w:tabs>
          <w:tab w:val="left" w:pos="720"/>
        </w:tabs>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lang w:eastAsia="zh-CN"/>
        </w:rPr>
      </w:pPr>
      <w:r>
        <w:rPr>
          <w:rFonts w:ascii="宋体" w:eastAsia="宋体" w:hAnsi="宋体" w:cs="宋体" w:hint="eastAsia"/>
          <w:b/>
          <w:kern w:val="2"/>
          <w:lang w:eastAsia="zh-CN"/>
        </w:rPr>
        <w:t>（三）可选配件报价清单（不包括在总报价内）</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注：格式可以参照《（一）分项报价表》表格，并提供相应的品牌/规格/型号、原产地、制造商信息（没有品牌、型号的，用“定制”描述即可）、单价等详细信息</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kern w:val="2"/>
          <w:lang w:eastAsia="zh-CN"/>
        </w:rPr>
      </w:pPr>
    </w:p>
    <w:p>
      <w:pPr>
        <w:pageBreakBefore w:val="0"/>
        <w:widowControl w:val="0"/>
        <w:numPr>
          <w:ilvl w:val="0"/>
          <w:numId w:val="3"/>
        </w:numPr>
        <w:tabs>
          <w:tab w:val="left" w:pos="720"/>
        </w:tabs>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lang w:eastAsia="zh-CN"/>
        </w:rPr>
      </w:pPr>
      <w:bookmarkStart w:id="69" w:name="_Hlk72073235"/>
      <w:r>
        <w:rPr>
          <w:rFonts w:ascii="宋体" w:eastAsia="宋体" w:hAnsi="宋体" w:cs="宋体" w:hint="eastAsia"/>
          <w:b/>
          <w:kern w:val="2"/>
          <w:lang w:eastAsia="zh-CN"/>
        </w:rPr>
        <w:t>投标人认为需要涉及的其他内容报价清单</w:t>
      </w:r>
      <w:bookmarkEnd w:id="69"/>
    </w:p>
    <w:p>
      <w:pPr>
        <w:widowControl w:val="0"/>
        <w:spacing w:before="0" w:after="0" w:line="360" w:lineRule="auto"/>
        <w:jc w:val="center"/>
        <w:outlineLvl w:val="9"/>
        <w:rPr>
          <w:rFonts w:eastAsia="宋体" w:cs="宋体" w:hint="eastAsia"/>
          <w:kern w:val="2"/>
          <w:lang w:eastAsia="zh-CN"/>
        </w:rPr>
      </w:pPr>
    </w:p>
    <w:p>
      <w:pPr>
        <w:widowControl w:val="0"/>
        <w:spacing w:before="0" w:after="0" w:line="360" w:lineRule="auto"/>
        <w:jc w:val="center"/>
        <w:outlineLvl w:val="9"/>
        <w:rPr>
          <w:rFonts w:eastAsia="宋体" w:cs="宋体" w:hint="eastAsia"/>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bookmarkStart w:id="70" w:name="_Hlk72260501"/>
      <w:r>
        <w:rPr>
          <w:rFonts w:ascii="宋体" w:eastAsia="宋体" w:hAnsi="宋体" w:cs="宋体" w:hint="eastAsia"/>
          <w:kern w:val="2"/>
          <w:sz w:val="21"/>
          <w:lang w:eastAsia="zh-CN"/>
        </w:rPr>
        <w:t>………………</w:t>
      </w:r>
      <w:bookmarkEnd w:id="70"/>
      <w:r>
        <w:rPr>
          <w:rFonts w:ascii="宋体" w:eastAsia="宋体" w:hAnsi="宋体" w:cs="宋体" w:hint="eastAsia"/>
          <w:kern w:val="2"/>
          <w:sz w:val="21"/>
          <w:lang w:eastAsia="zh-CN"/>
        </w:rPr>
        <w:t>（根据项目具体情况增加与综合实力评审相关的节点）………………</w:t>
      </w:r>
    </w:p>
    <w:bookmarkEnd w:id="66"/>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r>
        <w:rPr>
          <w:rFonts w:ascii="宋体" w:eastAsia="宋体" w:hAnsi="宋体" w:cs="宋体" w:hint="eastAsia"/>
          <w:kern w:val="2"/>
          <w:sz w:val="21"/>
          <w:lang w:eastAsia="zh-CN"/>
        </w:rPr>
        <w:br w:type="page"/>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outlineLvl w:val="1"/>
        <w:rPr>
          <w:rFonts w:ascii="宋体" w:eastAsia="宋体" w:hAnsi="宋体" w:cs="宋体" w:hint="eastAsia"/>
          <w:b/>
          <w:color w:val="FF0000"/>
          <w:kern w:val="2"/>
          <w:sz w:val="28"/>
          <w:szCs w:val="28"/>
          <w:lang w:eastAsia="zh-CN"/>
        </w:rPr>
      </w:pPr>
      <w:bookmarkStart w:id="71" w:name="_Hlk72260530"/>
      <w:r>
        <w:rPr>
          <w:rFonts w:ascii="宋体" w:eastAsia="宋体" w:hAnsi="宋体" w:cs="宋体" w:hint="eastAsia"/>
          <w:b/>
          <w:color w:val="FF0000"/>
          <w:kern w:val="2"/>
          <w:sz w:val="28"/>
          <w:szCs w:val="28"/>
          <w:lang w:eastAsia="zh-CN"/>
        </w:rPr>
        <w:t>投标文件附件</w:t>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一、</w:t>
      </w:r>
      <w:bookmarkStart w:id="72" w:name="_Hlk72092499"/>
      <w:r>
        <w:rPr>
          <w:rFonts w:ascii="宋体" w:eastAsia="宋体" w:hAnsi="宋体" w:cs="宋体" w:hint="eastAsia"/>
          <w:b/>
          <w:bCs/>
          <w:kern w:val="2"/>
          <w:sz w:val="32"/>
          <w:szCs w:val="22"/>
          <w:lang w:eastAsia="zh-CN"/>
        </w:rPr>
        <w:t>法定代表人（负责人）证明书</w:t>
      </w:r>
      <w:bookmarkEnd w:id="72"/>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同志，现任我单位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职务，为法定代表人（负责人），特此证明。</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pageBreakBefore w:val="0"/>
        <w:widowControl w:val="0"/>
        <w:numPr>
          <w:ilvl w:val="0"/>
          <w:numId w:val="4"/>
        </w:numPr>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p>
      <w:pPr>
        <w:pageBreakBefore w:val="0"/>
        <w:widowControl w:val="0"/>
        <w:kinsoku/>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附： 请提供法定代表人身份证复印件（正反两面）；港澳台居民可提供来往通行证复印件；非中国国籍管辖范围人员，可提供公安部门认可的身份证明材料复印件</w:t>
      </w:r>
    </w:p>
    <w:p>
      <w:pPr>
        <w:pageBreakBefore w:val="0"/>
        <w:widowControl w:val="0"/>
        <w:numPr>
          <w:ilvl w:val="0"/>
          <w:numId w:val="0"/>
        </w:numPr>
        <w:kinsoku/>
        <w:overflowPunct/>
        <w:topLinePunct w:val="0"/>
        <w:autoSpaceDE/>
        <w:autoSpaceDN/>
        <w:bidi w:val="0"/>
        <w:spacing w:line="360" w:lineRule="auto"/>
        <w:ind w:left="0" w:firstLine="0" w:leftChars="0" w:firstLineChars="0"/>
        <w:jc w:val="both"/>
        <w:rPr>
          <w:rFonts w:ascii="宋体" w:eastAsia="宋体" w:hAnsi="宋体" w:cs="宋体" w:hint="eastAsia"/>
          <w:b/>
          <w:bCs/>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kern w:val="2"/>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二、投标文件签署授权委托书</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手机：</w:t>
      </w:r>
      <w:r>
        <w:rPr>
          <w:rFonts w:ascii="宋体" w:eastAsia="宋体" w:hAnsi="宋体" w:cs="宋体" w:hint="eastAsia"/>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身份证号码：</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 请提供代理人身份证复印件（正反两面）；港澳台居民可提供来往通行证复印件；非中国国籍管辖范围人员，可提供公安部门认可的身份证明材料复印件。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p>
    <w:p>
      <w:pPr>
        <w:widowControl w:val="0"/>
        <w:spacing w:line="360" w:lineRule="auto"/>
        <w:jc w:val="both"/>
        <w:rPr>
          <w:rFonts w:ascii="宋体" w:eastAsia="宋体" w:hAnsi="宋体" w:cs="宋体" w:hint="eastAsia"/>
          <w:b/>
          <w:bCs/>
          <w:kern w:val="2"/>
          <w:szCs w:val="21"/>
          <w:lang w:eastAsia="zh-CN"/>
        </w:rPr>
      </w:pPr>
    </w:p>
    <w:p>
      <w:pPr>
        <w:widowControl w:val="0"/>
        <w:jc w:val="both"/>
        <w:rPr>
          <w:rFonts w:ascii="宋体" w:eastAsia="宋体" w:hAnsi="宋体" w:cs="宋体" w:hint="eastAsia"/>
          <w:b/>
          <w:kern w:val="2"/>
          <w:sz w:val="21"/>
          <w:szCs w:val="21"/>
          <w:lang w:eastAsia="zh-CN"/>
        </w:rPr>
      </w:pPr>
    </w:p>
    <w:p>
      <w:pPr>
        <w:widowControl w:val="0"/>
        <w:spacing w:line="360" w:lineRule="auto"/>
        <w:jc w:val="both"/>
        <w:rPr>
          <w:rFonts w:eastAsia="宋体" w:hint="eastAsia"/>
          <w:b/>
          <w:bCs/>
          <w:kern w:val="2"/>
          <w:lang w:eastAsia="zh-CN"/>
        </w:rPr>
      </w:pPr>
    </w:p>
    <w:p>
      <w:pPr>
        <w:widowControl w:val="0"/>
        <w:spacing w:line="360" w:lineRule="auto"/>
        <w:jc w:val="both"/>
        <w:rPr>
          <w:rFonts w:ascii="宋体" w:eastAsia="宋体" w:hAnsi="宋体" w:cs="宋体" w:hint="eastAsia"/>
          <w:b/>
          <w:bCs/>
          <w:kern w:val="2"/>
          <w:szCs w:val="21"/>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三、政府采购违法行为风险知悉确认书</w:t>
      </w: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9"/>
        <w:rPr>
          <w:rFonts w:ascii="宋体" w:eastAsia="宋体" w:hAnsi="宋体" w:cs="宋体" w:hint="eastAsia"/>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ascii="FZXBSK--GBK1-0" w:eastAsia="FZXBSK--GBK1-0" w:hAnsi="FZXBSK--GBK1-0" w:hint="eastAsia"/>
          <w:b/>
          <w:bCs/>
          <w:kern w:val="2"/>
          <w:lang w:eastAsia="zh-CN"/>
        </w:rPr>
      </w:pPr>
      <w:r>
        <w:rPr>
          <w:rFonts w:ascii="FZXBSK--GBK1-0" w:eastAsia="FZXBSK--GBK1-0" w:hAnsi="FZXBSK--GBK1-0" w:hint="eastAsia"/>
          <w:b/>
          <w:bCs/>
          <w:kern w:val="2"/>
          <w:lang w:eastAsia="zh-CN"/>
        </w:rPr>
        <w:t>政府采购违法行为风险知悉确认书</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ascii="FZXBSK--GBK1-0" w:eastAsia="FZXBSK--GBK1-0" w:hAnsi="FZXBSK--GBK1-0" w:hint="eastAsia"/>
          <w:b/>
          <w:bCs/>
          <w:kern w:val="2"/>
          <w:lang w:eastAsia="zh-CN"/>
        </w:rPr>
      </w:pP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b/>
          <w:bCs/>
          <w:kern w:val="2"/>
          <w:lang w:eastAsia="zh-CN"/>
        </w:rPr>
      </w:pPr>
      <w:r>
        <w:rPr>
          <w:rFonts w:ascii="FangSong_GB2312" w:eastAsia="FangSong_GB2312" w:hAnsi="FangSong_GB2312" w:hint="eastAsia"/>
          <w:b/>
          <w:bCs/>
          <w:kern w:val="2"/>
          <w:lang w:eastAsia="zh-CN"/>
        </w:rPr>
        <w:t>一、本公司已充分知悉“隐瞒真实情况，提供虚假资料”的法定情形，相关情形包括但不限于：</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（一）通过转让或者租借等方式从其他单位获取资格或者资质证书投标的。</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（二）由其他单位或者其他单位负责人在投标供应商编制的投标文件上加盖印章或者签字的。</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（三）项目负责人或者主要技术人员不是本单位人员的。</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（四）投标保证金不是从投标供应商基本账户转出的。</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（五）其他隐瞒真实情况、提供虚假资料的行为。</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b/>
          <w:bCs/>
          <w:kern w:val="2"/>
          <w:lang w:eastAsia="zh-CN"/>
        </w:rPr>
      </w:pPr>
      <w:r>
        <w:rPr>
          <w:rFonts w:ascii="FangSong_GB2312" w:eastAsia="FangSong_GB2312" w:hAnsi="FangSong_GB2312" w:hint="eastAsia"/>
          <w:b/>
          <w:bCs/>
          <w:kern w:val="2"/>
          <w:lang w:eastAsia="zh-CN"/>
        </w:rPr>
        <w:t>二、本公司已充分知悉“与其他采购参加人串通投标”的法定情形，相关情形包括但不限于：</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（一）投标供应商之间相互约定给予未中标的供应商利益补偿。</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（三）不同投标供应商的投标文件由同一单位或者同一人编制，或者由同一人分阶段参与编制的。</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（四）不同投标供应商的投标文件或部分投标文件相互混装。</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（五）不同投标供应商的投标文件内容存在非正常一致。</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（六）由同一单位工作人员为两家以上（含两家）供应商进行同一项投标活动的。</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（七）不同投标人的投标报价呈规律性差异。</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（八）不同投标人的投标保证金从同一单位或者个人的账户转出。</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（九）主管部门依照法律、法规认定的其他情形。</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b/>
          <w:bCs/>
          <w:kern w:val="2"/>
          <w:lang w:eastAsia="zh-CN"/>
        </w:rPr>
      </w:pPr>
      <w:r>
        <w:rPr>
          <w:rFonts w:ascii="FangSong_GB2312" w:eastAsia="FangSong_GB2312" w:hAnsi="FangSong_GB2312" w:hint="eastAsia"/>
          <w:b/>
          <w:bCs/>
          <w:kern w:val="2"/>
          <w:lang w:eastAsia="zh-CN"/>
        </w:rPr>
        <w:t>三、本公司已充分知悉下列情形所对应的法律风险，并在投标前已对相关风险事项进行排查。</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（三）对于涉及安全生产、特种作业、抢险救灾、防疫等政府采购项目，供应商实施提供虚假资料、串通投标等违法行为的，主管部门将依法从严处理。</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以下文字请投标供应商抄写并确认：“本公司已仔细阅读《政府采购违法行为风险知悉确认书》，充分知悉违法行为的法律后果，并承诺将严谨、诚信、依法依规参与政府采购活动”。</w:t>
      </w:r>
      <w:r>
        <w:rPr>
          <w:rFonts w:ascii="FangSong_GB2312" w:eastAsia="FangSong_GB2312" w:hAnsi="FangSong_GB2312" w:hint="eastAsia"/>
          <w:kern w:val="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ascii="FangSong_GB2312" w:eastAsia="FangSong_GB2312" w:hAnsi="FangSong_GB2312"/>
          <w:kern w:val="2"/>
          <w:u w:val="thick"/>
          <w:lang w:eastAsia="zh-CN"/>
        </w:rPr>
      </w:pPr>
      <w:r>
        <w:rPr>
          <w:rFonts w:ascii="FangSong_GB2312" w:eastAsia="FangSong_GB2312" w:hAnsi="FangSong_GB2312" w:hint="eastAsia"/>
          <w:kern w:val="2"/>
          <w:u w:val="thick"/>
          <w:lang w:eastAsia="zh-CN"/>
        </w:rPr>
        <w:t xml:space="preserve"> </w:t>
      </w:r>
    </w:p>
    <w:tbl>
      <w:tblPr>
        <w:tblStyle w:val="TableGrid"/>
        <w:tblW w:w="5000" w:type="pct"/>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CellMar>
          <w:top w:w="0" w:type="dxa"/>
          <w:left w:w="108" w:type="dxa"/>
          <w:bottom w:w="0" w:type="dxa"/>
          <w:right w:w="108" w:type="dxa"/>
        </w:tblCellMar>
      </w:tblPr>
      <w:tblGrid>
        <w:gridCol w:w="8516"/>
      </w:tblGrid>
      <w:tr>
        <w:tblPrEx>
          <w:tblW w:w="5000" w:type="pct"/>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CellMar>
            <w:top w:w="0" w:type="dxa"/>
            <w:left w:w="108" w:type="dxa"/>
            <w:bottom w:w="0" w:type="dxa"/>
            <w:right w:w="108" w:type="dxa"/>
          </w:tblCellMar>
        </w:tblPrEx>
        <w:tc>
          <w:tcPr>
            <w:tcW w:w="8529" w:type="dxa"/>
            <w:tcBorders>
              <w:tl2br w:val="nil"/>
              <w:tr2bl w:val="nil"/>
            </w:tcBorders>
          </w:tcPr>
          <w:p>
            <w:pPr>
              <w:keepNext w:val="0"/>
              <w:keepLines w:val="0"/>
              <w:pageBreakBefore w:val="0"/>
              <w:kinsoku/>
              <w:wordWrap/>
              <w:overflowPunct/>
              <w:topLinePunct w:val="0"/>
              <w:autoSpaceDE/>
              <w:autoSpaceDN/>
              <w:bidi w:val="0"/>
              <w:adjustRightInd/>
              <w:snapToGrid/>
              <w:spacing w:beforeLines="0" w:afterLines="0" w:line="360" w:lineRule="auto"/>
              <w:jc w:val="left"/>
              <w:textAlignment w:val="auto"/>
              <w:rPr>
                <w:rFonts w:ascii="FangSong_GB2312" w:eastAsia="FangSong_GB2312" w:hAnsi="FangSong_GB2312"/>
                <w:kern w:val="2"/>
                <w:u w:val="thick"/>
                <w:lang w:eastAsia="zh-CN"/>
              </w:rPr>
            </w:pPr>
          </w:p>
        </w:tc>
      </w:tr>
      <w:tr>
        <w:tblPrEx>
          <w:tblW w:w="5000" w:type="pct"/>
          <w:tblInd w:w="0" w:type="dxa"/>
          <w:tblLayout w:type="fixed"/>
          <w:tblCellMar>
            <w:top w:w="0" w:type="dxa"/>
            <w:left w:w="108" w:type="dxa"/>
            <w:bottom w:w="0" w:type="dxa"/>
            <w:right w:w="108" w:type="dxa"/>
          </w:tblCellMar>
        </w:tblPrEx>
        <w:tc>
          <w:tcPr>
            <w:tcW w:w="8529" w:type="dxa"/>
            <w:tcBorders>
              <w:tl2br w:val="nil"/>
              <w:tr2bl w:val="nil"/>
            </w:tcBorders>
          </w:tcPr>
          <w:p>
            <w:pPr>
              <w:keepNext w:val="0"/>
              <w:keepLines w:val="0"/>
              <w:pageBreakBefore w:val="0"/>
              <w:kinsoku/>
              <w:wordWrap/>
              <w:overflowPunct/>
              <w:topLinePunct w:val="0"/>
              <w:autoSpaceDE/>
              <w:autoSpaceDN/>
              <w:bidi w:val="0"/>
              <w:adjustRightInd/>
              <w:snapToGrid/>
              <w:spacing w:beforeLines="0" w:afterLines="0" w:line="360" w:lineRule="auto"/>
              <w:jc w:val="left"/>
              <w:textAlignment w:val="auto"/>
              <w:rPr>
                <w:rFonts w:ascii="FangSong_GB2312" w:eastAsia="FangSong_GB2312" w:hAnsi="FangSong_GB2312"/>
                <w:kern w:val="2"/>
                <w:u w:val="thick"/>
                <w:lang w:eastAsia="zh-CN"/>
              </w:rPr>
            </w:pPr>
          </w:p>
        </w:tc>
      </w:tr>
      <w:tr>
        <w:tblPrEx>
          <w:tblW w:w="5000" w:type="pct"/>
          <w:tblInd w:w="0" w:type="dxa"/>
          <w:tblLayout w:type="fixed"/>
          <w:tblCellMar>
            <w:top w:w="0" w:type="dxa"/>
            <w:left w:w="108" w:type="dxa"/>
            <w:bottom w:w="0" w:type="dxa"/>
            <w:right w:w="108" w:type="dxa"/>
          </w:tblCellMar>
        </w:tblPrEx>
        <w:tc>
          <w:tcPr>
            <w:tcW w:w="8529" w:type="dxa"/>
            <w:tcBorders>
              <w:tl2br w:val="nil"/>
              <w:tr2bl w:val="nil"/>
            </w:tcBorders>
          </w:tcPr>
          <w:p>
            <w:pPr>
              <w:keepNext w:val="0"/>
              <w:keepLines w:val="0"/>
              <w:pageBreakBefore w:val="0"/>
              <w:kinsoku/>
              <w:wordWrap/>
              <w:overflowPunct/>
              <w:topLinePunct w:val="0"/>
              <w:autoSpaceDE/>
              <w:autoSpaceDN/>
              <w:bidi w:val="0"/>
              <w:adjustRightInd/>
              <w:snapToGrid/>
              <w:spacing w:beforeLines="0" w:afterLines="0" w:line="360" w:lineRule="auto"/>
              <w:jc w:val="left"/>
              <w:textAlignment w:val="auto"/>
              <w:rPr>
                <w:rFonts w:ascii="FangSong_GB2312" w:eastAsia="FangSong_GB2312" w:hAnsi="FangSong_GB2312"/>
                <w:kern w:val="2"/>
                <w:u w:val="thick"/>
                <w:lang w:eastAsia="zh-CN"/>
              </w:rPr>
            </w:pPr>
          </w:p>
        </w:tc>
      </w:tr>
      <w:tr>
        <w:tblPrEx>
          <w:tblW w:w="5000" w:type="pct"/>
          <w:tblInd w:w="0" w:type="dxa"/>
          <w:tblLayout w:type="fixed"/>
          <w:tblCellMar>
            <w:top w:w="0" w:type="dxa"/>
            <w:left w:w="108" w:type="dxa"/>
            <w:bottom w:w="0" w:type="dxa"/>
            <w:right w:w="108" w:type="dxa"/>
          </w:tblCellMar>
        </w:tblPrEx>
        <w:tc>
          <w:tcPr>
            <w:tcW w:w="8529" w:type="dxa"/>
            <w:tcBorders>
              <w:tl2br w:val="nil"/>
              <w:tr2bl w:val="nil"/>
            </w:tcBorders>
          </w:tcPr>
          <w:p>
            <w:pPr>
              <w:keepNext w:val="0"/>
              <w:keepLines w:val="0"/>
              <w:pageBreakBefore w:val="0"/>
              <w:kinsoku/>
              <w:wordWrap/>
              <w:overflowPunct/>
              <w:topLinePunct w:val="0"/>
              <w:autoSpaceDE/>
              <w:autoSpaceDN/>
              <w:bidi w:val="0"/>
              <w:adjustRightInd/>
              <w:snapToGrid/>
              <w:spacing w:beforeLines="0" w:afterLines="0" w:line="360" w:lineRule="auto"/>
              <w:jc w:val="left"/>
              <w:textAlignment w:val="auto"/>
              <w:rPr>
                <w:rFonts w:ascii="FangSong_GB2312" w:eastAsia="FangSong_GB2312" w:hAnsi="FangSong_GB2312"/>
                <w:kern w:val="2"/>
                <w:u w:val="thick"/>
                <w:lang w:eastAsia="zh-CN"/>
              </w:rPr>
            </w:pPr>
          </w:p>
        </w:tc>
      </w:tr>
    </w:tbl>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ascii="FangSong_GB2312" w:eastAsia="FangSong_GB2312" w:hAnsi="FangSong_GB2312"/>
          <w:kern w:val="2"/>
          <w:u w:val="thick"/>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3120" w:firstLineChars="13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负责人/投标授权代表签名：</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3120" w:firstLineChars="1300"/>
        <w:jc w:val="left"/>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知悉人（公章）：</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both"/>
        <w:textAlignment w:val="auto"/>
        <w:rPr>
          <w:rFonts w:ascii="FangSong_GB2312" w:eastAsia="FangSong_GB2312" w:hAnsi="FangSong_GB2312" w:hint="eastAsia"/>
          <w:kern w:val="2"/>
          <w:lang w:eastAsia="zh-CN"/>
        </w:rPr>
      </w:pPr>
      <w:r>
        <w:rPr>
          <w:rFonts w:ascii="FangSong_GB2312" w:eastAsia="FangSong_GB2312" w:hAnsi="FangSong_GB2312" w:hint="eastAsia"/>
          <w:kern w:val="2"/>
          <w:lang w:eastAsia="zh-CN"/>
        </w:rPr>
        <w:t>日期：</w:t>
      </w:r>
    </w:p>
    <w:p>
      <w:pPr>
        <w:widowControl w:val="0"/>
        <w:jc w:val="both"/>
        <w:rPr>
          <w:rFonts w:ascii="FangSong_GB2312" w:eastAsia="FangSong_GB2312" w:hAnsi="FangSong_GB2312" w:hint="eastAsia"/>
          <w:kern w:val="2"/>
          <w:lang w:eastAsia="zh-CN"/>
        </w:rPr>
      </w:pPr>
    </w:p>
    <w:p>
      <w:pPr>
        <w:widowControl w:val="0"/>
        <w:jc w:val="both"/>
        <w:rPr>
          <w:rFonts w:ascii="FangSong_GB2312" w:eastAsia="FangSong_GB2312" w:hAnsi="FangSong_GB2312" w:hint="eastAsia"/>
          <w:kern w:val="2"/>
          <w:lang w:eastAsia="zh-CN"/>
        </w:rPr>
      </w:pPr>
      <w:r>
        <w:rPr>
          <w:rFonts w:ascii="FangSong_GB2312" w:eastAsia="FangSong_GB2312" w:hAnsi="FangSong_GB2312" w:hint="eastAsia"/>
          <w:kern w:val="2"/>
          <w:lang w:eastAsia="zh-CN"/>
        </w:rPr>
        <w:t>注：根据《深圳市财政局关于采购文件增加风险告知有关事项的通知》（深财购〔2022〕22 号），该风险知悉确认书用于对供应商违法行为的警示，不作为供应商资格性审查及符合性审查条件。</w:t>
      </w:r>
    </w:p>
    <w:p>
      <w:pPr>
        <w:widowControl w:val="0"/>
        <w:jc w:val="both"/>
        <w:rPr>
          <w:rFonts w:ascii="宋体" w:eastAsia="宋体" w:hAnsi="Courier New" w:hint="eastAsia"/>
          <w:kern w:val="2"/>
          <w:sz w:val="21"/>
          <w:szCs w:val="20"/>
          <w:lang w:eastAsia="zh-CN"/>
        </w:rPr>
      </w:pPr>
    </w:p>
    <w:p>
      <w:pPr>
        <w:widowControl w:val="0"/>
        <w:jc w:val="both"/>
        <w:rPr>
          <w:rFonts w:eastAsia="宋体" w:hint="eastAsia"/>
          <w:kern w:val="2"/>
          <w:sz w:val="21"/>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bCs/>
          <w:lang w:eastAsia="zh-CN"/>
        </w:rPr>
      </w:pPr>
      <w:r>
        <w:rPr>
          <w:rFonts w:ascii="宋体" w:eastAsia="宋体" w:hAnsi="宋体" w:cs="宋体" w:hint="eastAsia"/>
          <w:b/>
          <w:bCs/>
          <w:kern w:val="2"/>
          <w:sz w:val="32"/>
          <w:szCs w:val="22"/>
          <w:lang w:eastAsia="zh-CN"/>
        </w:rPr>
        <w:t>四、</w:t>
      </w:r>
      <w:bookmarkStart w:id="73" w:name="_Hlk72092634"/>
      <w:r>
        <w:rPr>
          <w:rFonts w:ascii="宋体" w:eastAsia="宋体" w:hAnsi="宋体" w:cs="宋体" w:hint="eastAsia"/>
          <w:b/>
          <w:bCs/>
          <w:kern w:val="2"/>
          <w:sz w:val="32"/>
          <w:szCs w:val="22"/>
          <w:lang w:eastAsia="zh-CN"/>
        </w:rPr>
        <w:t>实质性条款响应情况表</w:t>
      </w:r>
      <w:bookmarkEnd w:id="73"/>
      <w:r>
        <w:rPr>
          <w:rFonts w:ascii="宋体" w:eastAsia="宋体" w:hAnsi="宋体" w:cs="宋体" w:hint="eastAsia"/>
          <w:b/>
          <w:bCs/>
          <w:kern w:val="2"/>
          <w:sz w:val="32"/>
          <w:szCs w:val="22"/>
          <w:lang w:eastAsia="zh-CN"/>
        </w:rPr>
        <w:t xml:space="preserve"> </w:t>
      </w:r>
      <w:r>
        <w:rPr>
          <w:rFonts w:ascii="宋体" w:eastAsia="宋体" w:hAnsi="宋体" w:cs="宋体" w:hint="eastAsia"/>
          <w:bCs/>
          <w:lang w:eastAsia="zh-CN"/>
        </w:rPr>
        <w:t xml:space="preserve">   </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0"/>
        <w:gridCol w:w="2761"/>
        <w:gridCol w:w="1646"/>
        <w:gridCol w:w="1909"/>
        <w:gridCol w:w="147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bookmarkStart w:id="74" w:name="_Hlk72092651"/>
            <w:r>
              <w:rPr>
                <w:rFonts w:ascii="宋体" w:eastAsia="宋体" w:hAnsi="宋体" w:cs="宋体" w:hint="eastAsia"/>
                <w:sz w:val="21"/>
                <w:szCs w:val="21"/>
                <w:lang w:eastAsia="zh-CN"/>
              </w:rPr>
              <w:t>序号</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实质性条款具体内容</w:t>
            </w:r>
          </w:p>
        </w:tc>
        <w:tc>
          <w:tcPr>
            <w:tcW w:w="1588"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r>
              <w:rPr>
                <w:rFonts w:ascii="宋体" w:eastAsia="宋体" w:hAnsi="宋体" w:cs="宋体" w:hint="eastAsia"/>
                <w:kern w:val="2"/>
                <w:sz w:val="21"/>
                <w:lang w:eastAsia="zh-CN"/>
              </w:rPr>
              <w:t>投标响应</w:t>
            </w:r>
          </w:p>
        </w:tc>
        <w:tc>
          <w:tcPr>
            <w:tcW w:w="1842"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r>
              <w:rPr>
                <w:rFonts w:ascii="宋体" w:eastAsia="宋体" w:hAnsi="宋体" w:cs="宋体" w:hint="eastAsia"/>
                <w:kern w:val="2"/>
                <w:sz w:val="21"/>
                <w:lang w:eastAsia="zh-CN"/>
              </w:rPr>
              <w:t>偏离情况</w:t>
            </w:r>
          </w:p>
        </w:tc>
        <w:tc>
          <w:tcPr>
            <w:tcW w:w="1418"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r>
              <w:rPr>
                <w:rFonts w:ascii="宋体" w:eastAsia="宋体" w:hAnsi="宋体" w:cs="宋体" w:hint="eastAsia"/>
                <w:kern w:val="2"/>
                <w:sz w:val="21"/>
                <w:lang w:eastAsia="zh-CN"/>
              </w:rPr>
              <w:t>说明</w:t>
            </w:r>
          </w:p>
        </w:tc>
      </w:tr>
      <w:bookmarkEnd w:id="74"/>
      <w:tr>
        <w:tblPrEx>
          <w:tblW w:w="5000" w:type="pct"/>
          <w:tblInd w:w="0" w:type="dxa"/>
          <w:tblLayout w:type="fixed"/>
          <w:tblCellMar>
            <w:top w:w="0" w:type="dxa"/>
            <w:left w:w="108" w:type="dxa"/>
            <w:bottom w:w="0" w:type="dxa"/>
            <w:right w:w="108" w:type="dxa"/>
          </w:tblCellMar>
        </w:tblPrEx>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（填写相关内容）</w:t>
            </w:r>
          </w:p>
        </w:tc>
        <w:tc>
          <w:tcPr>
            <w:tcW w:w="158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p>
        </w:tc>
        <w:tc>
          <w:tcPr>
            <w:tcW w:w="1842"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p>
        </w:tc>
        <w:tc>
          <w:tcPr>
            <w:tcW w:w="141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（填写相关内容）</w:t>
            </w:r>
          </w:p>
        </w:tc>
        <w:tc>
          <w:tcPr>
            <w:tcW w:w="158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p>
        </w:tc>
        <w:tc>
          <w:tcPr>
            <w:tcW w:w="1842"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p>
        </w:tc>
        <w:tc>
          <w:tcPr>
            <w:tcW w:w="141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2664" w:type="dxa"/>
            <w:vAlign w:val="center"/>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w:t>
            </w:r>
          </w:p>
        </w:tc>
        <w:tc>
          <w:tcPr>
            <w:tcW w:w="158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p>
        </w:tc>
        <w:tc>
          <w:tcPr>
            <w:tcW w:w="1842"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p>
        </w:tc>
        <w:tc>
          <w:tcPr>
            <w:tcW w:w="1418" w:type="dxa"/>
          </w:tcPr>
          <w:p>
            <w:pPr>
              <w:pageBreakBefore w:val="0"/>
              <w:widowControl w:val="0"/>
              <w:kinsoku/>
              <w:overflowPunct/>
              <w:topLinePunct w:val="0"/>
              <w:autoSpaceDE/>
              <w:autoSpaceDN/>
              <w:bidi w:val="0"/>
              <w:adjustRightInd w:val="0"/>
              <w:snapToGrid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r>
        <w:rPr>
          <w:rFonts w:ascii="宋体" w:eastAsia="宋体" w:hAnsi="宋体" w:cs="宋体" w:hint="eastAsia"/>
          <w:b/>
          <w:kern w:val="2"/>
          <w:szCs w:val="22"/>
          <w:lang w:eastAsia="zh-CN"/>
        </w:rPr>
        <w:t>注：1. 上表所列各项均为不可负偏离条款。</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r>
        <w:rPr>
          <w:rFonts w:ascii="宋体" w:eastAsia="宋体" w:hAnsi="宋体" w:cs="宋体" w:hint="eastAsia"/>
          <w:b/>
          <w:kern w:val="2"/>
          <w:szCs w:val="22"/>
          <w:lang w:eastAsia="zh-CN"/>
        </w:rPr>
        <w:t>2.“投标响应”一栏应当详细填写投标人自身响应情况，而不能不合理照搬照抄招实质性条款具体内容。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r>
        <w:rPr>
          <w:rFonts w:ascii="宋体" w:eastAsia="宋体" w:hAnsi="宋体" w:cs="宋体" w:hint="eastAsia"/>
          <w:b/>
          <w:kern w:val="2"/>
          <w:szCs w:val="22"/>
          <w:lang w:eastAsia="zh-CN"/>
        </w:rPr>
        <w:t>3.“偏离情况”一栏应填写“正偏离”、“负偏离”或“无偏离”，</w:t>
      </w:r>
      <w:r>
        <w:rPr>
          <w:rFonts w:ascii="宋体" w:eastAsia="宋体" w:hAnsi="宋体" w:cs="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4.评审委员会有权对投标响应情况作出判断（作出评审结论）。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r>
        <w:rPr>
          <w:rFonts w:ascii="宋体" w:eastAsia="宋体" w:hAnsi="宋体" w:cs="宋体" w:hint="eastAsia"/>
          <w:b/>
          <w:kern w:val="2"/>
          <w:szCs w:val="22"/>
          <w:lang w:eastAsia="zh-CN"/>
        </w:rPr>
        <w:t>5.实质性响应条款“投标响应情况”与投标文件其它内容冲突的，以实质性响应条款“投标响应情况”为准。</w:t>
      </w:r>
      <w:bookmarkEnd w:id="71"/>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五、技术规格偏离表</w:t>
      </w:r>
    </w:p>
    <w:tbl>
      <w:tblPr>
        <w:tblStyle w:val="TableNormal"/>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6"/>
        <w:gridCol w:w="755"/>
        <w:gridCol w:w="4463"/>
        <w:gridCol w:w="1532"/>
        <w:gridCol w:w="793"/>
        <w:gridCol w:w="517"/>
      </w:tblGrid>
      <w:tr>
        <w:tblPrEx>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46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lang w:eastAsia="zh-CN"/>
              </w:rPr>
              <w:t>序号</w:t>
            </w:r>
          </w:p>
        </w:tc>
        <w:tc>
          <w:tcPr>
            <w:tcW w:w="772"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lang w:eastAsia="zh-CN"/>
              </w:rPr>
              <w:t>货物名称</w:t>
            </w:r>
          </w:p>
        </w:tc>
        <w:tc>
          <w:tcPr>
            <w:tcW w:w="4605"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lang w:eastAsia="zh-CN"/>
              </w:rPr>
              <w:t>招标技术要求</w:t>
            </w:r>
          </w:p>
        </w:tc>
        <w:tc>
          <w:tcPr>
            <w:tcW w:w="1575"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lang w:eastAsia="zh-CN"/>
              </w:rPr>
              <w:t>投标技术响应规格</w:t>
            </w:r>
          </w:p>
        </w:tc>
        <w:tc>
          <w:tcPr>
            <w:tcW w:w="812"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lang w:eastAsia="zh-CN"/>
              </w:rPr>
              <w:t>偏离情况</w:t>
            </w:r>
          </w:p>
        </w:tc>
        <w:tc>
          <w:tcPr>
            <w:tcW w:w="526"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lang w:eastAsia="zh-CN"/>
              </w:rPr>
              <w:t>说明</w:t>
            </w:r>
          </w:p>
        </w:tc>
      </w:tr>
      <w:tr>
        <w:tblPrEx>
          <w:tblW w:w="5000" w:type="pct"/>
          <w:tblInd w:w="-37" w:type="dxa"/>
          <w:tblLayout w:type="fixed"/>
          <w:tblCellMar>
            <w:top w:w="0" w:type="dxa"/>
            <w:left w:w="108" w:type="dxa"/>
            <w:bottom w:w="0" w:type="dxa"/>
            <w:right w:w="108" w:type="dxa"/>
          </w:tblCellMar>
        </w:tblPrEx>
        <w:trPr>
          <w:trHeight w:val="170"/>
        </w:trPr>
        <w:tc>
          <w:tcPr>
            <w:tcW w:w="464"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772"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***设备</w:t>
            </w: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lang w:eastAsia="zh-CN"/>
              </w:rPr>
              <w:t>（填写相关内容）</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lang w:eastAsia="zh-CN"/>
              </w:rPr>
              <w:t>（填写相关内容）</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lang w:eastAsia="zh-CN"/>
              </w:rPr>
              <w:t>（填写相关内容）</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lang w:eastAsia="zh-CN"/>
              </w:rPr>
              <w:t>（填写相关内容）</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lang w:eastAsia="zh-CN"/>
              </w:rPr>
              <w:t>（填写相关内容）</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772" w:type="dxa"/>
            <w:vMerge/>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65"/>
        </w:trPr>
        <w:tc>
          <w:tcPr>
            <w:tcW w:w="464"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772" w:type="dxa"/>
            <w:vMerge w:val="restart"/>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**设备</w:t>
            </w: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00"/>
                <w:kern w:val="2"/>
                <w:sz w:val="21"/>
                <w:szCs w:val="21"/>
                <w:lang w:eastAsia="zh-CN"/>
              </w:rPr>
            </w:pPr>
            <w:r>
              <w:rPr>
                <w:rFonts w:ascii="宋体" w:eastAsia="宋体" w:hAnsi="宋体" w:cs="宋体" w:hint="eastAsia"/>
                <w:kern w:val="2"/>
                <w:sz w:val="21"/>
                <w:lang w:eastAsia="zh-CN"/>
              </w:rPr>
              <w:t>（填写相关内容）</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64"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772"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lang w:eastAsia="zh-CN"/>
              </w:rPr>
              <w:t>（填写相关内容）</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
        </w:trPr>
        <w:tc>
          <w:tcPr>
            <w:tcW w:w="464"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772"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lang w:eastAsia="zh-CN"/>
              </w:rPr>
              <w:t>（填写相关内容）</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20"/>
        </w:trPr>
        <w:tc>
          <w:tcPr>
            <w:tcW w:w="464"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p>
        </w:tc>
        <w:tc>
          <w:tcPr>
            <w:tcW w:w="772" w:type="dxa"/>
            <w:vMerge/>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460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w:t>
            </w:r>
          </w:p>
        </w:tc>
        <w:tc>
          <w:tcPr>
            <w:tcW w:w="1575"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812"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c>
          <w:tcPr>
            <w:tcW w:w="526"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000000"/>
                <w:kern w:val="2"/>
                <w:sz w:val="21"/>
                <w:szCs w:val="21"/>
                <w:lang w:eastAsia="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bookmarkStart w:id="75" w:name="_Hlk72095977"/>
      <w:r>
        <w:rPr>
          <w:rFonts w:ascii="宋体" w:eastAsia="宋体" w:hAnsi="宋体" w:cs="宋体" w:hint="eastAsia"/>
          <w:kern w:val="2"/>
          <w:lang w:eastAsia="zh-CN"/>
        </w:rPr>
        <w:t>证明资料【如有的话，提供的证明资料应统一编号（排序），格式自定】</w:t>
      </w:r>
      <w:bookmarkEnd w:id="75"/>
      <w:r>
        <w:rPr>
          <w:rFonts w:ascii="宋体" w:eastAsia="宋体" w:hAnsi="宋体" w:cs="宋体" w:hint="eastAsia"/>
          <w:kern w:val="2"/>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《技术要求偏离表》编制指引：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1、技术要求偏离表的序号、货物名称、招标技术要求等栏目</w:t>
      </w:r>
      <w:bookmarkStart w:id="76" w:name="_Hlk72094407"/>
      <w:r>
        <w:rPr>
          <w:rFonts w:ascii="宋体" w:eastAsia="宋体" w:hAnsi="宋体" w:cs="宋体" w:hint="eastAsia"/>
          <w:b/>
          <w:kern w:val="2"/>
          <w:lang w:eastAsia="zh-CN"/>
        </w:rPr>
        <w:t>对应“用户需求书”中的“技术要求”章节</w:t>
      </w:r>
      <w:bookmarkEnd w:id="76"/>
      <w:r>
        <w:rPr>
          <w:rFonts w:ascii="宋体" w:eastAsia="宋体" w:hAnsi="宋体" w:cs="宋体" w:hint="eastAsia"/>
          <w:b/>
          <w:kern w:val="2"/>
          <w:lang w:eastAsia="zh-CN"/>
        </w:rPr>
        <w:t>相关内容。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2、“投标技术响应规格”一栏必须一一对照“招标技术要求”，详细填写投标人自身投标货物的具体参数，而不能不合理照搬照抄招标文件的技术要求，以体现具体响应情况。</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3、</w:t>
      </w:r>
      <w:bookmarkStart w:id="77" w:name="_Hlk72158270"/>
      <w:r>
        <w:rPr>
          <w:rFonts w:ascii="宋体" w:eastAsia="宋体" w:hAnsi="宋体" w:cs="宋体" w:hint="eastAsia"/>
          <w:b/>
          <w:kern w:val="2"/>
          <w:lang w:eastAsia="zh-CN"/>
        </w:rPr>
        <w:t>“偏离情况”</w:t>
      </w:r>
      <w:bookmarkEnd w:id="77"/>
      <w:r>
        <w:rPr>
          <w:rFonts w:ascii="宋体" w:eastAsia="宋体" w:hAnsi="宋体" w:cs="宋体" w:hint="eastAsia"/>
          <w:b/>
          <w:kern w:val="2"/>
          <w:lang w:eastAsia="zh-CN"/>
        </w:rPr>
        <w:t>一栏填写如实填写“正偏离”、“负偏离”或“无偏离”，其中：</w:t>
      </w:r>
      <w:bookmarkStart w:id="78" w:name="_Hlk72093866"/>
      <w:r>
        <w:rPr>
          <w:rFonts w:ascii="宋体" w:eastAsia="宋体" w:hAnsi="宋体" w:cs="宋体" w:hint="eastAsia"/>
          <w:b/>
          <w:kern w:val="2"/>
          <w:lang w:eastAsia="zh-CN"/>
        </w:rPr>
        <w:t>“正偏离”表示“投标响应优于招标技术要求”，“负偏离”表示“投标响应不满足招标技术要求”，“无偏离”表示“投标响应与招标技术要求一致”</w:t>
      </w:r>
      <w:bookmarkEnd w:id="78"/>
      <w:r>
        <w:rPr>
          <w:rFonts w:ascii="宋体" w:eastAsia="宋体" w:hAnsi="宋体" w:cs="宋体" w:hint="eastAsia"/>
          <w:b/>
          <w:kern w:val="2"/>
          <w:lang w:eastAsia="zh-CN"/>
        </w:rPr>
        <w:t>。“投标技术响应规格”对比“招标技术要求”存在响应不全（包括未响应整项招标技术要求或者未响应一项招标技术要求的部分内容），均视为“负偏离”。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4、未要求提供证明资料的招标技术要求，可以不提供证明资料（如实响应即可）。</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5、</w:t>
      </w:r>
      <w:bookmarkStart w:id="79" w:name="_Hlk72096106"/>
      <w:r>
        <w:rPr>
          <w:rFonts w:ascii="宋体" w:eastAsia="宋体" w:hAnsi="宋体" w:cs="宋体" w:hint="eastAsia"/>
          <w:b/>
          <w:kern w:val="2"/>
          <w:lang w:eastAsia="zh-CN"/>
        </w:rPr>
        <w:t>证明资料条款响应要求</w:t>
      </w:r>
      <w:bookmarkEnd w:id="79"/>
      <w:r>
        <w:rPr>
          <w:rFonts w:ascii="宋体" w:eastAsia="宋体" w:hAnsi="宋体" w:cs="宋体" w:hint="eastAsia"/>
          <w:b/>
          <w:kern w:val="2"/>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80" w:name="_Hlk73558782"/>
      <w:r>
        <w:rPr>
          <w:rFonts w:ascii="宋体" w:eastAsia="宋体" w:hAnsi="宋体" w:cs="宋体" w:hint="eastAsia"/>
          <w:b/>
          <w:kern w:val="2"/>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81" w:name="_Hlk73558164"/>
      <w:r>
        <w:rPr>
          <w:rFonts w:ascii="宋体" w:eastAsia="宋体" w:hAnsi="宋体" w:cs="宋体" w:hint="eastAsia"/>
          <w:b/>
          <w:kern w:val="2"/>
          <w:lang w:eastAsia="zh-CN"/>
        </w:rPr>
        <w:t>且投标人在“偏离情况”一栏响应为“正偏离”或“无偏离”的，经评审委员会认定，将判定为负偏离。</w:t>
      </w:r>
      <w:bookmarkEnd w:id="80"/>
      <w:bookmarkEnd w:id="81"/>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6、</w:t>
      </w:r>
      <w:bookmarkStart w:id="82" w:name="_Hlk72096137"/>
      <w:r>
        <w:rPr>
          <w:rFonts w:ascii="宋体" w:eastAsia="宋体" w:hAnsi="宋体" w:cs="宋体" w:hint="eastAsia"/>
          <w:b/>
          <w:kern w:val="2"/>
          <w:lang w:eastAsia="zh-CN"/>
        </w:rPr>
        <w:t>表后“证明资料”部分内容的编制</w:t>
      </w:r>
      <w:bookmarkEnd w:id="82"/>
      <w:r>
        <w:rPr>
          <w:rFonts w:ascii="宋体" w:eastAsia="宋体" w:hAnsi="宋体" w:cs="宋体" w:hint="eastAsia"/>
          <w:b/>
          <w:kern w:val="2"/>
          <w:lang w:eastAsia="zh-CN"/>
        </w:rPr>
        <w:t>：提供的所有证明资料应当统一编号（排序），且证明资料的编号（顺序）、数量和名称（形式）均应与“说明”一栏所填内容保持一致（一一对应），以便评审委员会查看。</w:t>
      </w:r>
      <w:bookmarkStart w:id="83" w:name="_Hlk73558180"/>
      <w:r>
        <w:rPr>
          <w:rFonts w:ascii="宋体" w:eastAsia="宋体" w:hAnsi="宋体" w:cs="宋体" w:hint="eastAsia"/>
          <w:b/>
          <w:kern w:val="2"/>
          <w:lang w:eastAsia="zh-CN"/>
        </w:rPr>
        <w:t>未按照招标文件要求在表后放置证明材料的供应商将承担不利后果，经评审委员会认定，相关技术要求将判定为负偏离。</w:t>
      </w:r>
      <w:bookmarkEnd w:id="83"/>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7、</w:t>
      </w:r>
      <w:bookmarkStart w:id="84" w:name="_Hlk72096176"/>
      <w:r>
        <w:rPr>
          <w:rFonts w:ascii="宋体" w:eastAsia="宋体" w:hAnsi="宋体" w:cs="宋体" w:hint="eastAsia"/>
          <w:b/>
          <w:kern w:val="2"/>
          <w:lang w:eastAsia="zh-CN"/>
        </w:rPr>
        <w:t>证明资料的形式及其它具体要求</w:t>
      </w:r>
      <w:bookmarkEnd w:id="84"/>
      <w:r>
        <w:rPr>
          <w:rFonts w:ascii="宋体" w:eastAsia="宋体" w:hAnsi="宋体" w:cs="宋体" w:hint="eastAsia"/>
          <w:b/>
          <w:kern w:val="2"/>
          <w:lang w:eastAsia="zh-CN"/>
        </w:rPr>
        <w:t>：</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（1）除照片、图片（截图）及不需加盖公章的文字说明（技术说明）外，其它证明资料均要求为原件复印件；</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我国政府机构出具的产品检验和核准证件应为证件正面、背面和附件标注的全部具体内容；产品检验和核准证件的尺寸和清晰度应该能够在电脑上被阅读、识别和判断；</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其它证明资料的形式要求参照以上要求执行；</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（4）证明资料均要求原件备查。</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8、其它注意事项：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（1）评审委员会有权对投标人的响应情况作出判断（评审结论）；</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（2）</w:t>
      </w:r>
      <w:bookmarkStart w:id="85" w:name="_Hlk72158213"/>
      <w:r>
        <w:rPr>
          <w:rFonts w:ascii="宋体" w:eastAsia="宋体" w:hAnsi="宋体" w:cs="宋体" w:hint="eastAsia"/>
          <w:b/>
          <w:kern w:val="2"/>
          <w:lang w:eastAsia="zh-CN"/>
        </w:rPr>
        <w:t>评审委员会有权对以谋取中标为目的的技术规格模糊响应（如有意不合理照搬照抄招标文件的技术要求）或虚假响应予以认定，并视情况经招标代理机构报主管部门进行处理。</w:t>
      </w:r>
      <w:bookmarkEnd w:id="85"/>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32"/>
          <w:szCs w:val="40"/>
          <w:lang w:eastAsia="zh-CN"/>
        </w:rPr>
      </w:pPr>
      <w:r>
        <w:rPr>
          <w:rFonts w:ascii="宋体" w:eastAsia="宋体" w:hAnsi="宋体" w:cs="宋体" w:hint="eastAsia"/>
          <w:b/>
          <w:bCs/>
          <w:kern w:val="2"/>
          <w:sz w:val="32"/>
          <w:szCs w:val="22"/>
          <w:lang w:eastAsia="zh-CN"/>
        </w:rPr>
        <w:t>六、商务要求偏离表</w:t>
      </w:r>
    </w:p>
    <w:tbl>
      <w:tblPr>
        <w:tblStyle w:val="TableNormal"/>
        <w:tblW w:w="5000"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92"/>
        <w:gridCol w:w="1354"/>
        <w:gridCol w:w="2866"/>
        <w:gridCol w:w="1918"/>
        <w:gridCol w:w="1003"/>
        <w:gridCol w:w="783"/>
      </w:tblGrid>
      <w:tr>
        <w:tblPrEx>
          <w:tblW w:w="5000"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6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sz w:val="21"/>
                <w:lang w:eastAsia="zh-CN"/>
              </w:rPr>
            </w:pPr>
            <w:r>
              <w:rPr>
                <w:rFonts w:ascii="宋体" w:eastAsia="宋体" w:hAnsi="宋体" w:cs="宋体" w:hint="eastAsia"/>
                <w:kern w:val="2"/>
                <w:lang w:eastAsia="zh-CN"/>
              </w:rPr>
              <w:t>序号</w:t>
            </w:r>
          </w:p>
        </w:tc>
        <w:tc>
          <w:tcPr>
            <w:tcW w:w="1408"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sz w:val="21"/>
                <w:lang w:eastAsia="zh-CN"/>
              </w:rPr>
            </w:pPr>
            <w:r>
              <w:rPr>
                <w:rFonts w:ascii="宋体" w:eastAsia="宋体" w:hAnsi="宋体" w:cs="宋体" w:hint="eastAsia"/>
                <w:b/>
                <w:kern w:val="2"/>
                <w:sz w:val="21"/>
                <w:lang w:eastAsia="zh-CN"/>
              </w:rPr>
              <w:t>商务需求项</w:t>
            </w:r>
          </w:p>
        </w:tc>
        <w:tc>
          <w:tcPr>
            <w:tcW w:w="2994"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sz w:val="21"/>
                <w:lang w:eastAsia="zh-CN"/>
              </w:rPr>
            </w:pPr>
            <w:r>
              <w:rPr>
                <w:rFonts w:ascii="宋体" w:eastAsia="宋体" w:hAnsi="宋体" w:cs="宋体" w:hint="eastAsia"/>
                <w:kern w:val="2"/>
                <w:lang w:eastAsia="zh-CN"/>
              </w:rPr>
              <w:t>招标商务要求</w:t>
            </w:r>
          </w:p>
        </w:tc>
        <w:tc>
          <w:tcPr>
            <w:tcW w:w="200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sz w:val="21"/>
                <w:lang w:eastAsia="zh-CN"/>
              </w:rPr>
            </w:pPr>
            <w:r>
              <w:rPr>
                <w:rFonts w:ascii="宋体" w:eastAsia="宋体" w:hAnsi="宋体" w:cs="宋体" w:hint="eastAsia"/>
                <w:kern w:val="2"/>
                <w:lang w:eastAsia="zh-CN"/>
              </w:rPr>
              <w:t>投标商务响应</w:t>
            </w:r>
          </w:p>
        </w:tc>
        <w:tc>
          <w:tcPr>
            <w:tcW w:w="104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sz w:val="21"/>
                <w:lang w:eastAsia="zh-CN"/>
              </w:rPr>
            </w:pPr>
            <w:r>
              <w:rPr>
                <w:rFonts w:ascii="宋体" w:eastAsia="宋体" w:hAnsi="宋体" w:cs="宋体" w:hint="eastAsia"/>
                <w:kern w:val="2"/>
                <w:sz w:val="21"/>
                <w:lang w:eastAsia="zh-CN"/>
              </w:rPr>
              <w:t>偏离情况</w:t>
            </w:r>
          </w:p>
        </w:tc>
        <w:tc>
          <w:tcPr>
            <w:tcW w:w="8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sz w:val="21"/>
                <w:lang w:eastAsia="zh-CN"/>
              </w:rPr>
            </w:pPr>
            <w:r>
              <w:rPr>
                <w:rFonts w:ascii="宋体" w:eastAsia="宋体" w:hAnsi="宋体" w:cs="宋体" w:hint="eastAsia"/>
                <w:kern w:val="2"/>
                <w:lang w:eastAsia="zh-CN"/>
              </w:rPr>
              <w:t>说明</w:t>
            </w:r>
          </w:p>
        </w:tc>
      </w:tr>
      <w:tr>
        <w:tblPrEx>
          <w:tblW w:w="5000" w:type="pct"/>
          <w:tblInd w:w="-46" w:type="dxa"/>
          <w:tblLayout w:type="fixed"/>
          <w:tblCellMar>
            <w:top w:w="0" w:type="dxa"/>
            <w:left w:w="108" w:type="dxa"/>
            <w:bottom w:w="0" w:type="dxa"/>
            <w:right w:w="108" w:type="dxa"/>
          </w:tblCellMar>
        </w:tblPrEx>
        <w:trPr>
          <w:trHeight w:val="280"/>
        </w:trPr>
        <w:tc>
          <w:tcPr>
            <w:tcW w:w="8862" w:type="dxa"/>
            <w:gridSpan w:val="6"/>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sz w:val="21"/>
                <w:lang w:eastAsia="zh-CN"/>
              </w:rPr>
            </w:pPr>
            <w:r>
              <w:rPr>
                <w:rFonts w:ascii="宋体" w:eastAsia="宋体" w:hAnsi="宋体" w:cs="宋体" w:hint="eastAsia"/>
                <w:b/>
                <w:kern w:val="2"/>
                <w:sz w:val="21"/>
                <w:lang w:eastAsia="zh-CN"/>
              </w:rPr>
              <w:t>（一）免费保修期内售后服务要求</w:t>
            </w: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lang w:eastAsia="zh-CN"/>
              </w:rPr>
            </w:pPr>
            <w:r>
              <w:rPr>
                <w:rFonts w:ascii="宋体" w:eastAsia="宋体" w:hAnsi="宋体" w:cs="宋体" w:hint="eastAsia"/>
                <w:bCs/>
                <w:kern w:val="2"/>
                <w:sz w:val="21"/>
                <w:lang w:eastAsia="zh-CN"/>
              </w:rPr>
              <w:t>1</w:t>
            </w:r>
          </w:p>
        </w:tc>
        <w:tc>
          <w:tcPr>
            <w:tcW w:w="1408"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w:t>
            </w:r>
          </w:p>
        </w:tc>
        <w:tc>
          <w:tcPr>
            <w:tcW w:w="299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kern w:val="2"/>
                <w:sz w:val="21"/>
                <w:lang w:eastAsia="zh-CN"/>
              </w:rPr>
            </w:pPr>
            <w:r>
              <w:rPr>
                <w:rFonts w:ascii="宋体" w:eastAsia="宋体" w:hAnsi="宋体" w:cs="宋体" w:hint="eastAsia"/>
                <w:bCs/>
                <w:kern w:val="2"/>
                <w:sz w:val="21"/>
                <w:szCs w:val="21"/>
                <w:lang w:eastAsia="zh-CN"/>
              </w:rPr>
              <w:t>（填写相关内容）</w:t>
            </w:r>
          </w:p>
        </w:tc>
        <w:tc>
          <w:tcPr>
            <w:tcW w:w="200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tc>
        <w:tc>
          <w:tcPr>
            <w:tcW w:w="104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tc>
        <w:tc>
          <w:tcPr>
            <w:tcW w:w="8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610" w:type="dxa"/>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lang w:eastAsia="zh-CN"/>
              </w:rPr>
            </w:pPr>
            <w:r>
              <w:rPr>
                <w:rFonts w:ascii="宋体" w:eastAsia="宋体" w:hAnsi="宋体" w:cs="宋体" w:hint="eastAsia"/>
                <w:bCs/>
                <w:kern w:val="2"/>
                <w:sz w:val="21"/>
                <w:lang w:eastAsia="zh-CN"/>
              </w:rPr>
              <w:t>2</w:t>
            </w:r>
          </w:p>
        </w:tc>
        <w:tc>
          <w:tcPr>
            <w:tcW w:w="1408"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w:t>
            </w:r>
          </w:p>
        </w:tc>
        <w:tc>
          <w:tcPr>
            <w:tcW w:w="299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kern w:val="2"/>
                <w:sz w:val="21"/>
                <w:lang w:eastAsia="zh-CN"/>
              </w:rPr>
              <w:t>（填写相关内容）</w:t>
            </w:r>
          </w:p>
        </w:tc>
        <w:tc>
          <w:tcPr>
            <w:tcW w:w="200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tc>
        <w:tc>
          <w:tcPr>
            <w:tcW w:w="104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tc>
        <w:tc>
          <w:tcPr>
            <w:tcW w:w="8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tc>
      </w:tr>
      <w:tr>
        <w:tblPrEx>
          <w:tblW w:w="5000" w:type="pct"/>
          <w:tblInd w:w="-46" w:type="dxa"/>
          <w:tblLayout w:type="fixed"/>
          <w:tblCellMar>
            <w:top w:w="0" w:type="dxa"/>
            <w:left w:w="108" w:type="dxa"/>
            <w:bottom w:w="0" w:type="dxa"/>
            <w:right w:w="108" w:type="dxa"/>
          </w:tblCellMar>
        </w:tblPrEx>
        <w:trPr>
          <w:trHeight w:val="320"/>
        </w:trPr>
        <w:tc>
          <w:tcPr>
            <w:tcW w:w="8862" w:type="dxa"/>
            <w:gridSpan w:val="6"/>
            <w:vAlign w:val="center"/>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
                <w:kern w:val="2"/>
                <w:sz w:val="21"/>
                <w:lang w:eastAsia="zh-CN"/>
              </w:rPr>
              <w:t>（二）免费保修期外售后服务要求</w:t>
            </w:r>
          </w:p>
        </w:tc>
      </w:tr>
      <w:tr>
        <w:tblPrEx>
          <w:tblW w:w="5000" w:type="pct"/>
          <w:tblInd w:w="-46" w:type="dxa"/>
          <w:tblLayout w:type="fixed"/>
          <w:tblCellMar>
            <w:top w:w="0" w:type="dxa"/>
            <w:left w:w="108" w:type="dxa"/>
            <w:bottom w:w="0" w:type="dxa"/>
            <w:right w:w="108" w:type="dxa"/>
          </w:tblCellMar>
        </w:tblPrEx>
        <w:trPr>
          <w:trHeight w:val="320"/>
        </w:trPr>
        <w:tc>
          <w:tcPr>
            <w:tcW w:w="6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Cs/>
                <w:kern w:val="2"/>
                <w:sz w:val="21"/>
                <w:lang w:eastAsia="zh-CN"/>
              </w:rPr>
            </w:pPr>
            <w:r>
              <w:rPr>
                <w:rFonts w:ascii="宋体" w:eastAsia="宋体" w:hAnsi="宋体" w:cs="宋体" w:hint="eastAsia"/>
                <w:kern w:val="2"/>
                <w:sz w:val="21"/>
                <w:lang w:eastAsia="zh-CN"/>
              </w:rPr>
              <w:t>1</w:t>
            </w:r>
          </w:p>
        </w:tc>
        <w:tc>
          <w:tcPr>
            <w:tcW w:w="1408"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w:t>
            </w:r>
          </w:p>
        </w:tc>
        <w:tc>
          <w:tcPr>
            <w:tcW w:w="2994"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（填写相关内容）</w:t>
            </w:r>
          </w:p>
        </w:tc>
        <w:tc>
          <w:tcPr>
            <w:tcW w:w="200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tc>
        <w:tc>
          <w:tcPr>
            <w:tcW w:w="104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tc>
        <w:tc>
          <w:tcPr>
            <w:tcW w:w="810" w:type="dxa"/>
          </w:tcPr>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tc>
      </w:tr>
    </w:tbl>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《商务要求偏离表》编制指引：</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1、商务要求偏离表的序号、商务需求项、招标商务要求等栏目对应“用户需求书”中的“商务要求”章节相关内容。</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2、“投标商务响应”一栏必须一一对照“招标商务要求”，详细填写自身响应情况，而不能不合理照搬照抄招标文件的商务要求，以体现具体响应情况。</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color w:val="FF0000"/>
          <w:kern w:val="2"/>
          <w:lang w:eastAsia="zh-CN"/>
        </w:rPr>
      </w:pPr>
      <w:r>
        <w:rPr>
          <w:rFonts w:ascii="宋体" w:eastAsia="宋体" w:hAnsi="宋体" w:cs="宋体" w:hint="eastAsia"/>
          <w:b/>
          <w:kern w:val="2"/>
          <w:lang w:eastAsia="zh-CN"/>
        </w:rPr>
        <w:t>3、“偏离情况”一栏填写如实填写“正偏离”、“负偏离”或“无偏离”，其中：“正偏离”表示“投标响应优于招标商务要求”，“负偏离”表示“投标响应不满足招标商务要求”，“无偏离”表示“投标响应与招标商务要求一致”。</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r>
        <w:rPr>
          <w:rFonts w:ascii="宋体" w:eastAsia="宋体" w:hAnsi="宋体" w:cs="宋体" w:hint="eastAsia"/>
          <w:b/>
          <w:kern w:val="2"/>
          <w:lang w:eastAsia="zh-CN"/>
        </w:rPr>
        <w:t>“投标商务响应”对比“招标商务要求”存在响应不全（包括未响应整项招标商务要求或者未响应一项招标商务要求的部分内容），均视为“负偏离”。</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32"/>
          <w:szCs w:val="22"/>
          <w:lang w:eastAsia="zh-CN"/>
        </w:rPr>
      </w:pPr>
      <w:bookmarkStart w:id="86" w:name="_Hlk72260576"/>
      <w:r>
        <w:rPr>
          <w:rFonts w:ascii="宋体" w:eastAsia="宋体" w:hAnsi="宋体" w:cs="宋体" w:hint="eastAsia"/>
          <w:b/>
          <w:bCs/>
          <w:kern w:val="2"/>
          <w:sz w:val="32"/>
          <w:szCs w:val="22"/>
          <w:lang w:eastAsia="zh-CN"/>
        </w:rPr>
        <w:t>七、技术保障措施</w:t>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八、售后服务保障措施</w:t>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九、现场踏勘</w:t>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十、设计安装方案</w:t>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hint="eastAsia"/>
          <w:b/>
          <w:bCs/>
          <w:kern w:val="2"/>
          <w:sz w:val="28"/>
          <w:szCs w:val="32"/>
          <w:lang w:eastAsia="zh-CN"/>
        </w:rPr>
      </w:pPr>
      <w:r>
        <w:rPr>
          <w:rFonts w:ascii="宋体" w:eastAsia="宋体" w:hAnsi="宋体" w:cs="宋体" w:hint="eastAsia"/>
          <w:b/>
          <w:bCs/>
          <w:kern w:val="2"/>
          <w:sz w:val="32"/>
          <w:szCs w:val="22"/>
          <w:lang w:eastAsia="zh-CN"/>
        </w:rPr>
        <w:t>十一、同类项目业绩</w:t>
      </w:r>
    </w:p>
    <w:p>
      <w:pPr>
        <w:keepNext/>
        <w:keepLines/>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十二、投标人认为需要加以说明的其他内容</w:t>
      </w: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9"/>
        <w:rPr>
          <w:rFonts w:ascii="宋体" w:eastAsia="宋体" w:hAnsi="宋体" w:cs="宋体" w:hint="eastAsia"/>
          <w:kern w:val="2"/>
          <w:szCs w:val="20"/>
          <w:lang w:eastAsia="zh-CN"/>
        </w:rPr>
      </w:pPr>
    </w:p>
    <w:bookmarkEnd w:id="86"/>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br w:type="page"/>
      </w:r>
    </w:p>
    <w:p>
      <w:pPr>
        <w:pageBreakBefore w:val="0"/>
        <w:widowControl w:val="0"/>
        <w:kinsoku/>
        <w:overflowPunct/>
        <w:topLinePunct w:val="0"/>
        <w:autoSpaceDE/>
        <w:autoSpaceDN/>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kern w:val="2"/>
          <w:sz w:val="32"/>
          <w:szCs w:val="22"/>
          <w:lang w:eastAsia="zh-CN"/>
        </w:rPr>
      </w:pPr>
      <w:r>
        <w:rPr>
          <w:rFonts w:ascii="宋体" w:eastAsia="宋体" w:hAnsi="宋体" w:cs="宋体" w:hint="eastAsia"/>
          <w:b/>
          <w:bCs/>
          <w:kern w:val="2"/>
          <w:sz w:val="32"/>
          <w:szCs w:val="22"/>
          <w:lang w:eastAsia="zh-CN"/>
        </w:rPr>
        <w:t>第五章  合同条款及格式</w:t>
      </w:r>
    </w:p>
    <w:p>
      <w:pPr>
        <w:pageBreakBefore w:val="0"/>
        <w:widowControl w:val="0"/>
        <w:kinsoku/>
        <w:overflowPunct/>
        <w:topLinePunct w:val="0"/>
        <w:autoSpaceDE/>
        <w:autoSpaceDN/>
        <w:bidi w:val="0"/>
        <w:spacing w:beforeAutospacing="0" w:afterAutospacing="0" w:line="360" w:lineRule="auto"/>
        <w:ind w:left="0" w:right="0" w:firstLine="0" w:leftChars="0" w:firstLineChars="0"/>
        <w:jc w:val="both"/>
        <w:rPr>
          <w:rFonts w:ascii="宋体" w:eastAsia="宋体" w:hAnsi="宋体" w:cs="宋体" w:hint="eastAsia"/>
          <w:kern w:val="2"/>
          <w:sz w:val="21"/>
          <w:lang w:eastAsia="zh-CN"/>
        </w:rPr>
      </w:pPr>
    </w:p>
    <w:p>
      <w:pPr>
        <w:pageBreakBefore w:val="0"/>
        <w:widowControl w:val="0"/>
        <w:kinsoku/>
        <w:overflowPunct/>
        <w:topLinePunct w:val="0"/>
        <w:autoSpaceDE/>
        <w:autoSpaceDN/>
        <w:bidi w:val="0"/>
        <w:spacing w:beforeAutospacing="0" w:afterAutospacing="0" w:line="360" w:lineRule="auto"/>
        <w:ind w:left="0" w:right="0" w:firstLine="0" w:leftChars="0" w:firstLineChars="0"/>
        <w:jc w:val="center"/>
        <w:outlineLvl w:val="9"/>
        <w:rPr>
          <w:rFonts w:ascii="宋体" w:eastAsia="宋体" w:hAnsi="宋体" w:cs="宋体" w:hint="eastAsia"/>
          <w:kern w:val="2"/>
          <w:sz w:val="21"/>
          <w:lang w:eastAsia="zh-CN"/>
        </w:rPr>
      </w:pPr>
      <w:bookmarkStart w:id="87" w:name="_Hlk72574405"/>
      <w:bookmarkStart w:id="88" w:name="_Hlk72260917"/>
      <w:r>
        <w:rPr>
          <w:rFonts w:ascii="宋体" w:eastAsia="宋体" w:hAnsi="宋体" w:cs="宋体" w:hint="eastAsia"/>
          <w:b/>
          <w:kern w:val="2"/>
          <w:lang w:eastAsia="zh-CN"/>
        </w:rPr>
        <w:t>（仅供参考，具体以项目需求及采购结果为准）</w:t>
      </w:r>
      <w:bookmarkEnd w:id="87"/>
    </w:p>
    <w:bookmarkEnd w:id="88"/>
    <w:p>
      <w:pPr>
        <w:widowControl w:val="0"/>
        <w:spacing w:before="147" w:line="219" w:lineRule="auto"/>
        <w:ind w:left="2206"/>
        <w:jc w:val="both"/>
        <w:outlineLvl w:val="0"/>
        <w:rPr>
          <w:rFonts w:ascii="宋体" w:eastAsia="宋体" w:hAnsi="宋体" w:cs="宋体" w:hint="eastAsia"/>
          <w:b/>
          <w:bCs/>
          <w:kern w:val="2"/>
          <w:sz w:val="44"/>
          <w:szCs w:val="44"/>
          <w:lang w:eastAsia="zh-CN"/>
        </w:rPr>
      </w:pPr>
      <w:bookmarkStart w:id="89" w:name="_Hlk72439706"/>
      <w:r>
        <w:rPr>
          <w:rFonts w:ascii="宋体" w:eastAsia="宋体" w:hAnsi="宋体" w:cs="宋体" w:hint="eastAsia"/>
          <w:b/>
          <w:bCs/>
          <w:spacing w:val="-11"/>
          <w:kern w:val="2"/>
          <w:sz w:val="44"/>
          <w:szCs w:val="44"/>
          <w:lang w:eastAsia="zh-CN"/>
        </w:rPr>
        <w:t>政府采购货物买卖合同</w:t>
      </w:r>
    </w:p>
    <w:p>
      <w:pPr>
        <w:widowControl w:val="0"/>
        <w:spacing w:before="100" w:line="220" w:lineRule="auto"/>
        <w:ind w:left="3796"/>
        <w:jc w:val="both"/>
        <w:outlineLvl w:val="9"/>
        <w:rPr>
          <w:rFonts w:ascii="宋体" w:eastAsia="宋体" w:hAnsi="宋体" w:cs="宋体" w:hint="eastAsia"/>
          <w:b/>
          <w:bCs/>
          <w:kern w:val="2"/>
          <w:sz w:val="44"/>
          <w:szCs w:val="44"/>
          <w:lang w:eastAsia="zh-CN"/>
        </w:rPr>
      </w:pPr>
      <w:r>
        <w:rPr>
          <w:rFonts w:ascii="宋体" w:eastAsia="宋体" w:hAnsi="宋体" w:cs="宋体" w:hint="eastAsia"/>
          <w:b/>
          <w:bCs/>
          <w:spacing w:val="-6"/>
          <w:kern w:val="2"/>
          <w:sz w:val="44"/>
          <w:szCs w:val="44"/>
          <w:lang w:eastAsia="zh-CN"/>
        </w:rPr>
        <w:t>(试行)</w:t>
      </w:r>
    </w:p>
    <w:p>
      <w:pPr>
        <w:widowControl w:val="0"/>
        <w:spacing w:line="269" w:lineRule="auto"/>
        <w:jc w:val="both"/>
        <w:rPr>
          <w:rFonts w:ascii="Arial" w:eastAsia="宋体"/>
          <w:kern w:val="2"/>
          <w:sz w:val="21"/>
          <w:lang w:eastAsia="zh-CN"/>
        </w:rPr>
      </w:pPr>
    </w:p>
    <w:p>
      <w:pPr>
        <w:widowControl w:val="0"/>
        <w:spacing w:line="270" w:lineRule="auto"/>
        <w:jc w:val="both"/>
        <w:rPr>
          <w:rFonts w:ascii="Arial" w:eastAsia="宋体"/>
          <w:kern w:val="2"/>
          <w:sz w:val="21"/>
          <w:lang w:eastAsia="zh-CN"/>
        </w:rPr>
      </w:pPr>
    </w:p>
    <w:p>
      <w:pPr>
        <w:widowControl w:val="0"/>
        <w:spacing w:line="270" w:lineRule="auto"/>
        <w:jc w:val="both"/>
        <w:rPr>
          <w:rFonts w:ascii="Arial" w:eastAsia="宋体"/>
          <w:kern w:val="2"/>
          <w:sz w:val="21"/>
          <w:lang w:eastAsia="zh-CN"/>
        </w:rPr>
      </w:pPr>
    </w:p>
    <w:p>
      <w:pPr>
        <w:widowControl w:val="0"/>
        <w:spacing w:line="270" w:lineRule="auto"/>
        <w:jc w:val="both"/>
        <w:rPr>
          <w:rFonts w:ascii="Arial" w:eastAsia="宋体"/>
          <w:kern w:val="2"/>
          <w:sz w:val="21"/>
          <w:lang w:eastAsia="zh-CN"/>
        </w:rPr>
      </w:pPr>
    </w:p>
    <w:p>
      <w:pPr>
        <w:widowControl w:val="0"/>
        <w:spacing w:before="98" w:line="240" w:lineRule="auto"/>
        <w:ind w:left="684"/>
        <w:jc w:val="both"/>
        <w:rPr>
          <w:rFonts w:ascii="宋体" w:eastAsia="宋体" w:hAnsi="宋体" w:cs="宋体" w:hint="eastAsia"/>
          <w:b/>
          <w:bCs/>
          <w:kern w:val="2"/>
          <w:sz w:val="32"/>
          <w:szCs w:val="32"/>
          <w:lang w:eastAsia="zh-CN"/>
        </w:rPr>
      </w:pPr>
      <w:r>
        <w:rPr>
          <w:rFonts w:ascii="宋体" w:eastAsia="宋体" w:hAnsi="宋体" w:cs="宋体" w:hint="eastAsia"/>
          <w:b/>
          <w:bCs/>
          <w:spacing w:val="-37"/>
          <w:kern w:val="2"/>
          <w:sz w:val="32"/>
          <w:szCs w:val="32"/>
          <w:lang w:eastAsia="zh-CN"/>
        </w:rPr>
        <w:t>项目名称：</w:t>
      </w:r>
      <w:r>
        <w:rPr>
          <w:rFonts w:ascii="宋体" w:eastAsia="宋体" w:hAnsi="宋体" w:cs="宋体" w:hint="eastAsia"/>
          <w:b/>
          <w:bCs/>
          <w:spacing w:val="74"/>
          <w:kern w:val="2"/>
          <w:sz w:val="32"/>
          <w:szCs w:val="32"/>
          <w:lang w:eastAsia="zh-CN"/>
        </w:rPr>
        <w:t xml:space="preserve"> </w:t>
      </w:r>
      <w:r>
        <w:rPr>
          <w:rFonts w:ascii="宋体" w:eastAsia="宋体" w:hAnsi="宋体" w:cs="宋体" w:hint="eastAsia"/>
          <w:b/>
          <w:bCs/>
          <w:kern w:val="2"/>
          <w:sz w:val="32"/>
          <w:szCs w:val="32"/>
          <w:u w:val="single"/>
          <w:lang w:eastAsia="zh-CN"/>
        </w:rPr>
        <w:t xml:space="preserve">                                </w:t>
      </w:r>
    </w:p>
    <w:p>
      <w:pPr>
        <w:widowControl w:val="0"/>
        <w:spacing w:line="240" w:lineRule="auto"/>
        <w:ind w:left="684"/>
        <w:jc w:val="both"/>
        <w:rPr>
          <w:rFonts w:ascii="宋体" w:eastAsia="宋体" w:hAnsi="宋体" w:cs="宋体" w:hint="eastAsia"/>
          <w:b/>
          <w:bCs/>
          <w:kern w:val="2"/>
          <w:sz w:val="32"/>
          <w:szCs w:val="32"/>
          <w:lang w:eastAsia="zh-CN"/>
        </w:rPr>
      </w:pPr>
      <w:r>
        <w:rPr>
          <w:rFonts w:ascii="宋体" w:eastAsia="宋体" w:hAnsi="宋体" w:cs="宋体" w:hint="eastAsia"/>
          <w:b/>
          <w:bCs/>
          <w:spacing w:val="-37"/>
          <w:kern w:val="2"/>
          <w:sz w:val="32"/>
          <w:szCs w:val="32"/>
          <w:lang w:eastAsia="zh-CN"/>
        </w:rPr>
        <w:t>合同编号：</w:t>
      </w:r>
      <w:r>
        <w:rPr>
          <w:rFonts w:ascii="宋体" w:eastAsia="宋体" w:hAnsi="宋体" w:cs="宋体" w:hint="eastAsia"/>
          <w:b/>
          <w:bCs/>
          <w:spacing w:val="104"/>
          <w:kern w:val="2"/>
          <w:sz w:val="32"/>
          <w:szCs w:val="32"/>
          <w:lang w:eastAsia="zh-CN"/>
        </w:rPr>
        <w:t xml:space="preserve"> </w:t>
      </w:r>
      <w:r>
        <w:rPr>
          <w:rFonts w:ascii="宋体" w:eastAsia="宋体" w:hAnsi="宋体" w:cs="宋体" w:hint="eastAsia"/>
          <w:b/>
          <w:bCs/>
          <w:kern w:val="2"/>
          <w:sz w:val="32"/>
          <w:szCs w:val="32"/>
          <w:u w:val="single"/>
          <w:lang w:eastAsia="zh-CN"/>
        </w:rPr>
        <w:t xml:space="preserve">                               </w:t>
      </w:r>
    </w:p>
    <w:p>
      <w:pPr>
        <w:widowControl w:val="0"/>
        <w:spacing w:before="280" w:line="240" w:lineRule="auto"/>
        <w:ind w:left="679"/>
        <w:jc w:val="both"/>
        <w:rPr>
          <w:rFonts w:ascii="宋体" w:eastAsia="宋体" w:hAnsi="宋体" w:cs="宋体" w:hint="eastAsia"/>
          <w:b/>
          <w:bCs/>
          <w:kern w:val="2"/>
          <w:sz w:val="32"/>
          <w:szCs w:val="32"/>
          <w:lang w:eastAsia="zh-CN"/>
        </w:rPr>
      </w:pPr>
      <w:r>
        <w:rPr>
          <w:rFonts w:ascii="宋体" w:eastAsia="宋体" w:hAnsi="宋体" w:cs="宋体" w:hint="eastAsia"/>
          <w:b/>
          <w:bCs/>
          <w:spacing w:val="-41"/>
          <w:kern w:val="2"/>
          <w:sz w:val="32"/>
          <w:szCs w:val="32"/>
          <w:lang w:eastAsia="zh-CN"/>
        </w:rPr>
        <w:t>甲</w:t>
      </w:r>
      <w:r>
        <w:rPr>
          <w:rFonts w:ascii="宋体" w:eastAsia="宋体" w:hAnsi="宋体" w:cs="宋体" w:hint="eastAsia"/>
          <w:b/>
          <w:bCs/>
          <w:spacing w:val="18"/>
          <w:kern w:val="2"/>
          <w:sz w:val="32"/>
          <w:szCs w:val="32"/>
          <w:lang w:eastAsia="zh-CN"/>
        </w:rPr>
        <w:t xml:space="preserve">   </w:t>
      </w:r>
      <w:r>
        <w:rPr>
          <w:rFonts w:ascii="宋体" w:eastAsia="宋体" w:hAnsi="宋体" w:cs="宋体" w:hint="eastAsia"/>
          <w:b/>
          <w:bCs/>
          <w:spacing w:val="-41"/>
          <w:kern w:val="2"/>
          <w:sz w:val="32"/>
          <w:szCs w:val="32"/>
          <w:lang w:eastAsia="zh-CN"/>
        </w:rPr>
        <w:t xml:space="preserve">方： </w:t>
      </w:r>
      <w:r>
        <w:rPr>
          <w:rFonts w:ascii="宋体" w:eastAsia="宋体" w:hAnsi="宋体" w:cs="宋体" w:hint="eastAsia"/>
          <w:b/>
          <w:bCs/>
          <w:kern w:val="2"/>
          <w:sz w:val="32"/>
          <w:szCs w:val="32"/>
          <w:u w:val="single"/>
          <w:lang w:eastAsia="zh-CN"/>
        </w:rPr>
        <w:t xml:space="preserve">                                </w:t>
      </w:r>
    </w:p>
    <w:p>
      <w:pPr>
        <w:widowControl w:val="0"/>
        <w:spacing w:before="260" w:line="240" w:lineRule="auto"/>
        <w:ind w:left="667"/>
        <w:jc w:val="both"/>
        <w:rPr>
          <w:rFonts w:ascii="宋体" w:eastAsia="宋体" w:hAnsi="宋体" w:cs="宋体" w:hint="eastAsia"/>
          <w:b/>
          <w:bCs/>
          <w:kern w:val="2"/>
          <w:sz w:val="32"/>
          <w:szCs w:val="32"/>
          <w:lang w:eastAsia="zh-CN"/>
        </w:rPr>
      </w:pPr>
      <w:r>
        <w:rPr>
          <w:rFonts w:ascii="宋体" w:eastAsia="宋体" w:hAnsi="宋体" w:cs="宋体" w:hint="eastAsia"/>
          <w:b/>
          <w:bCs/>
          <w:i/>
          <w:iCs/>
          <w:spacing w:val="-26"/>
          <w:kern w:val="2"/>
          <w:sz w:val="32"/>
          <w:szCs w:val="32"/>
          <w:lang w:eastAsia="zh-CN"/>
        </w:rPr>
        <w:t>乙</w:t>
      </w:r>
      <w:r>
        <w:rPr>
          <w:rFonts w:ascii="宋体" w:eastAsia="宋体" w:hAnsi="宋体" w:cs="宋体" w:hint="eastAsia"/>
          <w:b/>
          <w:bCs/>
          <w:spacing w:val="43"/>
          <w:kern w:val="2"/>
          <w:sz w:val="32"/>
          <w:szCs w:val="32"/>
          <w:lang w:eastAsia="zh-CN"/>
        </w:rPr>
        <w:t xml:space="preserve">  </w:t>
      </w:r>
      <w:r>
        <w:rPr>
          <w:rFonts w:ascii="宋体" w:eastAsia="宋体" w:hAnsi="宋体" w:cs="宋体" w:hint="eastAsia"/>
          <w:b/>
          <w:bCs/>
          <w:i/>
          <w:iCs/>
          <w:spacing w:val="-26"/>
          <w:kern w:val="2"/>
          <w:sz w:val="32"/>
          <w:szCs w:val="32"/>
          <w:lang w:eastAsia="zh-CN"/>
        </w:rPr>
        <w:t>方：</w:t>
      </w:r>
      <w:r>
        <w:rPr>
          <w:rFonts w:ascii="宋体" w:eastAsia="宋体" w:hAnsi="宋体" w:cs="宋体" w:hint="eastAsia"/>
          <w:b/>
          <w:bCs/>
          <w:spacing w:val="-30"/>
          <w:kern w:val="2"/>
          <w:sz w:val="32"/>
          <w:szCs w:val="32"/>
          <w:lang w:eastAsia="zh-CN"/>
        </w:rPr>
        <w:t xml:space="preserve"> </w:t>
      </w:r>
      <w:r>
        <w:rPr>
          <w:rFonts w:ascii="宋体" w:eastAsia="宋体" w:hAnsi="宋体" w:cs="宋体" w:hint="eastAsia"/>
          <w:b/>
          <w:bCs/>
          <w:kern w:val="2"/>
          <w:sz w:val="32"/>
          <w:szCs w:val="32"/>
          <w:u w:val="single"/>
          <w:lang w:eastAsia="zh-CN"/>
        </w:rPr>
        <w:t xml:space="preserve">                              </w:t>
      </w:r>
    </w:p>
    <w:p>
      <w:pPr>
        <w:widowControl w:val="0"/>
        <w:spacing w:before="267" w:line="240" w:lineRule="auto"/>
        <w:ind w:left="684"/>
        <w:jc w:val="both"/>
        <w:rPr>
          <w:rFonts w:ascii="宋体" w:eastAsia="宋体" w:hAnsi="宋体" w:cs="宋体" w:hint="eastAsia"/>
          <w:b/>
          <w:bCs/>
          <w:kern w:val="2"/>
          <w:sz w:val="32"/>
          <w:szCs w:val="32"/>
          <w:lang w:eastAsia="zh-CN"/>
        </w:rPr>
      </w:pPr>
      <w:r>
        <w:rPr>
          <w:rFonts w:ascii="宋体" w:eastAsia="宋体" w:hAnsi="宋体" w:cs="宋体" w:hint="eastAsia"/>
          <w:b/>
          <w:bCs/>
          <w:spacing w:val="-37"/>
          <w:kern w:val="2"/>
          <w:sz w:val="32"/>
          <w:szCs w:val="32"/>
          <w:lang w:eastAsia="zh-CN"/>
        </w:rPr>
        <w:t>签订时间：</w:t>
      </w:r>
      <w:r>
        <w:rPr>
          <w:rFonts w:ascii="宋体" w:eastAsia="宋体" w:hAnsi="宋体" w:cs="宋体" w:hint="eastAsia"/>
          <w:b/>
          <w:bCs/>
          <w:spacing w:val="74"/>
          <w:kern w:val="2"/>
          <w:sz w:val="32"/>
          <w:szCs w:val="32"/>
          <w:lang w:eastAsia="zh-CN"/>
        </w:rPr>
        <w:t xml:space="preserve"> </w:t>
      </w:r>
      <w:r>
        <w:rPr>
          <w:rFonts w:ascii="宋体" w:eastAsia="宋体" w:hAnsi="宋体" w:cs="宋体" w:hint="eastAsia"/>
          <w:b/>
          <w:bCs/>
          <w:kern w:val="2"/>
          <w:sz w:val="32"/>
          <w:szCs w:val="32"/>
          <w:u w:val="single"/>
          <w:lang w:eastAsia="zh-CN"/>
        </w:rPr>
        <w:t xml:space="preserve">                                </w:t>
      </w:r>
    </w:p>
    <w:p>
      <w:pPr>
        <w:widowControl w:val="0"/>
        <w:spacing w:line="245" w:lineRule="auto"/>
        <w:jc w:val="both"/>
        <w:rPr>
          <w:rFonts w:ascii="Arial" w:eastAsia="宋体"/>
          <w:kern w:val="2"/>
          <w:lang w:eastAsia="zh-CN"/>
        </w:rPr>
      </w:pPr>
    </w:p>
    <w:p>
      <w:pPr>
        <w:widowControl w:val="0"/>
        <w:spacing w:line="246" w:lineRule="auto"/>
        <w:jc w:val="both"/>
        <w:rPr>
          <w:rFonts w:ascii="宋体" w:eastAsia="宋体" w:hAnsi="宋体" w:cs="宋体" w:hint="eastAsia"/>
          <w:kern w:val="2"/>
          <w:lang w:eastAsia="zh-CN"/>
        </w:rPr>
      </w:pPr>
    </w:p>
    <w:p>
      <w:pPr>
        <w:widowControl w:val="0"/>
        <w:spacing w:line="246" w:lineRule="auto"/>
        <w:jc w:val="both"/>
        <w:rPr>
          <w:rFonts w:ascii="宋体" w:eastAsia="宋体" w:hAnsi="宋体" w:cs="宋体" w:hint="eastAsia"/>
          <w:kern w:val="2"/>
          <w:lang w:eastAsia="zh-CN"/>
        </w:rPr>
      </w:pPr>
    </w:p>
    <w:p>
      <w:pPr>
        <w:widowControl w:val="0"/>
        <w:spacing w:before="127" w:line="221" w:lineRule="auto"/>
        <w:ind w:left="3080"/>
        <w:jc w:val="both"/>
        <w:rPr>
          <w:rFonts w:ascii="宋体" w:eastAsia="宋体" w:hAnsi="宋体" w:cs="宋体" w:hint="eastAsia"/>
          <w:kern w:val="2"/>
          <w:lang w:eastAsia="zh-CN"/>
        </w:rPr>
      </w:pPr>
      <w:r>
        <w:rPr>
          <w:rFonts w:ascii="宋体" w:eastAsia="宋体" w:hAnsi="宋体" w:cs="宋体" w:hint="eastAsia"/>
          <w:b/>
          <w:bCs/>
          <w:spacing w:val="-19"/>
          <w:kern w:val="2"/>
          <w:lang w:eastAsia="zh-CN"/>
        </w:rPr>
        <w:t>使</w:t>
      </w:r>
      <w:r>
        <w:rPr>
          <w:rFonts w:ascii="宋体" w:eastAsia="宋体" w:hAnsi="宋体" w:cs="宋体" w:hint="eastAsia"/>
          <w:spacing w:val="105"/>
          <w:kern w:val="2"/>
          <w:lang w:eastAsia="zh-CN"/>
        </w:rPr>
        <w:t xml:space="preserve"> </w:t>
      </w:r>
      <w:r>
        <w:rPr>
          <w:rFonts w:ascii="宋体" w:eastAsia="宋体" w:hAnsi="宋体" w:cs="宋体" w:hint="eastAsia"/>
          <w:b/>
          <w:bCs/>
          <w:spacing w:val="-19"/>
          <w:kern w:val="2"/>
          <w:lang w:eastAsia="zh-CN"/>
        </w:rPr>
        <w:t>用</w:t>
      </w:r>
      <w:r>
        <w:rPr>
          <w:rFonts w:ascii="宋体" w:eastAsia="宋体" w:hAnsi="宋体" w:cs="宋体" w:hint="eastAsia"/>
          <w:spacing w:val="103"/>
          <w:kern w:val="2"/>
          <w:lang w:eastAsia="zh-CN"/>
        </w:rPr>
        <w:t xml:space="preserve"> </w:t>
      </w:r>
      <w:r>
        <w:rPr>
          <w:rFonts w:ascii="宋体" w:eastAsia="宋体" w:hAnsi="宋体" w:cs="宋体" w:hint="eastAsia"/>
          <w:b/>
          <w:bCs/>
          <w:spacing w:val="-19"/>
          <w:kern w:val="2"/>
          <w:lang w:eastAsia="zh-CN"/>
        </w:rPr>
        <w:t>说</w:t>
      </w:r>
      <w:r>
        <w:rPr>
          <w:rFonts w:ascii="宋体" w:eastAsia="宋体" w:hAnsi="宋体" w:cs="宋体" w:hint="eastAsia"/>
          <w:spacing w:val="116"/>
          <w:kern w:val="2"/>
          <w:lang w:eastAsia="zh-CN"/>
        </w:rPr>
        <w:t xml:space="preserve"> </w:t>
      </w:r>
      <w:r>
        <w:rPr>
          <w:rFonts w:ascii="宋体" w:eastAsia="宋体" w:hAnsi="宋体" w:cs="宋体" w:hint="eastAsia"/>
          <w:b/>
          <w:bCs/>
          <w:spacing w:val="-19"/>
          <w:kern w:val="2"/>
          <w:lang w:eastAsia="zh-CN"/>
        </w:rPr>
        <w:t>明</w:t>
      </w:r>
    </w:p>
    <w:p>
      <w:pPr>
        <w:widowControl w:val="0"/>
        <w:spacing w:line="354" w:lineRule="auto"/>
        <w:jc w:val="both"/>
        <w:rPr>
          <w:rFonts w:ascii="宋体" w:eastAsia="宋体" w:hAnsi="宋体" w:cs="宋体" w:hint="eastAsia"/>
          <w:kern w:val="2"/>
          <w:lang w:eastAsia="zh-CN"/>
        </w:rPr>
      </w:pPr>
    </w:p>
    <w:p>
      <w:pPr>
        <w:widowControl w:val="0"/>
        <w:spacing w:line="360" w:lineRule="auto"/>
        <w:jc w:val="both"/>
        <w:rPr>
          <w:rFonts w:eastAsia="宋体" w:hint="eastAsia"/>
          <w:kern w:val="2"/>
          <w:sz w:val="21"/>
          <w:lang w:eastAsia="zh-CN"/>
        </w:rPr>
      </w:pPr>
      <w:r>
        <w:rPr>
          <w:rFonts w:eastAsia="宋体" w:hint="eastAsia"/>
          <w:kern w:val="2"/>
          <w:sz w:val="21"/>
          <w:lang w:eastAsia="zh-CN"/>
        </w:rPr>
        <w:t>1.本合同标准文本适用于购买现成货物的采购项目，不包括需要供应商定制开发、创新研发的货物采购项目。</w:t>
      </w:r>
    </w:p>
    <w:p>
      <w:pPr>
        <w:widowControl w:val="0"/>
        <w:spacing w:line="360" w:lineRule="auto"/>
        <w:jc w:val="both"/>
        <w:rPr>
          <w:rFonts w:eastAsia="宋体" w:hint="eastAsia"/>
          <w:kern w:val="2"/>
          <w:sz w:val="21"/>
          <w:lang w:eastAsia="zh-CN"/>
        </w:rPr>
      </w:pPr>
      <w:r>
        <w:rPr>
          <w:rFonts w:eastAsia="宋体" w:hint="eastAsia"/>
          <w:kern w:val="2"/>
          <w:sz w:val="21"/>
          <w:lang w:eastAsia="zh-CN"/>
        </w:rPr>
        <w:t>2.本合同标准文本为政府采购货物买卖合同编制提供 参考，可以结合采购项目具体情况，对文本作必要的调整修订后使用。</w:t>
      </w:r>
    </w:p>
    <w:p>
      <w:pPr>
        <w:widowControl w:val="0"/>
        <w:spacing w:line="360" w:lineRule="auto"/>
        <w:jc w:val="both"/>
        <w:rPr>
          <w:rFonts w:eastAsia="宋体" w:hint="eastAsia"/>
          <w:kern w:val="2"/>
          <w:sz w:val="21"/>
          <w:lang w:eastAsia="zh-CN"/>
        </w:rPr>
      </w:pPr>
      <w:r>
        <w:rPr>
          <w:rFonts w:eastAsia="宋体" w:hint="eastAsia"/>
          <w:kern w:val="2"/>
          <w:sz w:val="21"/>
          <w:lang w:eastAsia="zh-CN"/>
        </w:rPr>
        <w:t>3.本合同标准文本各条款中，如涉及填写多家供应商、 制造商，多种采购标的、分包主要内容等信息的，可根据采购项目具体情况添加信息项。</w:t>
      </w:r>
    </w:p>
    <w:p>
      <w:pPr>
        <w:widowControl w:val="0"/>
        <w:spacing w:line="221" w:lineRule="auto"/>
        <w:jc w:val="both"/>
        <w:rPr>
          <w:rFonts w:ascii="宋体" w:eastAsia="宋体" w:hAnsi="宋体" w:cs="宋体" w:hint="eastAsia"/>
          <w:kern w:val="2"/>
          <w:lang w:eastAsia="zh-CN"/>
        </w:rPr>
        <w:sectPr>
          <w:pgSz w:w="11900" w:h="16880"/>
          <w:pgMar w:top="1440" w:right="1800" w:bottom="1440" w:left="1800" w:header="0" w:footer="0" w:gutter="0"/>
          <w:pgBorders>
            <w:top w:val="none" w:sz="0" w:space="0" w:color="auto"/>
            <w:left w:val="none" w:sz="0" w:space="0" w:color="auto"/>
            <w:bottom w:val="none" w:sz="0" w:space="0" w:color="auto"/>
            <w:right w:val="none" w:sz="0" w:space="0" w:color="auto"/>
          </w:pgBorders>
          <w:pgNumType w:fmt="numberInDash"/>
          <w:cols w:num="1" w:space="720"/>
        </w:sectPr>
      </w:pPr>
    </w:p>
    <w:p>
      <w:pPr>
        <w:widowControl w:val="0"/>
        <w:spacing w:line="376" w:lineRule="auto"/>
        <w:jc w:val="both"/>
        <w:rPr>
          <w:rFonts w:ascii="宋体" w:eastAsia="宋体" w:hAnsi="宋体" w:cs="宋体" w:hint="eastAsia"/>
          <w:kern w:val="2"/>
          <w:sz w:val="21"/>
          <w:lang w:eastAsia="zh-CN"/>
        </w:rPr>
      </w:pPr>
    </w:p>
    <w:p>
      <w:pPr>
        <w:widowControl w:val="0"/>
        <w:spacing w:before="91" w:line="222" w:lineRule="auto"/>
        <w:ind w:left="2540"/>
        <w:jc w:val="both"/>
        <w:rPr>
          <w:rFonts w:ascii="宋体" w:eastAsia="宋体" w:hAnsi="宋体" w:cs="宋体" w:hint="eastAsia"/>
          <w:kern w:val="2"/>
          <w:sz w:val="28"/>
          <w:szCs w:val="28"/>
          <w:lang w:eastAsia="zh-CN"/>
        </w:rPr>
      </w:pPr>
      <w:r>
        <w:rPr>
          <w:rFonts w:ascii="宋体" w:eastAsia="宋体" w:hAnsi="宋体" w:cs="宋体" w:hint="eastAsia"/>
          <w:b/>
          <w:bCs/>
          <w:spacing w:val="6"/>
          <w:kern w:val="2"/>
          <w:sz w:val="28"/>
          <w:szCs w:val="28"/>
          <w:lang w:eastAsia="zh-CN"/>
        </w:rPr>
        <w:t>第一节政府采购合同协议书</w:t>
      </w:r>
    </w:p>
    <w:p>
      <w:pPr>
        <w:widowControl w:val="0"/>
        <w:spacing w:line="437" w:lineRule="auto"/>
        <w:jc w:val="both"/>
        <w:rPr>
          <w:rFonts w:ascii="宋体" w:eastAsia="宋体" w:hAnsi="宋体" w:cs="宋体" w:hint="eastAsia"/>
          <w:kern w:val="2"/>
          <w:sz w:val="21"/>
          <w:lang w:eastAsia="zh-CN"/>
        </w:rPr>
      </w:pPr>
    </w:p>
    <w:p>
      <w:pPr>
        <w:widowControl w:val="0"/>
        <w:spacing w:before="68" w:line="225" w:lineRule="auto"/>
        <w:ind w:left="86"/>
        <w:jc w:val="both"/>
        <w:rPr>
          <w:rFonts w:ascii="宋体" w:eastAsia="宋体" w:hAnsi="宋体" w:cs="宋体" w:hint="eastAsia"/>
          <w:kern w:val="2"/>
          <w:lang w:eastAsia="zh-CN"/>
        </w:rPr>
      </w:pPr>
      <w:r>
        <w:rPr>
          <w:rFonts w:ascii="宋体" w:eastAsia="宋体" w:hAnsi="宋体" w:cs="宋体" w:hint="eastAsia"/>
          <w:spacing w:val="3"/>
          <w:kern w:val="2"/>
          <w:position w:val="2"/>
          <w:lang w:eastAsia="zh-CN"/>
        </w:rPr>
        <w:t>甲方(全称):</w:t>
      </w:r>
      <w:r>
        <w:rPr>
          <w:rFonts w:ascii="宋体" w:eastAsia="宋体" w:hAnsi="宋体" w:cs="宋体" w:hint="eastAsia"/>
          <w:spacing w:val="70"/>
          <w:kern w:val="2"/>
          <w:position w:val="2"/>
          <w:lang w:eastAsia="zh-CN"/>
        </w:rPr>
        <w:t xml:space="preserve"> </w:t>
      </w:r>
      <w:r>
        <w:rPr>
          <w:rFonts w:ascii="宋体" w:eastAsia="宋体" w:hAnsi="宋体" w:cs="宋体" w:hint="eastAsia"/>
          <w:spacing w:val="3"/>
          <w:kern w:val="2"/>
          <w:position w:val="2"/>
          <w:u w:val="single"/>
          <w:lang w:eastAsia="zh-CN"/>
        </w:rPr>
        <w:t xml:space="preserve">                       </w:t>
      </w:r>
      <w:r>
        <w:rPr>
          <w:rFonts w:ascii="宋体" w:eastAsia="宋体" w:hAnsi="宋体" w:cs="宋体" w:hint="eastAsia"/>
          <w:spacing w:val="3"/>
          <w:kern w:val="2"/>
          <w:position w:val="2"/>
          <w:lang w:eastAsia="zh-CN"/>
        </w:rPr>
        <w:t xml:space="preserve"> </w:t>
      </w:r>
      <w:r>
        <w:rPr>
          <w:rFonts w:ascii="宋体" w:eastAsia="宋体" w:hAnsi="宋体" w:cs="宋体" w:hint="eastAsia"/>
          <w:spacing w:val="3"/>
          <w:kern w:val="2"/>
          <w:lang w:eastAsia="zh-CN"/>
        </w:rPr>
        <w:t>(采购人、受采购人委托签订合同的单位或采购</w:t>
      </w:r>
    </w:p>
    <w:p>
      <w:pPr>
        <w:widowControl w:val="0"/>
        <w:spacing w:before="151" w:line="390" w:lineRule="exact"/>
        <w:ind w:left="4216"/>
        <w:jc w:val="both"/>
        <w:rPr>
          <w:rFonts w:ascii="宋体" w:eastAsia="宋体" w:hAnsi="宋体" w:cs="宋体" w:hint="eastAsia"/>
          <w:kern w:val="2"/>
          <w:lang w:eastAsia="zh-CN"/>
        </w:rPr>
      </w:pPr>
      <w:r>
        <w:rPr>
          <w:rFonts w:ascii="宋体" w:eastAsia="宋体" w:hAnsi="宋体" w:cs="宋体" w:hint="eastAsia"/>
          <w:spacing w:val="-1"/>
          <w:kern w:val="2"/>
          <w:position w:val="13"/>
          <w:lang w:eastAsia="zh-CN"/>
        </w:rPr>
        <w:t>文件约定的合同甲方)</w:t>
      </w:r>
    </w:p>
    <w:p>
      <w:pPr>
        <w:widowControl w:val="0"/>
        <w:spacing w:line="218" w:lineRule="auto"/>
        <w:ind w:left="86"/>
        <w:jc w:val="both"/>
        <w:rPr>
          <w:rFonts w:ascii="宋体" w:eastAsia="宋体" w:hAnsi="宋体" w:cs="宋体" w:hint="eastAsia"/>
          <w:kern w:val="2"/>
          <w:lang w:eastAsia="zh-CN"/>
        </w:rPr>
      </w:pPr>
      <w:r>
        <w:rPr>
          <w:rFonts w:ascii="宋体" w:eastAsia="宋体" w:hAnsi="宋体" w:cs="宋体" w:hint="eastAsia"/>
          <w:spacing w:val="-10"/>
          <w:kern w:val="2"/>
          <w:lang w:eastAsia="zh-CN"/>
        </w:rPr>
        <w:t>乙</w:t>
      </w:r>
      <w:r>
        <w:rPr>
          <w:rFonts w:ascii="宋体" w:eastAsia="宋体" w:hAnsi="宋体" w:cs="宋体" w:hint="eastAsia"/>
          <w:spacing w:val="-31"/>
          <w:kern w:val="2"/>
          <w:lang w:eastAsia="zh-CN"/>
        </w:rPr>
        <w:t xml:space="preserve"> </w:t>
      </w:r>
      <w:r>
        <w:rPr>
          <w:rFonts w:ascii="宋体" w:eastAsia="宋体" w:hAnsi="宋体" w:cs="宋体" w:hint="eastAsia"/>
          <w:spacing w:val="-10"/>
          <w:kern w:val="2"/>
          <w:lang w:eastAsia="zh-CN"/>
        </w:rPr>
        <w:t>方</w:t>
      </w:r>
      <w:r>
        <w:rPr>
          <w:rFonts w:ascii="宋体" w:eastAsia="宋体" w:hAnsi="宋体" w:cs="宋体" w:hint="eastAsia"/>
          <w:spacing w:val="-23"/>
          <w:kern w:val="2"/>
          <w:lang w:eastAsia="zh-CN"/>
        </w:rPr>
        <w:t xml:space="preserve"> </w:t>
      </w:r>
      <w:r>
        <w:rPr>
          <w:rFonts w:ascii="宋体" w:eastAsia="宋体" w:hAnsi="宋体" w:cs="宋体" w:hint="eastAsia"/>
          <w:spacing w:val="-10"/>
          <w:kern w:val="2"/>
          <w:lang w:eastAsia="zh-CN"/>
        </w:rPr>
        <w:t>1 (</w:t>
      </w:r>
      <w:r>
        <w:rPr>
          <w:rFonts w:ascii="宋体" w:eastAsia="宋体" w:hAnsi="宋体" w:cs="宋体" w:hint="eastAsia"/>
          <w:spacing w:val="-38"/>
          <w:kern w:val="2"/>
          <w:lang w:eastAsia="zh-CN"/>
        </w:rPr>
        <w:t xml:space="preserve"> </w:t>
      </w:r>
      <w:r>
        <w:rPr>
          <w:rFonts w:ascii="宋体" w:eastAsia="宋体" w:hAnsi="宋体" w:cs="宋体" w:hint="eastAsia"/>
          <w:spacing w:val="-10"/>
          <w:kern w:val="2"/>
          <w:lang w:eastAsia="zh-CN"/>
        </w:rPr>
        <w:t>全</w:t>
      </w:r>
      <w:r>
        <w:rPr>
          <w:rFonts w:ascii="宋体" w:eastAsia="宋体" w:hAnsi="宋体" w:cs="宋体" w:hint="eastAsia"/>
          <w:spacing w:val="-39"/>
          <w:kern w:val="2"/>
          <w:lang w:eastAsia="zh-CN"/>
        </w:rPr>
        <w:t xml:space="preserve"> </w:t>
      </w:r>
      <w:r>
        <w:rPr>
          <w:rFonts w:ascii="宋体" w:eastAsia="宋体" w:hAnsi="宋体" w:cs="宋体" w:hint="eastAsia"/>
          <w:spacing w:val="-10"/>
          <w:kern w:val="2"/>
          <w:lang w:eastAsia="zh-CN"/>
        </w:rPr>
        <w:t>称</w:t>
      </w:r>
      <w:r>
        <w:rPr>
          <w:rFonts w:ascii="宋体" w:eastAsia="宋体" w:hAnsi="宋体" w:cs="宋体" w:hint="eastAsia"/>
          <w:spacing w:val="-37"/>
          <w:kern w:val="2"/>
          <w:lang w:eastAsia="zh-CN"/>
        </w:rPr>
        <w:t xml:space="preserve"> </w:t>
      </w:r>
      <w:r>
        <w:rPr>
          <w:rFonts w:ascii="宋体" w:eastAsia="宋体" w:hAnsi="宋体" w:cs="宋体" w:hint="eastAsia"/>
          <w:spacing w:val="-10"/>
          <w:kern w:val="2"/>
          <w:lang w:eastAsia="zh-CN"/>
        </w:rPr>
        <w:t>) :</w:t>
      </w:r>
      <w:r>
        <w:rPr>
          <w:rFonts w:ascii="宋体" w:eastAsia="宋体" w:hAnsi="宋体" w:cs="宋体" w:hint="eastAsia"/>
          <w:kern w:val="2"/>
          <w:u w:val="single"/>
          <w:lang w:eastAsia="zh-CN"/>
        </w:rPr>
        <w:t xml:space="preserve">                       </w:t>
      </w:r>
      <w:r>
        <w:rPr>
          <w:rFonts w:ascii="宋体" w:eastAsia="宋体" w:hAnsi="宋体" w:cs="宋体" w:hint="eastAsia"/>
          <w:spacing w:val="-33"/>
          <w:kern w:val="2"/>
          <w:lang w:eastAsia="zh-CN"/>
        </w:rPr>
        <w:t xml:space="preserve"> </w:t>
      </w:r>
      <w:r>
        <w:rPr>
          <w:rFonts w:ascii="宋体" w:eastAsia="宋体" w:hAnsi="宋体" w:cs="宋体" w:hint="eastAsia"/>
          <w:spacing w:val="-10"/>
          <w:kern w:val="2"/>
          <w:lang w:eastAsia="zh-CN"/>
        </w:rPr>
        <w:t>(供应商)</w:t>
      </w:r>
    </w:p>
    <w:p>
      <w:pPr>
        <w:widowControl w:val="0"/>
        <w:spacing w:before="151" w:line="352" w:lineRule="auto"/>
        <w:ind w:left="86"/>
        <w:jc w:val="both"/>
        <w:rPr>
          <w:rFonts w:ascii="宋体" w:eastAsia="宋体" w:hAnsi="宋体" w:cs="宋体" w:hint="eastAsia"/>
          <w:kern w:val="2"/>
          <w:lang w:eastAsia="zh-CN"/>
        </w:rPr>
      </w:pPr>
      <w:r>
        <w:rPr>
          <w:rFonts w:ascii="宋体" w:eastAsia="宋体" w:hAnsi="宋体" w:cs="宋体" w:hint="eastAsia"/>
          <w:spacing w:val="12"/>
          <w:kern w:val="2"/>
          <w:lang w:eastAsia="zh-CN"/>
        </w:rPr>
        <w:t xml:space="preserve">乙方2(全称): </w:t>
      </w:r>
      <w:r>
        <w:rPr>
          <w:rFonts w:ascii="宋体" w:eastAsia="宋体" w:hAnsi="宋体" w:cs="宋体" w:hint="eastAsia"/>
          <w:spacing w:val="12"/>
          <w:kern w:val="2"/>
          <w:u w:val="single"/>
          <w:lang w:eastAsia="zh-CN"/>
        </w:rPr>
        <w:t xml:space="preserve">                  </w:t>
      </w:r>
      <w:r>
        <w:rPr>
          <w:rFonts w:ascii="宋体" w:eastAsia="宋体" w:hAnsi="宋体" w:cs="宋体" w:hint="eastAsia"/>
          <w:spacing w:val="11"/>
          <w:kern w:val="2"/>
          <w:u w:val="single"/>
          <w:lang w:eastAsia="zh-CN"/>
        </w:rPr>
        <w:t xml:space="preserve">    </w:t>
      </w:r>
      <w:r>
        <w:rPr>
          <w:rFonts w:ascii="宋体" w:eastAsia="宋体" w:hAnsi="宋体" w:cs="宋体" w:hint="eastAsia"/>
          <w:spacing w:val="-64"/>
          <w:kern w:val="2"/>
          <w:lang w:eastAsia="zh-CN"/>
        </w:rPr>
        <w:t xml:space="preserve"> </w:t>
      </w:r>
      <w:r>
        <w:rPr>
          <w:rFonts w:ascii="宋体" w:eastAsia="宋体" w:hAnsi="宋体" w:cs="宋体" w:hint="eastAsia"/>
          <w:spacing w:val="11"/>
          <w:kern w:val="2"/>
          <w:lang w:eastAsia="zh-CN"/>
        </w:rPr>
        <w:t>(联合体成员供应商或其他合同主体)(如有)</w:t>
      </w:r>
    </w:p>
    <w:p>
      <w:pPr>
        <w:widowControl w:val="0"/>
        <w:spacing w:line="218" w:lineRule="auto"/>
        <w:ind w:left="86"/>
        <w:jc w:val="both"/>
        <w:rPr>
          <w:rFonts w:ascii="宋体" w:eastAsia="宋体" w:hAnsi="宋体" w:cs="宋体" w:hint="eastAsia"/>
          <w:kern w:val="2"/>
          <w:lang w:eastAsia="zh-CN"/>
        </w:rPr>
      </w:pPr>
      <w:r>
        <w:rPr>
          <w:rFonts w:ascii="宋体" w:eastAsia="宋体" w:hAnsi="宋体" w:cs="宋体" w:hint="eastAsia"/>
          <w:spacing w:val="13"/>
          <w:kern w:val="2"/>
          <w:lang w:eastAsia="zh-CN"/>
        </w:rPr>
        <w:t>乙方3(全称)</w:t>
      </w:r>
      <w:r>
        <w:rPr>
          <w:rFonts w:ascii="宋体" w:eastAsia="宋体" w:hAnsi="宋体" w:cs="宋体" w:hint="eastAsia"/>
          <w:spacing w:val="-70"/>
          <w:kern w:val="2"/>
          <w:lang w:eastAsia="zh-CN"/>
        </w:rPr>
        <w:t xml:space="preserve"> </w:t>
      </w:r>
      <w:r>
        <w:rPr>
          <w:rFonts w:ascii="宋体" w:eastAsia="宋体" w:hAnsi="宋体" w:cs="宋体" w:hint="eastAsia"/>
          <w:spacing w:val="4"/>
          <w:kern w:val="2"/>
          <w:u w:val="single"/>
          <w:lang w:eastAsia="zh-CN"/>
        </w:rPr>
        <w:t xml:space="preserve">                         </w:t>
      </w:r>
      <w:r>
        <w:rPr>
          <w:rFonts w:ascii="宋体" w:eastAsia="宋体" w:hAnsi="宋体" w:cs="宋体" w:hint="eastAsia"/>
          <w:spacing w:val="-60"/>
          <w:kern w:val="2"/>
          <w:lang w:eastAsia="zh-CN"/>
        </w:rPr>
        <w:t xml:space="preserve"> </w:t>
      </w:r>
      <w:r>
        <w:rPr>
          <w:rFonts w:ascii="宋体" w:eastAsia="宋体" w:hAnsi="宋体" w:cs="宋体" w:hint="eastAsia"/>
          <w:spacing w:val="13"/>
          <w:kern w:val="2"/>
          <w:lang w:eastAsia="zh-CN"/>
        </w:rPr>
        <w:t>(联合体成员供应商或其他</w:t>
      </w:r>
      <w:r>
        <w:rPr>
          <w:rFonts w:ascii="宋体" w:eastAsia="宋体" w:hAnsi="宋体" w:cs="宋体" w:hint="eastAsia"/>
          <w:spacing w:val="12"/>
          <w:kern w:val="2"/>
          <w:lang w:eastAsia="zh-CN"/>
        </w:rPr>
        <w:t>合同主体)(如有)</w:t>
      </w:r>
    </w:p>
    <w:p>
      <w:pPr>
        <w:widowControl w:val="0"/>
        <w:spacing w:line="460" w:lineRule="auto"/>
        <w:jc w:val="both"/>
        <w:rPr>
          <w:rFonts w:ascii="宋体" w:eastAsia="宋体" w:hAnsi="宋体" w:cs="宋体" w:hint="eastAsia"/>
          <w:kern w:val="2"/>
          <w:lang w:eastAsia="zh-CN"/>
        </w:rPr>
      </w:pP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依据《中华人民共和国民法典》、  《中华人民共和国政府采购法》等有关的法律法规， 以及本采购项目的招标/谈判文件等采购文件、乙方的《投标(响应)文件》及《中标(成</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交)通知书》,甲乙双方同意签订本合同。具体情况及要求如下：</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1. 项目信息</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(1)采购项目名称：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采购项目编号：                      (2)采购计划编号：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(3)项目内容：</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采购标的及数量(台/套/个/架/组等):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品牌：                     规格型号：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采购标的的技术要求、商务要求具体见附件。</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①涉及信息类产品，请填写该产品关键部件的品牌、型号：</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标的名称：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关键部件：            品牌：          型号：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关键部件：            品牌：          型号：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关键部件：            品牌：          型号：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(注：关键部件是指财政部会同有关部门发布的政府采购需求标准规定的需要通过国家</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有关部门指定的测评机构开展的安全可靠测评的软硬件，如CPU芯片、操作系统、数据库等。)</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②涉及车辆采购，请填写是否属于新能源汽车：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□是， 《政府采购品目分类目录》底级品目名称；        数量：      金额：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(4)政府采购组织形式：口政府集中采购  口部门集中采购  □分散采购</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(5)政府采购方式：□公开招标口邀请招标□竞争性谈判□竞争性磋商</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口询价□单一来源□框架协议□其他：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(注：在框架协议采购的第二阶段，可选择使用该合同文本)</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sz w:val="24"/>
          <w:szCs w:val="24"/>
          <w:highlight w:val="none"/>
        </w:rPr>
        <w:drawing>
          <wp:anchor distT="0" distB="0" distL="0" distR="0" simplePos="0" relativeHeight="251658240" behindDoc="0" locked="0" layoutInCell="0" allowOverlap="1">
            <wp:simplePos x="0" y="0"/>
            <wp:positionH relativeFrom="page">
              <wp:posOffset>1777365</wp:posOffset>
            </wp:positionH>
            <wp:positionV relativeFrom="page">
              <wp:posOffset>3143250</wp:posOffset>
            </wp:positionV>
            <wp:extent cx="38925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13"/>
                    <a:stretch>
                      <a:fillRect/>
                    </a:stretch>
                  </pic:blipFill>
                  <pic:spPr>
                    <a:xfrm>
                      <a:off x="0" y="0"/>
                      <a:ext cx="3892555" cy="6350"/>
                    </a:xfrm>
                    <a:prstGeom prst="rect">
                      <a:avLst/>
                    </a:prstGeom>
                  </pic:spPr>
                </pic:pic>
              </a:graphicData>
            </a:graphic>
          </wp:anchor>
        </w:drawing>
      </w:r>
      <w:r>
        <w:rPr>
          <w:rFonts w:ascii="宋体" w:eastAsia="宋体" w:hAnsi="宋体" w:cs="宋体" w:hint="eastAsia"/>
          <w:kern w:val="2"/>
          <w:lang w:eastAsia="zh-CN"/>
        </w:rPr>
        <w:t>(6)中标(成交)采购标的制造商是否为中小企业：口是     口 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本合同是否为专门面向中小企业的采购合同(中小企业预留合同):□是    口否 ；若本项目不专门面向中小企业采购，是否给予小微企业评审优惠：□是       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中标(成交)采购标的制造商是否为残疾人福利性单位：口是  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中标(成交)采购标的制造商是否为监狱企业：□是      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(7)合同是否分包：□是       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分包主要内容：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分包供应商/制造商名称(如供应商和制造商不同，请分别填写):</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分包供应商/制造商类型(如果供应商和制造商不同，只填写制造商类型):</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口大型企业  口中型企业  口小微型企业</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口残疾人福利性单位口监狱企业□其他</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(8)中标(成交)供应商是否为外商投资企业：口是      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外商投资企业类型：□全部由外国投资者投资 口部分由外国投资者投资</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(9)是否涉及进口产品：</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口是，《政府采购品目分类目录》底级品目名称：           金额：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国 别 ：         品牌：          规格型号：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(10)是否涉及节能产品：</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口是， 《节能产品政府采购品目清单》的底级品目名称：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口强制采购       口优先采购</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是否涉及环境标志产品：</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口是， 《环境标志产品政府采购品目清单》的底级品目名称：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口强制采购       口优先采购</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是否涉及绿色产品：</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□是，绿色产品政府采购相关政策确定的底级品目名称；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口强制采购       口优先采购</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(11)涉及商品包装和快递包装的，是否参考《商品包装政府采购需求标准(试行)》、</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《快递包装政府采购需求标准(试行)》明确产品及相关快递服务的具体包装要求：</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口是       口否      口不涉及</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2. 合同金额</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(1)合同金额小写：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大写：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分包金额(如有)小写；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大写：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(注：固定单价合同应填写单价和最高限价)</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(2)合同定价方式(采用组合定价方式的，可以勾选多项):</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口固定总价□固定单价□固定费率□成本补偿口绩效激励口其他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(3)付款方式(按项目实际勾选填写):</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口全额付款：     ( 应 明 确 一 次 性 支 付 合 同 款 项 的 条 件 )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口分期付款：  (应明确分期支付合同款项的各期比例和支付条件，各期支付条件应</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与分期履约验收情况挂钩) _,其中涉及预付款的：   (应明确预付款的支付比例和支付条件)</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口成本补偿：    (应明确按照成本补偿方式的支付方式和支付条件)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口绩效激励：     (应明确按照绩效激励方式的支付方式和支付条件)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3. 合同履行</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(1)起始日期：      年    月   日，完成日期：    年      月     日。</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(2)履约地点：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(3)履约担保：是否收取履约保证金：口是   口 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收取履约保证金形式：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收取履约保证金金额：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履约担保期限：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(4)分期履行要求；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(5)风险处置措施和替代方案：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4. 合同验收</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(1)验收组织方式：口自行组织□委托第三方组织</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验收主体：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是否邀请本项目的其他供应商参加验收：口是 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是否邀请专家参加验收：口是 口 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是否邀请服务对象参加验收：口是 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是否邀请第三方检测机构参加验收：口是  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是否进行抽查检测：□是，抽查比例：          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是否存在破坏性检测：□是，(应明确对被破坏的检测产品的处理方式)</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验收组织的其他事项；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(2)履约验收时间： (计划于何时验收/供应商提出验收申请之日起   日内组织验收</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(3)履约验收方式：口一次性验收</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口分期/分项验收：  (应明确分期/分项验收的工作安排)  (4)履约验收程序；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(5)履约验收的内容：    (应当包括每一项技术和商务要求的履约情况，特别是落实政</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府采购扶持中小企业，支持绿色发展和乡村振兴等政策情况)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(6)履约验收标准：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(7)是否以采购活动中供应商提供的样品作为参考：口是 口否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(8)履约验收其他事项：     ( 产 权 过 户 登 记 等 )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5. 组成合同的文件</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本协议书与下列文件一起构成合同文件，如下述文件之间有任何抵触、矛盾或歧义，应</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按以下顺序解释：</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(1)政府采购合同协议书及其变更、补充协议</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(2)政府采购合同专用条款</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(3)政府采购合同通用条款</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(4)中标(成交)通知书</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(5)投标(响应)文件</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(6)采购文件</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(7)有关技术文件，图纸</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(8)国家法律、行政法规和规章制度规定或合同约定的作为合同组成部分的其他文件</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6. 合同生效</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本合同自                             生效。</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7. 合同份数</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本合同一式      份，甲方执      分，乙方执     份，均具有同等法律效力。</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合同订立时间：           年       月      日</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合同订立地点：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 xml:space="preserve">                        </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附件：具体标的及其技术要求和商务要求、联合协议、分包意向协议等。</w:t>
      </w:r>
    </w:p>
    <w:p>
      <w:pPr>
        <w:widowControl w:val="0"/>
        <w:spacing w:line="219" w:lineRule="auto"/>
        <w:jc w:val="both"/>
        <w:rPr>
          <w:rFonts w:ascii="宋体" w:eastAsia="宋体" w:hAnsi="宋体" w:cs="宋体" w:hint="eastAsia"/>
          <w:kern w:val="2"/>
          <w:sz w:val="21"/>
          <w:szCs w:val="21"/>
          <w:lang w:eastAsia="zh-CN"/>
        </w:rPr>
        <w:sectPr>
          <w:footerReference w:type="default" r:id="rId14"/>
          <w:pgSz w:w="11890" w:h="16860"/>
          <w:pgMar w:top="1440" w:right="1800" w:bottom="1440" w:left="1800" w:header="0" w:footer="1042" w:gutter="0"/>
          <w:pgBorders>
            <w:top w:val="none" w:sz="0" w:space="0" w:color="auto"/>
            <w:left w:val="none" w:sz="0" w:space="0" w:color="auto"/>
            <w:bottom w:val="none" w:sz="0" w:space="0" w:color="auto"/>
            <w:right w:val="none" w:sz="0" w:space="0" w:color="auto"/>
          </w:pgBorders>
          <w:pgNumType w:fmt="numberInDash"/>
          <w:cols w:num="1" w:space="720"/>
        </w:sectPr>
      </w:pPr>
    </w:p>
    <w:p>
      <w:pPr>
        <w:widowControl w:val="0"/>
        <w:spacing w:before="86"/>
        <w:jc w:val="both"/>
        <w:rPr>
          <w:rFonts w:ascii="宋体" w:eastAsia="宋体" w:hAnsi="宋体" w:cs="宋体" w:hint="eastAsia"/>
          <w:kern w:val="2"/>
          <w:sz w:val="21"/>
          <w:lang w:eastAsia="zh-CN"/>
        </w:rPr>
      </w:pPr>
    </w:p>
    <w:tbl>
      <w:tblPr>
        <w:tblStyle w:val="TableNormal0"/>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879"/>
        <w:gridCol w:w="2411"/>
        <w:gridCol w:w="1973"/>
        <w:gridCol w:w="2097"/>
      </w:tblGrid>
      <w:tr>
        <w:tblPrEx>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95"/>
        </w:trPr>
        <w:tc>
          <w:tcPr>
            <w:tcW w:w="4300" w:type="dxa"/>
            <w:gridSpan w:val="2"/>
            <w:vAlign w:val="top"/>
          </w:tcPr>
          <w:p>
            <w:pPr>
              <w:widowControl w:val="0"/>
              <w:spacing w:before="62" w:line="219" w:lineRule="auto"/>
              <w:ind w:left="195"/>
              <w:jc w:val="both"/>
              <w:rPr>
                <w:rFonts w:ascii="宋体" w:hAnsi="宋体" w:cs="宋体" w:hint="eastAsia"/>
                <w:kern w:val="2"/>
                <w:sz w:val="21"/>
                <w:szCs w:val="21"/>
              </w:rPr>
            </w:pPr>
            <w:r>
              <w:rPr>
                <w:rFonts w:ascii="宋体" w:hAnsi="宋体" w:cs="宋体" w:hint="eastAsia"/>
                <w:kern w:val="2"/>
                <w:sz w:val="21"/>
                <w:szCs w:val="21"/>
              </w:rPr>
              <w:t>甲方(采购人、受采购人委托签订合同的单</w:t>
            </w:r>
          </w:p>
          <w:p>
            <w:pPr>
              <w:widowControl w:val="0"/>
              <w:spacing w:before="51" w:line="195" w:lineRule="auto"/>
              <w:ind w:left="725"/>
              <w:jc w:val="both"/>
              <w:rPr>
                <w:rFonts w:ascii="宋体" w:hAnsi="宋体" w:cs="宋体" w:hint="eastAsia"/>
                <w:kern w:val="2"/>
                <w:sz w:val="21"/>
                <w:szCs w:val="21"/>
              </w:rPr>
            </w:pPr>
            <w:r>
              <w:rPr>
                <w:rFonts w:ascii="宋体" w:hAnsi="宋体" w:cs="宋体" w:hint="eastAsia"/>
                <w:spacing w:val="2"/>
                <w:kern w:val="2"/>
                <w:sz w:val="21"/>
                <w:szCs w:val="21"/>
              </w:rPr>
              <w:t>位或采购文件约定的合同甲方)</w:t>
            </w:r>
          </w:p>
        </w:tc>
        <w:tc>
          <w:tcPr>
            <w:tcW w:w="4080" w:type="dxa"/>
            <w:gridSpan w:val="2"/>
            <w:vAlign w:val="top"/>
          </w:tcPr>
          <w:p>
            <w:pPr>
              <w:widowControl w:val="0"/>
              <w:spacing w:before="192" w:line="219" w:lineRule="auto"/>
              <w:ind w:left="1335"/>
              <w:jc w:val="both"/>
              <w:rPr>
                <w:rFonts w:ascii="宋体" w:hAnsi="宋体" w:cs="宋体" w:hint="eastAsia"/>
                <w:kern w:val="2"/>
                <w:sz w:val="21"/>
                <w:szCs w:val="21"/>
              </w:rPr>
            </w:pPr>
            <w:r>
              <w:rPr>
                <w:rFonts w:ascii="宋体" w:hAnsi="宋体" w:cs="宋体" w:hint="eastAsia"/>
                <w:spacing w:val="6"/>
                <w:kern w:val="2"/>
                <w:sz w:val="21"/>
                <w:szCs w:val="21"/>
              </w:rPr>
              <w:t>乙方(供应商)</w:t>
            </w:r>
          </w:p>
        </w:tc>
      </w:tr>
      <w:tr>
        <w:tblPrEx>
          <w:tblW w:w="5000" w:type="pct"/>
          <w:tblInd w:w="5" w:type="dxa"/>
          <w:tblLayout w:type="fixed"/>
          <w:tblCellMar>
            <w:top w:w="0" w:type="dxa"/>
            <w:left w:w="0" w:type="dxa"/>
            <w:bottom w:w="0" w:type="dxa"/>
            <w:right w:w="0" w:type="dxa"/>
          </w:tblCellMar>
        </w:tblPrEx>
        <w:trPr>
          <w:trHeight w:val="909"/>
        </w:trPr>
        <w:tc>
          <w:tcPr>
            <w:tcW w:w="1883" w:type="dxa"/>
            <w:vAlign w:val="top"/>
          </w:tcPr>
          <w:p>
            <w:pPr>
              <w:widowControl w:val="0"/>
              <w:spacing w:before="227" w:line="219" w:lineRule="auto"/>
              <w:ind w:left="144"/>
              <w:jc w:val="both"/>
              <w:rPr>
                <w:rFonts w:ascii="宋体" w:hAnsi="宋体" w:cs="宋体" w:hint="eastAsia"/>
                <w:kern w:val="2"/>
                <w:sz w:val="21"/>
                <w:szCs w:val="21"/>
              </w:rPr>
            </w:pPr>
            <w:r>
              <w:rPr>
                <w:rFonts w:ascii="宋体" w:hAnsi="宋体" w:cs="宋体" w:hint="eastAsia"/>
                <w:spacing w:val="-2"/>
                <w:kern w:val="2"/>
                <w:sz w:val="21"/>
                <w:szCs w:val="21"/>
              </w:rPr>
              <w:t>单位名称(公章或</w:t>
            </w:r>
          </w:p>
          <w:p>
            <w:pPr>
              <w:widowControl w:val="0"/>
              <w:spacing w:before="30" w:line="219" w:lineRule="auto"/>
              <w:ind w:left="565"/>
              <w:jc w:val="both"/>
              <w:rPr>
                <w:rFonts w:ascii="宋体" w:hAnsi="宋体" w:cs="宋体" w:hint="eastAsia"/>
                <w:kern w:val="2"/>
                <w:sz w:val="21"/>
                <w:szCs w:val="21"/>
              </w:rPr>
            </w:pPr>
            <w:r>
              <w:rPr>
                <w:rFonts w:ascii="宋体" w:hAnsi="宋体" w:cs="宋体" w:hint="eastAsia"/>
                <w:spacing w:val="10"/>
                <w:kern w:val="2"/>
                <w:sz w:val="21"/>
                <w:szCs w:val="21"/>
              </w:rPr>
              <w:t>合同章)</w:t>
            </w:r>
          </w:p>
        </w:tc>
        <w:tc>
          <w:tcPr>
            <w:tcW w:w="2417" w:type="dxa"/>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227" w:line="219" w:lineRule="auto"/>
              <w:ind w:left="195"/>
              <w:jc w:val="both"/>
              <w:rPr>
                <w:rFonts w:ascii="宋体" w:hAnsi="宋体" w:cs="宋体" w:hint="eastAsia"/>
                <w:kern w:val="2"/>
                <w:sz w:val="21"/>
                <w:szCs w:val="21"/>
              </w:rPr>
            </w:pPr>
            <w:r>
              <w:rPr>
                <w:rFonts w:ascii="宋体" w:hAnsi="宋体" w:cs="宋体" w:hint="eastAsia"/>
                <w:spacing w:val="-2"/>
                <w:kern w:val="2"/>
                <w:sz w:val="21"/>
                <w:szCs w:val="21"/>
              </w:rPr>
              <w:t>单位名称(公章或</w:t>
            </w:r>
          </w:p>
          <w:p>
            <w:pPr>
              <w:widowControl w:val="0"/>
              <w:spacing w:before="30" w:line="219" w:lineRule="auto"/>
              <w:ind w:left="615"/>
              <w:jc w:val="both"/>
              <w:rPr>
                <w:rFonts w:ascii="宋体" w:hAnsi="宋体" w:cs="宋体" w:hint="eastAsia"/>
                <w:kern w:val="2"/>
                <w:sz w:val="21"/>
                <w:szCs w:val="21"/>
              </w:rPr>
            </w:pPr>
            <w:r>
              <w:rPr>
                <w:rFonts w:ascii="宋体" w:hAnsi="宋体" w:cs="宋体" w:hint="eastAsia"/>
                <w:spacing w:val="10"/>
                <w:kern w:val="2"/>
                <w:sz w:val="21"/>
                <w:szCs w:val="21"/>
              </w:rPr>
              <w:t>合同章)</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1169"/>
        </w:trPr>
        <w:tc>
          <w:tcPr>
            <w:tcW w:w="1883" w:type="dxa"/>
            <w:vMerge w:val="restart"/>
            <w:tcBorders>
              <w:bottom w:val="nil"/>
            </w:tcBorders>
            <w:vAlign w:val="top"/>
          </w:tcPr>
          <w:p>
            <w:pPr>
              <w:widowControl w:val="0"/>
              <w:spacing w:line="379" w:lineRule="auto"/>
              <w:jc w:val="both"/>
              <w:rPr>
                <w:rFonts w:ascii="宋体" w:hAnsi="宋体" w:cs="宋体" w:hint="eastAsia"/>
                <w:kern w:val="2"/>
                <w:sz w:val="21"/>
                <w:lang w:eastAsia="zh-CN"/>
              </w:rPr>
            </w:pPr>
          </w:p>
          <w:p>
            <w:pPr>
              <w:widowControl w:val="0"/>
              <w:spacing w:before="68" w:line="219" w:lineRule="auto"/>
              <w:ind w:left="405"/>
              <w:jc w:val="both"/>
              <w:rPr>
                <w:rFonts w:ascii="宋体" w:hAnsi="宋体" w:cs="宋体" w:hint="eastAsia"/>
                <w:kern w:val="2"/>
                <w:sz w:val="21"/>
                <w:szCs w:val="21"/>
              </w:rPr>
            </w:pPr>
            <w:r>
              <w:rPr>
                <w:rFonts w:ascii="宋体" w:hAnsi="宋体" w:cs="宋体" w:hint="eastAsia"/>
                <w:spacing w:val="-2"/>
                <w:kern w:val="2"/>
                <w:sz w:val="21"/>
                <w:szCs w:val="21"/>
              </w:rPr>
              <w:t>法定代表人</w:t>
            </w:r>
          </w:p>
          <w:p>
            <w:pPr>
              <w:widowControl w:val="0"/>
              <w:spacing w:before="50" w:line="219" w:lineRule="auto"/>
              <w:ind w:left="195"/>
              <w:jc w:val="both"/>
              <w:rPr>
                <w:rFonts w:ascii="宋体" w:hAnsi="宋体" w:cs="宋体" w:hint="eastAsia"/>
                <w:kern w:val="2"/>
                <w:sz w:val="21"/>
                <w:szCs w:val="21"/>
              </w:rPr>
            </w:pPr>
            <w:r>
              <w:rPr>
                <w:rFonts w:ascii="宋体" w:hAnsi="宋体" w:cs="宋体" w:hint="eastAsia"/>
                <w:spacing w:val="-2"/>
                <w:kern w:val="2"/>
                <w:sz w:val="21"/>
                <w:szCs w:val="21"/>
              </w:rPr>
              <w:t>或其委托代理人</w:t>
            </w:r>
          </w:p>
          <w:p>
            <w:pPr>
              <w:widowControl w:val="0"/>
              <w:spacing w:before="39" w:line="219" w:lineRule="auto"/>
              <w:ind w:left="614"/>
              <w:jc w:val="both"/>
              <w:rPr>
                <w:rFonts w:ascii="宋体" w:hAnsi="宋体" w:cs="宋体" w:hint="eastAsia"/>
                <w:kern w:val="2"/>
                <w:sz w:val="21"/>
                <w:szCs w:val="21"/>
              </w:rPr>
            </w:pPr>
            <w:r>
              <w:rPr>
                <w:rFonts w:ascii="宋体" w:hAnsi="宋体" w:cs="宋体" w:hint="eastAsia"/>
                <w:spacing w:val="11"/>
                <w:kern w:val="2"/>
                <w:sz w:val="21"/>
                <w:szCs w:val="21"/>
              </w:rPr>
              <w:t>(签章)</w:t>
            </w:r>
          </w:p>
        </w:tc>
        <w:tc>
          <w:tcPr>
            <w:tcW w:w="2417" w:type="dxa"/>
            <w:vMerge w:val="restart"/>
            <w:tcBorders>
              <w:bottom w:val="nil"/>
            </w:tcBorders>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199" w:line="219" w:lineRule="auto"/>
              <w:ind w:left="455"/>
              <w:jc w:val="both"/>
              <w:rPr>
                <w:rFonts w:ascii="宋体" w:hAnsi="宋体" w:cs="宋体" w:hint="eastAsia"/>
                <w:kern w:val="2"/>
                <w:sz w:val="21"/>
                <w:szCs w:val="21"/>
              </w:rPr>
            </w:pPr>
            <w:r>
              <w:rPr>
                <w:rFonts w:ascii="宋体" w:hAnsi="宋体" w:cs="宋体" w:hint="eastAsia"/>
                <w:spacing w:val="-2"/>
                <w:kern w:val="2"/>
                <w:sz w:val="21"/>
                <w:szCs w:val="21"/>
              </w:rPr>
              <w:t>法定代表人</w:t>
            </w:r>
          </w:p>
          <w:p>
            <w:pPr>
              <w:widowControl w:val="0"/>
              <w:spacing w:before="40" w:line="219" w:lineRule="auto"/>
              <w:ind w:left="244"/>
              <w:jc w:val="both"/>
              <w:rPr>
                <w:rFonts w:ascii="宋体" w:hAnsi="宋体" w:cs="宋体" w:hint="eastAsia"/>
                <w:kern w:val="2"/>
                <w:sz w:val="21"/>
                <w:szCs w:val="21"/>
              </w:rPr>
            </w:pPr>
            <w:r>
              <w:rPr>
                <w:rFonts w:ascii="宋体" w:hAnsi="宋体" w:cs="宋体" w:hint="eastAsia"/>
                <w:spacing w:val="-2"/>
                <w:kern w:val="2"/>
                <w:sz w:val="21"/>
                <w:szCs w:val="21"/>
              </w:rPr>
              <w:t>或其委托代理人</w:t>
            </w:r>
          </w:p>
          <w:p>
            <w:pPr>
              <w:widowControl w:val="0"/>
              <w:spacing w:before="59" w:line="219" w:lineRule="auto"/>
              <w:ind w:left="665"/>
              <w:jc w:val="both"/>
              <w:rPr>
                <w:rFonts w:ascii="宋体" w:hAnsi="宋体" w:cs="宋体" w:hint="eastAsia"/>
                <w:kern w:val="2"/>
                <w:sz w:val="21"/>
                <w:szCs w:val="21"/>
              </w:rPr>
            </w:pPr>
            <w:r>
              <w:rPr>
                <w:rFonts w:ascii="宋体" w:hAnsi="宋体" w:cs="宋体" w:hint="eastAsia"/>
                <w:spacing w:val="11"/>
                <w:kern w:val="2"/>
                <w:sz w:val="21"/>
                <w:szCs w:val="21"/>
              </w:rPr>
              <w:t>(签章)</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479"/>
        </w:trPr>
        <w:tc>
          <w:tcPr>
            <w:tcW w:w="1883" w:type="dxa"/>
            <w:vMerge/>
            <w:tcBorders>
              <w:top w:val="nil"/>
            </w:tcBorders>
            <w:vAlign w:val="top"/>
          </w:tcPr>
          <w:p>
            <w:pPr>
              <w:widowControl w:val="0"/>
              <w:jc w:val="both"/>
              <w:rPr>
                <w:rFonts w:ascii="宋体" w:hAnsi="宋体" w:cs="宋体" w:hint="eastAsia"/>
                <w:kern w:val="2"/>
                <w:sz w:val="21"/>
                <w:lang w:eastAsia="zh-CN"/>
              </w:rPr>
            </w:pPr>
          </w:p>
        </w:tc>
        <w:tc>
          <w:tcPr>
            <w:tcW w:w="2417" w:type="dxa"/>
            <w:vMerge/>
            <w:tcBorders>
              <w:top w:val="nil"/>
            </w:tcBorders>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140" w:line="219" w:lineRule="auto"/>
              <w:ind w:left="455"/>
              <w:jc w:val="both"/>
              <w:rPr>
                <w:rFonts w:ascii="宋体" w:hAnsi="宋体" w:cs="宋体" w:hint="eastAsia"/>
                <w:kern w:val="2"/>
                <w:sz w:val="21"/>
                <w:szCs w:val="21"/>
              </w:rPr>
            </w:pPr>
            <w:r>
              <w:rPr>
                <w:rFonts w:ascii="宋体" w:hAnsi="宋体" w:cs="宋体" w:hint="eastAsia"/>
                <w:spacing w:val="3"/>
                <w:kern w:val="2"/>
                <w:sz w:val="21"/>
                <w:szCs w:val="21"/>
              </w:rPr>
              <w:t>拥有者性别</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480"/>
        </w:trPr>
        <w:tc>
          <w:tcPr>
            <w:tcW w:w="1883" w:type="dxa"/>
            <w:vAlign w:val="top"/>
          </w:tcPr>
          <w:p>
            <w:pPr>
              <w:widowControl w:val="0"/>
              <w:spacing w:before="142" w:line="220" w:lineRule="auto"/>
              <w:ind w:left="614"/>
              <w:jc w:val="both"/>
              <w:rPr>
                <w:rFonts w:ascii="宋体" w:hAnsi="宋体" w:cs="宋体" w:hint="eastAsia"/>
                <w:kern w:val="2"/>
                <w:sz w:val="21"/>
                <w:szCs w:val="21"/>
              </w:rPr>
            </w:pPr>
            <w:r>
              <w:rPr>
                <w:rFonts w:ascii="宋体" w:hAnsi="宋体" w:cs="宋体" w:hint="eastAsia"/>
                <w:spacing w:val="-4"/>
                <w:kern w:val="2"/>
                <w:sz w:val="21"/>
                <w:szCs w:val="21"/>
              </w:rPr>
              <w:t>住</w:t>
            </w:r>
            <w:r>
              <w:rPr>
                <w:rFonts w:ascii="宋体" w:hAnsi="宋体" w:cs="宋体" w:hint="eastAsia"/>
                <w:spacing w:val="4"/>
                <w:kern w:val="2"/>
                <w:sz w:val="21"/>
                <w:szCs w:val="21"/>
              </w:rPr>
              <w:t xml:space="preserve">  </w:t>
            </w:r>
            <w:r>
              <w:rPr>
                <w:rFonts w:ascii="宋体" w:hAnsi="宋体" w:cs="宋体" w:hint="eastAsia"/>
                <w:spacing w:val="-4"/>
                <w:kern w:val="2"/>
                <w:sz w:val="21"/>
                <w:szCs w:val="21"/>
              </w:rPr>
              <w:t>所</w:t>
            </w:r>
          </w:p>
        </w:tc>
        <w:tc>
          <w:tcPr>
            <w:tcW w:w="2417" w:type="dxa"/>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142" w:line="220" w:lineRule="auto"/>
              <w:ind w:left="665"/>
              <w:jc w:val="both"/>
              <w:rPr>
                <w:rFonts w:ascii="宋体" w:hAnsi="宋体" w:cs="宋体" w:hint="eastAsia"/>
                <w:kern w:val="2"/>
                <w:sz w:val="21"/>
                <w:szCs w:val="21"/>
              </w:rPr>
            </w:pPr>
            <w:r>
              <w:rPr>
                <w:rFonts w:ascii="宋体" w:hAnsi="宋体" w:cs="宋体" w:hint="eastAsia"/>
                <w:spacing w:val="-4"/>
                <w:kern w:val="2"/>
                <w:sz w:val="21"/>
                <w:szCs w:val="21"/>
              </w:rPr>
              <w:t>住</w:t>
            </w:r>
            <w:r>
              <w:rPr>
                <w:rFonts w:ascii="宋体" w:hAnsi="宋体" w:cs="宋体" w:hint="eastAsia"/>
                <w:spacing w:val="4"/>
                <w:kern w:val="2"/>
                <w:sz w:val="21"/>
                <w:szCs w:val="21"/>
              </w:rPr>
              <w:t xml:space="preserve">  </w:t>
            </w:r>
            <w:r>
              <w:rPr>
                <w:rFonts w:ascii="宋体" w:hAnsi="宋体" w:cs="宋体" w:hint="eastAsia"/>
                <w:spacing w:val="-4"/>
                <w:kern w:val="2"/>
                <w:sz w:val="21"/>
                <w:szCs w:val="21"/>
              </w:rPr>
              <w:t>所</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479"/>
        </w:trPr>
        <w:tc>
          <w:tcPr>
            <w:tcW w:w="1883" w:type="dxa"/>
            <w:vAlign w:val="top"/>
          </w:tcPr>
          <w:p>
            <w:pPr>
              <w:widowControl w:val="0"/>
              <w:spacing w:before="144" w:line="221" w:lineRule="auto"/>
              <w:ind w:left="515"/>
              <w:jc w:val="both"/>
              <w:rPr>
                <w:rFonts w:ascii="宋体" w:hAnsi="宋体" w:cs="宋体" w:hint="eastAsia"/>
                <w:kern w:val="2"/>
                <w:sz w:val="21"/>
                <w:szCs w:val="21"/>
              </w:rPr>
            </w:pPr>
            <w:r>
              <w:rPr>
                <w:rFonts w:ascii="宋体" w:hAnsi="宋体" w:cs="宋体" w:hint="eastAsia"/>
                <w:spacing w:val="-8"/>
                <w:kern w:val="2"/>
                <w:sz w:val="21"/>
                <w:szCs w:val="21"/>
              </w:rPr>
              <w:t>联</w:t>
            </w:r>
            <w:r>
              <w:rPr>
                <w:rFonts w:ascii="宋体" w:hAnsi="宋体" w:cs="宋体" w:hint="eastAsia"/>
                <w:spacing w:val="22"/>
                <w:kern w:val="2"/>
                <w:sz w:val="21"/>
                <w:szCs w:val="21"/>
              </w:rPr>
              <w:t xml:space="preserve"> </w:t>
            </w:r>
            <w:r>
              <w:rPr>
                <w:rFonts w:ascii="宋体" w:hAnsi="宋体" w:cs="宋体" w:hint="eastAsia"/>
                <w:spacing w:val="-8"/>
                <w:kern w:val="2"/>
                <w:sz w:val="21"/>
                <w:szCs w:val="21"/>
              </w:rPr>
              <w:t>系</w:t>
            </w:r>
            <w:r>
              <w:rPr>
                <w:rFonts w:ascii="宋体" w:hAnsi="宋体" w:cs="宋体" w:hint="eastAsia"/>
                <w:spacing w:val="19"/>
                <w:kern w:val="2"/>
                <w:sz w:val="21"/>
                <w:szCs w:val="21"/>
              </w:rPr>
              <w:t xml:space="preserve"> </w:t>
            </w:r>
            <w:r>
              <w:rPr>
                <w:rFonts w:ascii="宋体" w:hAnsi="宋体" w:cs="宋体" w:hint="eastAsia"/>
                <w:spacing w:val="-8"/>
                <w:kern w:val="2"/>
                <w:sz w:val="21"/>
                <w:szCs w:val="21"/>
              </w:rPr>
              <w:t>人</w:t>
            </w:r>
          </w:p>
        </w:tc>
        <w:tc>
          <w:tcPr>
            <w:tcW w:w="2417" w:type="dxa"/>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144" w:line="221" w:lineRule="auto"/>
              <w:ind w:left="564"/>
              <w:jc w:val="both"/>
              <w:rPr>
                <w:rFonts w:ascii="宋体" w:hAnsi="宋体" w:cs="宋体" w:hint="eastAsia"/>
                <w:kern w:val="2"/>
                <w:sz w:val="21"/>
                <w:szCs w:val="21"/>
              </w:rPr>
            </w:pPr>
            <w:r>
              <w:rPr>
                <w:rFonts w:ascii="宋体" w:hAnsi="宋体" w:cs="宋体" w:hint="eastAsia"/>
                <w:spacing w:val="-8"/>
                <w:kern w:val="2"/>
                <w:sz w:val="21"/>
                <w:szCs w:val="21"/>
              </w:rPr>
              <w:t>联</w:t>
            </w:r>
            <w:r>
              <w:rPr>
                <w:rFonts w:ascii="宋体" w:hAnsi="宋体" w:cs="宋体" w:hint="eastAsia"/>
                <w:spacing w:val="23"/>
                <w:kern w:val="2"/>
                <w:sz w:val="21"/>
                <w:szCs w:val="21"/>
              </w:rPr>
              <w:t xml:space="preserve"> </w:t>
            </w:r>
            <w:r>
              <w:rPr>
                <w:rFonts w:ascii="宋体" w:hAnsi="宋体" w:cs="宋体" w:hint="eastAsia"/>
                <w:spacing w:val="-8"/>
                <w:kern w:val="2"/>
                <w:sz w:val="21"/>
                <w:szCs w:val="21"/>
              </w:rPr>
              <w:t>系</w:t>
            </w:r>
            <w:r>
              <w:rPr>
                <w:rFonts w:ascii="宋体" w:hAnsi="宋体" w:cs="宋体" w:hint="eastAsia"/>
                <w:spacing w:val="18"/>
                <w:kern w:val="2"/>
                <w:sz w:val="21"/>
                <w:szCs w:val="21"/>
              </w:rPr>
              <w:t xml:space="preserve"> </w:t>
            </w:r>
            <w:r>
              <w:rPr>
                <w:rFonts w:ascii="宋体" w:hAnsi="宋体" w:cs="宋体" w:hint="eastAsia"/>
                <w:spacing w:val="-8"/>
                <w:kern w:val="2"/>
                <w:sz w:val="21"/>
                <w:szCs w:val="21"/>
              </w:rPr>
              <w:t>人</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470"/>
        </w:trPr>
        <w:tc>
          <w:tcPr>
            <w:tcW w:w="1883" w:type="dxa"/>
            <w:vAlign w:val="top"/>
          </w:tcPr>
          <w:p>
            <w:pPr>
              <w:widowControl w:val="0"/>
              <w:spacing w:before="135" w:line="221" w:lineRule="auto"/>
              <w:ind w:left="515"/>
              <w:jc w:val="both"/>
              <w:rPr>
                <w:rFonts w:ascii="宋体" w:hAnsi="宋体" w:cs="宋体" w:hint="eastAsia"/>
                <w:kern w:val="2"/>
                <w:sz w:val="21"/>
                <w:szCs w:val="21"/>
              </w:rPr>
            </w:pPr>
            <w:r>
              <w:rPr>
                <w:rFonts w:ascii="宋体" w:hAnsi="宋体" w:cs="宋体" w:hint="eastAsia"/>
                <w:spacing w:val="-2"/>
                <w:kern w:val="2"/>
                <w:sz w:val="21"/>
                <w:szCs w:val="21"/>
              </w:rPr>
              <w:t>联系电话</w:t>
            </w:r>
          </w:p>
        </w:tc>
        <w:tc>
          <w:tcPr>
            <w:tcW w:w="2417" w:type="dxa"/>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135" w:line="221" w:lineRule="auto"/>
              <w:ind w:left="564"/>
              <w:jc w:val="both"/>
              <w:rPr>
                <w:rFonts w:ascii="宋体" w:hAnsi="宋体" w:cs="宋体" w:hint="eastAsia"/>
                <w:kern w:val="2"/>
                <w:sz w:val="21"/>
                <w:szCs w:val="21"/>
              </w:rPr>
            </w:pPr>
            <w:r>
              <w:rPr>
                <w:rFonts w:ascii="宋体" w:hAnsi="宋体" w:cs="宋体" w:hint="eastAsia"/>
                <w:spacing w:val="-2"/>
                <w:kern w:val="2"/>
                <w:sz w:val="21"/>
                <w:szCs w:val="21"/>
              </w:rPr>
              <w:t>联系电话</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480"/>
        </w:trPr>
        <w:tc>
          <w:tcPr>
            <w:tcW w:w="1883" w:type="dxa"/>
            <w:vAlign w:val="top"/>
          </w:tcPr>
          <w:p>
            <w:pPr>
              <w:widowControl w:val="0"/>
              <w:spacing w:before="142" w:line="219" w:lineRule="auto"/>
              <w:ind w:left="515"/>
              <w:jc w:val="both"/>
              <w:rPr>
                <w:rFonts w:ascii="宋体" w:hAnsi="宋体" w:cs="宋体" w:hint="eastAsia"/>
                <w:kern w:val="2"/>
                <w:sz w:val="21"/>
                <w:szCs w:val="21"/>
              </w:rPr>
            </w:pPr>
            <w:r>
              <w:rPr>
                <w:rFonts w:ascii="宋体" w:hAnsi="宋体" w:cs="宋体" w:hint="eastAsia"/>
                <w:spacing w:val="-2"/>
                <w:kern w:val="2"/>
                <w:sz w:val="21"/>
                <w:szCs w:val="21"/>
              </w:rPr>
              <w:t>通信地址</w:t>
            </w:r>
          </w:p>
        </w:tc>
        <w:tc>
          <w:tcPr>
            <w:tcW w:w="2417" w:type="dxa"/>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142" w:line="219" w:lineRule="auto"/>
              <w:ind w:left="564"/>
              <w:jc w:val="both"/>
              <w:rPr>
                <w:rFonts w:ascii="宋体" w:hAnsi="宋体" w:cs="宋体" w:hint="eastAsia"/>
                <w:kern w:val="2"/>
                <w:sz w:val="21"/>
                <w:szCs w:val="21"/>
              </w:rPr>
            </w:pPr>
            <w:r>
              <w:rPr>
                <w:rFonts w:ascii="宋体" w:hAnsi="宋体" w:cs="宋体" w:hint="eastAsia"/>
                <w:spacing w:val="-2"/>
                <w:kern w:val="2"/>
                <w:sz w:val="21"/>
                <w:szCs w:val="21"/>
              </w:rPr>
              <w:t>通信地址</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479"/>
        </w:trPr>
        <w:tc>
          <w:tcPr>
            <w:tcW w:w="1883" w:type="dxa"/>
            <w:vAlign w:val="top"/>
          </w:tcPr>
          <w:p>
            <w:pPr>
              <w:widowControl w:val="0"/>
              <w:spacing w:before="142" w:line="219" w:lineRule="auto"/>
              <w:ind w:left="515"/>
              <w:jc w:val="both"/>
              <w:rPr>
                <w:rFonts w:ascii="宋体" w:hAnsi="宋体" w:cs="宋体" w:hint="eastAsia"/>
                <w:kern w:val="2"/>
                <w:sz w:val="21"/>
                <w:szCs w:val="21"/>
              </w:rPr>
            </w:pPr>
            <w:r>
              <w:rPr>
                <w:rFonts w:ascii="宋体" w:hAnsi="宋体" w:cs="宋体" w:hint="eastAsia"/>
                <w:spacing w:val="2"/>
                <w:kern w:val="2"/>
                <w:sz w:val="21"/>
                <w:szCs w:val="21"/>
              </w:rPr>
              <w:t>邮政编码</w:t>
            </w:r>
          </w:p>
        </w:tc>
        <w:tc>
          <w:tcPr>
            <w:tcW w:w="2417" w:type="dxa"/>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142" w:line="219" w:lineRule="auto"/>
              <w:ind w:left="564"/>
              <w:jc w:val="both"/>
              <w:rPr>
                <w:rFonts w:ascii="宋体" w:hAnsi="宋体" w:cs="宋体" w:hint="eastAsia"/>
                <w:kern w:val="2"/>
                <w:sz w:val="21"/>
                <w:szCs w:val="21"/>
              </w:rPr>
            </w:pPr>
            <w:r>
              <w:rPr>
                <w:rFonts w:ascii="宋体" w:hAnsi="宋体" w:cs="宋体" w:hint="eastAsia"/>
                <w:spacing w:val="2"/>
                <w:kern w:val="2"/>
                <w:sz w:val="21"/>
                <w:szCs w:val="21"/>
              </w:rPr>
              <w:t>邮政编码</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469"/>
        </w:trPr>
        <w:tc>
          <w:tcPr>
            <w:tcW w:w="1883" w:type="dxa"/>
            <w:vAlign w:val="top"/>
          </w:tcPr>
          <w:p>
            <w:pPr>
              <w:widowControl w:val="0"/>
              <w:spacing w:before="134" w:line="220" w:lineRule="auto"/>
              <w:ind w:left="515"/>
              <w:jc w:val="both"/>
              <w:rPr>
                <w:rFonts w:ascii="宋体" w:hAnsi="宋体" w:cs="宋体" w:hint="eastAsia"/>
                <w:kern w:val="2"/>
                <w:sz w:val="21"/>
                <w:szCs w:val="21"/>
              </w:rPr>
            </w:pPr>
            <w:r>
              <w:rPr>
                <w:rFonts w:ascii="宋体" w:hAnsi="宋体" w:cs="宋体" w:hint="eastAsia"/>
                <w:spacing w:val="3"/>
                <w:kern w:val="2"/>
                <w:sz w:val="21"/>
                <w:szCs w:val="21"/>
              </w:rPr>
              <w:t>电子邮箱</w:t>
            </w:r>
          </w:p>
        </w:tc>
        <w:tc>
          <w:tcPr>
            <w:tcW w:w="2417" w:type="dxa"/>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134" w:line="220" w:lineRule="auto"/>
              <w:ind w:left="564"/>
              <w:jc w:val="both"/>
              <w:rPr>
                <w:rFonts w:ascii="宋体" w:hAnsi="宋体" w:cs="宋体" w:hint="eastAsia"/>
                <w:kern w:val="2"/>
                <w:sz w:val="21"/>
                <w:szCs w:val="21"/>
              </w:rPr>
            </w:pPr>
            <w:r>
              <w:rPr>
                <w:rFonts w:ascii="宋体" w:hAnsi="宋体" w:cs="宋体" w:hint="eastAsia"/>
                <w:spacing w:val="3"/>
                <w:kern w:val="2"/>
                <w:sz w:val="21"/>
                <w:szCs w:val="21"/>
              </w:rPr>
              <w:t>电子邮箱</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599"/>
        </w:trPr>
        <w:tc>
          <w:tcPr>
            <w:tcW w:w="1883" w:type="dxa"/>
            <w:vAlign w:val="top"/>
          </w:tcPr>
          <w:p>
            <w:pPr>
              <w:widowControl w:val="0"/>
              <w:spacing w:before="83" w:line="222" w:lineRule="auto"/>
              <w:ind w:left="825" w:right="197" w:hanging="630"/>
              <w:jc w:val="both"/>
              <w:rPr>
                <w:rFonts w:ascii="宋体" w:hAnsi="宋体" w:cs="宋体" w:hint="eastAsia"/>
                <w:kern w:val="2"/>
                <w:sz w:val="21"/>
                <w:szCs w:val="21"/>
              </w:rPr>
            </w:pPr>
            <w:r>
              <w:rPr>
                <w:rFonts w:ascii="宋体" w:hAnsi="宋体" w:cs="宋体" w:hint="eastAsia"/>
                <w:spacing w:val="1"/>
                <w:kern w:val="2"/>
                <w:sz w:val="21"/>
                <w:szCs w:val="21"/>
              </w:rPr>
              <w:t>统一社会信用代</w:t>
            </w:r>
            <w:r>
              <w:rPr>
                <w:rFonts w:ascii="宋体" w:hAnsi="宋体" w:cs="宋体" w:hint="eastAsia"/>
                <w:spacing w:val="2"/>
                <w:kern w:val="2"/>
                <w:sz w:val="21"/>
                <w:szCs w:val="21"/>
              </w:rPr>
              <w:t xml:space="preserve"> </w:t>
            </w:r>
            <w:r>
              <w:rPr>
                <w:rFonts w:ascii="宋体" w:hAnsi="宋体" w:cs="宋体" w:hint="eastAsia"/>
                <w:kern w:val="2"/>
                <w:sz w:val="21"/>
                <w:szCs w:val="21"/>
              </w:rPr>
              <w:t>码</w:t>
            </w:r>
          </w:p>
        </w:tc>
        <w:tc>
          <w:tcPr>
            <w:tcW w:w="2417" w:type="dxa"/>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203" w:line="219" w:lineRule="auto"/>
              <w:ind w:left="145"/>
              <w:jc w:val="both"/>
              <w:rPr>
                <w:rFonts w:ascii="宋体" w:hAnsi="宋体" w:cs="宋体" w:hint="eastAsia"/>
                <w:kern w:val="2"/>
                <w:sz w:val="21"/>
                <w:szCs w:val="21"/>
              </w:rPr>
            </w:pPr>
            <w:r>
              <w:rPr>
                <w:rFonts w:ascii="宋体" w:hAnsi="宋体" w:cs="宋体" w:hint="eastAsia"/>
                <w:spacing w:val="1"/>
                <w:kern w:val="2"/>
                <w:sz w:val="21"/>
                <w:szCs w:val="21"/>
              </w:rPr>
              <w:t>统一社会信用代码</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479"/>
        </w:trPr>
        <w:tc>
          <w:tcPr>
            <w:tcW w:w="1883" w:type="dxa"/>
            <w:vAlign w:val="top"/>
          </w:tcPr>
          <w:p>
            <w:pPr>
              <w:widowControl w:val="0"/>
              <w:jc w:val="both"/>
              <w:rPr>
                <w:rFonts w:ascii="宋体" w:hAnsi="宋体" w:cs="宋体" w:hint="eastAsia"/>
                <w:kern w:val="2"/>
                <w:sz w:val="21"/>
                <w:lang w:eastAsia="zh-CN"/>
              </w:rPr>
            </w:pPr>
          </w:p>
        </w:tc>
        <w:tc>
          <w:tcPr>
            <w:tcW w:w="2417" w:type="dxa"/>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146" w:line="220" w:lineRule="auto"/>
              <w:ind w:left="564"/>
              <w:jc w:val="both"/>
              <w:rPr>
                <w:rFonts w:ascii="宋体" w:hAnsi="宋体" w:cs="宋体" w:hint="eastAsia"/>
                <w:kern w:val="2"/>
                <w:sz w:val="21"/>
                <w:szCs w:val="21"/>
              </w:rPr>
            </w:pPr>
            <w:r>
              <w:rPr>
                <w:rFonts w:ascii="宋体" w:hAnsi="宋体" w:cs="宋体" w:hint="eastAsia"/>
                <w:spacing w:val="-2"/>
                <w:kern w:val="2"/>
                <w:sz w:val="21"/>
                <w:szCs w:val="21"/>
              </w:rPr>
              <w:t>开户名称</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480"/>
        </w:trPr>
        <w:tc>
          <w:tcPr>
            <w:tcW w:w="1883" w:type="dxa"/>
            <w:vAlign w:val="top"/>
          </w:tcPr>
          <w:p>
            <w:pPr>
              <w:widowControl w:val="0"/>
              <w:jc w:val="both"/>
              <w:rPr>
                <w:rFonts w:ascii="宋体" w:hAnsi="宋体" w:cs="宋体" w:hint="eastAsia"/>
                <w:kern w:val="2"/>
                <w:sz w:val="21"/>
                <w:lang w:eastAsia="zh-CN"/>
              </w:rPr>
            </w:pPr>
          </w:p>
        </w:tc>
        <w:tc>
          <w:tcPr>
            <w:tcW w:w="2417" w:type="dxa"/>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147" w:line="220" w:lineRule="auto"/>
              <w:ind w:left="564"/>
              <w:jc w:val="both"/>
              <w:rPr>
                <w:rFonts w:ascii="宋体" w:hAnsi="宋体" w:cs="宋体" w:hint="eastAsia"/>
                <w:kern w:val="2"/>
                <w:sz w:val="21"/>
                <w:szCs w:val="21"/>
              </w:rPr>
            </w:pPr>
            <w:r>
              <w:rPr>
                <w:rFonts w:ascii="宋体" w:hAnsi="宋体" w:cs="宋体" w:hint="eastAsia"/>
                <w:spacing w:val="-2"/>
                <w:kern w:val="2"/>
                <w:sz w:val="21"/>
                <w:szCs w:val="21"/>
              </w:rPr>
              <w:t>开户银行</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479"/>
        </w:trPr>
        <w:tc>
          <w:tcPr>
            <w:tcW w:w="1883" w:type="dxa"/>
            <w:vAlign w:val="top"/>
          </w:tcPr>
          <w:p>
            <w:pPr>
              <w:widowControl w:val="0"/>
              <w:jc w:val="both"/>
              <w:rPr>
                <w:rFonts w:ascii="宋体" w:hAnsi="宋体" w:cs="宋体" w:hint="eastAsia"/>
                <w:kern w:val="2"/>
                <w:sz w:val="21"/>
                <w:lang w:eastAsia="zh-CN"/>
              </w:rPr>
            </w:pPr>
          </w:p>
        </w:tc>
        <w:tc>
          <w:tcPr>
            <w:tcW w:w="2417" w:type="dxa"/>
            <w:vAlign w:val="top"/>
          </w:tcPr>
          <w:p>
            <w:pPr>
              <w:widowControl w:val="0"/>
              <w:jc w:val="both"/>
              <w:rPr>
                <w:rFonts w:ascii="宋体" w:hAnsi="宋体" w:cs="宋体" w:hint="eastAsia"/>
                <w:kern w:val="2"/>
                <w:sz w:val="21"/>
                <w:lang w:eastAsia="zh-CN"/>
              </w:rPr>
            </w:pPr>
          </w:p>
        </w:tc>
        <w:tc>
          <w:tcPr>
            <w:tcW w:w="1978" w:type="dxa"/>
            <w:vAlign w:val="top"/>
          </w:tcPr>
          <w:p>
            <w:pPr>
              <w:widowControl w:val="0"/>
              <w:spacing w:before="147" w:line="220" w:lineRule="auto"/>
              <w:ind w:left="564"/>
              <w:jc w:val="both"/>
              <w:rPr>
                <w:rFonts w:ascii="宋体" w:hAnsi="宋体" w:cs="宋体" w:hint="eastAsia"/>
                <w:kern w:val="2"/>
                <w:sz w:val="21"/>
                <w:szCs w:val="21"/>
              </w:rPr>
            </w:pPr>
            <w:r>
              <w:rPr>
                <w:rFonts w:ascii="宋体" w:hAnsi="宋体" w:cs="宋体" w:hint="eastAsia"/>
                <w:spacing w:val="3"/>
                <w:kern w:val="2"/>
                <w:sz w:val="21"/>
                <w:szCs w:val="21"/>
              </w:rPr>
              <w:t>银行账号</w:t>
            </w:r>
          </w:p>
        </w:tc>
        <w:tc>
          <w:tcPr>
            <w:tcW w:w="2102" w:type="dxa"/>
            <w:vAlign w:val="top"/>
          </w:tcPr>
          <w:p>
            <w:pPr>
              <w:widowControl w:val="0"/>
              <w:jc w:val="both"/>
              <w:rPr>
                <w:rFonts w:ascii="宋体" w:hAnsi="宋体" w:cs="宋体" w:hint="eastAsia"/>
                <w:kern w:val="2"/>
                <w:sz w:val="21"/>
                <w:lang w:eastAsia="zh-CN"/>
              </w:rPr>
            </w:pPr>
          </w:p>
        </w:tc>
      </w:tr>
      <w:tr>
        <w:tblPrEx>
          <w:tblW w:w="5000" w:type="pct"/>
          <w:tblInd w:w="5" w:type="dxa"/>
          <w:tblLayout w:type="fixed"/>
          <w:tblCellMar>
            <w:top w:w="0" w:type="dxa"/>
            <w:left w:w="0" w:type="dxa"/>
            <w:bottom w:w="0" w:type="dxa"/>
            <w:right w:w="0" w:type="dxa"/>
          </w:tblCellMar>
        </w:tblPrEx>
        <w:trPr>
          <w:trHeight w:val="584"/>
        </w:trPr>
        <w:tc>
          <w:tcPr>
            <w:tcW w:w="8380" w:type="dxa"/>
            <w:gridSpan w:val="4"/>
            <w:vAlign w:val="top"/>
          </w:tcPr>
          <w:p>
            <w:pPr>
              <w:widowControl w:val="0"/>
              <w:spacing w:before="197" w:line="219" w:lineRule="auto"/>
              <w:ind w:left="114"/>
              <w:jc w:val="both"/>
              <w:rPr>
                <w:rFonts w:ascii="宋体" w:hAnsi="宋体" w:cs="宋体" w:hint="eastAsia"/>
                <w:kern w:val="2"/>
                <w:sz w:val="21"/>
                <w:szCs w:val="21"/>
              </w:rPr>
            </w:pPr>
            <w:r>
              <w:rPr>
                <w:rFonts w:ascii="宋体" w:hAnsi="宋体" w:cs="宋体" w:hint="eastAsia"/>
                <w:kern w:val="2"/>
                <w:sz w:val="21"/>
                <w:szCs w:val="21"/>
              </w:rPr>
              <w:t>注：涉及联合体或其他合同主体的信息应按上</w:t>
            </w:r>
            <w:r>
              <w:rPr>
                <w:rFonts w:ascii="宋体" w:hAnsi="宋体" w:cs="宋体" w:hint="eastAsia"/>
                <w:spacing w:val="-1"/>
                <w:kern w:val="2"/>
                <w:sz w:val="21"/>
                <w:szCs w:val="21"/>
              </w:rPr>
              <w:t>表格式加列。</w:t>
            </w:r>
          </w:p>
        </w:tc>
      </w:tr>
    </w:tbl>
    <w:p>
      <w:pPr>
        <w:widowControl w:val="0"/>
        <w:jc w:val="both"/>
        <w:rPr>
          <w:rFonts w:ascii="宋体" w:eastAsia="宋体" w:hAnsi="宋体" w:cs="宋体" w:hint="eastAsia"/>
          <w:kern w:val="2"/>
          <w:sz w:val="21"/>
          <w:highlight w:val="green"/>
          <w:lang w:eastAsia="zh-CN"/>
        </w:rPr>
      </w:pPr>
    </w:p>
    <w:p>
      <w:pPr>
        <w:widowControl w:val="0"/>
        <w:jc w:val="both"/>
        <w:rPr>
          <w:rFonts w:ascii="宋体" w:eastAsia="宋体" w:hAnsi="宋体" w:cs="宋体" w:hint="eastAsia"/>
          <w:kern w:val="2"/>
          <w:sz w:val="21"/>
          <w:szCs w:val="21"/>
          <w:highlight w:val="green"/>
          <w:lang w:eastAsia="zh-CN"/>
        </w:rPr>
        <w:sectPr>
          <w:footerReference w:type="default" r:id="rId15"/>
          <w:pgSz w:w="11950" w:h="16900"/>
          <w:pgMar w:top="1440" w:right="1800" w:bottom="1440" w:left="1800" w:header="0" w:footer="1039" w:gutter="0"/>
          <w:pgBorders>
            <w:top w:val="none" w:sz="0" w:space="0" w:color="auto"/>
            <w:left w:val="none" w:sz="0" w:space="0" w:color="auto"/>
            <w:bottom w:val="none" w:sz="0" w:space="0" w:color="auto"/>
            <w:right w:val="none" w:sz="0" w:space="0" w:color="auto"/>
          </w:pgBorders>
          <w:pgNumType w:fmt="numberInDash"/>
          <w:cols w:num="1" w:space="720"/>
        </w:sectPr>
      </w:pPr>
    </w:p>
    <w:p>
      <w:pPr>
        <w:widowControl w:val="0"/>
        <w:spacing w:line="360" w:lineRule="auto"/>
        <w:jc w:val="center"/>
        <w:rPr>
          <w:rFonts w:eastAsia="宋体" w:hint="eastAsia"/>
          <w:b/>
          <w:bCs/>
          <w:kern w:val="2"/>
          <w:sz w:val="28"/>
          <w:szCs w:val="36"/>
          <w:lang w:eastAsia="zh-CN"/>
        </w:rPr>
      </w:pPr>
      <w:r>
        <w:rPr>
          <w:rFonts w:eastAsia="宋体" w:hint="eastAsia"/>
          <w:b/>
          <w:bCs/>
          <w:kern w:val="2"/>
          <w:sz w:val="28"/>
          <w:szCs w:val="36"/>
          <w:lang w:eastAsia="zh-CN"/>
        </w:rPr>
        <w:t>第二节政府采购合同通用条款</w:t>
      </w:r>
    </w:p>
    <w:p>
      <w:pPr>
        <w:widowControl w:val="0"/>
        <w:spacing w:line="360" w:lineRule="auto"/>
        <w:jc w:val="both"/>
        <w:rPr>
          <w:rFonts w:eastAsia="宋体" w:hint="eastAsia"/>
          <w:kern w:val="2"/>
          <w:sz w:val="21"/>
          <w:lang w:eastAsia="zh-CN"/>
        </w:rPr>
      </w:pPr>
    </w:p>
    <w:p>
      <w:pPr>
        <w:widowControl w:val="0"/>
        <w:spacing w:line="360" w:lineRule="auto"/>
        <w:jc w:val="both"/>
        <w:rPr>
          <w:rFonts w:eastAsia="宋体" w:hint="eastAsia"/>
          <w:kern w:val="2"/>
          <w:sz w:val="21"/>
          <w:lang w:eastAsia="zh-CN"/>
        </w:rPr>
      </w:pPr>
      <w:r>
        <w:rPr>
          <w:rFonts w:eastAsia="宋体" w:hint="eastAsia"/>
          <w:kern w:val="2"/>
          <w:sz w:val="21"/>
          <w:lang w:eastAsia="zh-CN"/>
        </w:rPr>
        <w:t>1. 定 义</w:t>
      </w:r>
    </w:p>
    <w:p>
      <w:pPr>
        <w:widowControl w:val="0"/>
        <w:spacing w:line="360" w:lineRule="auto"/>
        <w:jc w:val="both"/>
        <w:rPr>
          <w:rFonts w:eastAsia="宋体" w:hint="eastAsia"/>
          <w:kern w:val="2"/>
          <w:sz w:val="21"/>
          <w:lang w:eastAsia="zh-CN"/>
        </w:rPr>
      </w:pPr>
      <w:r>
        <w:rPr>
          <w:rFonts w:eastAsia="宋体" w:hint="eastAsia"/>
          <w:kern w:val="2"/>
          <w:sz w:val="21"/>
          <w:lang w:eastAsia="zh-CN"/>
        </w:rPr>
        <w:t>1.1合同当事人</w:t>
      </w:r>
    </w:p>
    <w:p>
      <w:pPr>
        <w:widowControl w:val="0"/>
        <w:spacing w:line="360" w:lineRule="auto"/>
        <w:jc w:val="both"/>
        <w:rPr>
          <w:rFonts w:eastAsia="宋体" w:hint="eastAsia"/>
          <w:kern w:val="2"/>
          <w:sz w:val="21"/>
          <w:lang w:eastAsia="zh-CN"/>
        </w:rPr>
      </w:pPr>
      <w:r>
        <w:rPr>
          <w:rFonts w:eastAsia="宋体" w:hint="eastAsia"/>
          <w:kern w:val="2"/>
          <w:sz w:val="21"/>
          <w:lang w:eastAsia="zh-CN"/>
        </w:rPr>
        <w:t>(1)采购人(以下称甲方)是指使用财政性资金，通过政府采购方式向供应商购买货</w:t>
      </w:r>
    </w:p>
    <w:p>
      <w:pPr>
        <w:widowControl w:val="0"/>
        <w:spacing w:line="360" w:lineRule="auto"/>
        <w:jc w:val="both"/>
        <w:rPr>
          <w:rFonts w:eastAsia="宋体" w:hint="eastAsia"/>
          <w:kern w:val="2"/>
          <w:sz w:val="21"/>
          <w:lang w:eastAsia="zh-CN"/>
        </w:rPr>
      </w:pPr>
      <w:r>
        <w:rPr>
          <w:rFonts w:eastAsia="宋体" w:hint="eastAsia"/>
          <w:kern w:val="2"/>
          <w:sz w:val="21"/>
          <w:lang w:eastAsia="zh-CN"/>
        </w:rPr>
        <w:t>物及其相关服务的国家机关、事业单位、团体组织。</w:t>
      </w:r>
    </w:p>
    <w:p>
      <w:pPr>
        <w:widowControl w:val="0"/>
        <w:spacing w:line="360" w:lineRule="auto"/>
        <w:jc w:val="both"/>
        <w:rPr>
          <w:rFonts w:eastAsia="宋体" w:hint="eastAsia"/>
          <w:kern w:val="2"/>
          <w:sz w:val="21"/>
          <w:lang w:eastAsia="zh-CN"/>
        </w:rPr>
      </w:pPr>
      <w:r>
        <w:rPr>
          <w:rFonts w:eastAsia="宋体" w:hint="eastAsia"/>
          <w:kern w:val="2"/>
          <w:sz w:val="21"/>
          <w:lang w:eastAsia="zh-CN"/>
        </w:rPr>
        <w:t>(2)供应商(以下称乙方)是指参加政府采购活动并且中标(成交),向采购人提供</w:t>
      </w:r>
    </w:p>
    <w:p>
      <w:pPr>
        <w:widowControl w:val="0"/>
        <w:spacing w:line="360" w:lineRule="auto"/>
        <w:jc w:val="both"/>
        <w:rPr>
          <w:rFonts w:eastAsia="宋体" w:hint="eastAsia"/>
          <w:kern w:val="2"/>
          <w:sz w:val="21"/>
          <w:lang w:eastAsia="zh-CN"/>
        </w:rPr>
      </w:pPr>
      <w:r>
        <w:rPr>
          <w:rFonts w:eastAsia="宋体" w:hint="eastAsia"/>
          <w:kern w:val="2"/>
          <w:sz w:val="21"/>
          <w:lang w:eastAsia="zh-CN"/>
        </w:rPr>
        <w:t>合同约定的货物及其相关服务的法人、非法人组织或者自然人。</w:t>
      </w:r>
    </w:p>
    <w:p>
      <w:pPr>
        <w:widowControl w:val="0"/>
        <w:spacing w:line="360" w:lineRule="auto"/>
        <w:jc w:val="both"/>
        <w:rPr>
          <w:rFonts w:eastAsia="宋体" w:hint="eastAsia"/>
          <w:kern w:val="2"/>
          <w:sz w:val="21"/>
          <w:lang w:eastAsia="zh-CN"/>
        </w:rPr>
      </w:pPr>
      <w:r>
        <w:rPr>
          <w:rFonts w:eastAsia="宋体" w:hint="eastAsia"/>
          <w:kern w:val="2"/>
          <w:sz w:val="21"/>
          <w:lang w:eastAsia="zh-CN"/>
        </w:rPr>
        <w:t>(3)其他合同主体是指除采购人和供应商以外，依法参与合同缔结或履行，享有权利、</w:t>
      </w:r>
    </w:p>
    <w:p>
      <w:pPr>
        <w:widowControl w:val="0"/>
        <w:spacing w:line="360" w:lineRule="auto"/>
        <w:jc w:val="both"/>
        <w:rPr>
          <w:rFonts w:eastAsia="宋体" w:hint="eastAsia"/>
          <w:kern w:val="2"/>
          <w:sz w:val="21"/>
          <w:lang w:eastAsia="zh-CN"/>
        </w:rPr>
      </w:pPr>
      <w:r>
        <w:rPr>
          <w:rFonts w:eastAsia="宋体" w:hint="eastAsia"/>
          <w:kern w:val="2"/>
          <w:sz w:val="21"/>
          <w:lang w:eastAsia="zh-CN"/>
        </w:rPr>
        <w:t>承担义务的合同当事人。</w:t>
      </w:r>
    </w:p>
    <w:p>
      <w:pPr>
        <w:widowControl w:val="0"/>
        <w:spacing w:line="360" w:lineRule="auto"/>
        <w:jc w:val="both"/>
        <w:rPr>
          <w:rFonts w:eastAsia="宋体" w:hint="eastAsia"/>
          <w:kern w:val="2"/>
          <w:sz w:val="21"/>
          <w:lang w:eastAsia="zh-CN"/>
        </w:rPr>
      </w:pPr>
      <w:r>
        <w:rPr>
          <w:rFonts w:eastAsia="宋体" w:hint="eastAsia"/>
          <w:kern w:val="2"/>
          <w:sz w:val="21"/>
          <w:lang w:eastAsia="zh-CN"/>
        </w:rPr>
        <w:t>1.2本合同下列术语应解释为：</w:t>
      </w:r>
    </w:p>
    <w:p>
      <w:pPr>
        <w:widowControl w:val="0"/>
        <w:spacing w:line="360" w:lineRule="auto"/>
        <w:jc w:val="both"/>
        <w:rPr>
          <w:rFonts w:eastAsia="宋体" w:hint="eastAsia"/>
          <w:kern w:val="2"/>
          <w:sz w:val="21"/>
          <w:lang w:eastAsia="zh-CN"/>
        </w:rPr>
      </w:pPr>
      <w:r>
        <w:rPr>
          <w:rFonts w:eastAsia="宋体" w:hint="eastAsia"/>
          <w:kern w:val="2"/>
          <w:sz w:val="21"/>
          <w:lang w:eastAsia="zh-CN"/>
        </w:rPr>
        <w:t>(1)  “合同”系指合同当事人意思表示达成一致的任何协议，包括签署的政府采购合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w:t>
      </w:r>
    </w:p>
    <w:p>
      <w:pPr>
        <w:widowControl w:val="0"/>
        <w:spacing w:line="360" w:lineRule="auto"/>
        <w:jc w:val="both"/>
        <w:rPr>
          <w:rFonts w:eastAsia="宋体" w:hint="eastAsia"/>
          <w:kern w:val="2"/>
          <w:sz w:val="21"/>
          <w:lang w:eastAsia="zh-CN"/>
        </w:rPr>
      </w:pPr>
      <w:r>
        <w:rPr>
          <w:rFonts w:eastAsia="宋体" w:hint="eastAsia"/>
          <w:kern w:val="2"/>
          <w:sz w:val="21"/>
          <w:lang w:eastAsia="zh-CN"/>
        </w:rPr>
        <w:t>规和规章制度规定或合同约定的作为合同组成部分的其他文件。</w:t>
      </w:r>
    </w:p>
    <w:p>
      <w:pPr>
        <w:widowControl w:val="0"/>
        <w:spacing w:line="360" w:lineRule="auto"/>
        <w:jc w:val="both"/>
        <w:rPr>
          <w:rFonts w:eastAsia="宋体" w:hint="eastAsia"/>
          <w:kern w:val="2"/>
          <w:sz w:val="21"/>
          <w:lang w:eastAsia="zh-CN"/>
        </w:rPr>
      </w:pPr>
      <w:r>
        <w:rPr>
          <w:rFonts w:eastAsia="宋体" w:hint="eastAsia"/>
          <w:kern w:val="2"/>
          <w:sz w:val="21"/>
          <w:lang w:eastAsia="zh-CN"/>
        </w:rPr>
        <w:t>(2)  “合同价款”系指根据本合同规定乙方在全面履行合同义务后甲方应支付给乙方</w:t>
      </w:r>
    </w:p>
    <w:p>
      <w:pPr>
        <w:widowControl w:val="0"/>
        <w:spacing w:line="360" w:lineRule="auto"/>
        <w:jc w:val="both"/>
        <w:rPr>
          <w:rFonts w:eastAsia="宋体" w:hint="eastAsia"/>
          <w:kern w:val="2"/>
          <w:sz w:val="21"/>
          <w:lang w:eastAsia="zh-CN"/>
        </w:rPr>
      </w:pPr>
      <w:r>
        <w:rPr>
          <w:rFonts w:eastAsia="宋体" w:hint="eastAsia"/>
          <w:kern w:val="2"/>
          <w:sz w:val="21"/>
          <w:lang w:eastAsia="zh-CN"/>
        </w:rPr>
        <w:t>的价款。</w:t>
      </w:r>
    </w:p>
    <w:p>
      <w:pPr>
        <w:widowControl w:val="0"/>
        <w:spacing w:line="360" w:lineRule="auto"/>
        <w:jc w:val="both"/>
        <w:rPr>
          <w:rFonts w:eastAsia="宋体" w:hint="eastAsia"/>
          <w:kern w:val="2"/>
          <w:sz w:val="21"/>
          <w:lang w:eastAsia="zh-CN"/>
        </w:rPr>
      </w:pPr>
      <w:r>
        <w:rPr>
          <w:rFonts w:eastAsia="宋体" w:hint="eastAsia"/>
          <w:kern w:val="2"/>
          <w:sz w:val="21"/>
          <w:lang w:eastAsia="zh-CN"/>
        </w:rPr>
        <w:t>(3)  “货物”系指乙方根据本合同规定须向甲方提供的各种形态和种类的物品，包括</w:t>
      </w:r>
    </w:p>
    <w:p>
      <w:pPr>
        <w:widowControl w:val="0"/>
        <w:spacing w:line="360" w:lineRule="auto"/>
        <w:jc w:val="both"/>
        <w:rPr>
          <w:rFonts w:eastAsia="宋体" w:hint="eastAsia"/>
          <w:kern w:val="2"/>
          <w:sz w:val="21"/>
          <w:lang w:eastAsia="zh-CN"/>
        </w:rPr>
      </w:pPr>
      <w:r>
        <w:rPr>
          <w:rFonts w:eastAsia="宋体" w:hint="eastAsia"/>
          <w:kern w:val="2"/>
          <w:sz w:val="21"/>
          <w:lang w:eastAsia="zh-CN"/>
        </w:rPr>
        <w:t>原材料、设备、产品(包括软件)及相关的其备品备件、工具、手册及其他技术资料和材料</w:t>
      </w:r>
    </w:p>
    <w:p>
      <w:pPr>
        <w:widowControl w:val="0"/>
        <w:spacing w:line="360" w:lineRule="auto"/>
        <w:jc w:val="both"/>
        <w:rPr>
          <w:rFonts w:eastAsia="宋体" w:hint="eastAsia"/>
          <w:kern w:val="2"/>
          <w:sz w:val="21"/>
          <w:lang w:eastAsia="zh-CN"/>
        </w:rPr>
      </w:pPr>
      <w:r>
        <w:rPr>
          <w:rFonts w:eastAsia="宋体" w:hint="eastAsia"/>
          <w:kern w:val="2"/>
          <w:sz w:val="21"/>
          <w:lang w:eastAsia="zh-CN"/>
        </w:rPr>
        <w:t>等。</w:t>
      </w:r>
    </w:p>
    <w:p>
      <w:pPr>
        <w:widowControl w:val="0"/>
        <w:spacing w:line="360" w:lineRule="auto"/>
        <w:jc w:val="both"/>
        <w:rPr>
          <w:rFonts w:eastAsia="宋体" w:hint="eastAsia"/>
          <w:kern w:val="2"/>
          <w:sz w:val="21"/>
          <w:lang w:eastAsia="zh-CN"/>
        </w:rPr>
      </w:pPr>
      <w:r>
        <w:rPr>
          <w:rFonts w:eastAsia="宋体" w:hint="eastAsia"/>
          <w:kern w:val="2"/>
          <w:sz w:val="21"/>
          <w:lang w:eastAsia="zh-CN"/>
        </w:rPr>
        <w:t>(4)  “相关服务”系指根据合同规定，乙方应提供的与货物有关的技术、管理和其他  服务，包括但不限于：管理和质量保证、运输、保险、检验、现场准备、安装、集成、调试、</w:t>
      </w:r>
    </w:p>
    <w:p>
      <w:pPr>
        <w:widowControl w:val="0"/>
        <w:spacing w:line="360" w:lineRule="auto"/>
        <w:jc w:val="both"/>
        <w:rPr>
          <w:rFonts w:eastAsia="宋体" w:hint="eastAsia"/>
          <w:kern w:val="2"/>
          <w:sz w:val="21"/>
          <w:lang w:eastAsia="zh-CN"/>
        </w:rPr>
      </w:pPr>
      <w:r>
        <w:rPr>
          <w:rFonts w:eastAsia="宋体" w:hint="eastAsia"/>
          <w:kern w:val="2"/>
          <w:sz w:val="21"/>
          <w:lang w:eastAsia="zh-CN"/>
        </w:rPr>
        <w:t>培训、维修、废弃处置、技术支持等以及合同中规定乙方应承担的其他义务。</w:t>
      </w:r>
    </w:p>
    <w:p>
      <w:pPr>
        <w:widowControl w:val="0"/>
        <w:spacing w:line="360" w:lineRule="auto"/>
        <w:jc w:val="both"/>
        <w:rPr>
          <w:rFonts w:eastAsia="宋体" w:hint="eastAsia"/>
          <w:kern w:val="2"/>
          <w:sz w:val="21"/>
          <w:lang w:eastAsia="zh-CN"/>
        </w:rPr>
      </w:pPr>
      <w:r>
        <w:rPr>
          <w:rFonts w:eastAsia="宋体" w:hint="eastAsia"/>
          <w:kern w:val="2"/>
          <w:sz w:val="21"/>
          <w:lang w:eastAsia="zh-CN"/>
        </w:rPr>
        <w:t>(5)“分包”系指中标(成交)供应商按采购文件、投标(响应)文件的规定，根据 分包意向协议，将中标(成交)项目中的部分履约内容，分给具有相应资质条件的供应商履</w:t>
      </w:r>
    </w:p>
    <w:p>
      <w:pPr>
        <w:widowControl w:val="0"/>
        <w:spacing w:line="360" w:lineRule="auto"/>
        <w:jc w:val="both"/>
        <w:rPr>
          <w:rFonts w:eastAsia="宋体" w:hint="eastAsia"/>
          <w:kern w:val="2"/>
          <w:sz w:val="21"/>
          <w:lang w:eastAsia="zh-CN"/>
        </w:rPr>
      </w:pPr>
      <w:r>
        <w:rPr>
          <w:rFonts w:eastAsia="宋体" w:hint="eastAsia"/>
          <w:kern w:val="2"/>
          <w:sz w:val="21"/>
          <w:lang w:eastAsia="zh-CN"/>
        </w:rPr>
        <w:t>行合同的行为。</w:t>
      </w:r>
    </w:p>
    <w:p>
      <w:pPr>
        <w:widowControl w:val="0"/>
        <w:spacing w:line="360" w:lineRule="auto"/>
        <w:jc w:val="both"/>
        <w:rPr>
          <w:rFonts w:eastAsia="宋体" w:hint="eastAsia"/>
          <w:kern w:val="2"/>
          <w:sz w:val="21"/>
          <w:lang w:eastAsia="zh-CN"/>
        </w:rPr>
      </w:pPr>
      <w:r>
        <w:rPr>
          <w:rFonts w:eastAsia="宋体" w:hint="eastAsia"/>
          <w:kern w:val="2"/>
          <w:sz w:val="21"/>
          <w:lang w:eastAsia="zh-CN"/>
        </w:rPr>
        <w:t>(6)  “联合体”系指由两个以上的自然人、法人或者非法人组织组成，以一个供应商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w:t>
      </w:r>
    </w:p>
    <w:p>
      <w:pPr>
        <w:widowControl w:val="0"/>
        <w:spacing w:line="360" w:lineRule="auto"/>
        <w:jc w:val="both"/>
        <w:rPr>
          <w:rFonts w:eastAsia="宋体" w:hint="eastAsia"/>
          <w:kern w:val="2"/>
          <w:sz w:val="21"/>
          <w:lang w:eastAsia="zh-CN"/>
        </w:rPr>
      </w:pPr>
      <w:r>
        <w:rPr>
          <w:rFonts w:eastAsia="宋体" w:hint="eastAsia"/>
          <w:kern w:val="2"/>
          <w:sz w:val="21"/>
          <w:lang w:eastAsia="zh-CN"/>
        </w:rPr>
        <w:t>合同，就合同约定的事项对甲方承担连带责任。联合体具体要求见【政府采购合同专用条款】。</w:t>
      </w:r>
    </w:p>
    <w:p>
      <w:pPr>
        <w:widowControl w:val="0"/>
        <w:spacing w:line="360" w:lineRule="auto"/>
        <w:jc w:val="both"/>
        <w:rPr>
          <w:rFonts w:eastAsia="宋体" w:hint="eastAsia"/>
          <w:kern w:val="2"/>
          <w:sz w:val="21"/>
          <w:lang w:eastAsia="zh-CN"/>
        </w:rPr>
      </w:pPr>
      <w:r>
        <w:rPr>
          <w:rFonts w:eastAsia="宋体" w:hint="eastAsia"/>
          <w:kern w:val="2"/>
          <w:sz w:val="21"/>
          <w:lang w:eastAsia="zh-CN"/>
        </w:rPr>
        <w:t>(7)其他术语解释，见【政府采购合同专用条款】。</w:t>
      </w:r>
    </w:p>
    <w:p>
      <w:pPr>
        <w:widowControl w:val="0"/>
        <w:spacing w:line="360" w:lineRule="auto"/>
        <w:jc w:val="both"/>
        <w:rPr>
          <w:rFonts w:eastAsia="宋体" w:hint="eastAsia"/>
          <w:kern w:val="2"/>
          <w:sz w:val="21"/>
          <w:lang w:eastAsia="zh-CN"/>
        </w:rPr>
      </w:pPr>
      <w:r>
        <w:rPr>
          <w:rFonts w:eastAsia="宋体" w:hint="eastAsia"/>
          <w:kern w:val="2"/>
          <w:sz w:val="21"/>
          <w:lang w:eastAsia="zh-CN"/>
        </w:rPr>
        <w:t>2. 合同标的及金额</w:t>
      </w:r>
    </w:p>
    <w:p>
      <w:pPr>
        <w:widowControl w:val="0"/>
        <w:spacing w:line="360" w:lineRule="auto"/>
        <w:jc w:val="both"/>
        <w:rPr>
          <w:rFonts w:eastAsia="宋体" w:hint="eastAsia"/>
          <w:kern w:val="2"/>
          <w:sz w:val="21"/>
          <w:lang w:eastAsia="zh-CN"/>
        </w:rPr>
      </w:pPr>
      <w:r>
        <w:rPr>
          <w:rFonts w:eastAsia="宋体" w:hint="eastAsia"/>
          <w:kern w:val="2"/>
          <w:sz w:val="21"/>
          <w:lang w:eastAsia="zh-CN"/>
        </w:rPr>
        <w:t>2.1 合同标的及金额应与中标(成交)结果一致。乙方为履行本合同而发生的所有费用</w:t>
      </w:r>
    </w:p>
    <w:p>
      <w:pPr>
        <w:widowControl w:val="0"/>
        <w:spacing w:line="360" w:lineRule="auto"/>
        <w:jc w:val="both"/>
        <w:rPr>
          <w:rFonts w:eastAsia="宋体" w:hint="eastAsia"/>
          <w:kern w:val="2"/>
          <w:sz w:val="21"/>
          <w:lang w:eastAsia="zh-CN"/>
        </w:rPr>
      </w:pPr>
      <w:r>
        <w:rPr>
          <w:rFonts w:eastAsia="宋体" w:hint="eastAsia"/>
          <w:kern w:val="2"/>
          <w:sz w:val="21"/>
          <w:lang w:eastAsia="zh-CN"/>
        </w:rPr>
        <w:t>均应包含在合同价款中，甲方不再另行支付其他任何费用。</w:t>
      </w:r>
    </w:p>
    <w:p>
      <w:pPr>
        <w:widowControl w:val="0"/>
        <w:spacing w:line="360" w:lineRule="auto"/>
        <w:jc w:val="both"/>
        <w:rPr>
          <w:rFonts w:eastAsia="宋体" w:hint="eastAsia"/>
          <w:kern w:val="2"/>
          <w:sz w:val="21"/>
          <w:lang w:eastAsia="zh-CN"/>
        </w:rPr>
      </w:pPr>
      <w:r>
        <w:rPr>
          <w:rFonts w:eastAsia="宋体" w:hint="eastAsia"/>
          <w:kern w:val="2"/>
          <w:sz w:val="21"/>
          <w:lang w:eastAsia="zh-CN"/>
        </w:rPr>
        <w:t>3. 履行合同的时间、地点和方式</w:t>
      </w:r>
    </w:p>
    <w:p>
      <w:pPr>
        <w:widowControl w:val="0"/>
        <w:spacing w:line="360" w:lineRule="auto"/>
        <w:jc w:val="both"/>
        <w:rPr>
          <w:rFonts w:eastAsia="宋体" w:hint="eastAsia"/>
          <w:kern w:val="2"/>
          <w:sz w:val="21"/>
          <w:lang w:eastAsia="zh-CN"/>
        </w:rPr>
      </w:pPr>
      <w:r>
        <w:rPr>
          <w:rFonts w:eastAsia="宋体" w:hint="eastAsia"/>
          <w:kern w:val="2"/>
          <w:sz w:val="21"/>
          <w:lang w:eastAsia="zh-CN"/>
        </w:rPr>
        <w:t>3.1 乙方应当在约定的时间、地点，按照约定方式履行合同。</w:t>
      </w:r>
    </w:p>
    <w:p>
      <w:pPr>
        <w:widowControl w:val="0"/>
        <w:spacing w:line="360" w:lineRule="auto"/>
        <w:jc w:val="both"/>
        <w:rPr>
          <w:rFonts w:eastAsia="宋体" w:hint="eastAsia"/>
          <w:kern w:val="2"/>
          <w:sz w:val="21"/>
          <w:lang w:eastAsia="zh-CN"/>
        </w:rPr>
      </w:pPr>
      <w:r>
        <w:rPr>
          <w:rFonts w:eastAsia="宋体" w:hint="eastAsia"/>
          <w:kern w:val="2"/>
          <w:sz w:val="21"/>
          <w:lang w:eastAsia="zh-CN"/>
        </w:rPr>
        <w:t>4. 甲方的权利和义务</w:t>
      </w:r>
    </w:p>
    <w:p>
      <w:pPr>
        <w:widowControl w:val="0"/>
        <w:spacing w:line="360" w:lineRule="auto"/>
        <w:jc w:val="both"/>
        <w:rPr>
          <w:rFonts w:eastAsia="宋体" w:hint="eastAsia"/>
          <w:kern w:val="2"/>
          <w:sz w:val="21"/>
          <w:lang w:eastAsia="zh-CN"/>
        </w:rPr>
      </w:pPr>
      <w:r>
        <w:rPr>
          <w:rFonts w:eastAsia="宋体" w:hint="eastAsia"/>
          <w:kern w:val="2"/>
          <w:sz w:val="21"/>
          <w:lang w:eastAsia="zh-CN"/>
        </w:rPr>
        <w:t>4.1 签署合同后，甲方应确定项目负责人(或项目联系人),负责与本合同有关的事务。 甲方有权对乙方的履约行为进行检查，并及时确认乙方提交的事项。甲方应当配合乙方完成</w:t>
      </w:r>
    </w:p>
    <w:p>
      <w:pPr>
        <w:widowControl w:val="0"/>
        <w:spacing w:line="360" w:lineRule="auto"/>
        <w:jc w:val="both"/>
        <w:rPr>
          <w:rFonts w:eastAsia="宋体" w:hint="eastAsia"/>
          <w:kern w:val="2"/>
          <w:sz w:val="21"/>
          <w:lang w:eastAsia="zh-CN"/>
        </w:rPr>
      </w:pPr>
      <w:r>
        <w:rPr>
          <w:rFonts w:eastAsia="宋体" w:hint="eastAsia"/>
          <w:kern w:val="2"/>
          <w:sz w:val="21"/>
          <w:lang w:eastAsia="zh-CN"/>
        </w:rPr>
        <w:t>相关项目实施工作。</w:t>
      </w:r>
    </w:p>
    <w:p>
      <w:pPr>
        <w:widowControl w:val="0"/>
        <w:spacing w:line="360" w:lineRule="auto"/>
        <w:jc w:val="both"/>
        <w:rPr>
          <w:rFonts w:eastAsia="宋体" w:hint="eastAsia"/>
          <w:kern w:val="2"/>
          <w:sz w:val="21"/>
          <w:lang w:eastAsia="zh-CN"/>
        </w:rPr>
      </w:pPr>
      <w:r>
        <w:rPr>
          <w:rFonts w:eastAsia="宋体" w:hint="eastAsia"/>
          <w:kern w:val="2"/>
          <w:sz w:val="21"/>
          <w:lang w:eastAsia="zh-CN"/>
        </w:rPr>
        <w:t>4.2 甲方有权要求乙方按时提交各阶段有关安排计划，并有权定期核对乙方提供货物数</w:t>
      </w:r>
    </w:p>
    <w:p>
      <w:pPr>
        <w:widowControl w:val="0"/>
        <w:spacing w:line="360" w:lineRule="auto"/>
        <w:jc w:val="both"/>
        <w:rPr>
          <w:rFonts w:eastAsia="宋体" w:hint="eastAsia"/>
          <w:kern w:val="2"/>
          <w:sz w:val="21"/>
          <w:lang w:eastAsia="zh-CN"/>
        </w:rPr>
      </w:pPr>
      <w:r>
        <w:rPr>
          <w:rFonts w:eastAsia="宋体" w:hint="eastAsia"/>
          <w:kern w:val="2"/>
          <w:sz w:val="21"/>
          <w:lang w:eastAsia="zh-CN"/>
        </w:rPr>
        <w:t>量、规格、质量等内容。甲方有权督促乙方工作并要求乙方更换不符合要求的货物。</w:t>
      </w:r>
    </w:p>
    <w:p>
      <w:pPr>
        <w:widowControl w:val="0"/>
        <w:spacing w:line="360" w:lineRule="auto"/>
        <w:jc w:val="both"/>
        <w:rPr>
          <w:rFonts w:eastAsia="宋体" w:hint="eastAsia"/>
          <w:kern w:val="2"/>
          <w:sz w:val="21"/>
          <w:lang w:eastAsia="zh-CN"/>
        </w:rPr>
      </w:pPr>
      <w:r>
        <w:rPr>
          <w:rFonts w:eastAsia="宋体" w:hint="eastAsia"/>
          <w:kern w:val="2"/>
          <w:sz w:val="21"/>
          <w:lang w:eastAsia="zh-CN"/>
        </w:rPr>
        <w:t>4.3 甲方有权要求乙方对缺陷部分予以修复，并按合同约定享有货物保修及其他合同约</w:t>
      </w:r>
    </w:p>
    <w:p>
      <w:pPr>
        <w:widowControl w:val="0"/>
        <w:spacing w:line="360" w:lineRule="auto"/>
        <w:jc w:val="both"/>
        <w:rPr>
          <w:rFonts w:eastAsia="宋体" w:hint="eastAsia"/>
          <w:kern w:val="2"/>
          <w:sz w:val="21"/>
          <w:lang w:eastAsia="zh-CN"/>
        </w:rPr>
      </w:pPr>
      <w:r>
        <w:rPr>
          <w:rFonts w:eastAsia="宋体" w:hint="eastAsia"/>
          <w:kern w:val="2"/>
          <w:sz w:val="21"/>
          <w:lang w:eastAsia="zh-CN"/>
        </w:rPr>
        <w:t>定的权利。</w:t>
      </w:r>
    </w:p>
    <w:p>
      <w:pPr>
        <w:widowControl w:val="0"/>
        <w:spacing w:line="360" w:lineRule="auto"/>
        <w:jc w:val="both"/>
        <w:rPr>
          <w:rFonts w:eastAsia="宋体" w:hint="eastAsia"/>
          <w:kern w:val="2"/>
          <w:sz w:val="21"/>
          <w:lang w:eastAsia="zh-CN"/>
        </w:rPr>
      </w:pPr>
      <w:r>
        <w:rPr>
          <w:rFonts w:eastAsia="宋体" w:hint="eastAsia"/>
          <w:kern w:val="2"/>
          <w:sz w:val="21"/>
          <w:lang w:eastAsia="zh-CN"/>
        </w:rPr>
        <w:t>4.4 甲方应当按照合同约定及时对交付的货物进行验收，未在【政府采购合同专用条款】</w:t>
      </w:r>
    </w:p>
    <w:p>
      <w:pPr>
        <w:widowControl w:val="0"/>
        <w:spacing w:line="360" w:lineRule="auto"/>
        <w:jc w:val="both"/>
        <w:rPr>
          <w:rFonts w:eastAsia="宋体" w:hint="eastAsia"/>
          <w:kern w:val="2"/>
          <w:sz w:val="21"/>
          <w:lang w:eastAsia="zh-CN"/>
        </w:rPr>
      </w:pPr>
      <w:r>
        <w:rPr>
          <w:rFonts w:eastAsia="宋体" w:hint="eastAsia"/>
          <w:kern w:val="2"/>
          <w:sz w:val="21"/>
          <w:lang w:eastAsia="zh-CN"/>
        </w:rPr>
        <w:t>约定的期限内对乙方履约提出任何异议或者向乙方作出任何说明的，视为验收通过。</w:t>
      </w:r>
    </w:p>
    <w:p>
      <w:pPr>
        <w:widowControl w:val="0"/>
        <w:spacing w:line="360" w:lineRule="auto"/>
        <w:jc w:val="both"/>
        <w:rPr>
          <w:rFonts w:eastAsia="宋体" w:hint="eastAsia"/>
          <w:kern w:val="2"/>
          <w:sz w:val="21"/>
          <w:lang w:eastAsia="zh-CN"/>
        </w:rPr>
      </w:pPr>
      <w:r>
        <w:rPr>
          <w:rFonts w:eastAsia="宋体" w:hint="eastAsia"/>
          <w:kern w:val="2"/>
          <w:sz w:val="21"/>
          <w:lang w:eastAsia="zh-CN"/>
        </w:rPr>
        <w:t>4.5 甲方应当根据合同约定及时向乙方支付合同价款，不得以内部人员变更、履行内部</w:t>
      </w:r>
    </w:p>
    <w:p>
      <w:pPr>
        <w:widowControl w:val="0"/>
        <w:spacing w:line="360" w:lineRule="auto"/>
        <w:jc w:val="both"/>
        <w:rPr>
          <w:rFonts w:eastAsia="宋体" w:hint="eastAsia"/>
          <w:kern w:val="2"/>
          <w:sz w:val="21"/>
          <w:lang w:eastAsia="zh-CN"/>
        </w:rPr>
      </w:pPr>
      <w:r>
        <w:rPr>
          <w:rFonts w:eastAsia="宋体" w:hint="eastAsia"/>
          <w:kern w:val="2"/>
          <w:sz w:val="21"/>
          <w:lang w:eastAsia="zh-CN"/>
        </w:rPr>
        <w:t>付款流程等为由，拒绝或迟延支付。</w:t>
      </w:r>
    </w:p>
    <w:p>
      <w:pPr>
        <w:widowControl w:val="0"/>
        <w:spacing w:line="360" w:lineRule="auto"/>
        <w:jc w:val="both"/>
        <w:rPr>
          <w:rFonts w:eastAsia="宋体" w:hint="eastAsia"/>
          <w:kern w:val="2"/>
          <w:sz w:val="21"/>
          <w:lang w:eastAsia="zh-CN"/>
        </w:rPr>
      </w:pPr>
      <w:r>
        <w:rPr>
          <w:rFonts w:eastAsia="宋体" w:hint="eastAsia"/>
          <w:kern w:val="2"/>
          <w:sz w:val="21"/>
          <w:lang w:eastAsia="zh-CN"/>
        </w:rPr>
        <w:t>4.6 国家法律法规规定及【政府采购合同专用条款】约定应由甲方承担的其他义务和责</w:t>
      </w:r>
    </w:p>
    <w:p>
      <w:pPr>
        <w:widowControl w:val="0"/>
        <w:spacing w:line="360" w:lineRule="auto"/>
        <w:jc w:val="both"/>
        <w:rPr>
          <w:rFonts w:eastAsia="宋体" w:hint="eastAsia"/>
          <w:kern w:val="2"/>
          <w:sz w:val="21"/>
          <w:lang w:eastAsia="zh-CN"/>
        </w:rPr>
      </w:pPr>
      <w:r>
        <w:rPr>
          <w:rFonts w:eastAsia="宋体" w:hint="eastAsia"/>
          <w:kern w:val="2"/>
          <w:sz w:val="21"/>
          <w:lang w:eastAsia="zh-CN"/>
        </w:rPr>
        <w:t>任。</w:t>
      </w:r>
    </w:p>
    <w:p>
      <w:pPr>
        <w:widowControl w:val="0"/>
        <w:spacing w:line="360" w:lineRule="auto"/>
        <w:jc w:val="both"/>
        <w:rPr>
          <w:rFonts w:eastAsia="宋体" w:hint="eastAsia"/>
          <w:kern w:val="2"/>
          <w:sz w:val="21"/>
          <w:lang w:eastAsia="zh-CN"/>
        </w:rPr>
      </w:pPr>
      <w:r>
        <w:rPr>
          <w:rFonts w:eastAsia="宋体" w:hint="eastAsia"/>
          <w:kern w:val="2"/>
          <w:sz w:val="21"/>
          <w:lang w:eastAsia="zh-CN"/>
        </w:rPr>
        <w:t>5. 乙方的权利和义务</w:t>
      </w:r>
    </w:p>
    <w:p>
      <w:pPr>
        <w:widowControl w:val="0"/>
        <w:spacing w:line="360" w:lineRule="auto"/>
        <w:jc w:val="both"/>
        <w:rPr>
          <w:rFonts w:eastAsia="宋体" w:hint="eastAsia"/>
          <w:kern w:val="2"/>
          <w:sz w:val="21"/>
          <w:lang w:eastAsia="zh-CN"/>
        </w:rPr>
      </w:pPr>
      <w:r>
        <w:rPr>
          <w:rFonts w:eastAsia="宋体" w:hint="eastAsia"/>
          <w:kern w:val="2"/>
          <w:sz w:val="21"/>
          <w:lang w:eastAsia="zh-CN"/>
        </w:rPr>
        <w:t>5.1 签署合同后，乙方应确定项目负责人(或项目联系人),负责与本合同有关的事务。</w:t>
      </w:r>
    </w:p>
    <w:p>
      <w:pPr>
        <w:widowControl w:val="0"/>
        <w:spacing w:line="360" w:lineRule="auto"/>
        <w:jc w:val="both"/>
        <w:rPr>
          <w:rFonts w:eastAsia="宋体" w:hint="eastAsia"/>
          <w:kern w:val="2"/>
          <w:sz w:val="21"/>
          <w:lang w:eastAsia="zh-CN"/>
        </w:rPr>
      </w:pPr>
      <w:r>
        <w:rPr>
          <w:rFonts w:eastAsia="宋体" w:hint="eastAsia"/>
          <w:kern w:val="2"/>
          <w:sz w:val="21"/>
          <w:lang w:eastAsia="zh-CN"/>
        </w:rPr>
        <w:t>5.2 乙方应按照合同要求履约，充分合理安排，确保提供的货物及相关服务符合合同有 关要求。接受项目行业管理部门及政府有关部门的指导，配合甲方的履约检查及验收，并负</w:t>
      </w:r>
    </w:p>
    <w:p>
      <w:pPr>
        <w:widowControl w:val="0"/>
        <w:spacing w:line="360" w:lineRule="auto"/>
        <w:jc w:val="both"/>
        <w:rPr>
          <w:rFonts w:eastAsia="宋体" w:hint="eastAsia"/>
          <w:kern w:val="2"/>
          <w:sz w:val="21"/>
          <w:lang w:eastAsia="zh-CN"/>
        </w:rPr>
      </w:pPr>
      <w:r>
        <w:rPr>
          <w:rFonts w:eastAsia="宋体" w:hint="eastAsia"/>
          <w:kern w:val="2"/>
          <w:sz w:val="21"/>
          <w:lang w:eastAsia="zh-CN"/>
        </w:rPr>
        <w:t>责项目实施过程中的所有协调工作。</w:t>
      </w:r>
    </w:p>
    <w:p>
      <w:pPr>
        <w:widowControl w:val="0"/>
        <w:spacing w:line="360" w:lineRule="auto"/>
        <w:jc w:val="both"/>
        <w:rPr>
          <w:rFonts w:eastAsia="宋体" w:hint="eastAsia"/>
          <w:kern w:val="2"/>
          <w:sz w:val="21"/>
          <w:lang w:eastAsia="zh-CN"/>
        </w:rPr>
      </w:pPr>
      <w:r>
        <w:rPr>
          <w:rFonts w:eastAsia="宋体" w:hint="eastAsia"/>
          <w:kern w:val="2"/>
          <w:sz w:val="21"/>
          <w:lang w:eastAsia="zh-CN"/>
        </w:rPr>
        <w:t>5.3乙方有权根据合同约定向甲方收取合同价款。</w:t>
      </w:r>
    </w:p>
    <w:p>
      <w:pPr>
        <w:widowControl w:val="0"/>
        <w:spacing w:line="360" w:lineRule="auto"/>
        <w:jc w:val="both"/>
        <w:rPr>
          <w:rFonts w:eastAsia="宋体" w:hint="eastAsia"/>
          <w:kern w:val="2"/>
          <w:sz w:val="21"/>
          <w:lang w:eastAsia="zh-CN"/>
        </w:rPr>
      </w:pPr>
      <w:r>
        <w:rPr>
          <w:rFonts w:eastAsia="宋体" w:hint="eastAsia"/>
          <w:kern w:val="2"/>
          <w:sz w:val="21"/>
          <w:lang w:eastAsia="zh-CN"/>
        </w:rPr>
        <w:t>5.4国家法律法规规定及【政府采购合同专用条款】约定应由乙方承担的其他义务和责</w:t>
      </w:r>
    </w:p>
    <w:p>
      <w:pPr>
        <w:widowControl w:val="0"/>
        <w:spacing w:line="360" w:lineRule="auto"/>
        <w:jc w:val="both"/>
        <w:rPr>
          <w:rFonts w:eastAsia="宋体" w:hint="eastAsia"/>
          <w:kern w:val="2"/>
          <w:sz w:val="21"/>
          <w:lang w:eastAsia="zh-CN"/>
        </w:rPr>
      </w:pPr>
      <w:r>
        <w:rPr>
          <w:rFonts w:eastAsia="宋体" w:hint="eastAsia"/>
          <w:kern w:val="2"/>
          <w:sz w:val="21"/>
          <w:lang w:eastAsia="zh-CN"/>
        </w:rPr>
        <w:t>任。</w:t>
      </w:r>
    </w:p>
    <w:p>
      <w:pPr>
        <w:widowControl w:val="0"/>
        <w:spacing w:line="360" w:lineRule="auto"/>
        <w:jc w:val="both"/>
        <w:rPr>
          <w:rFonts w:eastAsia="宋体" w:hint="eastAsia"/>
          <w:kern w:val="2"/>
          <w:sz w:val="21"/>
          <w:lang w:eastAsia="zh-CN"/>
        </w:rPr>
      </w:pPr>
      <w:r>
        <w:rPr>
          <w:rFonts w:eastAsia="宋体" w:hint="eastAsia"/>
          <w:kern w:val="2"/>
          <w:sz w:val="21"/>
          <w:lang w:eastAsia="zh-CN"/>
        </w:rPr>
        <w:t>6. 合同履行</w:t>
      </w:r>
    </w:p>
    <w:p>
      <w:pPr>
        <w:widowControl w:val="0"/>
        <w:spacing w:line="360" w:lineRule="auto"/>
        <w:jc w:val="both"/>
        <w:rPr>
          <w:rFonts w:eastAsia="宋体" w:hint="eastAsia"/>
          <w:kern w:val="2"/>
          <w:sz w:val="21"/>
          <w:lang w:eastAsia="zh-CN"/>
        </w:rPr>
      </w:pPr>
      <w:r>
        <w:rPr>
          <w:rFonts w:eastAsia="宋体" w:hint="eastAsia"/>
          <w:kern w:val="2"/>
          <w:sz w:val="21"/>
          <w:lang w:eastAsia="zh-CN"/>
        </w:rPr>
        <w:t>6.1 甲乙双方应当按照【政府采购合同专用条款】约定顺序履行合同义务；如果没有先</w:t>
      </w:r>
    </w:p>
    <w:p>
      <w:pPr>
        <w:widowControl w:val="0"/>
        <w:spacing w:line="360" w:lineRule="auto"/>
        <w:jc w:val="both"/>
        <w:rPr>
          <w:rFonts w:eastAsia="宋体" w:hint="eastAsia"/>
          <w:kern w:val="2"/>
          <w:sz w:val="21"/>
          <w:lang w:eastAsia="zh-CN"/>
        </w:rPr>
      </w:pPr>
      <w:r>
        <w:rPr>
          <w:rFonts w:eastAsia="宋体" w:hint="eastAsia"/>
          <w:kern w:val="2"/>
          <w:sz w:val="21"/>
          <w:lang w:eastAsia="zh-CN"/>
        </w:rPr>
        <w:t>后顺序的，应当同时履行。</w:t>
      </w:r>
    </w:p>
    <w:p>
      <w:pPr>
        <w:widowControl w:val="0"/>
        <w:spacing w:line="360" w:lineRule="auto"/>
        <w:jc w:val="both"/>
        <w:rPr>
          <w:rFonts w:eastAsia="宋体" w:hint="eastAsia"/>
          <w:kern w:val="2"/>
          <w:sz w:val="21"/>
          <w:lang w:eastAsia="zh-CN"/>
        </w:rPr>
      </w:pPr>
      <w:r>
        <w:rPr>
          <w:rFonts w:eastAsia="宋体" w:hint="eastAsia"/>
          <w:kern w:val="2"/>
          <w:sz w:val="21"/>
          <w:lang w:eastAsia="zh-CN"/>
        </w:rPr>
        <w:t>6.2 甲乙双方按照合同约定顺序履行合同义务时，应当先履行一方未履行的，后履行一 方有权拒绝其履行请求。先履行一方履行不符合约定的，后履行一方有权拒绝其相应的履行</w:t>
      </w:r>
    </w:p>
    <w:p>
      <w:pPr>
        <w:widowControl w:val="0"/>
        <w:spacing w:line="360" w:lineRule="auto"/>
        <w:jc w:val="both"/>
        <w:rPr>
          <w:rFonts w:eastAsia="宋体" w:hint="eastAsia"/>
          <w:kern w:val="2"/>
          <w:sz w:val="21"/>
          <w:lang w:eastAsia="zh-CN"/>
        </w:rPr>
      </w:pPr>
      <w:r>
        <w:rPr>
          <w:rFonts w:eastAsia="宋体" w:hint="eastAsia"/>
          <w:kern w:val="2"/>
          <w:sz w:val="21"/>
          <w:lang w:eastAsia="zh-CN"/>
        </w:rPr>
        <w:t>请求。</w:t>
      </w:r>
    </w:p>
    <w:p>
      <w:pPr>
        <w:widowControl w:val="0"/>
        <w:spacing w:line="360" w:lineRule="auto"/>
        <w:jc w:val="both"/>
        <w:rPr>
          <w:rFonts w:eastAsia="宋体" w:hint="eastAsia"/>
          <w:kern w:val="2"/>
          <w:sz w:val="21"/>
          <w:lang w:eastAsia="zh-CN"/>
        </w:rPr>
      </w:pPr>
      <w:r>
        <w:rPr>
          <w:rFonts w:eastAsia="宋体" w:hint="eastAsia"/>
          <w:kern w:val="2"/>
          <w:sz w:val="21"/>
          <w:lang w:eastAsia="zh-CN"/>
        </w:rPr>
        <w:t>7. 货物包装、运输、保险和交付要求</w:t>
      </w:r>
    </w:p>
    <w:p>
      <w:pPr>
        <w:widowControl w:val="0"/>
        <w:spacing w:line="360" w:lineRule="auto"/>
        <w:jc w:val="both"/>
        <w:rPr>
          <w:rFonts w:eastAsia="宋体" w:hint="eastAsia"/>
          <w:kern w:val="2"/>
          <w:sz w:val="21"/>
          <w:lang w:eastAsia="zh-CN"/>
        </w:rPr>
      </w:pPr>
      <w:r>
        <w:rPr>
          <w:rFonts w:eastAsia="宋体" w:hint="eastAsia"/>
          <w:kern w:val="2"/>
          <w:sz w:val="21"/>
          <w:lang w:eastAsia="zh-CN"/>
        </w:rPr>
        <w:t>7.1 本合同涉及商品包装、快递包装的，除【政府采购合同专用条款】另有约定外，包 装应适应远距离运输、防潮、防震、防锈和防野蛮装卸等要求，确保货物安全无损地运抵【政府采购合同专用条款】约定的指定现场。</w:t>
      </w:r>
    </w:p>
    <w:p>
      <w:pPr>
        <w:widowControl w:val="0"/>
        <w:spacing w:line="360" w:lineRule="auto"/>
        <w:jc w:val="both"/>
        <w:rPr>
          <w:rFonts w:eastAsia="宋体" w:hint="eastAsia"/>
          <w:kern w:val="2"/>
          <w:sz w:val="21"/>
          <w:lang w:eastAsia="zh-CN"/>
        </w:rPr>
      </w:pPr>
      <w:r>
        <w:rPr>
          <w:rFonts w:eastAsia="宋体" w:hint="eastAsia"/>
          <w:kern w:val="2"/>
          <w:sz w:val="21"/>
          <w:lang w:eastAsia="zh-CN"/>
        </w:rPr>
        <w:t>7.2 除【政府采购合同专用条款】另有约定外，乙方负责办理将货物运抵本合同规定的交货地点，并装卸、交付至甲方的一切运输事项，相关费用应包含在合同价款中。</w:t>
      </w:r>
    </w:p>
    <w:p>
      <w:pPr>
        <w:widowControl w:val="0"/>
        <w:spacing w:line="360" w:lineRule="auto"/>
        <w:jc w:val="both"/>
        <w:rPr>
          <w:rFonts w:eastAsia="宋体" w:hint="eastAsia"/>
          <w:kern w:val="2"/>
          <w:sz w:val="21"/>
          <w:lang w:eastAsia="zh-CN"/>
        </w:rPr>
      </w:pPr>
      <w:r>
        <w:rPr>
          <w:rFonts w:eastAsia="宋体" w:hint="eastAsia"/>
          <w:kern w:val="2"/>
          <w:sz w:val="21"/>
          <w:lang w:eastAsia="zh-CN"/>
        </w:rPr>
        <w:t>7.3 货物保险要求按【政府采购合同专用条款】规定执行。</w:t>
      </w:r>
    </w:p>
    <w:p>
      <w:pPr>
        <w:widowControl w:val="0"/>
        <w:spacing w:line="360" w:lineRule="auto"/>
        <w:jc w:val="both"/>
        <w:rPr>
          <w:rFonts w:eastAsia="宋体" w:hint="eastAsia"/>
          <w:kern w:val="2"/>
          <w:sz w:val="21"/>
          <w:lang w:eastAsia="zh-CN"/>
        </w:rPr>
      </w:pPr>
      <w:r>
        <w:rPr>
          <w:rFonts w:eastAsia="宋体" w:hint="eastAsia"/>
          <w:kern w:val="2"/>
          <w:sz w:val="21"/>
          <w:lang w:eastAsia="zh-CN"/>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w:t>
      </w:r>
    </w:p>
    <w:p>
      <w:pPr>
        <w:widowControl w:val="0"/>
        <w:spacing w:line="360" w:lineRule="auto"/>
        <w:jc w:val="both"/>
        <w:rPr>
          <w:rFonts w:eastAsia="宋体" w:hint="eastAsia"/>
          <w:kern w:val="2"/>
          <w:sz w:val="21"/>
          <w:lang w:eastAsia="zh-CN"/>
        </w:rPr>
      </w:pPr>
      <w:r>
        <w:rPr>
          <w:rFonts w:eastAsia="宋体" w:hint="eastAsia"/>
          <w:kern w:val="2"/>
          <w:sz w:val="21"/>
          <w:lang w:eastAsia="zh-CN"/>
        </w:rPr>
        <w:t>收环节出具检测报告。</w:t>
      </w:r>
    </w:p>
    <w:p>
      <w:pPr>
        <w:widowControl w:val="0"/>
        <w:spacing w:line="360" w:lineRule="auto"/>
        <w:jc w:val="both"/>
        <w:rPr>
          <w:rFonts w:eastAsia="宋体" w:hint="eastAsia"/>
          <w:kern w:val="2"/>
          <w:sz w:val="21"/>
          <w:lang w:eastAsia="zh-CN"/>
        </w:rPr>
      </w:pPr>
      <w:r>
        <w:rPr>
          <w:rFonts w:eastAsia="宋体" w:hint="eastAsia"/>
          <w:kern w:val="2"/>
          <w:sz w:val="21"/>
          <w:lang w:eastAsia="zh-CN"/>
        </w:rPr>
        <w:t>7.5 乙方在运输到达之前应提前通知甲方，并提示货物运输装卸的注意事项，甲方配合</w:t>
      </w:r>
    </w:p>
    <w:p>
      <w:pPr>
        <w:widowControl w:val="0"/>
        <w:spacing w:line="360" w:lineRule="auto"/>
        <w:jc w:val="both"/>
        <w:rPr>
          <w:rFonts w:eastAsia="宋体" w:hint="eastAsia"/>
          <w:kern w:val="2"/>
          <w:sz w:val="21"/>
          <w:lang w:eastAsia="zh-CN"/>
        </w:rPr>
      </w:pPr>
      <w:r>
        <w:rPr>
          <w:rFonts w:eastAsia="宋体" w:hint="eastAsia"/>
          <w:kern w:val="2"/>
          <w:sz w:val="21"/>
          <w:lang w:eastAsia="zh-CN"/>
        </w:rPr>
        <w:t>乙方做好货物的接收工作。</w:t>
      </w:r>
    </w:p>
    <w:p>
      <w:pPr>
        <w:widowControl w:val="0"/>
        <w:spacing w:line="360" w:lineRule="auto"/>
        <w:jc w:val="both"/>
        <w:rPr>
          <w:rFonts w:eastAsia="宋体" w:hint="eastAsia"/>
          <w:kern w:val="2"/>
          <w:sz w:val="21"/>
          <w:lang w:eastAsia="zh-CN"/>
        </w:rPr>
      </w:pPr>
      <w:r>
        <w:rPr>
          <w:rFonts w:eastAsia="宋体" w:hint="eastAsia"/>
          <w:kern w:val="2"/>
          <w:sz w:val="21"/>
          <w:lang w:eastAsia="zh-CN"/>
        </w:rPr>
        <w:t>7.6 如因包装、运输问题导致货物损毁、丢失或者品质下降，甲方有权要求降价、换货、</w:t>
      </w:r>
    </w:p>
    <w:p>
      <w:pPr>
        <w:widowControl w:val="0"/>
        <w:spacing w:line="360" w:lineRule="auto"/>
        <w:jc w:val="both"/>
        <w:rPr>
          <w:rFonts w:eastAsia="宋体" w:hint="eastAsia"/>
          <w:kern w:val="2"/>
          <w:sz w:val="21"/>
          <w:lang w:eastAsia="zh-CN"/>
        </w:rPr>
      </w:pPr>
      <w:r>
        <w:rPr>
          <w:rFonts w:eastAsia="宋体" w:hint="eastAsia"/>
          <w:kern w:val="2"/>
          <w:sz w:val="21"/>
          <w:lang w:eastAsia="zh-CN"/>
        </w:rPr>
        <w:t>拒收部分或整批货物，由此产生的费用和损失，均由乙方承担。</w:t>
      </w:r>
    </w:p>
    <w:p>
      <w:pPr>
        <w:widowControl w:val="0"/>
        <w:spacing w:line="360" w:lineRule="auto"/>
        <w:jc w:val="both"/>
        <w:rPr>
          <w:rFonts w:eastAsia="宋体" w:hint="eastAsia"/>
          <w:kern w:val="2"/>
          <w:sz w:val="21"/>
          <w:lang w:eastAsia="zh-CN"/>
        </w:rPr>
      </w:pPr>
      <w:r>
        <w:rPr>
          <w:rFonts w:eastAsia="宋体" w:hint="eastAsia"/>
          <w:kern w:val="2"/>
          <w:sz w:val="21"/>
          <w:lang w:eastAsia="zh-CN"/>
        </w:rPr>
        <w:t>8. 质量标准和保证</w:t>
      </w:r>
    </w:p>
    <w:p>
      <w:pPr>
        <w:widowControl w:val="0"/>
        <w:spacing w:line="360" w:lineRule="auto"/>
        <w:jc w:val="both"/>
        <w:rPr>
          <w:rFonts w:eastAsia="宋体" w:hint="eastAsia"/>
          <w:kern w:val="2"/>
          <w:sz w:val="21"/>
          <w:lang w:eastAsia="zh-CN"/>
        </w:rPr>
      </w:pPr>
      <w:r>
        <w:rPr>
          <w:rFonts w:eastAsia="宋体" w:hint="eastAsia"/>
          <w:kern w:val="2"/>
          <w:sz w:val="21"/>
          <w:lang w:eastAsia="zh-CN"/>
        </w:rPr>
        <w:t>8.1 质量标准</w:t>
      </w:r>
    </w:p>
    <w:p>
      <w:pPr>
        <w:widowControl w:val="0"/>
        <w:spacing w:line="360" w:lineRule="auto"/>
        <w:jc w:val="both"/>
        <w:rPr>
          <w:rFonts w:eastAsia="宋体" w:hint="eastAsia"/>
          <w:kern w:val="2"/>
          <w:sz w:val="21"/>
          <w:lang w:eastAsia="zh-CN"/>
        </w:rPr>
      </w:pPr>
      <w:r>
        <w:rPr>
          <w:rFonts w:eastAsia="宋体" w:hint="eastAsia"/>
          <w:kern w:val="2"/>
          <w:sz w:val="21"/>
          <w:lang w:eastAsia="zh-CN"/>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w:t>
      </w:r>
    </w:p>
    <w:p>
      <w:pPr>
        <w:widowControl w:val="0"/>
        <w:spacing w:line="360" w:lineRule="auto"/>
        <w:jc w:val="both"/>
        <w:rPr>
          <w:rFonts w:eastAsia="宋体" w:hint="eastAsia"/>
          <w:kern w:val="2"/>
          <w:sz w:val="21"/>
          <w:lang w:eastAsia="zh-CN"/>
        </w:rPr>
      </w:pPr>
      <w:r>
        <w:rPr>
          <w:rFonts w:eastAsia="宋体" w:hint="eastAsia"/>
          <w:kern w:val="2"/>
          <w:sz w:val="21"/>
          <w:lang w:eastAsia="zh-CN"/>
        </w:rPr>
        <w:t>准的，按照通常标准或者符合合同目的的特定标准履行。</w:t>
      </w:r>
    </w:p>
    <w:p>
      <w:pPr>
        <w:widowControl w:val="0"/>
        <w:spacing w:line="360" w:lineRule="auto"/>
        <w:jc w:val="both"/>
        <w:rPr>
          <w:rFonts w:eastAsia="宋体" w:hint="eastAsia"/>
          <w:kern w:val="2"/>
          <w:sz w:val="21"/>
          <w:lang w:eastAsia="zh-CN"/>
        </w:rPr>
      </w:pPr>
      <w:r>
        <w:rPr>
          <w:rFonts w:eastAsia="宋体" w:hint="eastAsia"/>
          <w:kern w:val="2"/>
          <w:sz w:val="21"/>
          <w:lang w:eastAsia="zh-CN"/>
        </w:rPr>
        <w:t>(2)采用中华人民共和国法定计量单位。</w:t>
      </w:r>
    </w:p>
    <w:p>
      <w:pPr>
        <w:widowControl w:val="0"/>
        <w:spacing w:line="360" w:lineRule="auto"/>
        <w:jc w:val="both"/>
        <w:rPr>
          <w:rFonts w:eastAsia="宋体" w:hint="eastAsia"/>
          <w:kern w:val="2"/>
          <w:sz w:val="21"/>
          <w:lang w:eastAsia="zh-CN"/>
        </w:rPr>
      </w:pPr>
      <w:r>
        <w:rPr>
          <w:rFonts w:eastAsia="宋体" w:hint="eastAsia"/>
          <w:kern w:val="2"/>
          <w:sz w:val="21"/>
          <w:lang w:eastAsia="zh-CN"/>
        </w:rPr>
        <w:t>(3)乙方所提供的货物应符合国家有关安全、环保、卫生的规定。</w:t>
      </w:r>
    </w:p>
    <w:p>
      <w:pPr>
        <w:widowControl w:val="0"/>
        <w:spacing w:line="360" w:lineRule="auto"/>
        <w:jc w:val="both"/>
        <w:rPr>
          <w:rFonts w:eastAsia="宋体" w:hint="eastAsia"/>
          <w:kern w:val="2"/>
          <w:sz w:val="21"/>
          <w:lang w:eastAsia="zh-CN"/>
        </w:rPr>
      </w:pPr>
      <w:r>
        <w:rPr>
          <w:rFonts w:eastAsia="宋体" w:hint="eastAsia"/>
          <w:kern w:val="2"/>
          <w:sz w:val="21"/>
          <w:lang w:eastAsia="zh-CN"/>
        </w:rPr>
        <w:t>(4)乙方应向甲方提交所提供货物的技术文件，包括相应的中文技术文件，如：产品 目录、图纸、操作手册、使用说明、维护手册或服务指南等。上述文件应包装好随货物一同</w:t>
      </w:r>
    </w:p>
    <w:p>
      <w:pPr>
        <w:widowControl w:val="0"/>
        <w:spacing w:line="360" w:lineRule="auto"/>
        <w:jc w:val="both"/>
        <w:rPr>
          <w:rFonts w:eastAsia="宋体" w:hint="eastAsia"/>
          <w:kern w:val="2"/>
          <w:sz w:val="21"/>
          <w:lang w:eastAsia="zh-CN"/>
        </w:rPr>
      </w:pPr>
      <w:r>
        <w:rPr>
          <w:rFonts w:eastAsia="宋体" w:hint="eastAsia"/>
          <w:kern w:val="2"/>
          <w:sz w:val="21"/>
          <w:lang w:eastAsia="zh-CN"/>
        </w:rPr>
        <w:t>发运。</w:t>
      </w:r>
    </w:p>
    <w:p>
      <w:pPr>
        <w:widowControl w:val="0"/>
        <w:spacing w:line="360" w:lineRule="auto"/>
        <w:jc w:val="both"/>
        <w:rPr>
          <w:rFonts w:eastAsia="宋体" w:hint="eastAsia"/>
          <w:kern w:val="2"/>
          <w:sz w:val="21"/>
          <w:lang w:eastAsia="zh-CN"/>
        </w:rPr>
      </w:pPr>
      <w:r>
        <w:rPr>
          <w:rFonts w:eastAsia="宋体" w:hint="eastAsia"/>
          <w:kern w:val="2"/>
          <w:sz w:val="21"/>
          <w:lang w:eastAsia="zh-CN"/>
        </w:rPr>
        <w:t>8.2 保证</w:t>
      </w:r>
    </w:p>
    <w:p>
      <w:pPr>
        <w:widowControl w:val="0"/>
        <w:spacing w:line="360" w:lineRule="auto"/>
        <w:jc w:val="both"/>
        <w:rPr>
          <w:rFonts w:eastAsia="宋体" w:hint="eastAsia"/>
          <w:kern w:val="2"/>
          <w:sz w:val="21"/>
          <w:lang w:eastAsia="zh-CN"/>
        </w:rPr>
      </w:pPr>
      <w:r>
        <w:rPr>
          <w:rFonts w:eastAsia="宋体" w:hint="eastAsia"/>
          <w:kern w:val="2"/>
          <w:sz w:val="21"/>
          <w:lang w:eastAsia="zh-CN"/>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w:t>
      </w:r>
    </w:p>
    <w:p>
      <w:pPr>
        <w:widowControl w:val="0"/>
        <w:spacing w:line="360" w:lineRule="auto"/>
        <w:jc w:val="both"/>
        <w:rPr>
          <w:rFonts w:eastAsia="宋体" w:hint="eastAsia"/>
          <w:kern w:val="2"/>
          <w:sz w:val="21"/>
          <w:lang w:eastAsia="zh-CN"/>
        </w:rPr>
      </w:pPr>
      <w:r>
        <w:rPr>
          <w:rFonts w:eastAsia="宋体" w:hint="eastAsia"/>
          <w:kern w:val="2"/>
          <w:sz w:val="21"/>
          <w:lang w:eastAsia="zh-CN"/>
        </w:rPr>
        <w:t>者以较长的为准)的质量保证期内，本保证保持有效。</w:t>
      </w:r>
    </w:p>
    <w:p>
      <w:pPr>
        <w:widowControl w:val="0"/>
        <w:spacing w:line="360" w:lineRule="auto"/>
        <w:jc w:val="both"/>
        <w:rPr>
          <w:rFonts w:eastAsia="宋体" w:hint="eastAsia"/>
          <w:kern w:val="2"/>
          <w:sz w:val="21"/>
          <w:lang w:eastAsia="zh-CN"/>
        </w:rPr>
      </w:pPr>
      <w:r>
        <w:rPr>
          <w:rFonts w:eastAsia="宋体" w:hint="eastAsia"/>
          <w:kern w:val="2"/>
          <w:sz w:val="21"/>
          <w:lang w:eastAsia="zh-CN"/>
        </w:rPr>
        <w:t>(2)在质量保证期内所发现的缺陷，甲方应尽快以书面形式通知乙方。</w:t>
      </w:r>
    </w:p>
    <w:p>
      <w:pPr>
        <w:widowControl w:val="0"/>
        <w:spacing w:line="360" w:lineRule="auto"/>
        <w:jc w:val="both"/>
        <w:rPr>
          <w:rFonts w:eastAsia="宋体" w:hint="eastAsia"/>
          <w:kern w:val="2"/>
          <w:sz w:val="21"/>
          <w:lang w:eastAsia="zh-CN"/>
        </w:rPr>
      </w:pPr>
      <w:r>
        <w:rPr>
          <w:rFonts w:eastAsia="宋体" w:hint="eastAsia"/>
          <w:kern w:val="2"/>
          <w:sz w:val="21"/>
          <w:lang w:eastAsia="zh-CN"/>
        </w:rPr>
        <w:t>(3)乙方收到通知后，应在【政府采购合同专用条款】规定的响应时间内以合理的速</w:t>
      </w:r>
    </w:p>
    <w:p>
      <w:pPr>
        <w:widowControl w:val="0"/>
        <w:spacing w:line="360" w:lineRule="auto"/>
        <w:jc w:val="both"/>
        <w:rPr>
          <w:rFonts w:eastAsia="宋体" w:hint="eastAsia"/>
          <w:kern w:val="2"/>
          <w:sz w:val="21"/>
          <w:lang w:eastAsia="zh-CN"/>
        </w:rPr>
      </w:pPr>
      <w:r>
        <w:rPr>
          <w:rFonts w:eastAsia="宋体" w:hint="eastAsia"/>
          <w:kern w:val="2"/>
          <w:sz w:val="21"/>
          <w:lang w:eastAsia="zh-CN"/>
        </w:rPr>
        <w:t>度免费维修或更换有缺陷的货物或部件。</w:t>
      </w:r>
    </w:p>
    <w:p>
      <w:pPr>
        <w:widowControl w:val="0"/>
        <w:spacing w:line="360" w:lineRule="auto"/>
        <w:jc w:val="both"/>
        <w:rPr>
          <w:rFonts w:eastAsia="宋体" w:hint="eastAsia"/>
          <w:kern w:val="2"/>
          <w:sz w:val="21"/>
          <w:lang w:eastAsia="zh-CN"/>
        </w:rPr>
      </w:pPr>
      <w:r>
        <w:rPr>
          <w:rFonts w:eastAsia="宋体" w:hint="eastAsia"/>
          <w:kern w:val="2"/>
          <w:sz w:val="21"/>
          <w:lang w:eastAsia="zh-CN"/>
        </w:rPr>
        <w:t>(4)在质量保证期内，如果货物的质量或规格与合同不符，或证实货物是有缺陷的， 包括潜在的缺陷或使用不符合要求的材料等，甲方可以根据本合同第15.1条规定以书面形式</w:t>
      </w:r>
    </w:p>
    <w:p>
      <w:pPr>
        <w:widowControl w:val="0"/>
        <w:spacing w:line="360" w:lineRule="auto"/>
        <w:jc w:val="both"/>
        <w:rPr>
          <w:rFonts w:eastAsia="宋体" w:hint="eastAsia"/>
          <w:kern w:val="2"/>
          <w:sz w:val="21"/>
          <w:lang w:eastAsia="zh-CN"/>
        </w:rPr>
      </w:pPr>
      <w:r>
        <w:rPr>
          <w:rFonts w:eastAsia="宋体" w:hint="eastAsia"/>
          <w:kern w:val="2"/>
          <w:sz w:val="21"/>
          <w:lang w:eastAsia="zh-CN"/>
        </w:rPr>
        <w:t>追究乙方的违约责任。</w:t>
      </w:r>
    </w:p>
    <w:p>
      <w:pPr>
        <w:widowControl w:val="0"/>
        <w:spacing w:line="360" w:lineRule="auto"/>
        <w:jc w:val="both"/>
        <w:rPr>
          <w:rFonts w:eastAsia="宋体" w:hint="eastAsia"/>
          <w:kern w:val="2"/>
          <w:sz w:val="21"/>
          <w:lang w:eastAsia="zh-CN"/>
        </w:rPr>
      </w:pPr>
      <w:r>
        <w:rPr>
          <w:rFonts w:eastAsia="宋体" w:hint="eastAsia"/>
          <w:kern w:val="2"/>
          <w:sz w:val="21"/>
          <w:lang w:eastAsia="zh-CN"/>
        </w:rPr>
        <w:t>(5)乙方在约定的时间内未能弥补缺陷，甲方可采取必要的补救措施，但其风险和费</w:t>
      </w:r>
    </w:p>
    <w:p>
      <w:pPr>
        <w:widowControl w:val="0"/>
        <w:spacing w:line="360" w:lineRule="auto"/>
        <w:jc w:val="both"/>
        <w:rPr>
          <w:rFonts w:eastAsia="宋体" w:hint="eastAsia"/>
          <w:kern w:val="2"/>
          <w:sz w:val="21"/>
          <w:lang w:eastAsia="zh-CN"/>
        </w:rPr>
      </w:pPr>
      <w:r>
        <w:rPr>
          <w:rFonts w:eastAsia="宋体" w:hint="eastAsia"/>
          <w:kern w:val="2"/>
          <w:sz w:val="21"/>
          <w:lang w:eastAsia="zh-CN"/>
        </w:rPr>
        <w:t>用将由乙方承担，甲方根据合同约定对乙方行使的其他权利不受影响。</w:t>
      </w:r>
    </w:p>
    <w:p>
      <w:pPr>
        <w:widowControl w:val="0"/>
        <w:spacing w:line="360" w:lineRule="auto"/>
        <w:jc w:val="both"/>
        <w:rPr>
          <w:rFonts w:eastAsia="宋体" w:hint="eastAsia"/>
          <w:kern w:val="2"/>
          <w:sz w:val="21"/>
          <w:lang w:eastAsia="zh-CN"/>
        </w:rPr>
      </w:pPr>
      <w:r>
        <w:rPr>
          <w:rFonts w:eastAsia="宋体" w:hint="eastAsia"/>
          <w:kern w:val="2"/>
          <w:sz w:val="21"/>
          <w:lang w:eastAsia="zh-CN"/>
        </w:rPr>
        <w:t>9. 权利瑕疵担保</w:t>
      </w:r>
    </w:p>
    <w:p>
      <w:pPr>
        <w:widowControl w:val="0"/>
        <w:spacing w:line="360" w:lineRule="auto"/>
        <w:jc w:val="both"/>
        <w:rPr>
          <w:rFonts w:eastAsia="宋体" w:hint="eastAsia"/>
          <w:kern w:val="2"/>
          <w:sz w:val="21"/>
          <w:lang w:eastAsia="zh-CN"/>
        </w:rPr>
      </w:pPr>
      <w:r>
        <w:rPr>
          <w:rFonts w:eastAsia="宋体" w:hint="eastAsia"/>
          <w:kern w:val="2"/>
          <w:sz w:val="21"/>
          <w:lang w:eastAsia="zh-CN"/>
        </w:rPr>
        <w:t>9.1 乙方保证对其出售的货物享有合法的权利。</w:t>
      </w:r>
    </w:p>
    <w:p>
      <w:pPr>
        <w:widowControl w:val="0"/>
        <w:spacing w:line="360" w:lineRule="auto"/>
        <w:jc w:val="both"/>
        <w:rPr>
          <w:rFonts w:eastAsia="宋体" w:hint="eastAsia"/>
          <w:kern w:val="2"/>
          <w:sz w:val="21"/>
          <w:lang w:eastAsia="zh-CN"/>
        </w:rPr>
      </w:pPr>
      <w:r>
        <w:rPr>
          <w:rFonts w:eastAsia="宋体" w:hint="eastAsia"/>
          <w:kern w:val="2"/>
          <w:sz w:val="21"/>
          <w:lang w:eastAsia="zh-CN"/>
        </w:rPr>
        <w:t>9.2 乙方保证在交付的货物上不存在抵押权等担保物权。</w:t>
      </w:r>
    </w:p>
    <w:p>
      <w:pPr>
        <w:widowControl w:val="0"/>
        <w:spacing w:line="360" w:lineRule="auto"/>
        <w:jc w:val="both"/>
        <w:rPr>
          <w:rFonts w:eastAsia="宋体" w:hint="eastAsia"/>
          <w:kern w:val="2"/>
          <w:sz w:val="21"/>
          <w:lang w:eastAsia="zh-CN"/>
        </w:rPr>
      </w:pPr>
      <w:r>
        <w:rPr>
          <w:rFonts w:eastAsia="宋体" w:hint="eastAsia"/>
          <w:kern w:val="2"/>
          <w:sz w:val="21"/>
          <w:lang w:eastAsia="zh-CN"/>
        </w:rPr>
        <w:t>9.3 如甲方使用上述货物构成对第三人侵权的，则由乙方承担全部责任。</w:t>
      </w:r>
    </w:p>
    <w:p>
      <w:pPr>
        <w:widowControl w:val="0"/>
        <w:spacing w:line="360" w:lineRule="auto"/>
        <w:jc w:val="both"/>
        <w:rPr>
          <w:rFonts w:eastAsia="宋体" w:hint="eastAsia"/>
          <w:kern w:val="2"/>
          <w:sz w:val="21"/>
          <w:lang w:eastAsia="zh-CN"/>
        </w:rPr>
      </w:pPr>
      <w:r>
        <w:rPr>
          <w:rFonts w:eastAsia="宋体" w:hint="eastAsia"/>
          <w:kern w:val="2"/>
          <w:sz w:val="21"/>
          <w:lang w:eastAsia="zh-CN"/>
        </w:rPr>
        <w:t>10. 知识产权保护</w:t>
      </w:r>
    </w:p>
    <w:p>
      <w:pPr>
        <w:widowControl w:val="0"/>
        <w:spacing w:line="360" w:lineRule="auto"/>
        <w:jc w:val="both"/>
        <w:rPr>
          <w:rFonts w:eastAsia="宋体" w:hint="eastAsia"/>
          <w:kern w:val="2"/>
          <w:sz w:val="21"/>
          <w:lang w:eastAsia="zh-CN"/>
        </w:rPr>
      </w:pPr>
      <w:r>
        <w:rPr>
          <w:rFonts w:eastAsia="宋体" w:hint="eastAsia"/>
          <w:kern w:val="2"/>
          <w:sz w:val="21"/>
          <w:lang w:eastAsia="zh-CN"/>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w:t>
      </w:r>
    </w:p>
    <w:p>
      <w:pPr>
        <w:widowControl w:val="0"/>
        <w:spacing w:line="360" w:lineRule="auto"/>
        <w:jc w:val="both"/>
        <w:rPr>
          <w:rFonts w:eastAsia="宋体" w:hint="eastAsia"/>
          <w:kern w:val="2"/>
          <w:sz w:val="21"/>
          <w:lang w:eastAsia="zh-CN"/>
        </w:rPr>
      </w:pPr>
      <w:r>
        <w:rPr>
          <w:rFonts w:eastAsia="宋体" w:hint="eastAsia"/>
          <w:kern w:val="2"/>
          <w:sz w:val="21"/>
          <w:lang w:eastAsia="zh-CN"/>
        </w:rPr>
        <w:t>偿。</w:t>
      </w:r>
    </w:p>
    <w:p>
      <w:pPr>
        <w:widowControl w:val="0"/>
        <w:spacing w:line="360" w:lineRule="auto"/>
        <w:jc w:val="both"/>
        <w:rPr>
          <w:rFonts w:eastAsia="宋体" w:hint="eastAsia"/>
          <w:kern w:val="2"/>
          <w:sz w:val="21"/>
          <w:lang w:eastAsia="zh-CN"/>
        </w:rPr>
      </w:pPr>
      <w:r>
        <w:rPr>
          <w:rFonts w:eastAsia="宋体" w:hint="eastAsia"/>
          <w:kern w:val="2"/>
          <w:sz w:val="21"/>
          <w:lang w:eastAsia="zh-CN"/>
        </w:rPr>
        <w:t>11. 保密义务</w:t>
      </w:r>
    </w:p>
    <w:p>
      <w:pPr>
        <w:widowControl w:val="0"/>
        <w:spacing w:line="360" w:lineRule="auto"/>
        <w:jc w:val="both"/>
        <w:rPr>
          <w:rFonts w:eastAsia="宋体" w:hint="eastAsia"/>
          <w:kern w:val="2"/>
          <w:sz w:val="21"/>
          <w:lang w:eastAsia="zh-CN"/>
        </w:rPr>
      </w:pPr>
      <w:r>
        <w:rPr>
          <w:rFonts w:eastAsia="宋体" w:hint="eastAsia"/>
          <w:kern w:val="2"/>
          <w:sz w:val="21"/>
          <w:lang w:eastAsia="zh-CN"/>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w:t>
      </w:r>
    </w:p>
    <w:p>
      <w:pPr>
        <w:widowControl w:val="0"/>
        <w:spacing w:line="360" w:lineRule="auto"/>
        <w:jc w:val="both"/>
        <w:rPr>
          <w:rFonts w:eastAsia="宋体" w:hint="eastAsia"/>
          <w:kern w:val="2"/>
          <w:sz w:val="21"/>
          <w:lang w:eastAsia="zh-CN"/>
        </w:rPr>
      </w:pPr>
      <w:r>
        <w:rPr>
          <w:rFonts w:eastAsia="宋体" w:hint="eastAsia"/>
          <w:kern w:val="2"/>
          <w:sz w:val="21"/>
          <w:lang w:eastAsia="zh-CN"/>
        </w:rPr>
        <w:t>应责任。其他应当保密的信息由双方在【政府采购合同专用条款】中约定。</w:t>
      </w:r>
    </w:p>
    <w:p>
      <w:pPr>
        <w:widowControl w:val="0"/>
        <w:spacing w:line="360" w:lineRule="auto"/>
        <w:jc w:val="both"/>
        <w:rPr>
          <w:rFonts w:eastAsia="宋体" w:hint="eastAsia"/>
          <w:kern w:val="2"/>
          <w:sz w:val="21"/>
          <w:lang w:eastAsia="zh-CN"/>
        </w:rPr>
      </w:pPr>
      <w:r>
        <w:rPr>
          <w:rFonts w:eastAsia="宋体" w:hint="eastAsia"/>
          <w:kern w:val="2"/>
          <w:sz w:val="21"/>
          <w:lang w:eastAsia="zh-CN"/>
        </w:rPr>
        <w:t>12. 合同价款支付</w:t>
      </w:r>
    </w:p>
    <w:p>
      <w:pPr>
        <w:widowControl w:val="0"/>
        <w:spacing w:line="360" w:lineRule="auto"/>
        <w:jc w:val="both"/>
        <w:rPr>
          <w:rFonts w:eastAsia="宋体" w:hint="eastAsia"/>
          <w:kern w:val="2"/>
          <w:sz w:val="21"/>
          <w:lang w:eastAsia="zh-CN"/>
        </w:rPr>
      </w:pPr>
      <w:r>
        <w:rPr>
          <w:rFonts w:eastAsia="宋体" w:hint="eastAsia"/>
          <w:kern w:val="2"/>
          <w:sz w:val="21"/>
          <w:lang w:eastAsia="zh-CN"/>
        </w:rPr>
        <w:t>12.1 合同价款支付按照国库集中支付制度及财政管理相关规定执行。</w:t>
      </w:r>
    </w:p>
    <w:p>
      <w:pPr>
        <w:widowControl w:val="0"/>
        <w:spacing w:line="360" w:lineRule="auto"/>
        <w:jc w:val="both"/>
        <w:rPr>
          <w:rFonts w:eastAsia="宋体" w:hint="eastAsia"/>
          <w:kern w:val="2"/>
          <w:sz w:val="21"/>
          <w:lang w:eastAsia="zh-CN"/>
        </w:rPr>
      </w:pPr>
      <w:r>
        <w:rPr>
          <w:rFonts w:eastAsia="宋体" w:hint="eastAsia"/>
          <w:kern w:val="2"/>
          <w:sz w:val="21"/>
          <w:lang w:eastAsia="zh-CN"/>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w:t>
      </w:r>
    </w:p>
    <w:p>
      <w:pPr>
        <w:widowControl w:val="0"/>
        <w:spacing w:line="360" w:lineRule="auto"/>
        <w:jc w:val="both"/>
        <w:rPr>
          <w:rFonts w:eastAsia="宋体" w:hint="eastAsia"/>
          <w:kern w:val="2"/>
          <w:sz w:val="21"/>
          <w:lang w:eastAsia="zh-CN"/>
        </w:rPr>
      </w:pPr>
      <w:r>
        <w:rPr>
          <w:rFonts w:eastAsia="宋体" w:hint="eastAsia"/>
          <w:kern w:val="2"/>
          <w:sz w:val="21"/>
          <w:lang w:eastAsia="zh-CN"/>
        </w:rPr>
        <w:t>府采购合同专用条款】中约定。</w:t>
      </w:r>
    </w:p>
    <w:p>
      <w:pPr>
        <w:widowControl w:val="0"/>
        <w:spacing w:line="360" w:lineRule="auto"/>
        <w:jc w:val="both"/>
        <w:rPr>
          <w:rFonts w:eastAsia="宋体" w:hint="eastAsia"/>
          <w:kern w:val="2"/>
          <w:sz w:val="21"/>
          <w:lang w:eastAsia="zh-CN"/>
        </w:rPr>
      </w:pPr>
      <w:r>
        <w:rPr>
          <w:rFonts w:eastAsia="宋体" w:hint="eastAsia"/>
          <w:kern w:val="2"/>
          <w:sz w:val="21"/>
          <w:lang w:eastAsia="zh-CN"/>
        </w:rPr>
        <w:t>13. 履约保证金</w:t>
      </w:r>
    </w:p>
    <w:p>
      <w:pPr>
        <w:widowControl w:val="0"/>
        <w:spacing w:line="360" w:lineRule="auto"/>
        <w:jc w:val="both"/>
        <w:rPr>
          <w:rFonts w:eastAsia="宋体" w:hint="eastAsia"/>
          <w:kern w:val="2"/>
          <w:sz w:val="21"/>
          <w:lang w:eastAsia="zh-CN"/>
        </w:rPr>
      </w:pPr>
      <w:r>
        <w:rPr>
          <w:rFonts w:eastAsia="宋体" w:hint="eastAsia"/>
          <w:kern w:val="2"/>
          <w:sz w:val="21"/>
          <w:lang w:eastAsia="zh-CN"/>
        </w:rPr>
        <w:t>13.1 乙方应当以支票、汇票、本票或者金融机构、担保机构出具的保函等非现金形式</w:t>
      </w:r>
    </w:p>
    <w:p>
      <w:pPr>
        <w:widowControl w:val="0"/>
        <w:spacing w:line="360" w:lineRule="auto"/>
        <w:jc w:val="both"/>
        <w:rPr>
          <w:rFonts w:eastAsia="宋体" w:hint="eastAsia"/>
          <w:kern w:val="2"/>
          <w:sz w:val="21"/>
          <w:lang w:eastAsia="zh-CN"/>
        </w:rPr>
      </w:pPr>
      <w:r>
        <w:rPr>
          <w:rFonts w:eastAsia="宋体" w:hint="eastAsia"/>
          <w:kern w:val="2"/>
          <w:sz w:val="21"/>
          <w:lang w:eastAsia="zh-CN"/>
        </w:rPr>
        <w:t>提交。</w:t>
      </w:r>
    </w:p>
    <w:p>
      <w:pPr>
        <w:widowControl w:val="0"/>
        <w:spacing w:line="360" w:lineRule="auto"/>
        <w:jc w:val="both"/>
        <w:rPr>
          <w:rFonts w:eastAsia="宋体" w:hint="eastAsia"/>
          <w:kern w:val="2"/>
          <w:sz w:val="21"/>
          <w:lang w:eastAsia="zh-CN"/>
        </w:rPr>
      </w:pPr>
      <w:r>
        <w:rPr>
          <w:rFonts w:eastAsia="宋体" w:hint="eastAsia"/>
          <w:kern w:val="2"/>
          <w:sz w:val="21"/>
          <w:lang w:eastAsia="zh-CN"/>
        </w:rPr>
        <w:t>13.2 如果乙方出现【政府采购合同专用条款】约定情形的，履约保证金不予退还；如 果乙方未能按合同约定全面履行义务，甲方有权从履约保证金中取得补偿或赔偿，且不影响</w:t>
      </w:r>
    </w:p>
    <w:p>
      <w:pPr>
        <w:widowControl w:val="0"/>
        <w:spacing w:line="360" w:lineRule="auto"/>
        <w:jc w:val="both"/>
        <w:rPr>
          <w:rFonts w:eastAsia="宋体" w:hint="eastAsia"/>
          <w:kern w:val="2"/>
          <w:sz w:val="21"/>
          <w:lang w:eastAsia="zh-CN"/>
        </w:rPr>
      </w:pPr>
      <w:r>
        <w:rPr>
          <w:rFonts w:eastAsia="宋体" w:hint="eastAsia"/>
          <w:kern w:val="2"/>
          <w:sz w:val="21"/>
          <w:lang w:eastAsia="zh-CN"/>
        </w:rPr>
        <w:t>甲方要求乙方承担合同约定的超过履约保证金的违约责任的权利。</w:t>
      </w:r>
    </w:p>
    <w:p>
      <w:pPr>
        <w:widowControl w:val="0"/>
        <w:spacing w:line="360" w:lineRule="auto"/>
        <w:jc w:val="both"/>
        <w:rPr>
          <w:rFonts w:eastAsia="宋体" w:hint="eastAsia"/>
          <w:kern w:val="2"/>
          <w:sz w:val="21"/>
          <w:lang w:eastAsia="zh-CN"/>
        </w:rPr>
      </w:pPr>
      <w:r>
        <w:rPr>
          <w:rFonts w:eastAsia="宋体" w:hint="eastAsia"/>
          <w:kern w:val="2"/>
          <w:sz w:val="21"/>
          <w:lang w:eastAsia="zh-CN"/>
        </w:rPr>
        <w:t>13.3 甲方在项目通过验收后按照【政府采购合同专用条款】规定的时间内将履约保证 金退还乙方；逾期退还的，乙方可要求甲方支付违约金，违约金按照【政府采购合同专用条</w:t>
      </w:r>
    </w:p>
    <w:p>
      <w:pPr>
        <w:widowControl w:val="0"/>
        <w:spacing w:line="360" w:lineRule="auto"/>
        <w:jc w:val="both"/>
        <w:rPr>
          <w:rFonts w:eastAsia="宋体" w:hint="eastAsia"/>
          <w:kern w:val="2"/>
          <w:sz w:val="21"/>
          <w:lang w:eastAsia="zh-CN"/>
        </w:rPr>
      </w:pPr>
      <w:r>
        <w:rPr>
          <w:rFonts w:eastAsia="宋体" w:hint="eastAsia"/>
          <w:kern w:val="2"/>
          <w:sz w:val="21"/>
          <w:lang w:eastAsia="zh-CN"/>
        </w:rPr>
        <w:t>款】规定支付。</w:t>
      </w:r>
    </w:p>
    <w:p>
      <w:pPr>
        <w:widowControl w:val="0"/>
        <w:spacing w:line="360" w:lineRule="auto"/>
        <w:jc w:val="both"/>
        <w:rPr>
          <w:rFonts w:eastAsia="宋体" w:hint="eastAsia"/>
          <w:kern w:val="2"/>
          <w:sz w:val="21"/>
          <w:lang w:eastAsia="zh-CN"/>
        </w:rPr>
      </w:pPr>
      <w:r>
        <w:rPr>
          <w:rFonts w:eastAsia="宋体" w:hint="eastAsia"/>
          <w:kern w:val="2"/>
          <w:sz w:val="21"/>
          <w:lang w:eastAsia="zh-CN"/>
        </w:rPr>
        <w:t>14. 售后服务</w:t>
      </w:r>
    </w:p>
    <w:p>
      <w:pPr>
        <w:widowControl w:val="0"/>
        <w:spacing w:line="360" w:lineRule="auto"/>
        <w:jc w:val="both"/>
        <w:rPr>
          <w:rFonts w:eastAsia="宋体" w:hint="eastAsia"/>
          <w:kern w:val="2"/>
          <w:sz w:val="21"/>
          <w:lang w:eastAsia="zh-CN"/>
        </w:rPr>
      </w:pPr>
      <w:r>
        <w:rPr>
          <w:rFonts w:eastAsia="宋体" w:hint="eastAsia"/>
          <w:kern w:val="2"/>
          <w:sz w:val="21"/>
          <w:lang w:eastAsia="zh-CN"/>
        </w:rPr>
        <w:t>14.1 除项目不涉及或采购活动中明确约定无须承担外，乙方还应提供下列服务：</w:t>
      </w:r>
    </w:p>
    <w:p>
      <w:pPr>
        <w:widowControl w:val="0"/>
        <w:spacing w:line="360" w:lineRule="auto"/>
        <w:jc w:val="both"/>
        <w:rPr>
          <w:rFonts w:eastAsia="宋体" w:hint="eastAsia"/>
          <w:kern w:val="2"/>
          <w:sz w:val="21"/>
          <w:lang w:eastAsia="zh-CN"/>
        </w:rPr>
      </w:pPr>
      <w:r>
        <w:rPr>
          <w:rFonts w:eastAsia="宋体" w:hint="eastAsia"/>
          <w:kern w:val="2"/>
          <w:sz w:val="21"/>
          <w:lang w:eastAsia="zh-CN"/>
        </w:rPr>
        <w:t>(1)货物的现场移动、安装、调试、启动监督及技术支持；</w:t>
      </w:r>
    </w:p>
    <w:p>
      <w:pPr>
        <w:widowControl w:val="0"/>
        <w:spacing w:line="360" w:lineRule="auto"/>
        <w:jc w:val="both"/>
        <w:rPr>
          <w:rFonts w:eastAsia="宋体" w:hint="eastAsia"/>
          <w:kern w:val="2"/>
          <w:sz w:val="21"/>
          <w:lang w:eastAsia="zh-CN"/>
        </w:rPr>
      </w:pPr>
      <w:r>
        <w:rPr>
          <w:rFonts w:eastAsia="宋体" w:hint="eastAsia"/>
          <w:kern w:val="2"/>
          <w:sz w:val="21"/>
          <w:lang w:eastAsia="zh-CN"/>
        </w:rPr>
        <w:t>(2)提供货物组装和维修所需的专用工具和辅助材料；</w:t>
      </w:r>
    </w:p>
    <w:p>
      <w:pPr>
        <w:widowControl w:val="0"/>
        <w:spacing w:line="360" w:lineRule="auto"/>
        <w:jc w:val="both"/>
        <w:rPr>
          <w:rFonts w:eastAsia="宋体" w:hint="eastAsia"/>
          <w:kern w:val="2"/>
          <w:sz w:val="21"/>
          <w:lang w:eastAsia="zh-CN"/>
        </w:rPr>
      </w:pPr>
      <w:r>
        <w:rPr>
          <w:rFonts w:eastAsia="宋体" w:hint="eastAsia"/>
          <w:kern w:val="2"/>
          <w:sz w:val="21"/>
          <w:lang w:eastAsia="zh-CN"/>
        </w:rPr>
        <w:t>(3)在【政府采购合同专用条款】约定的期限内对所有的货物实施运行监督、维修，但前提条件是该服务并不能免除乙方在质量保证期内所承担的义务；</w:t>
      </w:r>
    </w:p>
    <w:p>
      <w:pPr>
        <w:widowControl w:val="0"/>
        <w:spacing w:line="360" w:lineRule="auto"/>
        <w:jc w:val="both"/>
        <w:rPr>
          <w:rFonts w:eastAsia="宋体" w:hint="eastAsia"/>
          <w:kern w:val="2"/>
          <w:sz w:val="21"/>
          <w:lang w:eastAsia="zh-CN"/>
        </w:rPr>
      </w:pPr>
      <w:r>
        <w:rPr>
          <w:rFonts w:eastAsia="宋体" w:hint="eastAsia"/>
          <w:kern w:val="2"/>
          <w:sz w:val="21"/>
          <w:lang w:eastAsia="zh-CN"/>
        </w:rPr>
        <w:t>(4)在制造商所在地或指定现场就货物的安装、启动、运营、维护、废弃处置等对甲</w:t>
      </w:r>
    </w:p>
    <w:p>
      <w:pPr>
        <w:widowControl w:val="0"/>
        <w:spacing w:line="360" w:lineRule="auto"/>
        <w:jc w:val="both"/>
        <w:rPr>
          <w:rFonts w:eastAsia="宋体" w:hint="eastAsia"/>
          <w:kern w:val="2"/>
          <w:sz w:val="21"/>
          <w:lang w:eastAsia="zh-CN"/>
        </w:rPr>
      </w:pPr>
      <w:r>
        <w:rPr>
          <w:rFonts w:eastAsia="宋体" w:hint="eastAsia"/>
          <w:kern w:val="2"/>
          <w:sz w:val="21"/>
          <w:lang w:eastAsia="zh-CN"/>
        </w:rPr>
        <w:t>方操作人员进行培训；</w:t>
      </w:r>
    </w:p>
    <w:p>
      <w:pPr>
        <w:widowControl w:val="0"/>
        <w:spacing w:line="360" w:lineRule="auto"/>
        <w:jc w:val="both"/>
        <w:rPr>
          <w:rFonts w:eastAsia="宋体" w:hint="eastAsia"/>
          <w:kern w:val="2"/>
          <w:sz w:val="21"/>
          <w:lang w:eastAsia="zh-CN"/>
        </w:rPr>
      </w:pPr>
      <w:r>
        <w:rPr>
          <w:rFonts w:eastAsia="宋体" w:hint="eastAsia"/>
          <w:kern w:val="2"/>
          <w:sz w:val="21"/>
          <w:lang w:eastAsia="zh-CN"/>
        </w:rPr>
        <w:t>(5)依照法律、行政法规的规定或者按照【政府采购合同专用条款】约定，货物在有</w:t>
      </w:r>
    </w:p>
    <w:p>
      <w:pPr>
        <w:widowControl w:val="0"/>
        <w:spacing w:line="360" w:lineRule="auto"/>
        <w:jc w:val="both"/>
        <w:rPr>
          <w:rFonts w:eastAsia="宋体" w:hint="eastAsia"/>
          <w:kern w:val="2"/>
          <w:sz w:val="21"/>
          <w:lang w:eastAsia="zh-CN"/>
        </w:rPr>
      </w:pPr>
      <w:r>
        <w:rPr>
          <w:rFonts w:eastAsia="宋体" w:hint="eastAsia"/>
          <w:kern w:val="2"/>
          <w:sz w:val="21"/>
          <w:lang w:eastAsia="zh-CN"/>
        </w:rPr>
        <w:t>效使用年限届满后应予回收的，乙方负有自行或者委托第三人对货物予以回收的义务；</w:t>
      </w:r>
    </w:p>
    <w:p>
      <w:pPr>
        <w:widowControl w:val="0"/>
        <w:spacing w:line="360" w:lineRule="auto"/>
        <w:jc w:val="both"/>
        <w:rPr>
          <w:rFonts w:eastAsia="宋体" w:hint="eastAsia"/>
          <w:kern w:val="2"/>
          <w:sz w:val="21"/>
          <w:lang w:eastAsia="zh-CN"/>
        </w:rPr>
      </w:pPr>
      <w:r>
        <w:rPr>
          <w:rFonts w:eastAsia="宋体" w:hint="eastAsia"/>
          <w:kern w:val="2"/>
          <w:sz w:val="21"/>
          <w:lang w:eastAsia="zh-CN"/>
        </w:rPr>
        <w:t>(6)  【政府采购合同专用条款】规定由乙方提供的其他服务。</w:t>
      </w:r>
    </w:p>
    <w:p>
      <w:pPr>
        <w:widowControl w:val="0"/>
        <w:spacing w:line="360" w:lineRule="auto"/>
        <w:jc w:val="both"/>
        <w:rPr>
          <w:rFonts w:eastAsia="宋体" w:hint="eastAsia"/>
          <w:kern w:val="2"/>
          <w:sz w:val="21"/>
          <w:lang w:eastAsia="zh-CN"/>
        </w:rPr>
      </w:pPr>
      <w:r>
        <w:rPr>
          <w:rFonts w:eastAsia="宋体" w:hint="eastAsia"/>
          <w:kern w:val="2"/>
          <w:sz w:val="21"/>
          <w:lang w:eastAsia="zh-CN"/>
        </w:rPr>
        <w:t>14.2 乙方提供的售后服务的费用已包含在合同价款中，甲方不再另行支付。</w:t>
      </w:r>
    </w:p>
    <w:p>
      <w:pPr>
        <w:widowControl w:val="0"/>
        <w:spacing w:line="360" w:lineRule="auto"/>
        <w:jc w:val="both"/>
        <w:rPr>
          <w:rFonts w:eastAsia="宋体" w:hint="eastAsia"/>
          <w:kern w:val="2"/>
          <w:sz w:val="21"/>
          <w:lang w:eastAsia="zh-CN"/>
        </w:rPr>
      </w:pPr>
      <w:r>
        <w:rPr>
          <w:rFonts w:eastAsia="宋体" w:hint="eastAsia"/>
          <w:kern w:val="2"/>
          <w:sz w:val="21"/>
          <w:lang w:eastAsia="zh-CN"/>
        </w:rPr>
        <w:t>15. 违约责任</w:t>
      </w:r>
    </w:p>
    <w:p>
      <w:pPr>
        <w:widowControl w:val="0"/>
        <w:spacing w:line="360" w:lineRule="auto"/>
        <w:jc w:val="both"/>
        <w:rPr>
          <w:rFonts w:eastAsia="宋体" w:hint="eastAsia"/>
          <w:kern w:val="2"/>
          <w:sz w:val="21"/>
          <w:lang w:eastAsia="zh-CN"/>
        </w:rPr>
      </w:pPr>
      <w:r>
        <w:rPr>
          <w:rFonts w:eastAsia="宋体" w:hint="eastAsia"/>
          <w:kern w:val="2"/>
          <w:sz w:val="21"/>
          <w:lang w:eastAsia="zh-CN"/>
        </w:rPr>
        <w:t>15.1质量瑕疵的违约责任</w:t>
      </w:r>
    </w:p>
    <w:p>
      <w:pPr>
        <w:widowControl w:val="0"/>
        <w:spacing w:line="360" w:lineRule="auto"/>
        <w:jc w:val="both"/>
        <w:rPr>
          <w:rFonts w:eastAsia="宋体" w:hint="eastAsia"/>
          <w:kern w:val="2"/>
          <w:sz w:val="21"/>
          <w:lang w:eastAsia="zh-CN"/>
        </w:rPr>
      </w:pPr>
      <w:r>
        <w:rPr>
          <w:rFonts w:eastAsia="宋体" w:hint="eastAsia"/>
          <w:kern w:val="2"/>
          <w:sz w:val="21"/>
          <w:lang w:eastAsia="zh-CN"/>
        </w:rPr>
        <w:t>乙方提供的产品不符合合同约定的质量标准或存在产品质量缺陷，甲方有权要求乙方根据【政府采购合同专用条款】要求及时修理、重作、更换，并承担由此给甲方造成的损失。</w:t>
      </w:r>
    </w:p>
    <w:p>
      <w:pPr>
        <w:widowControl w:val="0"/>
        <w:spacing w:line="360" w:lineRule="auto"/>
        <w:jc w:val="both"/>
        <w:rPr>
          <w:rFonts w:eastAsia="宋体" w:hint="eastAsia"/>
          <w:kern w:val="2"/>
          <w:sz w:val="21"/>
          <w:lang w:eastAsia="zh-CN"/>
        </w:rPr>
      </w:pPr>
      <w:r>
        <w:rPr>
          <w:rFonts w:eastAsia="宋体" w:hint="eastAsia"/>
          <w:kern w:val="2"/>
          <w:sz w:val="21"/>
          <w:lang w:eastAsia="zh-CN"/>
        </w:rPr>
        <w:t>15.2 迟延交货的违约责任</w:t>
      </w:r>
    </w:p>
    <w:p>
      <w:pPr>
        <w:widowControl w:val="0"/>
        <w:spacing w:line="360" w:lineRule="auto"/>
        <w:jc w:val="both"/>
        <w:rPr>
          <w:rFonts w:eastAsia="宋体" w:hint="eastAsia"/>
          <w:kern w:val="2"/>
          <w:sz w:val="21"/>
          <w:lang w:eastAsia="zh-CN"/>
        </w:rPr>
      </w:pPr>
      <w:r>
        <w:rPr>
          <w:rFonts w:eastAsia="宋体" w:hint="eastAsia"/>
          <w:kern w:val="2"/>
          <w:sz w:val="21"/>
          <w:lang w:eastAsia="zh-CN"/>
        </w:rPr>
        <w:t>(1)乙方应按照本合同规定的时间、地点交货和提供相关服务。在履行合同过程中，如果乙方遇到可能影响按时交货和提供服务的情形时，应及时以书面形式将迟延的事实、可 能迟延的期限和理由通知甲方。甲方在收到乙方通知后，应尽快对情况进行评价，并确定是</w:t>
      </w:r>
    </w:p>
    <w:p>
      <w:pPr>
        <w:widowControl w:val="0"/>
        <w:spacing w:line="360" w:lineRule="auto"/>
        <w:jc w:val="both"/>
        <w:rPr>
          <w:rFonts w:eastAsia="宋体" w:hint="eastAsia"/>
          <w:kern w:val="2"/>
          <w:sz w:val="21"/>
          <w:lang w:eastAsia="zh-CN"/>
        </w:rPr>
      </w:pPr>
      <w:r>
        <w:rPr>
          <w:rFonts w:eastAsia="宋体" w:hint="eastAsia"/>
          <w:kern w:val="2"/>
          <w:sz w:val="21"/>
          <w:lang w:eastAsia="zh-CN"/>
        </w:rPr>
        <w:t>否同意延长交货时间或延期提供服务。</w:t>
      </w:r>
    </w:p>
    <w:p>
      <w:pPr>
        <w:widowControl w:val="0"/>
        <w:spacing w:line="360" w:lineRule="auto"/>
        <w:jc w:val="both"/>
        <w:rPr>
          <w:rFonts w:eastAsia="宋体" w:hint="eastAsia"/>
          <w:kern w:val="2"/>
          <w:sz w:val="21"/>
          <w:lang w:eastAsia="zh-CN"/>
        </w:rPr>
      </w:pPr>
      <w:r>
        <w:rPr>
          <w:rFonts w:eastAsia="宋体" w:hint="eastAsia"/>
          <w:kern w:val="2"/>
          <w:sz w:val="21"/>
          <w:lang w:eastAsia="zh-CN"/>
        </w:rPr>
        <w:t>(2)如果乙方没有按照合同规定的时间交货和提供相关服务，甲方有权从货款中扣除 误期赔偿费而不影响合同项下的其他补救方法，赔偿费按【政府采购合同专用条款】规定执 行。如果涉及公共利益，且赔偿金额无法弥补公共利益损失，甲方可要求继续履行或者采取</w:t>
      </w:r>
    </w:p>
    <w:p>
      <w:pPr>
        <w:widowControl w:val="0"/>
        <w:spacing w:line="360" w:lineRule="auto"/>
        <w:jc w:val="both"/>
        <w:rPr>
          <w:rFonts w:eastAsia="宋体" w:hint="eastAsia"/>
          <w:kern w:val="2"/>
          <w:sz w:val="21"/>
          <w:lang w:eastAsia="zh-CN"/>
        </w:rPr>
      </w:pPr>
      <w:r>
        <w:rPr>
          <w:rFonts w:eastAsia="宋体" w:hint="eastAsia"/>
          <w:kern w:val="2"/>
          <w:sz w:val="21"/>
          <w:lang w:eastAsia="zh-CN"/>
        </w:rPr>
        <w:t>其他补救措施。</w:t>
      </w:r>
    </w:p>
    <w:p>
      <w:pPr>
        <w:widowControl w:val="0"/>
        <w:spacing w:line="360" w:lineRule="auto"/>
        <w:jc w:val="both"/>
        <w:rPr>
          <w:rFonts w:eastAsia="宋体" w:hint="eastAsia"/>
          <w:kern w:val="2"/>
          <w:sz w:val="21"/>
          <w:lang w:eastAsia="zh-CN"/>
        </w:rPr>
      </w:pPr>
      <w:r>
        <w:rPr>
          <w:rFonts w:eastAsia="宋体" w:hint="eastAsia"/>
          <w:kern w:val="2"/>
          <w:sz w:val="21"/>
          <w:lang w:eastAsia="zh-CN"/>
        </w:rPr>
        <w:t>15.3 迟延支付的违约责任</w:t>
      </w:r>
    </w:p>
    <w:p>
      <w:pPr>
        <w:widowControl w:val="0"/>
        <w:spacing w:line="360" w:lineRule="auto"/>
        <w:jc w:val="both"/>
        <w:rPr>
          <w:rFonts w:eastAsia="宋体" w:hint="eastAsia"/>
          <w:kern w:val="2"/>
          <w:sz w:val="21"/>
          <w:lang w:eastAsia="zh-CN"/>
        </w:rPr>
      </w:pPr>
      <w:r>
        <w:rPr>
          <w:rFonts w:eastAsia="宋体" w:hint="eastAsia"/>
          <w:kern w:val="2"/>
          <w:sz w:val="21"/>
          <w:lang w:eastAsia="zh-CN"/>
        </w:rPr>
        <w:t>甲方存在迟延支付乙方合同款项的，应当承担【政府采购合同专用条款】规定的逾期付款利息。</w:t>
      </w:r>
    </w:p>
    <w:p>
      <w:pPr>
        <w:widowControl w:val="0"/>
        <w:spacing w:line="360" w:lineRule="auto"/>
        <w:jc w:val="both"/>
        <w:rPr>
          <w:rFonts w:eastAsia="宋体" w:hint="eastAsia"/>
          <w:kern w:val="2"/>
          <w:sz w:val="21"/>
          <w:lang w:eastAsia="zh-CN"/>
        </w:rPr>
      </w:pPr>
      <w:r>
        <w:rPr>
          <w:rFonts w:eastAsia="宋体" w:hint="eastAsia"/>
          <w:kern w:val="2"/>
          <w:sz w:val="21"/>
          <w:lang w:eastAsia="zh-CN"/>
        </w:rPr>
        <w:t>15.4其他违约责任根据项目实际需要按【政府采购合同专用条款】规定执行。</w:t>
      </w:r>
    </w:p>
    <w:p>
      <w:pPr>
        <w:widowControl w:val="0"/>
        <w:spacing w:line="360" w:lineRule="auto"/>
        <w:jc w:val="both"/>
        <w:rPr>
          <w:rFonts w:eastAsia="宋体" w:hint="eastAsia"/>
          <w:kern w:val="2"/>
          <w:sz w:val="21"/>
          <w:lang w:eastAsia="zh-CN"/>
        </w:rPr>
      </w:pPr>
      <w:r>
        <w:rPr>
          <w:rFonts w:eastAsia="宋体" w:hint="eastAsia"/>
          <w:kern w:val="2"/>
          <w:sz w:val="21"/>
          <w:lang w:eastAsia="zh-CN"/>
        </w:rPr>
        <w:t>16. 合同变更、中止与终止</w:t>
      </w:r>
    </w:p>
    <w:p>
      <w:pPr>
        <w:widowControl w:val="0"/>
        <w:spacing w:line="360" w:lineRule="auto"/>
        <w:jc w:val="both"/>
        <w:rPr>
          <w:rFonts w:eastAsia="宋体" w:hint="eastAsia"/>
          <w:kern w:val="2"/>
          <w:sz w:val="21"/>
          <w:lang w:eastAsia="zh-CN"/>
        </w:rPr>
      </w:pPr>
      <w:r>
        <w:rPr>
          <w:rFonts w:eastAsia="宋体" w:hint="eastAsia"/>
          <w:kern w:val="2"/>
          <w:sz w:val="21"/>
          <w:lang w:eastAsia="zh-CN"/>
        </w:rPr>
        <w:t>16.1合同的变更</w:t>
      </w:r>
    </w:p>
    <w:p>
      <w:pPr>
        <w:widowControl w:val="0"/>
        <w:spacing w:line="360" w:lineRule="auto"/>
        <w:jc w:val="both"/>
        <w:rPr>
          <w:rFonts w:eastAsia="宋体" w:hint="eastAsia"/>
          <w:kern w:val="2"/>
          <w:sz w:val="21"/>
          <w:lang w:eastAsia="zh-CN"/>
        </w:rPr>
      </w:pPr>
      <w:r>
        <w:rPr>
          <w:rFonts w:eastAsia="宋体" w:hint="eastAsia"/>
          <w:kern w:val="2"/>
          <w:sz w:val="21"/>
          <w:lang w:eastAsia="zh-CN"/>
        </w:rPr>
        <w:t>政府采购合同履行中，在不改变合同其他条款的前提下，甲方可以在合同价款10%的范围内追加与合同标的相同的货物，并就此与乙方协商一致后签订补充协议。</w:t>
      </w:r>
    </w:p>
    <w:p>
      <w:pPr>
        <w:widowControl w:val="0"/>
        <w:spacing w:line="360" w:lineRule="auto"/>
        <w:jc w:val="both"/>
        <w:rPr>
          <w:rFonts w:eastAsia="宋体" w:hint="eastAsia"/>
          <w:kern w:val="2"/>
          <w:sz w:val="21"/>
          <w:lang w:eastAsia="zh-CN"/>
        </w:rPr>
      </w:pPr>
      <w:r>
        <w:rPr>
          <w:rFonts w:eastAsia="宋体" w:hint="eastAsia"/>
          <w:kern w:val="2"/>
          <w:sz w:val="21"/>
          <w:lang w:eastAsia="zh-CN"/>
        </w:rPr>
        <w:t>16.2合同的中止</w:t>
      </w:r>
    </w:p>
    <w:p>
      <w:pPr>
        <w:widowControl w:val="0"/>
        <w:spacing w:line="360" w:lineRule="auto"/>
        <w:jc w:val="both"/>
        <w:rPr>
          <w:rFonts w:eastAsia="宋体" w:hint="eastAsia"/>
          <w:kern w:val="2"/>
          <w:sz w:val="21"/>
          <w:lang w:eastAsia="zh-CN"/>
        </w:rPr>
      </w:pPr>
      <w:r>
        <w:rPr>
          <w:rFonts w:eastAsia="宋体" w:hint="eastAsia"/>
          <w:kern w:val="2"/>
          <w:sz w:val="21"/>
          <w:lang w:eastAsia="zh-CN"/>
        </w:rPr>
        <w:t>(1)合同履行过程中因供应商就采购文件、采购过程或结果提起投诉的，甲方认为有必要的，可以中止合同的履行。</w:t>
      </w:r>
    </w:p>
    <w:p>
      <w:pPr>
        <w:widowControl w:val="0"/>
        <w:spacing w:line="360" w:lineRule="auto"/>
        <w:jc w:val="both"/>
        <w:rPr>
          <w:rFonts w:eastAsia="宋体" w:hint="eastAsia"/>
          <w:kern w:val="2"/>
          <w:sz w:val="21"/>
          <w:lang w:eastAsia="zh-CN"/>
        </w:rPr>
      </w:pPr>
      <w:r>
        <w:rPr>
          <w:rFonts w:eastAsia="宋体" w:hint="eastAsia"/>
          <w:kern w:val="2"/>
          <w:sz w:val="21"/>
          <w:lang w:eastAsia="zh-CN"/>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 理期限内未恢复履约能力且未提供适当担保的，视为拒绝继续履约，甲方有权解除合同并要求乙方承担由此给甲方造成的损失。</w:t>
      </w:r>
    </w:p>
    <w:p>
      <w:pPr>
        <w:widowControl w:val="0"/>
        <w:spacing w:line="360" w:lineRule="auto"/>
        <w:jc w:val="both"/>
        <w:rPr>
          <w:rFonts w:eastAsia="宋体" w:hint="eastAsia"/>
          <w:kern w:val="2"/>
          <w:sz w:val="21"/>
          <w:lang w:eastAsia="zh-CN"/>
        </w:rPr>
      </w:pPr>
      <w:r>
        <w:rPr>
          <w:rFonts w:eastAsia="宋体" w:hint="eastAsia"/>
          <w:kern w:val="2"/>
          <w:sz w:val="21"/>
          <w:lang w:eastAsia="zh-CN"/>
        </w:rPr>
        <w:t>(3)乙方分立、合并或者变更住所的，应当及时以书面形式告知甲方。乙方没有及时 告知甲方，致使合同履行发生困难的，甲方可以中止合同履行并要求乙方承担由此给甲方造成的损失。</w:t>
      </w:r>
    </w:p>
    <w:p>
      <w:pPr>
        <w:widowControl w:val="0"/>
        <w:spacing w:line="360" w:lineRule="auto"/>
        <w:jc w:val="both"/>
        <w:rPr>
          <w:rFonts w:eastAsia="宋体" w:hint="eastAsia"/>
          <w:kern w:val="2"/>
          <w:sz w:val="21"/>
          <w:lang w:eastAsia="zh-CN"/>
        </w:rPr>
      </w:pPr>
      <w:r>
        <w:rPr>
          <w:rFonts w:eastAsia="宋体" w:hint="eastAsia"/>
          <w:kern w:val="2"/>
          <w:sz w:val="21"/>
          <w:lang w:eastAsia="zh-CN"/>
        </w:rPr>
        <w:t>(4)甲方不得以行政区划调整、政府换届、机构或者职能调整以及相关责任人更替为由中止合同。</w:t>
      </w:r>
    </w:p>
    <w:p>
      <w:pPr>
        <w:widowControl w:val="0"/>
        <w:spacing w:line="360" w:lineRule="auto"/>
        <w:jc w:val="both"/>
        <w:rPr>
          <w:rFonts w:eastAsia="宋体" w:hint="eastAsia"/>
          <w:kern w:val="2"/>
          <w:sz w:val="21"/>
          <w:lang w:eastAsia="zh-CN"/>
        </w:rPr>
      </w:pPr>
      <w:r>
        <w:rPr>
          <w:rFonts w:eastAsia="宋体" w:hint="eastAsia"/>
          <w:kern w:val="2"/>
          <w:sz w:val="21"/>
          <w:lang w:eastAsia="zh-CN"/>
        </w:rPr>
        <w:t>16.3合同的终止</w:t>
      </w:r>
    </w:p>
    <w:p>
      <w:pPr>
        <w:widowControl w:val="0"/>
        <w:spacing w:line="360" w:lineRule="auto"/>
        <w:jc w:val="both"/>
        <w:rPr>
          <w:rFonts w:eastAsia="宋体" w:hint="eastAsia"/>
          <w:kern w:val="2"/>
          <w:sz w:val="21"/>
          <w:lang w:eastAsia="zh-CN"/>
        </w:rPr>
      </w:pPr>
      <w:r>
        <w:rPr>
          <w:rFonts w:eastAsia="宋体" w:hint="eastAsia"/>
          <w:kern w:val="2"/>
          <w:sz w:val="21"/>
          <w:lang w:eastAsia="zh-CN"/>
        </w:rPr>
        <w:t>(1)合同因有效期限届满而终止；</w:t>
      </w:r>
    </w:p>
    <w:p>
      <w:pPr>
        <w:widowControl w:val="0"/>
        <w:spacing w:line="360" w:lineRule="auto"/>
        <w:jc w:val="both"/>
        <w:rPr>
          <w:rFonts w:eastAsia="宋体" w:hint="eastAsia"/>
          <w:kern w:val="2"/>
          <w:sz w:val="21"/>
          <w:lang w:eastAsia="zh-CN"/>
        </w:rPr>
      </w:pPr>
      <w:r>
        <w:rPr>
          <w:rFonts w:eastAsia="宋体" w:hint="eastAsia"/>
          <w:kern w:val="2"/>
          <w:sz w:val="21"/>
          <w:lang w:eastAsia="zh-CN"/>
        </w:rPr>
        <w:t>(2)乙方未按合同约定履行，构成根本性违约的，甲方有权终止合同，并追究乙方的</w:t>
      </w:r>
    </w:p>
    <w:p>
      <w:pPr>
        <w:widowControl w:val="0"/>
        <w:spacing w:line="360" w:lineRule="auto"/>
        <w:jc w:val="both"/>
        <w:rPr>
          <w:rFonts w:eastAsia="宋体" w:hint="eastAsia"/>
          <w:kern w:val="2"/>
          <w:sz w:val="21"/>
          <w:lang w:eastAsia="zh-CN"/>
        </w:rPr>
      </w:pPr>
      <w:r>
        <w:rPr>
          <w:rFonts w:eastAsia="宋体" w:hint="eastAsia"/>
          <w:kern w:val="2"/>
          <w:sz w:val="21"/>
          <w:lang w:eastAsia="zh-CN"/>
        </w:rPr>
        <w:t>违约责任。</w:t>
      </w:r>
    </w:p>
    <w:p>
      <w:pPr>
        <w:widowControl w:val="0"/>
        <w:spacing w:line="360" w:lineRule="auto"/>
        <w:jc w:val="both"/>
        <w:rPr>
          <w:rFonts w:eastAsia="宋体" w:hint="eastAsia"/>
          <w:kern w:val="2"/>
          <w:sz w:val="21"/>
          <w:lang w:eastAsia="zh-CN"/>
        </w:rPr>
      </w:pPr>
      <w:r>
        <w:rPr>
          <w:rFonts w:eastAsia="宋体" w:hint="eastAsia"/>
          <w:kern w:val="2"/>
          <w:sz w:val="21"/>
          <w:lang w:eastAsia="zh-CN"/>
        </w:rPr>
        <w:t>16.4 涉及国家利益、社会公共利益的情形</w:t>
      </w:r>
    </w:p>
    <w:p>
      <w:pPr>
        <w:widowControl w:val="0"/>
        <w:spacing w:line="360" w:lineRule="auto"/>
        <w:jc w:val="both"/>
        <w:rPr>
          <w:rFonts w:eastAsia="宋体" w:hint="eastAsia"/>
          <w:kern w:val="2"/>
          <w:sz w:val="21"/>
          <w:lang w:eastAsia="zh-CN"/>
        </w:rPr>
      </w:pPr>
      <w:r>
        <w:rPr>
          <w:rFonts w:eastAsia="宋体" w:hint="eastAsia"/>
          <w:kern w:val="2"/>
          <w:sz w:val="21"/>
          <w:lang w:eastAsia="zh-CN"/>
        </w:rPr>
        <w:t>政府采购合同继续履行将损害国家利益和社会公共利益的，双方当事人应当变更、中止或者终止合同。有过错的一方应当承担赔偿责任，双方都有过错的，各自承担相应的责任。</w:t>
      </w:r>
    </w:p>
    <w:p>
      <w:pPr>
        <w:widowControl w:val="0"/>
        <w:spacing w:line="360" w:lineRule="auto"/>
        <w:jc w:val="both"/>
        <w:rPr>
          <w:rFonts w:eastAsia="宋体" w:hint="eastAsia"/>
          <w:kern w:val="2"/>
          <w:sz w:val="21"/>
          <w:lang w:eastAsia="zh-CN"/>
        </w:rPr>
      </w:pPr>
      <w:r>
        <w:rPr>
          <w:rFonts w:eastAsia="宋体" w:hint="eastAsia"/>
          <w:kern w:val="2"/>
          <w:sz w:val="21"/>
          <w:lang w:eastAsia="zh-CN"/>
        </w:rPr>
        <w:t>17. 合同分包</w:t>
      </w:r>
    </w:p>
    <w:p>
      <w:pPr>
        <w:widowControl w:val="0"/>
        <w:spacing w:line="360" w:lineRule="auto"/>
        <w:jc w:val="both"/>
        <w:rPr>
          <w:rFonts w:eastAsia="宋体" w:hint="eastAsia"/>
          <w:kern w:val="2"/>
          <w:sz w:val="21"/>
          <w:lang w:eastAsia="zh-CN"/>
        </w:rPr>
      </w:pPr>
      <w:r>
        <w:rPr>
          <w:rFonts w:eastAsia="宋体" w:hint="eastAsia"/>
          <w:kern w:val="2"/>
          <w:sz w:val="21"/>
          <w:lang w:eastAsia="zh-CN"/>
        </w:rPr>
        <w:t>17.1 乙方不得将合同转包给其他供应商。涉及合同分包的，乙方应根据采购文件和投标(响应)文件规定进行合同分包。</w:t>
      </w:r>
    </w:p>
    <w:p>
      <w:pPr>
        <w:widowControl w:val="0"/>
        <w:spacing w:line="360" w:lineRule="auto"/>
        <w:jc w:val="both"/>
        <w:rPr>
          <w:rFonts w:eastAsia="宋体" w:hint="eastAsia"/>
          <w:kern w:val="2"/>
          <w:sz w:val="21"/>
          <w:lang w:eastAsia="zh-CN"/>
        </w:rPr>
      </w:pPr>
      <w:r>
        <w:rPr>
          <w:rFonts w:eastAsia="宋体" w:hint="eastAsia"/>
          <w:kern w:val="2"/>
          <w:sz w:val="21"/>
          <w:lang w:eastAsia="zh-CN"/>
        </w:rPr>
        <w:t>17.2 乙方执行政府采购政策向中小企业依法分包的，乙方应当按采购文件和投标(响应)文件签订分包意向协议，分包意向协议属于本合同组成部分。</w:t>
      </w:r>
    </w:p>
    <w:p>
      <w:pPr>
        <w:widowControl w:val="0"/>
        <w:spacing w:line="360" w:lineRule="auto"/>
        <w:jc w:val="both"/>
        <w:rPr>
          <w:rFonts w:eastAsia="宋体" w:hint="eastAsia"/>
          <w:kern w:val="2"/>
          <w:sz w:val="21"/>
          <w:lang w:eastAsia="zh-CN"/>
        </w:rPr>
      </w:pPr>
      <w:r>
        <w:rPr>
          <w:rFonts w:eastAsia="宋体" w:hint="eastAsia"/>
          <w:kern w:val="2"/>
          <w:sz w:val="21"/>
          <w:lang w:eastAsia="zh-CN"/>
        </w:rPr>
        <w:t>18. 不可抗力</w:t>
      </w:r>
    </w:p>
    <w:p>
      <w:pPr>
        <w:widowControl w:val="0"/>
        <w:spacing w:line="360" w:lineRule="auto"/>
        <w:jc w:val="both"/>
        <w:rPr>
          <w:rFonts w:eastAsia="宋体" w:hint="eastAsia"/>
          <w:kern w:val="2"/>
          <w:sz w:val="21"/>
          <w:lang w:eastAsia="zh-CN"/>
        </w:rPr>
      </w:pPr>
      <w:r>
        <w:rPr>
          <w:rFonts w:eastAsia="宋体" w:hint="eastAsia"/>
          <w:kern w:val="2"/>
          <w:sz w:val="21"/>
          <w:lang w:eastAsia="zh-CN"/>
        </w:rPr>
        <w:t>18.1 不可抗力是指合同双方不能预见、不能避免且不能克服的客观情况。</w:t>
      </w:r>
    </w:p>
    <w:p>
      <w:pPr>
        <w:widowControl w:val="0"/>
        <w:spacing w:line="360" w:lineRule="auto"/>
        <w:jc w:val="both"/>
        <w:rPr>
          <w:rFonts w:eastAsia="宋体" w:hint="eastAsia"/>
          <w:kern w:val="2"/>
          <w:sz w:val="21"/>
          <w:lang w:eastAsia="zh-CN"/>
        </w:rPr>
      </w:pPr>
      <w:r>
        <w:rPr>
          <w:rFonts w:eastAsia="宋体" w:hint="eastAsia"/>
          <w:kern w:val="2"/>
          <w:sz w:val="21"/>
          <w:lang w:eastAsia="zh-CN"/>
        </w:rPr>
        <w:t>18.2 任何一方对由于不可抗力造成的部分或全部不能履行合同不承担违约责任。但迟延履行后发生不可抗力的，不能免除责任。</w:t>
      </w:r>
    </w:p>
    <w:p>
      <w:pPr>
        <w:widowControl w:val="0"/>
        <w:spacing w:line="360" w:lineRule="auto"/>
        <w:jc w:val="both"/>
        <w:rPr>
          <w:rFonts w:eastAsia="宋体" w:hint="eastAsia"/>
          <w:kern w:val="2"/>
          <w:sz w:val="21"/>
          <w:lang w:eastAsia="zh-CN"/>
        </w:rPr>
      </w:pPr>
      <w:r>
        <w:rPr>
          <w:rFonts w:eastAsia="宋体" w:hint="eastAsia"/>
          <w:kern w:val="2"/>
          <w:sz w:val="21"/>
          <w:lang w:eastAsia="zh-CN"/>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pPr>
        <w:widowControl w:val="0"/>
        <w:spacing w:line="360" w:lineRule="auto"/>
        <w:jc w:val="both"/>
        <w:rPr>
          <w:rFonts w:eastAsia="宋体" w:hint="eastAsia"/>
          <w:kern w:val="2"/>
          <w:sz w:val="21"/>
          <w:lang w:eastAsia="zh-CN"/>
        </w:rPr>
      </w:pPr>
      <w:r>
        <w:rPr>
          <w:rFonts w:eastAsia="宋体" w:hint="eastAsia"/>
          <w:kern w:val="2"/>
          <w:sz w:val="21"/>
          <w:lang w:eastAsia="zh-CN"/>
        </w:rPr>
        <w:t>19. 解决争议的方法</w:t>
      </w:r>
    </w:p>
    <w:p>
      <w:pPr>
        <w:widowControl w:val="0"/>
        <w:spacing w:line="360" w:lineRule="auto"/>
        <w:jc w:val="both"/>
        <w:rPr>
          <w:rFonts w:eastAsia="宋体" w:hint="eastAsia"/>
          <w:kern w:val="2"/>
          <w:sz w:val="21"/>
          <w:lang w:eastAsia="zh-CN"/>
        </w:rPr>
      </w:pPr>
      <w:r>
        <w:rPr>
          <w:rFonts w:eastAsia="宋体" w:hint="eastAsia"/>
          <w:kern w:val="2"/>
          <w:sz w:val="21"/>
          <w:lang w:eastAsia="zh-CN"/>
        </w:rPr>
        <w:t>19.1 因本合同及合同有关事项发生的争议，由甲乙双方友好协商解决。协商不成时， 可以向有关组织申请调解。合同一方或双方不愿调解或调解不成的，可以通过仲裁或诉讼的方式解决争议。</w:t>
      </w:r>
    </w:p>
    <w:p>
      <w:pPr>
        <w:widowControl w:val="0"/>
        <w:spacing w:line="360" w:lineRule="auto"/>
        <w:jc w:val="both"/>
        <w:rPr>
          <w:rFonts w:eastAsia="宋体" w:hint="eastAsia"/>
          <w:kern w:val="2"/>
          <w:sz w:val="21"/>
          <w:lang w:eastAsia="zh-CN"/>
        </w:rPr>
      </w:pPr>
      <w:r>
        <w:rPr>
          <w:rFonts w:eastAsia="宋体" w:hint="eastAsia"/>
          <w:kern w:val="2"/>
          <w:sz w:val="21"/>
          <w:lang w:eastAsia="zh-CN"/>
        </w:rPr>
        <w:t>19.2 选择仲裁的，应在【政府采购合同专用条款】中明确仲裁机构及仲裁地；通过诉 讼方式解决的，可以在【政府采购合同专用条款】中进一步约定选择与争议有实际联系的地点的人民法院管辖，但管辖法院的约定不得违反级别管辖和专属管辖的规定。</w:t>
      </w:r>
    </w:p>
    <w:p>
      <w:pPr>
        <w:widowControl w:val="0"/>
        <w:spacing w:line="360" w:lineRule="auto"/>
        <w:jc w:val="both"/>
        <w:rPr>
          <w:rFonts w:eastAsia="宋体" w:hint="eastAsia"/>
          <w:kern w:val="2"/>
          <w:sz w:val="21"/>
          <w:lang w:eastAsia="zh-CN"/>
        </w:rPr>
      </w:pPr>
      <w:r>
        <w:rPr>
          <w:rFonts w:eastAsia="宋体" w:hint="eastAsia"/>
          <w:kern w:val="2"/>
          <w:sz w:val="21"/>
          <w:lang w:eastAsia="zh-CN"/>
        </w:rPr>
        <w:t>19.3 如甲乙双方有争议的事项不影响合同其他部分的履行，在争议解决期间，合同其他部分应当继续履行。</w:t>
      </w:r>
    </w:p>
    <w:p>
      <w:pPr>
        <w:widowControl w:val="0"/>
        <w:spacing w:line="360" w:lineRule="auto"/>
        <w:jc w:val="both"/>
        <w:rPr>
          <w:rFonts w:eastAsia="宋体" w:hint="eastAsia"/>
          <w:kern w:val="2"/>
          <w:sz w:val="21"/>
          <w:lang w:eastAsia="zh-CN"/>
        </w:rPr>
      </w:pPr>
      <w:r>
        <w:rPr>
          <w:rFonts w:eastAsia="宋体" w:hint="eastAsia"/>
          <w:kern w:val="2"/>
          <w:sz w:val="21"/>
          <w:lang w:eastAsia="zh-CN"/>
        </w:rPr>
        <w:t>20. 政府采购政策</w:t>
      </w:r>
    </w:p>
    <w:p>
      <w:pPr>
        <w:widowControl w:val="0"/>
        <w:spacing w:line="360" w:lineRule="auto"/>
        <w:jc w:val="both"/>
        <w:rPr>
          <w:rFonts w:eastAsia="宋体" w:hint="eastAsia"/>
          <w:kern w:val="2"/>
          <w:sz w:val="21"/>
          <w:lang w:eastAsia="zh-CN"/>
        </w:rPr>
      </w:pPr>
      <w:r>
        <w:rPr>
          <w:rFonts w:eastAsia="宋体" w:hint="eastAsia"/>
          <w:kern w:val="2"/>
          <w:sz w:val="21"/>
          <w:lang w:eastAsia="zh-CN"/>
        </w:rPr>
        <w:t>20.1 本合同应当按照规定执行政府采购政策。</w:t>
      </w:r>
    </w:p>
    <w:p>
      <w:pPr>
        <w:widowControl w:val="0"/>
        <w:spacing w:line="360" w:lineRule="auto"/>
        <w:jc w:val="both"/>
        <w:rPr>
          <w:rFonts w:eastAsia="宋体" w:hint="eastAsia"/>
          <w:kern w:val="2"/>
          <w:sz w:val="21"/>
          <w:lang w:eastAsia="zh-CN"/>
        </w:rPr>
      </w:pPr>
      <w:r>
        <w:rPr>
          <w:rFonts w:eastAsia="宋体" w:hint="eastAsia"/>
          <w:kern w:val="2"/>
          <w:sz w:val="21"/>
          <w:lang w:eastAsia="zh-CN"/>
        </w:rPr>
        <w:t>20.2 本合同依法执行政府采购政策的方式和内容，属于合同履约验收的范围。甲乙双 方未按规定要求执行政府采购政策造成损失的，有过错的一方应当承担赔偿责任，双方都有</w:t>
      </w:r>
    </w:p>
    <w:p>
      <w:pPr>
        <w:widowControl w:val="0"/>
        <w:spacing w:line="360" w:lineRule="auto"/>
        <w:jc w:val="both"/>
        <w:rPr>
          <w:rFonts w:eastAsia="宋体" w:hint="eastAsia"/>
          <w:kern w:val="2"/>
          <w:sz w:val="21"/>
          <w:lang w:eastAsia="zh-CN"/>
        </w:rPr>
      </w:pPr>
      <w:r>
        <w:rPr>
          <w:rFonts w:eastAsia="宋体" w:hint="eastAsia"/>
          <w:kern w:val="2"/>
          <w:sz w:val="21"/>
          <w:lang w:eastAsia="zh-CN"/>
        </w:rPr>
        <w:t>过错的，各自承担相应的责任。</w:t>
      </w:r>
    </w:p>
    <w:p>
      <w:pPr>
        <w:widowControl w:val="0"/>
        <w:spacing w:line="360" w:lineRule="auto"/>
        <w:jc w:val="both"/>
        <w:rPr>
          <w:rFonts w:eastAsia="宋体" w:hint="eastAsia"/>
          <w:kern w:val="2"/>
          <w:sz w:val="21"/>
          <w:lang w:eastAsia="zh-CN"/>
        </w:rPr>
      </w:pPr>
      <w:r>
        <w:rPr>
          <w:rFonts w:eastAsia="宋体" w:hint="eastAsia"/>
          <w:kern w:val="2"/>
          <w:sz w:val="21"/>
          <w:lang w:eastAsia="zh-CN"/>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pPr>
        <w:widowControl w:val="0"/>
        <w:spacing w:line="360" w:lineRule="auto"/>
        <w:jc w:val="both"/>
        <w:rPr>
          <w:rFonts w:eastAsia="宋体" w:hint="eastAsia"/>
          <w:kern w:val="2"/>
          <w:sz w:val="21"/>
          <w:lang w:eastAsia="zh-CN"/>
        </w:rPr>
      </w:pPr>
      <w:r>
        <w:rPr>
          <w:rFonts w:eastAsia="宋体" w:hint="eastAsia"/>
          <w:kern w:val="2"/>
          <w:sz w:val="21"/>
          <w:lang w:eastAsia="zh-CN"/>
        </w:rPr>
        <w:t>21. 法律适用</w:t>
      </w:r>
    </w:p>
    <w:p>
      <w:pPr>
        <w:widowControl w:val="0"/>
        <w:spacing w:line="360" w:lineRule="auto"/>
        <w:jc w:val="both"/>
        <w:rPr>
          <w:rFonts w:eastAsia="宋体" w:hint="eastAsia"/>
          <w:kern w:val="2"/>
          <w:sz w:val="21"/>
          <w:lang w:eastAsia="zh-CN"/>
        </w:rPr>
      </w:pPr>
      <w:r>
        <w:rPr>
          <w:rFonts w:eastAsia="宋体" w:hint="eastAsia"/>
          <w:kern w:val="2"/>
          <w:sz w:val="21"/>
          <w:lang w:eastAsia="zh-CN"/>
        </w:rPr>
        <w:t>21.1 本合同的订立、生效、解释、履行及与本合同有关的争议解决，均适用法律、行政法规。</w:t>
      </w:r>
    </w:p>
    <w:p>
      <w:pPr>
        <w:widowControl w:val="0"/>
        <w:spacing w:line="360" w:lineRule="auto"/>
        <w:jc w:val="both"/>
        <w:rPr>
          <w:rFonts w:eastAsia="宋体" w:hint="eastAsia"/>
          <w:kern w:val="2"/>
          <w:sz w:val="21"/>
          <w:lang w:eastAsia="zh-CN"/>
        </w:rPr>
      </w:pPr>
      <w:r>
        <w:rPr>
          <w:rFonts w:eastAsia="宋体" w:hint="eastAsia"/>
          <w:kern w:val="2"/>
          <w:sz w:val="21"/>
          <w:lang w:eastAsia="zh-CN"/>
        </w:rPr>
        <w:t>21.2 本合同条款与法律、行政法规的强制性规定不一致的，双方当事人应按照法律、行政法规的强制性规定修改本合同的相关条款。</w:t>
      </w:r>
    </w:p>
    <w:p>
      <w:pPr>
        <w:widowControl w:val="0"/>
        <w:spacing w:line="360" w:lineRule="auto"/>
        <w:jc w:val="both"/>
        <w:rPr>
          <w:rFonts w:eastAsia="宋体" w:hint="eastAsia"/>
          <w:kern w:val="2"/>
          <w:sz w:val="21"/>
          <w:lang w:eastAsia="zh-CN"/>
        </w:rPr>
      </w:pPr>
      <w:r>
        <w:rPr>
          <w:rFonts w:eastAsia="宋体" w:hint="eastAsia"/>
          <w:kern w:val="2"/>
          <w:sz w:val="21"/>
          <w:lang w:eastAsia="zh-CN"/>
        </w:rPr>
        <w:t>22. 通知</w:t>
      </w:r>
    </w:p>
    <w:p>
      <w:pPr>
        <w:widowControl w:val="0"/>
        <w:spacing w:line="360" w:lineRule="auto"/>
        <w:jc w:val="both"/>
        <w:rPr>
          <w:rFonts w:eastAsia="宋体" w:hint="eastAsia"/>
          <w:kern w:val="2"/>
          <w:sz w:val="21"/>
          <w:lang w:eastAsia="zh-CN"/>
        </w:rPr>
      </w:pPr>
      <w:r>
        <w:rPr>
          <w:rFonts w:eastAsia="宋体" w:hint="eastAsia"/>
          <w:kern w:val="2"/>
          <w:sz w:val="21"/>
          <w:lang w:eastAsia="zh-CN"/>
        </w:rPr>
        <w:t>22.1 本合同任何一方向对方发出的通知、信件、数据电文等，应当发送至本合同第一部分《政府采购合同协议书》所约定的通讯地址、联系人、联系电话或电子邮箱。</w:t>
      </w:r>
    </w:p>
    <w:p>
      <w:pPr>
        <w:widowControl w:val="0"/>
        <w:spacing w:line="360" w:lineRule="auto"/>
        <w:jc w:val="both"/>
        <w:rPr>
          <w:rFonts w:eastAsia="宋体" w:hint="eastAsia"/>
          <w:kern w:val="2"/>
          <w:sz w:val="21"/>
          <w:lang w:eastAsia="zh-CN"/>
        </w:rPr>
      </w:pPr>
      <w:r>
        <w:rPr>
          <w:rFonts w:eastAsia="宋体" w:hint="eastAsia"/>
          <w:kern w:val="2"/>
          <w:sz w:val="21"/>
          <w:lang w:eastAsia="zh-CN"/>
        </w:rPr>
        <w:t>22.2 一方当事人变更名称、住所、联系人、联系电话或电子邮箱等信息的，应当在变更后3日内及时书面通知对方，对方实际收到变更通知前的送达仍为有效送达。</w:t>
      </w:r>
    </w:p>
    <w:p>
      <w:pPr>
        <w:widowControl w:val="0"/>
        <w:spacing w:line="360" w:lineRule="auto"/>
        <w:jc w:val="both"/>
        <w:rPr>
          <w:rFonts w:eastAsia="宋体" w:hint="eastAsia"/>
          <w:kern w:val="2"/>
          <w:sz w:val="21"/>
          <w:lang w:eastAsia="zh-CN"/>
        </w:rPr>
      </w:pPr>
      <w:r>
        <w:rPr>
          <w:rFonts w:eastAsia="宋体" w:hint="eastAsia"/>
          <w:kern w:val="2"/>
          <w:sz w:val="21"/>
          <w:lang w:eastAsia="zh-CN"/>
        </w:rPr>
        <w:t>22.3本合同一方给另一方的通知均应采用书面形式，传真或快递送到本合同中规定的对方的地址和办理签收手续。</w:t>
      </w:r>
    </w:p>
    <w:p>
      <w:pPr>
        <w:widowControl w:val="0"/>
        <w:spacing w:line="360" w:lineRule="auto"/>
        <w:jc w:val="both"/>
        <w:rPr>
          <w:rFonts w:eastAsia="宋体" w:hint="eastAsia"/>
          <w:kern w:val="2"/>
          <w:sz w:val="21"/>
          <w:lang w:eastAsia="zh-CN"/>
        </w:rPr>
      </w:pPr>
      <w:r>
        <w:rPr>
          <w:rFonts w:eastAsia="宋体" w:hint="eastAsia"/>
          <w:kern w:val="2"/>
          <w:sz w:val="21"/>
          <w:lang w:eastAsia="zh-CN"/>
        </w:rPr>
        <w:t>22.4通知以送达之日或通知书中规定的生效之日起生效，两者中以较迟之日为准。</w:t>
      </w:r>
    </w:p>
    <w:p>
      <w:pPr>
        <w:widowControl w:val="0"/>
        <w:spacing w:line="360" w:lineRule="auto"/>
        <w:jc w:val="both"/>
        <w:rPr>
          <w:rFonts w:eastAsia="宋体" w:hint="eastAsia"/>
          <w:kern w:val="2"/>
          <w:sz w:val="21"/>
          <w:lang w:eastAsia="zh-CN"/>
        </w:rPr>
      </w:pPr>
      <w:r>
        <w:rPr>
          <w:rFonts w:eastAsia="宋体" w:hint="eastAsia"/>
          <w:kern w:val="2"/>
          <w:sz w:val="21"/>
          <w:lang w:eastAsia="zh-CN"/>
        </w:rPr>
        <w:t>23. 合同未尽事项</w:t>
      </w:r>
    </w:p>
    <w:p>
      <w:pPr>
        <w:widowControl w:val="0"/>
        <w:spacing w:line="360" w:lineRule="auto"/>
        <w:jc w:val="both"/>
        <w:rPr>
          <w:rFonts w:eastAsia="宋体" w:hint="eastAsia"/>
          <w:kern w:val="2"/>
          <w:sz w:val="21"/>
          <w:lang w:eastAsia="zh-CN"/>
        </w:rPr>
      </w:pPr>
      <w:r>
        <w:rPr>
          <w:rFonts w:eastAsia="宋体" w:hint="eastAsia"/>
          <w:kern w:val="2"/>
          <w:sz w:val="21"/>
          <w:lang w:eastAsia="zh-CN"/>
        </w:rPr>
        <w:t>23.1合同未尽事项见【政府采购合同专用条款】。</w:t>
      </w:r>
    </w:p>
    <w:p>
      <w:pPr>
        <w:widowControl w:val="0"/>
        <w:spacing w:line="360" w:lineRule="auto"/>
        <w:jc w:val="both"/>
        <w:rPr>
          <w:rFonts w:eastAsia="宋体" w:hint="eastAsia"/>
          <w:kern w:val="2"/>
          <w:sz w:val="21"/>
          <w:lang w:eastAsia="zh-CN"/>
        </w:rPr>
      </w:pPr>
      <w:r>
        <w:rPr>
          <w:rFonts w:eastAsia="宋体" w:hint="eastAsia"/>
          <w:kern w:val="2"/>
          <w:sz w:val="21"/>
          <w:lang w:eastAsia="zh-CN"/>
        </w:rPr>
        <w:t>23.2 合同附件与合同正文具有同等的法律效力。</w:t>
      </w:r>
    </w:p>
    <w:p>
      <w:pPr>
        <w:widowControl w:val="0"/>
        <w:spacing w:line="360" w:lineRule="auto"/>
        <w:jc w:val="both"/>
        <w:rPr>
          <w:rFonts w:eastAsia="宋体" w:hint="eastAsia"/>
          <w:kern w:val="2"/>
          <w:sz w:val="21"/>
          <w:lang w:eastAsia="zh-CN"/>
        </w:rPr>
        <w:sectPr>
          <w:footerReference w:type="default" r:id="rId16"/>
          <w:pgSz w:w="11910" w:h="16870"/>
          <w:pgMar w:top="1440" w:right="1800" w:bottom="1440" w:left="1800" w:header="0" w:footer="1076" w:gutter="0"/>
          <w:pgBorders>
            <w:top w:val="none" w:sz="0" w:space="0" w:color="auto"/>
            <w:left w:val="none" w:sz="0" w:space="0" w:color="auto"/>
            <w:bottom w:val="none" w:sz="0" w:space="0" w:color="auto"/>
            <w:right w:val="none" w:sz="0" w:space="0" w:color="auto"/>
          </w:pgBorders>
          <w:pgNumType w:fmt="numberInDash"/>
          <w:cols w:num="1" w:space="720"/>
        </w:sectPr>
      </w:pPr>
    </w:p>
    <w:p>
      <w:pPr>
        <w:widowControl w:val="0"/>
        <w:spacing w:before="56" w:line="222" w:lineRule="auto"/>
        <w:ind w:left="2337"/>
        <w:jc w:val="both"/>
        <w:rPr>
          <w:rFonts w:ascii="宋体" w:eastAsia="宋体" w:hAnsi="宋体" w:cs="宋体" w:hint="eastAsia"/>
          <w:kern w:val="2"/>
          <w:sz w:val="28"/>
          <w:szCs w:val="28"/>
          <w:lang w:eastAsia="zh-CN"/>
        </w:rPr>
      </w:pPr>
      <w:r>
        <w:rPr>
          <w:rFonts w:ascii="宋体" w:eastAsia="宋体" w:hAnsi="宋体" w:cs="宋体" w:hint="eastAsia"/>
          <w:b/>
          <w:bCs/>
          <w:spacing w:val="5"/>
          <w:kern w:val="2"/>
          <w:sz w:val="28"/>
          <w:szCs w:val="28"/>
          <w:lang w:eastAsia="zh-CN"/>
        </w:rPr>
        <w:t>第三节政府采购合同专用条款</w:t>
      </w:r>
    </w:p>
    <w:p>
      <w:pPr>
        <w:widowControl w:val="0"/>
        <w:spacing w:line="182" w:lineRule="exact"/>
        <w:jc w:val="both"/>
        <w:rPr>
          <w:rFonts w:ascii="宋体" w:eastAsia="宋体" w:hAnsi="宋体" w:cs="宋体" w:hint="eastAsia"/>
          <w:kern w:val="2"/>
          <w:sz w:val="21"/>
          <w:lang w:eastAsia="zh-CN"/>
        </w:rPr>
      </w:pPr>
    </w:p>
    <w:tbl>
      <w:tblPr>
        <w:tblStyle w:val="TableNormal0"/>
        <w:tblW w:w="5000" w:type="pct"/>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64"/>
        <w:gridCol w:w="1705"/>
        <w:gridCol w:w="5051"/>
      </w:tblGrid>
      <w:tr>
        <w:tblPrEx>
          <w:tblW w:w="5000" w:type="pct"/>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754"/>
        </w:trPr>
        <w:tc>
          <w:tcPr>
            <w:tcW w:w="1593" w:type="dxa"/>
            <w:vAlign w:val="top"/>
          </w:tcPr>
          <w:p>
            <w:pPr>
              <w:widowControl w:val="0"/>
              <w:spacing w:before="153" w:line="219" w:lineRule="auto"/>
              <w:ind w:left="474"/>
              <w:jc w:val="both"/>
              <w:rPr>
                <w:rFonts w:ascii="宋体" w:hAnsi="宋体" w:cs="宋体" w:hint="eastAsia"/>
                <w:kern w:val="2"/>
                <w:sz w:val="21"/>
                <w:szCs w:val="21"/>
              </w:rPr>
            </w:pPr>
            <w:r>
              <w:rPr>
                <w:rFonts w:ascii="宋体" w:hAnsi="宋体" w:cs="宋体" w:hint="eastAsia"/>
                <w:spacing w:val="-2"/>
                <w:kern w:val="2"/>
                <w:sz w:val="21"/>
                <w:szCs w:val="21"/>
              </w:rPr>
              <w:t>第二节</w:t>
            </w:r>
          </w:p>
          <w:p>
            <w:pPr>
              <w:widowControl w:val="0"/>
              <w:spacing w:before="30" w:line="219" w:lineRule="auto"/>
              <w:ind w:left="135"/>
              <w:jc w:val="both"/>
              <w:rPr>
                <w:rFonts w:ascii="宋体" w:hAnsi="宋体" w:cs="宋体" w:hint="eastAsia"/>
                <w:kern w:val="2"/>
                <w:sz w:val="21"/>
                <w:szCs w:val="21"/>
              </w:rPr>
            </w:pPr>
            <w:r>
              <w:rPr>
                <w:rFonts w:ascii="宋体" w:hAnsi="宋体" w:cs="宋体" w:hint="eastAsia"/>
                <w:spacing w:val="20"/>
                <w:kern w:val="2"/>
                <w:sz w:val="21"/>
                <w:szCs w:val="21"/>
              </w:rPr>
              <w:t>第1</w:t>
            </w:r>
            <w:r>
              <w:rPr>
                <w:rFonts w:ascii="宋体" w:hAnsi="宋体" w:cs="宋体" w:hint="eastAsia"/>
                <w:spacing w:val="-53"/>
                <w:kern w:val="2"/>
                <w:sz w:val="21"/>
                <w:szCs w:val="21"/>
              </w:rPr>
              <w:t xml:space="preserve"> </w:t>
            </w:r>
            <w:r>
              <w:rPr>
                <w:rFonts w:ascii="宋体" w:hAnsi="宋体" w:cs="宋体" w:hint="eastAsia"/>
                <w:spacing w:val="20"/>
                <w:kern w:val="2"/>
                <w:sz w:val="21"/>
                <w:szCs w:val="21"/>
              </w:rPr>
              <w:t>.</w:t>
            </w:r>
            <w:r>
              <w:rPr>
                <w:rFonts w:ascii="宋体" w:hAnsi="宋体" w:cs="宋体" w:hint="eastAsia"/>
                <w:spacing w:val="-56"/>
                <w:kern w:val="2"/>
                <w:sz w:val="21"/>
                <w:szCs w:val="21"/>
              </w:rPr>
              <w:t xml:space="preserve"> </w:t>
            </w:r>
            <w:r>
              <w:rPr>
                <w:rFonts w:ascii="宋体" w:hAnsi="宋体" w:cs="宋体" w:hint="eastAsia"/>
                <w:spacing w:val="20"/>
                <w:kern w:val="2"/>
                <w:sz w:val="21"/>
                <w:szCs w:val="21"/>
              </w:rPr>
              <w:t>2(6)项</w:t>
            </w:r>
          </w:p>
        </w:tc>
        <w:tc>
          <w:tcPr>
            <w:tcW w:w="1738" w:type="dxa"/>
            <w:vAlign w:val="top"/>
          </w:tcPr>
          <w:p>
            <w:pPr>
              <w:widowControl w:val="0"/>
              <w:spacing w:before="274" w:line="221" w:lineRule="auto"/>
              <w:ind w:left="122"/>
              <w:jc w:val="both"/>
              <w:rPr>
                <w:rFonts w:ascii="宋体" w:hAnsi="宋体" w:cs="宋体" w:hint="eastAsia"/>
                <w:kern w:val="2"/>
                <w:sz w:val="21"/>
                <w:szCs w:val="21"/>
              </w:rPr>
            </w:pPr>
            <w:r>
              <w:rPr>
                <w:rFonts w:ascii="宋体" w:hAnsi="宋体" w:cs="宋体" w:hint="eastAsia"/>
                <w:spacing w:val="-2"/>
                <w:kern w:val="2"/>
                <w:sz w:val="21"/>
                <w:szCs w:val="21"/>
              </w:rPr>
              <w:t>联合体具体要求</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610"/>
        </w:trPr>
        <w:tc>
          <w:tcPr>
            <w:tcW w:w="1593" w:type="dxa"/>
            <w:vAlign w:val="top"/>
          </w:tcPr>
          <w:p>
            <w:pPr>
              <w:widowControl w:val="0"/>
              <w:spacing w:before="59" w:line="219" w:lineRule="auto"/>
              <w:ind w:left="474"/>
              <w:jc w:val="both"/>
              <w:rPr>
                <w:rFonts w:ascii="宋体" w:hAnsi="宋体" w:cs="宋体" w:hint="eastAsia"/>
                <w:kern w:val="2"/>
                <w:sz w:val="21"/>
                <w:szCs w:val="21"/>
              </w:rPr>
            </w:pPr>
            <w:r>
              <w:rPr>
                <w:rFonts w:ascii="宋体" w:hAnsi="宋体" w:cs="宋体" w:hint="eastAsia"/>
                <w:spacing w:val="-2"/>
                <w:kern w:val="2"/>
                <w:sz w:val="21"/>
                <w:szCs w:val="21"/>
              </w:rPr>
              <w:t>第二节</w:t>
            </w:r>
          </w:p>
          <w:p>
            <w:pPr>
              <w:widowControl w:val="0"/>
              <w:spacing w:before="20" w:line="219" w:lineRule="auto"/>
              <w:ind w:left="135"/>
              <w:jc w:val="both"/>
              <w:rPr>
                <w:rFonts w:ascii="宋体" w:hAnsi="宋体" w:cs="宋体" w:hint="eastAsia"/>
                <w:kern w:val="2"/>
                <w:sz w:val="21"/>
                <w:szCs w:val="21"/>
              </w:rPr>
            </w:pPr>
            <w:r>
              <w:rPr>
                <w:rFonts w:ascii="宋体" w:hAnsi="宋体" w:cs="宋体" w:hint="eastAsia"/>
                <w:spacing w:val="20"/>
                <w:kern w:val="2"/>
                <w:sz w:val="21"/>
                <w:szCs w:val="21"/>
              </w:rPr>
              <w:t>第1</w:t>
            </w:r>
            <w:r>
              <w:rPr>
                <w:rFonts w:ascii="宋体" w:hAnsi="宋体" w:cs="宋体" w:hint="eastAsia"/>
                <w:spacing w:val="-53"/>
                <w:kern w:val="2"/>
                <w:sz w:val="21"/>
                <w:szCs w:val="21"/>
              </w:rPr>
              <w:t xml:space="preserve"> </w:t>
            </w:r>
            <w:r>
              <w:rPr>
                <w:rFonts w:ascii="宋体" w:hAnsi="宋体" w:cs="宋体" w:hint="eastAsia"/>
                <w:spacing w:val="20"/>
                <w:kern w:val="2"/>
                <w:sz w:val="21"/>
                <w:szCs w:val="21"/>
              </w:rPr>
              <w:t>.</w:t>
            </w:r>
            <w:r>
              <w:rPr>
                <w:rFonts w:ascii="宋体" w:hAnsi="宋体" w:cs="宋体" w:hint="eastAsia"/>
                <w:spacing w:val="-56"/>
                <w:kern w:val="2"/>
                <w:sz w:val="21"/>
                <w:szCs w:val="21"/>
              </w:rPr>
              <w:t xml:space="preserve"> </w:t>
            </w:r>
            <w:r>
              <w:rPr>
                <w:rFonts w:ascii="宋体" w:hAnsi="宋体" w:cs="宋体" w:hint="eastAsia"/>
                <w:spacing w:val="20"/>
                <w:kern w:val="2"/>
                <w:sz w:val="21"/>
                <w:szCs w:val="21"/>
              </w:rPr>
              <w:t>2(7)项</w:t>
            </w:r>
          </w:p>
        </w:tc>
        <w:tc>
          <w:tcPr>
            <w:tcW w:w="1738" w:type="dxa"/>
            <w:vAlign w:val="top"/>
          </w:tcPr>
          <w:p>
            <w:pPr>
              <w:widowControl w:val="0"/>
              <w:spacing w:before="199" w:line="219" w:lineRule="auto"/>
              <w:ind w:left="122"/>
              <w:jc w:val="both"/>
              <w:rPr>
                <w:rFonts w:ascii="宋体" w:hAnsi="宋体" w:cs="宋体" w:hint="eastAsia"/>
                <w:kern w:val="2"/>
                <w:sz w:val="21"/>
                <w:szCs w:val="21"/>
              </w:rPr>
            </w:pPr>
            <w:r>
              <w:rPr>
                <w:rFonts w:ascii="宋体" w:hAnsi="宋体" w:cs="宋体" w:hint="eastAsia"/>
                <w:spacing w:val="-2"/>
                <w:kern w:val="2"/>
                <w:sz w:val="21"/>
                <w:szCs w:val="21"/>
              </w:rPr>
              <w:t>其他术语解释</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819"/>
        </w:trPr>
        <w:tc>
          <w:tcPr>
            <w:tcW w:w="1593" w:type="dxa"/>
            <w:vAlign w:val="top"/>
          </w:tcPr>
          <w:p>
            <w:pPr>
              <w:widowControl w:val="0"/>
              <w:spacing w:before="179" w:line="237" w:lineRule="auto"/>
              <w:ind w:left="474"/>
              <w:jc w:val="both"/>
              <w:rPr>
                <w:rFonts w:ascii="宋体" w:hAnsi="宋体" w:cs="宋体" w:hint="eastAsia"/>
                <w:kern w:val="2"/>
                <w:sz w:val="21"/>
                <w:szCs w:val="21"/>
              </w:rPr>
            </w:pPr>
            <w:r>
              <w:rPr>
                <w:rFonts w:ascii="宋体" w:hAnsi="宋体" w:cs="宋体" w:hint="eastAsia"/>
                <w:spacing w:val="-2"/>
                <w:kern w:val="2"/>
                <w:sz w:val="21"/>
                <w:szCs w:val="21"/>
              </w:rPr>
              <w:t>第二节</w:t>
            </w:r>
          </w:p>
          <w:p>
            <w:pPr>
              <w:widowControl w:val="0"/>
              <w:spacing w:line="219" w:lineRule="auto"/>
              <w:ind w:left="415"/>
              <w:jc w:val="both"/>
              <w:rPr>
                <w:rFonts w:ascii="宋体" w:hAnsi="宋体" w:cs="宋体" w:hint="eastAsia"/>
                <w:kern w:val="2"/>
                <w:sz w:val="21"/>
                <w:szCs w:val="21"/>
              </w:rPr>
            </w:pPr>
            <w:r>
              <w:rPr>
                <w:rFonts w:ascii="宋体" w:hAnsi="宋体" w:cs="宋体" w:hint="eastAsia"/>
                <w:spacing w:val="2"/>
                <w:kern w:val="2"/>
                <w:sz w:val="21"/>
                <w:szCs w:val="21"/>
              </w:rPr>
              <w:t>第4.4款</w:t>
            </w:r>
          </w:p>
        </w:tc>
        <w:tc>
          <w:tcPr>
            <w:tcW w:w="1738" w:type="dxa"/>
            <w:vAlign w:val="top"/>
          </w:tcPr>
          <w:p>
            <w:pPr>
              <w:widowControl w:val="0"/>
              <w:spacing w:before="48" w:line="223" w:lineRule="auto"/>
              <w:ind w:left="112" w:right="120" w:firstLine="10"/>
              <w:jc w:val="both"/>
              <w:rPr>
                <w:rFonts w:ascii="宋体" w:hAnsi="宋体" w:cs="宋体" w:hint="eastAsia"/>
                <w:kern w:val="2"/>
                <w:sz w:val="21"/>
                <w:szCs w:val="21"/>
              </w:rPr>
            </w:pPr>
            <w:r>
              <w:rPr>
                <w:rFonts w:ascii="宋体" w:hAnsi="宋体" w:cs="宋体" w:hint="eastAsia"/>
                <w:spacing w:val="-2"/>
                <w:kern w:val="2"/>
                <w:sz w:val="21"/>
                <w:szCs w:val="21"/>
              </w:rPr>
              <w:t>履约验收中甲方</w:t>
            </w:r>
            <w:r>
              <w:rPr>
                <w:rFonts w:ascii="宋体" w:hAnsi="宋体" w:cs="宋体" w:hint="eastAsia"/>
                <w:spacing w:val="1"/>
                <w:kern w:val="2"/>
                <w:sz w:val="21"/>
                <w:szCs w:val="21"/>
              </w:rPr>
              <w:t xml:space="preserve"> </w:t>
            </w:r>
            <w:r>
              <w:rPr>
                <w:rFonts w:ascii="宋体" w:hAnsi="宋体" w:cs="宋体" w:hint="eastAsia"/>
                <w:spacing w:val="3"/>
                <w:kern w:val="2"/>
                <w:sz w:val="21"/>
                <w:szCs w:val="21"/>
              </w:rPr>
              <w:t xml:space="preserve">提出异议或作出 </w:t>
            </w:r>
            <w:r>
              <w:rPr>
                <w:rFonts w:ascii="宋体" w:hAnsi="宋体" w:cs="宋体" w:hint="eastAsia"/>
                <w:spacing w:val="4"/>
                <w:kern w:val="2"/>
                <w:sz w:val="21"/>
                <w:szCs w:val="21"/>
              </w:rPr>
              <w:t>说明的期限</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740"/>
        </w:trPr>
        <w:tc>
          <w:tcPr>
            <w:tcW w:w="1593" w:type="dxa"/>
            <w:vAlign w:val="top"/>
          </w:tcPr>
          <w:p>
            <w:pPr>
              <w:widowControl w:val="0"/>
              <w:spacing w:before="140" w:line="280" w:lineRule="exact"/>
              <w:ind w:left="474"/>
              <w:jc w:val="both"/>
              <w:rPr>
                <w:rFonts w:ascii="宋体" w:hAnsi="宋体" w:cs="宋体" w:hint="eastAsia"/>
                <w:kern w:val="2"/>
                <w:sz w:val="21"/>
                <w:szCs w:val="21"/>
              </w:rPr>
            </w:pPr>
            <w:r>
              <w:rPr>
                <w:rFonts w:ascii="宋体" w:hAnsi="宋体" w:cs="宋体" w:hint="eastAsia"/>
                <w:spacing w:val="-2"/>
                <w:kern w:val="2"/>
                <w:position w:val="4"/>
                <w:sz w:val="21"/>
                <w:szCs w:val="21"/>
              </w:rPr>
              <w:t>第二节</w:t>
            </w:r>
          </w:p>
          <w:p>
            <w:pPr>
              <w:widowControl w:val="0"/>
              <w:spacing w:line="219" w:lineRule="auto"/>
              <w:ind w:left="415"/>
              <w:jc w:val="both"/>
              <w:rPr>
                <w:rFonts w:ascii="宋体" w:hAnsi="宋体" w:cs="宋体" w:hint="eastAsia"/>
                <w:kern w:val="2"/>
                <w:sz w:val="21"/>
                <w:szCs w:val="21"/>
              </w:rPr>
            </w:pPr>
            <w:r>
              <w:rPr>
                <w:rFonts w:ascii="宋体" w:hAnsi="宋体" w:cs="宋体" w:hint="eastAsia"/>
                <w:spacing w:val="2"/>
                <w:kern w:val="2"/>
                <w:sz w:val="21"/>
                <w:szCs w:val="21"/>
              </w:rPr>
              <w:t>第4.6款</w:t>
            </w:r>
          </w:p>
        </w:tc>
        <w:tc>
          <w:tcPr>
            <w:tcW w:w="1738" w:type="dxa"/>
            <w:vAlign w:val="top"/>
          </w:tcPr>
          <w:p>
            <w:pPr>
              <w:widowControl w:val="0"/>
              <w:spacing w:before="149" w:line="233" w:lineRule="auto"/>
              <w:ind w:left="122" w:right="119"/>
              <w:jc w:val="both"/>
              <w:rPr>
                <w:rFonts w:ascii="宋体" w:hAnsi="宋体" w:cs="宋体" w:hint="eastAsia"/>
                <w:kern w:val="2"/>
                <w:sz w:val="21"/>
                <w:szCs w:val="21"/>
              </w:rPr>
            </w:pPr>
            <w:r>
              <w:rPr>
                <w:rFonts w:ascii="宋体" w:hAnsi="宋体" w:cs="宋体" w:hint="eastAsia"/>
                <w:spacing w:val="2"/>
                <w:kern w:val="2"/>
                <w:sz w:val="21"/>
                <w:szCs w:val="21"/>
              </w:rPr>
              <w:t>约定甲方承担的</w:t>
            </w:r>
            <w:r>
              <w:rPr>
                <w:rFonts w:ascii="宋体" w:hAnsi="宋体" w:cs="宋体" w:hint="eastAsia"/>
                <w:spacing w:val="1"/>
                <w:kern w:val="2"/>
                <w:sz w:val="21"/>
                <w:szCs w:val="21"/>
              </w:rPr>
              <w:t xml:space="preserve"> </w:t>
            </w:r>
            <w:r>
              <w:rPr>
                <w:rFonts w:ascii="宋体" w:hAnsi="宋体" w:cs="宋体" w:hint="eastAsia"/>
                <w:spacing w:val="-2"/>
                <w:kern w:val="2"/>
                <w:sz w:val="21"/>
                <w:szCs w:val="21"/>
              </w:rPr>
              <w:t>其他义务和责任</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739"/>
        </w:trPr>
        <w:tc>
          <w:tcPr>
            <w:tcW w:w="1593" w:type="dxa"/>
            <w:vAlign w:val="top"/>
          </w:tcPr>
          <w:p>
            <w:pPr>
              <w:widowControl w:val="0"/>
              <w:spacing w:before="140" w:line="237" w:lineRule="auto"/>
              <w:ind w:left="474"/>
              <w:jc w:val="both"/>
              <w:rPr>
                <w:rFonts w:ascii="宋体" w:hAnsi="宋体" w:cs="宋体" w:hint="eastAsia"/>
                <w:kern w:val="2"/>
                <w:sz w:val="21"/>
                <w:szCs w:val="21"/>
              </w:rPr>
            </w:pPr>
            <w:r>
              <w:rPr>
                <w:rFonts w:ascii="宋体" w:hAnsi="宋体" w:cs="宋体" w:hint="eastAsia"/>
                <w:spacing w:val="-2"/>
                <w:kern w:val="2"/>
                <w:sz w:val="21"/>
                <w:szCs w:val="21"/>
              </w:rPr>
              <w:t>第二节</w:t>
            </w:r>
          </w:p>
          <w:p>
            <w:pPr>
              <w:widowControl w:val="0"/>
              <w:spacing w:line="219" w:lineRule="auto"/>
              <w:ind w:left="415"/>
              <w:jc w:val="both"/>
              <w:rPr>
                <w:rFonts w:ascii="宋体" w:hAnsi="宋体" w:cs="宋体" w:hint="eastAsia"/>
                <w:kern w:val="2"/>
                <w:sz w:val="21"/>
                <w:szCs w:val="21"/>
              </w:rPr>
            </w:pPr>
            <w:r>
              <w:rPr>
                <w:rFonts w:ascii="宋体" w:hAnsi="宋体" w:cs="宋体" w:hint="eastAsia"/>
                <w:spacing w:val="2"/>
                <w:kern w:val="2"/>
                <w:sz w:val="21"/>
                <w:szCs w:val="21"/>
              </w:rPr>
              <w:t>第5.4款</w:t>
            </w:r>
          </w:p>
        </w:tc>
        <w:tc>
          <w:tcPr>
            <w:tcW w:w="1738" w:type="dxa"/>
            <w:vAlign w:val="top"/>
          </w:tcPr>
          <w:p>
            <w:pPr>
              <w:widowControl w:val="0"/>
              <w:spacing w:before="151" w:line="228" w:lineRule="auto"/>
              <w:ind w:left="122" w:right="119"/>
              <w:jc w:val="both"/>
              <w:rPr>
                <w:rFonts w:ascii="宋体" w:hAnsi="宋体" w:cs="宋体" w:hint="eastAsia"/>
                <w:kern w:val="2"/>
                <w:sz w:val="21"/>
                <w:szCs w:val="21"/>
              </w:rPr>
            </w:pPr>
            <w:r>
              <w:rPr>
                <w:rFonts w:ascii="宋体" w:hAnsi="宋体" w:cs="宋体" w:hint="eastAsia"/>
                <w:spacing w:val="2"/>
                <w:kern w:val="2"/>
                <w:sz w:val="21"/>
                <w:szCs w:val="21"/>
              </w:rPr>
              <w:t>约定乙方承担的</w:t>
            </w:r>
            <w:r>
              <w:rPr>
                <w:rFonts w:ascii="宋体" w:hAnsi="宋体" w:cs="宋体" w:hint="eastAsia"/>
                <w:spacing w:val="1"/>
                <w:kern w:val="2"/>
                <w:sz w:val="21"/>
                <w:szCs w:val="21"/>
              </w:rPr>
              <w:t xml:space="preserve"> </w:t>
            </w:r>
            <w:r>
              <w:rPr>
                <w:rFonts w:ascii="宋体" w:hAnsi="宋体" w:cs="宋体" w:hint="eastAsia"/>
                <w:spacing w:val="-2"/>
                <w:kern w:val="2"/>
                <w:sz w:val="21"/>
                <w:szCs w:val="21"/>
              </w:rPr>
              <w:t>其他义务和责任</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740"/>
        </w:trPr>
        <w:tc>
          <w:tcPr>
            <w:tcW w:w="1593" w:type="dxa"/>
            <w:vAlign w:val="top"/>
          </w:tcPr>
          <w:p>
            <w:pPr>
              <w:widowControl w:val="0"/>
              <w:spacing w:before="161" w:line="211" w:lineRule="auto"/>
              <w:ind w:left="474"/>
              <w:jc w:val="both"/>
              <w:rPr>
                <w:rFonts w:ascii="宋体" w:hAnsi="宋体" w:cs="宋体" w:hint="eastAsia"/>
                <w:kern w:val="2"/>
                <w:sz w:val="21"/>
                <w:szCs w:val="21"/>
              </w:rPr>
            </w:pPr>
            <w:r>
              <w:rPr>
                <w:rFonts w:ascii="宋体" w:hAnsi="宋体" w:cs="宋体" w:hint="eastAsia"/>
                <w:spacing w:val="-2"/>
                <w:kern w:val="2"/>
                <w:sz w:val="21"/>
                <w:szCs w:val="21"/>
              </w:rPr>
              <w:t>第二节</w:t>
            </w:r>
          </w:p>
          <w:p>
            <w:pPr>
              <w:widowControl w:val="0"/>
              <w:spacing w:line="219" w:lineRule="auto"/>
              <w:ind w:left="415"/>
              <w:jc w:val="both"/>
              <w:rPr>
                <w:rFonts w:ascii="宋体" w:hAnsi="宋体" w:cs="宋体" w:hint="eastAsia"/>
                <w:kern w:val="2"/>
                <w:sz w:val="21"/>
                <w:szCs w:val="21"/>
              </w:rPr>
            </w:pPr>
            <w:r>
              <w:rPr>
                <w:rFonts w:ascii="宋体" w:hAnsi="宋体" w:cs="宋体" w:hint="eastAsia"/>
                <w:spacing w:val="2"/>
                <w:kern w:val="2"/>
                <w:sz w:val="21"/>
                <w:szCs w:val="21"/>
              </w:rPr>
              <w:t>第6.1款</w:t>
            </w:r>
          </w:p>
        </w:tc>
        <w:tc>
          <w:tcPr>
            <w:tcW w:w="1738" w:type="dxa"/>
            <w:vAlign w:val="top"/>
          </w:tcPr>
          <w:p>
            <w:pPr>
              <w:widowControl w:val="0"/>
              <w:spacing w:before="162" w:line="220" w:lineRule="auto"/>
              <w:ind w:left="122" w:right="119"/>
              <w:jc w:val="both"/>
              <w:rPr>
                <w:rFonts w:ascii="宋体" w:hAnsi="宋体" w:cs="宋体" w:hint="eastAsia"/>
                <w:kern w:val="2"/>
                <w:sz w:val="21"/>
                <w:szCs w:val="21"/>
              </w:rPr>
            </w:pPr>
            <w:r>
              <w:rPr>
                <w:rFonts w:ascii="宋体" w:hAnsi="宋体" w:cs="宋体" w:hint="eastAsia"/>
                <w:spacing w:val="2"/>
                <w:kern w:val="2"/>
                <w:sz w:val="21"/>
                <w:szCs w:val="21"/>
              </w:rPr>
              <w:t>履行合同义务的</w:t>
            </w:r>
            <w:r>
              <w:rPr>
                <w:rFonts w:ascii="宋体" w:hAnsi="宋体" w:cs="宋体" w:hint="eastAsia"/>
                <w:spacing w:val="1"/>
                <w:kern w:val="2"/>
                <w:sz w:val="21"/>
                <w:szCs w:val="21"/>
              </w:rPr>
              <w:t xml:space="preserve"> </w:t>
            </w:r>
            <w:r>
              <w:rPr>
                <w:rFonts w:ascii="宋体" w:hAnsi="宋体" w:cs="宋体" w:hint="eastAsia"/>
                <w:spacing w:val="6"/>
                <w:kern w:val="2"/>
                <w:sz w:val="21"/>
                <w:szCs w:val="21"/>
              </w:rPr>
              <w:t>顺序</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670"/>
        </w:trPr>
        <w:tc>
          <w:tcPr>
            <w:tcW w:w="1593" w:type="dxa"/>
            <w:vMerge w:val="restart"/>
            <w:tcBorders>
              <w:bottom w:val="nil"/>
            </w:tcBorders>
            <w:vAlign w:val="top"/>
          </w:tcPr>
          <w:p>
            <w:pPr>
              <w:widowControl w:val="0"/>
              <w:spacing w:line="370" w:lineRule="auto"/>
              <w:jc w:val="both"/>
              <w:rPr>
                <w:rFonts w:ascii="宋体" w:hAnsi="宋体" w:cs="宋体" w:hint="eastAsia"/>
                <w:kern w:val="2"/>
                <w:sz w:val="21"/>
                <w:lang w:eastAsia="zh-CN"/>
              </w:rPr>
            </w:pPr>
          </w:p>
          <w:p>
            <w:pPr>
              <w:widowControl w:val="0"/>
              <w:spacing w:before="69" w:line="280" w:lineRule="exact"/>
              <w:ind w:left="474"/>
              <w:jc w:val="both"/>
              <w:rPr>
                <w:rFonts w:ascii="宋体" w:hAnsi="宋体" w:cs="宋体" w:hint="eastAsia"/>
                <w:kern w:val="2"/>
                <w:sz w:val="21"/>
                <w:szCs w:val="21"/>
              </w:rPr>
            </w:pPr>
            <w:r>
              <w:rPr>
                <w:rFonts w:ascii="宋体" w:hAnsi="宋体" w:cs="宋体" w:hint="eastAsia"/>
                <w:spacing w:val="-2"/>
                <w:kern w:val="2"/>
                <w:position w:val="4"/>
                <w:sz w:val="21"/>
                <w:szCs w:val="21"/>
              </w:rPr>
              <w:t>第二节</w:t>
            </w:r>
          </w:p>
          <w:p>
            <w:pPr>
              <w:widowControl w:val="0"/>
              <w:spacing w:line="219" w:lineRule="auto"/>
              <w:ind w:left="415"/>
              <w:jc w:val="both"/>
              <w:rPr>
                <w:rFonts w:ascii="宋体" w:hAnsi="宋体" w:cs="宋体" w:hint="eastAsia"/>
                <w:kern w:val="2"/>
                <w:sz w:val="21"/>
                <w:szCs w:val="21"/>
              </w:rPr>
            </w:pPr>
            <w:r>
              <w:rPr>
                <w:rFonts w:ascii="宋体" w:hAnsi="宋体" w:cs="宋体" w:hint="eastAsia"/>
                <w:spacing w:val="2"/>
                <w:kern w:val="2"/>
                <w:sz w:val="21"/>
                <w:szCs w:val="21"/>
              </w:rPr>
              <w:t>第7.1款</w:t>
            </w:r>
          </w:p>
        </w:tc>
        <w:tc>
          <w:tcPr>
            <w:tcW w:w="1738" w:type="dxa"/>
            <w:vAlign w:val="top"/>
          </w:tcPr>
          <w:p>
            <w:pPr>
              <w:widowControl w:val="0"/>
              <w:spacing w:before="231" w:line="219" w:lineRule="auto"/>
              <w:ind w:left="122"/>
              <w:jc w:val="both"/>
              <w:rPr>
                <w:rFonts w:ascii="宋体" w:hAnsi="宋体" w:cs="宋体" w:hint="eastAsia"/>
                <w:kern w:val="2"/>
                <w:sz w:val="21"/>
                <w:szCs w:val="21"/>
              </w:rPr>
            </w:pPr>
            <w:r>
              <w:rPr>
                <w:rFonts w:ascii="宋体" w:hAnsi="宋体" w:cs="宋体" w:hint="eastAsia"/>
                <w:spacing w:val="-2"/>
                <w:kern w:val="2"/>
                <w:sz w:val="21"/>
                <w:szCs w:val="21"/>
              </w:rPr>
              <w:t>包装特殊要求</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669"/>
        </w:trPr>
        <w:tc>
          <w:tcPr>
            <w:tcW w:w="1593" w:type="dxa"/>
            <w:vMerge/>
            <w:tcBorders>
              <w:top w:val="nil"/>
            </w:tcBorders>
            <w:vAlign w:val="top"/>
          </w:tcPr>
          <w:p>
            <w:pPr>
              <w:widowControl w:val="0"/>
              <w:jc w:val="both"/>
              <w:rPr>
                <w:rFonts w:ascii="宋体" w:hAnsi="宋体" w:cs="宋体" w:hint="eastAsia"/>
                <w:kern w:val="2"/>
                <w:sz w:val="21"/>
                <w:lang w:eastAsia="zh-CN"/>
              </w:rPr>
            </w:pPr>
          </w:p>
        </w:tc>
        <w:tc>
          <w:tcPr>
            <w:tcW w:w="1738" w:type="dxa"/>
            <w:vAlign w:val="top"/>
          </w:tcPr>
          <w:p>
            <w:pPr>
              <w:widowControl w:val="0"/>
              <w:spacing w:before="232" w:line="220" w:lineRule="auto"/>
              <w:ind w:left="122"/>
              <w:jc w:val="both"/>
              <w:rPr>
                <w:rFonts w:ascii="宋体" w:hAnsi="宋体" w:cs="宋体" w:hint="eastAsia"/>
                <w:kern w:val="2"/>
                <w:sz w:val="21"/>
                <w:szCs w:val="21"/>
              </w:rPr>
            </w:pPr>
            <w:r>
              <w:rPr>
                <w:rFonts w:ascii="宋体" w:hAnsi="宋体" w:cs="宋体" w:hint="eastAsia"/>
                <w:spacing w:val="3"/>
                <w:kern w:val="2"/>
                <w:sz w:val="21"/>
                <w:szCs w:val="21"/>
              </w:rPr>
              <w:t>指定现场</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789"/>
        </w:trPr>
        <w:tc>
          <w:tcPr>
            <w:tcW w:w="1593" w:type="dxa"/>
            <w:vAlign w:val="top"/>
          </w:tcPr>
          <w:p>
            <w:pPr>
              <w:widowControl w:val="0"/>
              <w:spacing w:before="182" w:line="220" w:lineRule="auto"/>
              <w:ind w:left="474"/>
              <w:jc w:val="both"/>
              <w:rPr>
                <w:rFonts w:ascii="宋体" w:hAnsi="宋体" w:cs="宋体" w:hint="eastAsia"/>
                <w:kern w:val="2"/>
                <w:sz w:val="21"/>
                <w:szCs w:val="21"/>
              </w:rPr>
            </w:pPr>
            <w:r>
              <w:rPr>
                <w:rFonts w:ascii="宋体" w:hAnsi="宋体" w:cs="宋体" w:hint="eastAsia"/>
                <w:spacing w:val="-2"/>
                <w:kern w:val="2"/>
                <w:sz w:val="21"/>
                <w:szCs w:val="21"/>
              </w:rPr>
              <w:t>第二节</w:t>
            </w:r>
          </w:p>
          <w:p>
            <w:pPr>
              <w:widowControl w:val="0"/>
              <w:spacing w:line="219" w:lineRule="auto"/>
              <w:ind w:left="415"/>
              <w:jc w:val="both"/>
              <w:rPr>
                <w:rFonts w:ascii="宋体" w:hAnsi="宋体" w:cs="宋体" w:hint="eastAsia"/>
                <w:kern w:val="2"/>
                <w:sz w:val="21"/>
                <w:szCs w:val="21"/>
              </w:rPr>
            </w:pPr>
            <w:r>
              <w:rPr>
                <w:rFonts w:ascii="宋体" w:hAnsi="宋体" w:cs="宋体" w:hint="eastAsia"/>
                <w:spacing w:val="2"/>
                <w:kern w:val="2"/>
                <w:sz w:val="21"/>
                <w:szCs w:val="21"/>
              </w:rPr>
              <w:t>第7.2款</w:t>
            </w:r>
          </w:p>
        </w:tc>
        <w:tc>
          <w:tcPr>
            <w:tcW w:w="1738" w:type="dxa"/>
            <w:vAlign w:val="top"/>
          </w:tcPr>
          <w:p>
            <w:pPr>
              <w:widowControl w:val="0"/>
              <w:spacing w:before="292" w:line="219" w:lineRule="auto"/>
              <w:ind w:left="122"/>
              <w:jc w:val="both"/>
              <w:rPr>
                <w:rFonts w:ascii="宋体" w:hAnsi="宋体" w:cs="宋体" w:hint="eastAsia"/>
                <w:kern w:val="2"/>
                <w:sz w:val="21"/>
                <w:szCs w:val="21"/>
              </w:rPr>
            </w:pPr>
            <w:r>
              <w:rPr>
                <w:rFonts w:ascii="宋体" w:hAnsi="宋体" w:cs="宋体" w:hint="eastAsia"/>
                <w:spacing w:val="-2"/>
                <w:kern w:val="2"/>
                <w:sz w:val="21"/>
                <w:szCs w:val="21"/>
              </w:rPr>
              <w:t>运输特殊要求</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669"/>
        </w:trPr>
        <w:tc>
          <w:tcPr>
            <w:tcW w:w="1593" w:type="dxa"/>
            <w:vAlign w:val="top"/>
          </w:tcPr>
          <w:p>
            <w:pPr>
              <w:widowControl w:val="0"/>
              <w:spacing w:before="103" w:line="237" w:lineRule="auto"/>
              <w:ind w:left="474"/>
              <w:jc w:val="both"/>
              <w:rPr>
                <w:rFonts w:ascii="宋体" w:hAnsi="宋体" w:cs="宋体" w:hint="eastAsia"/>
                <w:kern w:val="2"/>
                <w:sz w:val="21"/>
                <w:szCs w:val="21"/>
              </w:rPr>
            </w:pPr>
            <w:r>
              <w:rPr>
                <w:rFonts w:ascii="宋体" w:hAnsi="宋体" w:cs="宋体" w:hint="eastAsia"/>
                <w:spacing w:val="-2"/>
                <w:kern w:val="2"/>
                <w:sz w:val="21"/>
                <w:szCs w:val="21"/>
              </w:rPr>
              <w:t>第二节</w:t>
            </w:r>
          </w:p>
          <w:p>
            <w:pPr>
              <w:widowControl w:val="0"/>
              <w:spacing w:line="219" w:lineRule="auto"/>
              <w:ind w:left="415"/>
              <w:jc w:val="both"/>
              <w:rPr>
                <w:rFonts w:ascii="宋体" w:hAnsi="宋体" w:cs="宋体" w:hint="eastAsia"/>
                <w:kern w:val="2"/>
                <w:sz w:val="21"/>
                <w:szCs w:val="21"/>
              </w:rPr>
            </w:pPr>
            <w:r>
              <w:rPr>
                <w:rFonts w:ascii="宋体" w:hAnsi="宋体" w:cs="宋体" w:hint="eastAsia"/>
                <w:spacing w:val="2"/>
                <w:kern w:val="2"/>
                <w:sz w:val="21"/>
                <w:szCs w:val="21"/>
              </w:rPr>
              <w:t>第7.3款</w:t>
            </w:r>
          </w:p>
        </w:tc>
        <w:tc>
          <w:tcPr>
            <w:tcW w:w="1738" w:type="dxa"/>
            <w:vAlign w:val="top"/>
          </w:tcPr>
          <w:p>
            <w:pPr>
              <w:widowControl w:val="0"/>
              <w:spacing w:before="234" w:line="220" w:lineRule="auto"/>
              <w:ind w:left="122"/>
              <w:jc w:val="both"/>
              <w:rPr>
                <w:rFonts w:ascii="宋体" w:hAnsi="宋体" w:cs="宋体" w:hint="eastAsia"/>
                <w:kern w:val="2"/>
                <w:sz w:val="21"/>
                <w:szCs w:val="21"/>
              </w:rPr>
            </w:pPr>
            <w:r>
              <w:rPr>
                <w:rFonts w:ascii="宋体" w:hAnsi="宋体" w:cs="宋体" w:hint="eastAsia"/>
                <w:spacing w:val="-2"/>
                <w:kern w:val="2"/>
                <w:sz w:val="21"/>
                <w:szCs w:val="21"/>
              </w:rPr>
              <w:t>保险要求</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729"/>
        </w:trPr>
        <w:tc>
          <w:tcPr>
            <w:tcW w:w="1593" w:type="dxa"/>
            <w:vAlign w:val="top"/>
          </w:tcPr>
          <w:p>
            <w:pPr>
              <w:widowControl w:val="0"/>
              <w:spacing w:before="124" w:line="219" w:lineRule="auto"/>
              <w:ind w:left="474"/>
              <w:jc w:val="both"/>
              <w:rPr>
                <w:rFonts w:ascii="宋体" w:hAnsi="宋体" w:cs="宋体" w:hint="eastAsia"/>
                <w:kern w:val="2"/>
                <w:sz w:val="21"/>
                <w:szCs w:val="21"/>
              </w:rPr>
            </w:pPr>
            <w:r>
              <w:rPr>
                <w:rFonts w:ascii="宋体" w:hAnsi="宋体" w:cs="宋体" w:hint="eastAsia"/>
                <w:spacing w:val="-2"/>
                <w:kern w:val="2"/>
                <w:sz w:val="21"/>
                <w:szCs w:val="21"/>
              </w:rPr>
              <w:t>第二节</w:t>
            </w:r>
          </w:p>
          <w:p>
            <w:pPr>
              <w:widowControl w:val="0"/>
              <w:spacing w:before="60" w:line="219" w:lineRule="auto"/>
              <w:ind w:left="135"/>
              <w:jc w:val="both"/>
              <w:rPr>
                <w:rFonts w:ascii="宋体" w:hAnsi="宋体" w:cs="宋体" w:hint="eastAsia"/>
                <w:kern w:val="2"/>
                <w:sz w:val="21"/>
                <w:szCs w:val="21"/>
              </w:rPr>
            </w:pPr>
            <w:r>
              <w:rPr>
                <w:rFonts w:ascii="宋体" w:hAnsi="宋体" w:cs="宋体" w:hint="eastAsia"/>
                <w:spacing w:val="20"/>
                <w:kern w:val="2"/>
                <w:sz w:val="21"/>
                <w:szCs w:val="21"/>
              </w:rPr>
              <w:t>第8</w:t>
            </w:r>
            <w:r>
              <w:rPr>
                <w:rFonts w:ascii="宋体" w:hAnsi="宋体" w:cs="宋体" w:hint="eastAsia"/>
                <w:spacing w:val="-53"/>
                <w:kern w:val="2"/>
                <w:sz w:val="21"/>
                <w:szCs w:val="21"/>
              </w:rPr>
              <w:t xml:space="preserve"> </w:t>
            </w:r>
            <w:r>
              <w:rPr>
                <w:rFonts w:ascii="宋体" w:hAnsi="宋体" w:cs="宋体" w:hint="eastAsia"/>
                <w:spacing w:val="20"/>
                <w:kern w:val="2"/>
                <w:sz w:val="21"/>
                <w:szCs w:val="21"/>
              </w:rPr>
              <w:t>.</w:t>
            </w:r>
            <w:r>
              <w:rPr>
                <w:rFonts w:ascii="宋体" w:hAnsi="宋体" w:cs="宋体" w:hint="eastAsia"/>
                <w:spacing w:val="-56"/>
                <w:kern w:val="2"/>
                <w:sz w:val="21"/>
                <w:szCs w:val="21"/>
              </w:rPr>
              <w:t xml:space="preserve"> </w:t>
            </w:r>
            <w:r>
              <w:rPr>
                <w:rFonts w:ascii="宋体" w:hAnsi="宋体" w:cs="宋体" w:hint="eastAsia"/>
                <w:spacing w:val="20"/>
                <w:kern w:val="2"/>
                <w:sz w:val="21"/>
                <w:szCs w:val="21"/>
              </w:rPr>
              <w:t>2(1)项</w:t>
            </w:r>
          </w:p>
        </w:tc>
        <w:tc>
          <w:tcPr>
            <w:tcW w:w="1738" w:type="dxa"/>
            <w:vAlign w:val="top"/>
          </w:tcPr>
          <w:p>
            <w:pPr>
              <w:widowControl w:val="0"/>
              <w:spacing w:before="265" w:line="220" w:lineRule="auto"/>
              <w:ind w:left="122"/>
              <w:jc w:val="both"/>
              <w:rPr>
                <w:rFonts w:ascii="宋体" w:hAnsi="宋体" w:cs="宋体" w:hint="eastAsia"/>
                <w:kern w:val="2"/>
                <w:sz w:val="21"/>
                <w:szCs w:val="21"/>
              </w:rPr>
            </w:pPr>
            <w:r>
              <w:rPr>
                <w:rFonts w:ascii="宋体" w:hAnsi="宋体" w:cs="宋体" w:hint="eastAsia"/>
                <w:spacing w:val="2"/>
                <w:kern w:val="2"/>
                <w:sz w:val="21"/>
                <w:szCs w:val="21"/>
              </w:rPr>
              <w:t>质量保证期</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750"/>
        </w:trPr>
        <w:tc>
          <w:tcPr>
            <w:tcW w:w="1593" w:type="dxa"/>
            <w:vAlign w:val="top"/>
          </w:tcPr>
          <w:p>
            <w:pPr>
              <w:widowControl w:val="0"/>
              <w:spacing w:before="165" w:line="219" w:lineRule="auto"/>
              <w:ind w:left="474"/>
              <w:jc w:val="both"/>
              <w:rPr>
                <w:rFonts w:ascii="宋体" w:hAnsi="宋体" w:cs="宋体" w:hint="eastAsia"/>
                <w:kern w:val="2"/>
                <w:sz w:val="21"/>
                <w:szCs w:val="21"/>
              </w:rPr>
            </w:pPr>
            <w:r>
              <w:rPr>
                <w:rFonts w:ascii="宋体" w:hAnsi="宋体" w:cs="宋体" w:hint="eastAsia"/>
                <w:spacing w:val="-2"/>
                <w:kern w:val="2"/>
                <w:sz w:val="21"/>
                <w:szCs w:val="21"/>
              </w:rPr>
              <w:t>第二节</w:t>
            </w:r>
          </w:p>
          <w:p>
            <w:pPr>
              <w:widowControl w:val="0"/>
              <w:spacing w:before="30" w:line="219" w:lineRule="auto"/>
              <w:ind w:left="125"/>
              <w:jc w:val="both"/>
              <w:rPr>
                <w:rFonts w:ascii="宋体" w:hAnsi="宋体" w:cs="宋体" w:hint="eastAsia"/>
                <w:kern w:val="2"/>
                <w:sz w:val="21"/>
                <w:szCs w:val="21"/>
              </w:rPr>
            </w:pPr>
            <w:r>
              <w:rPr>
                <w:rFonts w:ascii="宋体" w:hAnsi="宋体" w:cs="宋体" w:hint="eastAsia"/>
                <w:spacing w:val="21"/>
                <w:kern w:val="2"/>
                <w:sz w:val="21"/>
                <w:szCs w:val="21"/>
              </w:rPr>
              <w:t>第8</w:t>
            </w:r>
            <w:r>
              <w:rPr>
                <w:rFonts w:ascii="宋体" w:hAnsi="宋体" w:cs="宋体" w:hint="eastAsia"/>
                <w:spacing w:val="-44"/>
                <w:kern w:val="2"/>
                <w:sz w:val="21"/>
                <w:szCs w:val="21"/>
              </w:rPr>
              <w:t xml:space="preserve"> </w:t>
            </w:r>
            <w:r>
              <w:rPr>
                <w:rFonts w:ascii="宋体" w:hAnsi="宋体" w:cs="宋体" w:hint="eastAsia"/>
                <w:spacing w:val="21"/>
                <w:kern w:val="2"/>
                <w:sz w:val="21"/>
                <w:szCs w:val="21"/>
              </w:rPr>
              <w:t>.</w:t>
            </w:r>
            <w:r>
              <w:rPr>
                <w:rFonts w:ascii="宋体" w:hAnsi="宋体" w:cs="宋体" w:hint="eastAsia"/>
                <w:spacing w:val="-52"/>
                <w:kern w:val="2"/>
                <w:sz w:val="21"/>
                <w:szCs w:val="21"/>
              </w:rPr>
              <w:t xml:space="preserve"> </w:t>
            </w:r>
            <w:r>
              <w:rPr>
                <w:rFonts w:ascii="宋体" w:hAnsi="宋体" w:cs="宋体" w:hint="eastAsia"/>
                <w:spacing w:val="21"/>
                <w:kern w:val="2"/>
                <w:sz w:val="21"/>
                <w:szCs w:val="21"/>
              </w:rPr>
              <w:t>2(3)项</w:t>
            </w:r>
          </w:p>
        </w:tc>
        <w:tc>
          <w:tcPr>
            <w:tcW w:w="1738" w:type="dxa"/>
            <w:vAlign w:val="top"/>
          </w:tcPr>
          <w:p>
            <w:pPr>
              <w:widowControl w:val="0"/>
              <w:spacing w:before="185" w:line="226" w:lineRule="auto"/>
              <w:ind w:left="122" w:right="329"/>
              <w:jc w:val="both"/>
              <w:rPr>
                <w:rFonts w:ascii="宋体" w:hAnsi="宋体" w:cs="宋体" w:hint="eastAsia"/>
                <w:kern w:val="2"/>
                <w:sz w:val="21"/>
                <w:szCs w:val="21"/>
              </w:rPr>
            </w:pPr>
            <w:r>
              <w:rPr>
                <w:rFonts w:ascii="宋体" w:hAnsi="宋体" w:cs="宋体" w:hint="eastAsia"/>
                <w:spacing w:val="2"/>
                <w:kern w:val="2"/>
                <w:sz w:val="21"/>
                <w:szCs w:val="21"/>
              </w:rPr>
              <w:t>货物质量缺陷</w:t>
            </w:r>
            <w:r>
              <w:rPr>
                <w:rFonts w:ascii="宋体" w:hAnsi="宋体" w:cs="宋体" w:hint="eastAsia"/>
                <w:spacing w:val="3"/>
                <w:kern w:val="2"/>
                <w:sz w:val="21"/>
                <w:szCs w:val="21"/>
              </w:rPr>
              <w:t xml:space="preserve"> </w:t>
            </w:r>
            <w:r>
              <w:rPr>
                <w:rFonts w:ascii="宋体" w:hAnsi="宋体" w:cs="宋体" w:hint="eastAsia"/>
                <w:spacing w:val="5"/>
                <w:kern w:val="2"/>
                <w:sz w:val="21"/>
                <w:szCs w:val="21"/>
              </w:rPr>
              <w:t>响应时间</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739"/>
        </w:trPr>
        <w:tc>
          <w:tcPr>
            <w:tcW w:w="1593" w:type="dxa"/>
            <w:vAlign w:val="top"/>
          </w:tcPr>
          <w:p>
            <w:pPr>
              <w:widowControl w:val="0"/>
              <w:spacing w:before="85" w:line="380" w:lineRule="exact"/>
              <w:ind w:left="474"/>
              <w:jc w:val="both"/>
              <w:rPr>
                <w:rFonts w:ascii="宋体" w:hAnsi="宋体" w:cs="宋体" w:hint="eastAsia"/>
                <w:kern w:val="2"/>
                <w:sz w:val="21"/>
                <w:szCs w:val="21"/>
              </w:rPr>
            </w:pPr>
            <w:r>
              <w:rPr>
                <w:rFonts w:ascii="宋体" w:hAnsi="宋体" w:cs="宋体" w:hint="eastAsia"/>
                <w:spacing w:val="-2"/>
                <w:kern w:val="2"/>
                <w:position w:val="12"/>
                <w:sz w:val="21"/>
                <w:szCs w:val="21"/>
              </w:rPr>
              <w:t>第二节</w:t>
            </w:r>
          </w:p>
          <w:p>
            <w:pPr>
              <w:widowControl w:val="0"/>
              <w:spacing w:line="219" w:lineRule="auto"/>
              <w:ind w:left="365"/>
              <w:jc w:val="both"/>
              <w:rPr>
                <w:rFonts w:ascii="宋体" w:hAnsi="宋体" w:cs="宋体" w:hint="eastAsia"/>
                <w:kern w:val="2"/>
                <w:sz w:val="21"/>
                <w:szCs w:val="21"/>
              </w:rPr>
            </w:pPr>
            <w:r>
              <w:rPr>
                <w:rFonts w:ascii="宋体" w:hAnsi="宋体" w:cs="宋体" w:hint="eastAsia"/>
                <w:spacing w:val="-2"/>
                <w:kern w:val="2"/>
                <w:sz w:val="21"/>
                <w:szCs w:val="21"/>
              </w:rPr>
              <w:t>第11.1款</w:t>
            </w:r>
          </w:p>
        </w:tc>
        <w:tc>
          <w:tcPr>
            <w:tcW w:w="1738" w:type="dxa"/>
            <w:vAlign w:val="top"/>
          </w:tcPr>
          <w:p>
            <w:pPr>
              <w:widowControl w:val="0"/>
              <w:spacing w:before="155" w:line="215" w:lineRule="auto"/>
              <w:ind w:left="122" w:right="119"/>
              <w:jc w:val="both"/>
              <w:rPr>
                <w:rFonts w:ascii="宋体" w:hAnsi="宋体" w:cs="宋体" w:hint="eastAsia"/>
                <w:kern w:val="2"/>
                <w:sz w:val="21"/>
                <w:szCs w:val="21"/>
              </w:rPr>
            </w:pPr>
            <w:r>
              <w:rPr>
                <w:rFonts w:ascii="宋体" w:hAnsi="宋体" w:cs="宋体" w:hint="eastAsia"/>
                <w:spacing w:val="2"/>
                <w:kern w:val="2"/>
                <w:sz w:val="21"/>
                <w:szCs w:val="21"/>
              </w:rPr>
              <w:t>其他应当保密的</w:t>
            </w:r>
            <w:r>
              <w:rPr>
                <w:rFonts w:ascii="宋体" w:hAnsi="宋体" w:cs="宋体" w:hint="eastAsia"/>
                <w:spacing w:val="1"/>
                <w:kern w:val="2"/>
                <w:sz w:val="21"/>
                <w:szCs w:val="21"/>
              </w:rPr>
              <w:t xml:space="preserve"> </w:t>
            </w:r>
            <w:r>
              <w:rPr>
                <w:rFonts w:ascii="宋体" w:hAnsi="宋体" w:cs="宋体" w:hint="eastAsia"/>
                <w:spacing w:val="7"/>
                <w:kern w:val="2"/>
                <w:sz w:val="21"/>
                <w:szCs w:val="21"/>
              </w:rPr>
              <w:t>信息</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700"/>
        </w:trPr>
        <w:tc>
          <w:tcPr>
            <w:tcW w:w="1593" w:type="dxa"/>
            <w:vAlign w:val="top"/>
          </w:tcPr>
          <w:p>
            <w:pPr>
              <w:widowControl w:val="0"/>
              <w:spacing w:before="116" w:line="280" w:lineRule="exact"/>
              <w:ind w:left="474"/>
              <w:jc w:val="both"/>
              <w:rPr>
                <w:rFonts w:ascii="宋体" w:hAnsi="宋体" w:cs="宋体" w:hint="eastAsia"/>
                <w:kern w:val="2"/>
                <w:sz w:val="21"/>
                <w:szCs w:val="21"/>
              </w:rPr>
            </w:pPr>
            <w:r>
              <w:rPr>
                <w:rFonts w:ascii="宋体" w:hAnsi="宋体" w:cs="宋体" w:hint="eastAsia"/>
                <w:spacing w:val="-2"/>
                <w:kern w:val="2"/>
                <w:position w:val="4"/>
                <w:sz w:val="21"/>
                <w:szCs w:val="21"/>
              </w:rPr>
              <w:t>第二节</w:t>
            </w:r>
          </w:p>
          <w:p>
            <w:pPr>
              <w:widowControl w:val="0"/>
              <w:spacing w:line="219" w:lineRule="auto"/>
              <w:ind w:left="365"/>
              <w:jc w:val="both"/>
              <w:rPr>
                <w:rFonts w:ascii="宋体" w:hAnsi="宋体" w:cs="宋体" w:hint="eastAsia"/>
                <w:kern w:val="2"/>
                <w:sz w:val="21"/>
                <w:szCs w:val="21"/>
              </w:rPr>
            </w:pPr>
            <w:r>
              <w:rPr>
                <w:rFonts w:ascii="宋体" w:hAnsi="宋体" w:cs="宋体" w:hint="eastAsia"/>
                <w:spacing w:val="-2"/>
                <w:kern w:val="2"/>
                <w:sz w:val="21"/>
                <w:szCs w:val="21"/>
              </w:rPr>
              <w:t>第12.2款</w:t>
            </w:r>
          </w:p>
        </w:tc>
        <w:tc>
          <w:tcPr>
            <w:tcW w:w="1738" w:type="dxa"/>
            <w:vAlign w:val="top"/>
          </w:tcPr>
          <w:p>
            <w:pPr>
              <w:widowControl w:val="0"/>
              <w:spacing w:before="113" w:line="228" w:lineRule="auto"/>
              <w:ind w:left="122" w:right="123"/>
              <w:jc w:val="both"/>
              <w:rPr>
                <w:rFonts w:ascii="宋体" w:hAnsi="宋体" w:cs="宋体" w:hint="eastAsia"/>
                <w:kern w:val="2"/>
                <w:sz w:val="21"/>
                <w:szCs w:val="21"/>
              </w:rPr>
            </w:pPr>
            <w:r>
              <w:rPr>
                <w:rFonts w:ascii="宋体" w:hAnsi="宋体" w:cs="宋体" w:hint="eastAsia"/>
                <w:spacing w:val="1"/>
                <w:kern w:val="2"/>
                <w:sz w:val="21"/>
                <w:szCs w:val="21"/>
              </w:rPr>
              <w:t>合同价款支付时</w:t>
            </w:r>
            <w:r>
              <w:rPr>
                <w:rFonts w:ascii="宋体" w:hAnsi="宋体" w:cs="宋体" w:hint="eastAsia"/>
                <w:spacing w:val="4"/>
                <w:kern w:val="2"/>
                <w:sz w:val="21"/>
                <w:szCs w:val="21"/>
              </w:rPr>
              <w:t xml:space="preserve"> </w:t>
            </w:r>
            <w:r>
              <w:rPr>
                <w:rFonts w:ascii="宋体" w:hAnsi="宋体" w:cs="宋体" w:hint="eastAsia"/>
                <w:kern w:val="2"/>
                <w:sz w:val="21"/>
                <w:szCs w:val="21"/>
              </w:rPr>
              <w:t>间</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709"/>
        </w:trPr>
        <w:tc>
          <w:tcPr>
            <w:tcW w:w="1593" w:type="dxa"/>
            <w:vAlign w:val="top"/>
          </w:tcPr>
          <w:p>
            <w:pPr>
              <w:widowControl w:val="0"/>
              <w:spacing w:before="145" w:line="229" w:lineRule="auto"/>
              <w:ind w:left="474"/>
              <w:jc w:val="both"/>
              <w:rPr>
                <w:rFonts w:ascii="宋体" w:hAnsi="宋体" w:cs="宋体" w:hint="eastAsia"/>
                <w:kern w:val="2"/>
                <w:sz w:val="21"/>
                <w:szCs w:val="21"/>
              </w:rPr>
            </w:pPr>
            <w:r>
              <w:rPr>
                <w:rFonts w:ascii="宋体" w:hAnsi="宋体" w:cs="宋体" w:hint="eastAsia"/>
                <w:spacing w:val="-2"/>
                <w:kern w:val="2"/>
                <w:sz w:val="21"/>
                <w:szCs w:val="21"/>
              </w:rPr>
              <w:t>第二节</w:t>
            </w:r>
          </w:p>
          <w:p>
            <w:pPr>
              <w:widowControl w:val="0"/>
              <w:spacing w:line="219" w:lineRule="auto"/>
              <w:ind w:left="365"/>
              <w:jc w:val="both"/>
              <w:rPr>
                <w:rFonts w:ascii="宋体" w:hAnsi="宋体" w:cs="宋体" w:hint="eastAsia"/>
                <w:kern w:val="2"/>
                <w:sz w:val="21"/>
                <w:szCs w:val="21"/>
              </w:rPr>
            </w:pPr>
            <w:r>
              <w:rPr>
                <w:rFonts w:ascii="宋体" w:hAnsi="宋体" w:cs="宋体" w:hint="eastAsia"/>
                <w:spacing w:val="-2"/>
                <w:kern w:val="2"/>
                <w:sz w:val="21"/>
                <w:szCs w:val="21"/>
              </w:rPr>
              <w:t>第13.2款</w:t>
            </w:r>
          </w:p>
        </w:tc>
        <w:tc>
          <w:tcPr>
            <w:tcW w:w="1738" w:type="dxa"/>
            <w:vAlign w:val="top"/>
          </w:tcPr>
          <w:p>
            <w:pPr>
              <w:widowControl w:val="0"/>
              <w:spacing w:before="147" w:line="224" w:lineRule="auto"/>
              <w:ind w:left="122" w:right="123"/>
              <w:jc w:val="both"/>
              <w:rPr>
                <w:rFonts w:ascii="宋体" w:hAnsi="宋体" w:cs="宋体" w:hint="eastAsia"/>
                <w:kern w:val="2"/>
                <w:sz w:val="21"/>
                <w:szCs w:val="21"/>
              </w:rPr>
            </w:pPr>
            <w:r>
              <w:rPr>
                <w:rFonts w:ascii="宋体" w:hAnsi="宋体" w:cs="宋体" w:hint="eastAsia"/>
                <w:spacing w:val="1"/>
                <w:kern w:val="2"/>
                <w:sz w:val="21"/>
                <w:szCs w:val="21"/>
              </w:rPr>
              <w:t>履约保证金不予</w:t>
            </w:r>
            <w:r>
              <w:rPr>
                <w:rFonts w:ascii="宋体" w:hAnsi="宋体" w:cs="宋体" w:hint="eastAsia"/>
                <w:spacing w:val="4"/>
                <w:kern w:val="2"/>
                <w:sz w:val="21"/>
                <w:szCs w:val="21"/>
              </w:rPr>
              <w:t xml:space="preserve"> </w:t>
            </w:r>
            <w:r>
              <w:rPr>
                <w:rFonts w:ascii="宋体" w:hAnsi="宋体" w:cs="宋体" w:hint="eastAsia"/>
                <w:spacing w:val="-2"/>
                <w:kern w:val="2"/>
                <w:sz w:val="21"/>
                <w:szCs w:val="21"/>
              </w:rPr>
              <w:t>退还的情形</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809"/>
        </w:trPr>
        <w:tc>
          <w:tcPr>
            <w:tcW w:w="1593" w:type="dxa"/>
            <w:vAlign w:val="top"/>
          </w:tcPr>
          <w:p>
            <w:pPr>
              <w:widowControl w:val="0"/>
              <w:spacing w:before="177" w:line="280" w:lineRule="exact"/>
              <w:ind w:left="474"/>
              <w:jc w:val="both"/>
              <w:rPr>
                <w:rFonts w:ascii="宋体" w:hAnsi="宋体" w:cs="宋体" w:hint="eastAsia"/>
                <w:kern w:val="2"/>
                <w:sz w:val="21"/>
                <w:szCs w:val="21"/>
              </w:rPr>
            </w:pPr>
            <w:r>
              <w:rPr>
                <w:rFonts w:ascii="宋体" w:hAnsi="宋体" w:cs="宋体" w:hint="eastAsia"/>
                <w:spacing w:val="-2"/>
                <w:kern w:val="2"/>
                <w:position w:val="4"/>
                <w:sz w:val="21"/>
                <w:szCs w:val="21"/>
              </w:rPr>
              <w:t>第二节</w:t>
            </w:r>
          </w:p>
          <w:p>
            <w:pPr>
              <w:widowControl w:val="0"/>
              <w:spacing w:line="219" w:lineRule="auto"/>
              <w:ind w:left="365"/>
              <w:jc w:val="both"/>
              <w:rPr>
                <w:rFonts w:ascii="宋体" w:hAnsi="宋体" w:cs="宋体" w:hint="eastAsia"/>
                <w:kern w:val="2"/>
                <w:sz w:val="21"/>
                <w:szCs w:val="21"/>
              </w:rPr>
            </w:pPr>
            <w:r>
              <w:rPr>
                <w:rFonts w:ascii="宋体" w:hAnsi="宋体" w:cs="宋体" w:hint="eastAsia"/>
                <w:spacing w:val="-2"/>
                <w:kern w:val="2"/>
                <w:sz w:val="21"/>
                <w:szCs w:val="21"/>
              </w:rPr>
              <w:t>第13.3款</w:t>
            </w:r>
          </w:p>
        </w:tc>
        <w:tc>
          <w:tcPr>
            <w:tcW w:w="1738" w:type="dxa"/>
            <w:vAlign w:val="top"/>
          </w:tcPr>
          <w:p>
            <w:pPr>
              <w:widowControl w:val="0"/>
              <w:spacing w:before="38" w:line="223" w:lineRule="auto"/>
              <w:ind w:left="122" w:right="126"/>
              <w:jc w:val="both"/>
              <w:rPr>
                <w:rFonts w:ascii="宋体" w:hAnsi="宋体" w:cs="宋体" w:hint="eastAsia"/>
                <w:kern w:val="2"/>
                <w:sz w:val="21"/>
                <w:szCs w:val="21"/>
              </w:rPr>
            </w:pPr>
            <w:r>
              <w:rPr>
                <w:rFonts w:ascii="宋体" w:hAnsi="宋体" w:cs="宋体" w:hint="eastAsia"/>
                <w:spacing w:val="1"/>
                <w:kern w:val="2"/>
                <w:sz w:val="21"/>
                <w:szCs w:val="21"/>
              </w:rPr>
              <w:t>履约保证金退还</w:t>
            </w:r>
            <w:r>
              <w:rPr>
                <w:rFonts w:ascii="宋体" w:hAnsi="宋体" w:cs="宋体" w:hint="eastAsia"/>
                <w:kern w:val="2"/>
                <w:sz w:val="21"/>
                <w:szCs w:val="21"/>
              </w:rPr>
              <w:t xml:space="preserve"> </w:t>
            </w:r>
            <w:r>
              <w:rPr>
                <w:rFonts w:ascii="宋体" w:hAnsi="宋体" w:cs="宋体" w:hint="eastAsia"/>
                <w:spacing w:val="1"/>
                <w:kern w:val="2"/>
                <w:sz w:val="21"/>
                <w:szCs w:val="21"/>
              </w:rPr>
              <w:t>时间及逾期退还</w:t>
            </w:r>
            <w:r>
              <w:rPr>
                <w:rFonts w:ascii="宋体" w:hAnsi="宋体" w:cs="宋体" w:hint="eastAsia"/>
                <w:kern w:val="2"/>
                <w:sz w:val="21"/>
                <w:szCs w:val="21"/>
              </w:rPr>
              <w:t xml:space="preserve"> </w:t>
            </w:r>
            <w:r>
              <w:rPr>
                <w:rFonts w:ascii="宋体" w:hAnsi="宋体" w:cs="宋体" w:hint="eastAsia"/>
                <w:spacing w:val="2"/>
                <w:kern w:val="2"/>
                <w:sz w:val="21"/>
                <w:szCs w:val="21"/>
              </w:rPr>
              <w:t>的违约金</w:t>
            </w:r>
          </w:p>
        </w:tc>
        <w:tc>
          <w:tcPr>
            <w:tcW w:w="5149" w:type="dxa"/>
            <w:vAlign w:val="top"/>
          </w:tcPr>
          <w:p>
            <w:pPr>
              <w:widowControl w:val="0"/>
              <w:jc w:val="both"/>
              <w:rPr>
                <w:rFonts w:ascii="宋体" w:hAnsi="宋体" w:cs="宋体" w:hint="eastAsia"/>
                <w:kern w:val="2"/>
                <w:sz w:val="21"/>
                <w:lang w:eastAsia="zh-CN"/>
              </w:rPr>
            </w:pPr>
          </w:p>
        </w:tc>
      </w:tr>
      <w:tr>
        <w:tblPrEx>
          <w:tblW w:w="5000" w:type="pct"/>
          <w:tblInd w:w="73" w:type="dxa"/>
          <w:tblLayout w:type="fixed"/>
          <w:tblCellMar>
            <w:top w:w="0" w:type="dxa"/>
            <w:left w:w="0" w:type="dxa"/>
            <w:bottom w:w="0" w:type="dxa"/>
            <w:right w:w="0" w:type="dxa"/>
          </w:tblCellMar>
        </w:tblPrEx>
        <w:trPr>
          <w:trHeight w:val="774"/>
        </w:trPr>
        <w:tc>
          <w:tcPr>
            <w:tcW w:w="1593" w:type="dxa"/>
            <w:vAlign w:val="top"/>
          </w:tcPr>
          <w:p>
            <w:pPr>
              <w:widowControl w:val="0"/>
              <w:spacing w:before="158" w:line="219" w:lineRule="auto"/>
              <w:ind w:left="474"/>
              <w:jc w:val="both"/>
              <w:rPr>
                <w:rFonts w:ascii="宋体" w:hAnsi="宋体" w:cs="宋体" w:hint="eastAsia"/>
                <w:kern w:val="2"/>
                <w:sz w:val="21"/>
                <w:szCs w:val="21"/>
              </w:rPr>
            </w:pPr>
            <w:r>
              <w:rPr>
                <w:rFonts w:ascii="宋体" w:hAnsi="宋体" w:cs="宋体" w:hint="eastAsia"/>
                <w:spacing w:val="-2"/>
                <w:kern w:val="2"/>
                <w:sz w:val="21"/>
                <w:szCs w:val="21"/>
              </w:rPr>
              <w:t>第二节</w:t>
            </w:r>
          </w:p>
          <w:p>
            <w:pPr>
              <w:widowControl w:val="0"/>
              <w:spacing w:before="50" w:line="219" w:lineRule="auto"/>
              <w:ind w:left="95"/>
              <w:jc w:val="both"/>
              <w:rPr>
                <w:rFonts w:ascii="宋体" w:hAnsi="宋体" w:cs="宋体" w:hint="eastAsia"/>
                <w:kern w:val="2"/>
                <w:sz w:val="21"/>
                <w:szCs w:val="21"/>
              </w:rPr>
            </w:pPr>
            <w:r>
              <w:rPr>
                <w:rFonts w:ascii="宋体" w:hAnsi="宋体" w:cs="宋体" w:hint="eastAsia"/>
                <w:spacing w:val="15"/>
                <w:kern w:val="2"/>
                <w:sz w:val="21"/>
                <w:szCs w:val="21"/>
              </w:rPr>
              <w:t>第14</w:t>
            </w:r>
            <w:r>
              <w:rPr>
                <w:rFonts w:ascii="宋体" w:hAnsi="宋体" w:cs="宋体" w:hint="eastAsia"/>
                <w:spacing w:val="-58"/>
                <w:kern w:val="2"/>
                <w:sz w:val="21"/>
                <w:szCs w:val="21"/>
              </w:rPr>
              <w:t xml:space="preserve"> </w:t>
            </w:r>
            <w:r>
              <w:rPr>
                <w:rFonts w:ascii="宋体" w:hAnsi="宋体" w:cs="宋体" w:hint="eastAsia"/>
                <w:spacing w:val="15"/>
                <w:kern w:val="2"/>
                <w:sz w:val="21"/>
                <w:szCs w:val="21"/>
              </w:rPr>
              <w:t>.</w:t>
            </w:r>
            <w:r>
              <w:rPr>
                <w:rFonts w:ascii="宋体" w:hAnsi="宋体" w:cs="宋体" w:hint="eastAsia"/>
                <w:spacing w:val="-50"/>
                <w:kern w:val="2"/>
                <w:sz w:val="21"/>
                <w:szCs w:val="21"/>
              </w:rPr>
              <w:t xml:space="preserve"> </w:t>
            </w:r>
            <w:r>
              <w:rPr>
                <w:rFonts w:ascii="宋体" w:hAnsi="宋体" w:cs="宋体" w:hint="eastAsia"/>
                <w:spacing w:val="15"/>
                <w:kern w:val="2"/>
                <w:sz w:val="21"/>
                <w:szCs w:val="21"/>
              </w:rPr>
              <w:t>1(3)项</w:t>
            </w:r>
          </w:p>
        </w:tc>
        <w:tc>
          <w:tcPr>
            <w:tcW w:w="1738" w:type="dxa"/>
            <w:vAlign w:val="top"/>
          </w:tcPr>
          <w:p>
            <w:pPr>
              <w:widowControl w:val="0"/>
              <w:spacing w:before="159" w:line="233" w:lineRule="auto"/>
              <w:ind w:left="122" w:right="144"/>
              <w:jc w:val="both"/>
              <w:rPr>
                <w:rFonts w:ascii="宋体" w:hAnsi="宋体" w:cs="宋体" w:hint="eastAsia"/>
                <w:kern w:val="2"/>
                <w:sz w:val="21"/>
                <w:szCs w:val="21"/>
              </w:rPr>
            </w:pPr>
            <w:r>
              <w:rPr>
                <w:rFonts w:ascii="宋体" w:hAnsi="宋体" w:cs="宋体" w:hint="eastAsia"/>
                <w:spacing w:val="-2"/>
                <w:kern w:val="2"/>
                <w:sz w:val="21"/>
                <w:szCs w:val="21"/>
              </w:rPr>
              <w:t>运行监督、维修</w:t>
            </w:r>
            <w:r>
              <w:rPr>
                <w:rFonts w:ascii="宋体" w:hAnsi="宋体" w:cs="宋体" w:hint="eastAsia"/>
                <w:spacing w:val="4"/>
                <w:kern w:val="2"/>
                <w:sz w:val="21"/>
                <w:szCs w:val="21"/>
              </w:rPr>
              <w:t xml:space="preserve"> </w:t>
            </w:r>
            <w:r>
              <w:rPr>
                <w:rFonts w:ascii="宋体" w:hAnsi="宋体" w:cs="宋体" w:hint="eastAsia"/>
                <w:spacing w:val="5"/>
                <w:kern w:val="2"/>
                <w:sz w:val="21"/>
                <w:szCs w:val="21"/>
              </w:rPr>
              <w:t>期限</w:t>
            </w:r>
          </w:p>
        </w:tc>
        <w:tc>
          <w:tcPr>
            <w:tcW w:w="5149" w:type="dxa"/>
            <w:vAlign w:val="top"/>
          </w:tcPr>
          <w:p>
            <w:pPr>
              <w:widowControl w:val="0"/>
              <w:jc w:val="both"/>
              <w:rPr>
                <w:rFonts w:ascii="宋体" w:hAnsi="宋体" w:cs="宋体" w:hint="eastAsia"/>
                <w:kern w:val="2"/>
                <w:sz w:val="21"/>
                <w:lang w:eastAsia="zh-CN"/>
              </w:rPr>
            </w:pPr>
          </w:p>
        </w:tc>
      </w:tr>
    </w:tbl>
    <w:p>
      <w:pPr>
        <w:widowControl w:val="0"/>
        <w:jc w:val="both"/>
        <w:rPr>
          <w:rFonts w:ascii="宋体" w:eastAsia="宋体" w:hAnsi="宋体" w:cs="宋体" w:hint="eastAsia"/>
          <w:kern w:val="2"/>
          <w:sz w:val="21"/>
          <w:lang w:eastAsia="zh-CN"/>
        </w:rPr>
      </w:pPr>
    </w:p>
    <w:p>
      <w:pPr>
        <w:widowControl w:val="0"/>
        <w:jc w:val="both"/>
        <w:rPr>
          <w:rFonts w:ascii="宋体" w:eastAsia="宋体" w:hAnsi="宋体" w:cs="宋体" w:hint="eastAsia"/>
          <w:kern w:val="2"/>
          <w:sz w:val="21"/>
          <w:szCs w:val="21"/>
          <w:lang w:eastAsia="zh-CN"/>
        </w:rPr>
        <w:sectPr>
          <w:footerReference w:type="default" r:id="rId17"/>
          <w:pgSz w:w="11910" w:h="16860"/>
          <w:pgMar w:top="1440" w:right="1800" w:bottom="1440" w:left="1800" w:header="0" w:footer="1086" w:gutter="0"/>
          <w:pgBorders>
            <w:top w:val="none" w:sz="0" w:space="0" w:color="auto"/>
            <w:left w:val="none" w:sz="0" w:space="0" w:color="auto"/>
            <w:bottom w:val="none" w:sz="0" w:space="0" w:color="auto"/>
            <w:right w:val="none" w:sz="0" w:space="0" w:color="auto"/>
          </w:pgBorders>
          <w:pgNumType w:fmt="numberInDash"/>
          <w:cols w:num="1" w:space="720"/>
        </w:sectPr>
      </w:pPr>
    </w:p>
    <w:tbl>
      <w:tblPr>
        <w:tblStyle w:val="TableNormal0"/>
        <w:tblW w:w="5000" w:type="pc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558"/>
        <w:gridCol w:w="1699"/>
        <w:gridCol w:w="5043"/>
      </w:tblGrid>
      <w:tr>
        <w:tblPrEx>
          <w:tblW w:w="5000" w:type="pc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794"/>
        </w:trPr>
        <w:tc>
          <w:tcPr>
            <w:tcW w:w="1593" w:type="dxa"/>
            <w:vAlign w:val="top"/>
          </w:tcPr>
          <w:p>
            <w:pPr>
              <w:widowControl w:val="0"/>
              <w:spacing w:before="163" w:line="219" w:lineRule="auto"/>
              <w:ind w:left="475"/>
              <w:jc w:val="both"/>
              <w:rPr>
                <w:rFonts w:ascii="宋体" w:hAnsi="宋体" w:cs="宋体"/>
                <w:kern w:val="2"/>
                <w:sz w:val="21"/>
                <w:szCs w:val="21"/>
              </w:rPr>
            </w:pPr>
            <w:r>
              <w:rPr>
                <w:rFonts w:ascii="宋体" w:hAnsi="宋体" w:cs="宋体"/>
                <w:spacing w:val="-2"/>
                <w:kern w:val="2"/>
                <w:sz w:val="21"/>
                <w:szCs w:val="21"/>
              </w:rPr>
              <w:t>第二节</w:t>
            </w:r>
          </w:p>
          <w:p>
            <w:pPr>
              <w:widowControl w:val="0"/>
              <w:spacing w:before="30" w:line="219" w:lineRule="auto"/>
              <w:ind w:left="105"/>
              <w:jc w:val="both"/>
              <w:rPr>
                <w:rFonts w:ascii="宋体" w:hAnsi="宋体" w:cs="宋体"/>
                <w:kern w:val="2"/>
                <w:sz w:val="21"/>
                <w:szCs w:val="21"/>
              </w:rPr>
            </w:pPr>
            <w:r>
              <w:rPr>
                <w:rFonts w:ascii="宋体" w:hAnsi="宋体" w:cs="宋体"/>
                <w:spacing w:val="13"/>
                <w:kern w:val="2"/>
                <w:sz w:val="21"/>
                <w:szCs w:val="21"/>
              </w:rPr>
              <w:t>第14</w:t>
            </w:r>
            <w:r>
              <w:rPr>
                <w:rFonts w:ascii="宋体" w:hAnsi="宋体" w:cs="宋体"/>
                <w:spacing w:val="-57"/>
                <w:kern w:val="2"/>
                <w:sz w:val="21"/>
                <w:szCs w:val="21"/>
              </w:rPr>
              <w:t xml:space="preserve"> </w:t>
            </w:r>
            <w:r>
              <w:rPr>
                <w:rFonts w:ascii="宋体" w:hAnsi="宋体" w:cs="宋体"/>
                <w:spacing w:val="13"/>
                <w:kern w:val="2"/>
                <w:sz w:val="21"/>
                <w:szCs w:val="21"/>
              </w:rPr>
              <w:t>.</w:t>
            </w:r>
            <w:r>
              <w:rPr>
                <w:rFonts w:ascii="宋体" w:hAnsi="宋体" w:cs="宋体"/>
                <w:spacing w:val="-53"/>
                <w:kern w:val="2"/>
                <w:sz w:val="21"/>
                <w:szCs w:val="21"/>
              </w:rPr>
              <w:t xml:space="preserve"> </w:t>
            </w:r>
            <w:r>
              <w:rPr>
                <w:rFonts w:ascii="宋体" w:hAnsi="宋体" w:cs="宋体"/>
                <w:spacing w:val="13"/>
                <w:kern w:val="2"/>
                <w:sz w:val="21"/>
                <w:szCs w:val="21"/>
              </w:rPr>
              <w:t>1(5)项</w:t>
            </w:r>
          </w:p>
        </w:tc>
        <w:tc>
          <w:tcPr>
            <w:tcW w:w="1738" w:type="dxa"/>
            <w:vAlign w:val="top"/>
          </w:tcPr>
          <w:p>
            <w:pPr>
              <w:widowControl w:val="0"/>
              <w:spacing w:before="292" w:line="219" w:lineRule="auto"/>
              <w:ind w:left="122"/>
              <w:jc w:val="both"/>
              <w:rPr>
                <w:rFonts w:ascii="宋体" w:hAnsi="宋体" w:cs="宋体"/>
                <w:kern w:val="2"/>
                <w:sz w:val="21"/>
                <w:szCs w:val="21"/>
              </w:rPr>
            </w:pPr>
            <w:r>
              <w:rPr>
                <w:rFonts w:ascii="宋体" w:hAnsi="宋体" w:cs="宋体"/>
                <w:spacing w:val="1"/>
                <w:kern w:val="2"/>
                <w:sz w:val="21"/>
                <w:szCs w:val="21"/>
              </w:rPr>
              <w:t>货物回收的约定</w:t>
            </w:r>
          </w:p>
        </w:tc>
        <w:tc>
          <w:tcPr>
            <w:tcW w:w="5159" w:type="dxa"/>
            <w:vAlign w:val="top"/>
          </w:tcPr>
          <w:p>
            <w:pPr>
              <w:widowControl w:val="0"/>
              <w:jc w:val="both"/>
              <w:rPr>
                <w:rFonts w:ascii="Arial"/>
                <w:kern w:val="2"/>
                <w:sz w:val="21"/>
                <w:lang w:eastAsia="zh-CN"/>
              </w:rPr>
            </w:pPr>
          </w:p>
        </w:tc>
      </w:tr>
      <w:tr>
        <w:tblPrEx>
          <w:tblW w:w="5000" w:type="pct"/>
          <w:tblInd w:w="76" w:type="dxa"/>
          <w:tblLayout w:type="fixed"/>
          <w:tblCellMar>
            <w:top w:w="0" w:type="dxa"/>
            <w:left w:w="0" w:type="dxa"/>
            <w:bottom w:w="0" w:type="dxa"/>
            <w:right w:w="0" w:type="dxa"/>
          </w:tblCellMar>
        </w:tblPrEx>
        <w:trPr>
          <w:trHeight w:val="739"/>
        </w:trPr>
        <w:tc>
          <w:tcPr>
            <w:tcW w:w="1593" w:type="dxa"/>
            <w:vAlign w:val="top"/>
          </w:tcPr>
          <w:p>
            <w:pPr>
              <w:widowControl w:val="0"/>
              <w:spacing w:before="129" w:line="219" w:lineRule="auto"/>
              <w:ind w:left="475"/>
              <w:jc w:val="both"/>
              <w:rPr>
                <w:rFonts w:ascii="宋体" w:hAnsi="宋体" w:cs="宋体"/>
                <w:kern w:val="2"/>
                <w:sz w:val="21"/>
                <w:szCs w:val="21"/>
              </w:rPr>
            </w:pPr>
            <w:r>
              <w:rPr>
                <w:rFonts w:ascii="宋体" w:hAnsi="宋体" w:cs="宋体"/>
                <w:spacing w:val="-2"/>
                <w:kern w:val="2"/>
                <w:sz w:val="21"/>
                <w:szCs w:val="21"/>
              </w:rPr>
              <w:t>第二节</w:t>
            </w:r>
          </w:p>
          <w:p>
            <w:pPr>
              <w:widowControl w:val="0"/>
              <w:spacing w:before="50" w:line="219" w:lineRule="auto"/>
              <w:ind w:left="94"/>
              <w:jc w:val="both"/>
              <w:rPr>
                <w:rFonts w:ascii="宋体" w:hAnsi="宋体" w:cs="宋体"/>
                <w:kern w:val="2"/>
                <w:sz w:val="21"/>
                <w:szCs w:val="21"/>
              </w:rPr>
            </w:pPr>
            <w:r>
              <w:rPr>
                <w:rFonts w:ascii="宋体" w:hAnsi="宋体" w:cs="宋体"/>
                <w:spacing w:val="15"/>
                <w:kern w:val="2"/>
                <w:sz w:val="21"/>
                <w:szCs w:val="21"/>
              </w:rPr>
              <w:t>第14</w:t>
            </w:r>
            <w:r>
              <w:rPr>
                <w:rFonts w:ascii="宋体" w:hAnsi="宋体" w:cs="宋体"/>
                <w:spacing w:val="-58"/>
                <w:kern w:val="2"/>
                <w:sz w:val="21"/>
                <w:szCs w:val="21"/>
              </w:rPr>
              <w:t xml:space="preserve"> </w:t>
            </w:r>
            <w:r>
              <w:rPr>
                <w:rFonts w:ascii="宋体" w:hAnsi="宋体" w:cs="宋体"/>
                <w:spacing w:val="15"/>
                <w:kern w:val="2"/>
                <w:sz w:val="21"/>
                <w:szCs w:val="21"/>
              </w:rPr>
              <w:t>.</w:t>
            </w:r>
            <w:r>
              <w:rPr>
                <w:rFonts w:ascii="宋体" w:hAnsi="宋体" w:cs="宋体"/>
                <w:spacing w:val="-50"/>
                <w:kern w:val="2"/>
                <w:sz w:val="21"/>
                <w:szCs w:val="21"/>
              </w:rPr>
              <w:t xml:space="preserve"> </w:t>
            </w:r>
            <w:r>
              <w:rPr>
                <w:rFonts w:ascii="宋体" w:hAnsi="宋体" w:cs="宋体"/>
                <w:spacing w:val="15"/>
                <w:kern w:val="2"/>
                <w:sz w:val="21"/>
                <w:szCs w:val="21"/>
              </w:rPr>
              <w:t>1(6)项</w:t>
            </w:r>
          </w:p>
        </w:tc>
        <w:tc>
          <w:tcPr>
            <w:tcW w:w="1738" w:type="dxa"/>
            <w:vAlign w:val="top"/>
          </w:tcPr>
          <w:p>
            <w:pPr>
              <w:widowControl w:val="0"/>
              <w:spacing w:before="148" w:line="233" w:lineRule="auto"/>
              <w:ind w:left="112" w:right="127" w:firstLine="9"/>
              <w:jc w:val="both"/>
              <w:rPr>
                <w:rFonts w:ascii="宋体" w:hAnsi="宋体" w:cs="宋体"/>
                <w:kern w:val="2"/>
                <w:sz w:val="21"/>
                <w:szCs w:val="21"/>
              </w:rPr>
            </w:pPr>
            <w:r>
              <w:rPr>
                <w:rFonts w:ascii="宋体" w:hAnsi="宋体" w:cs="宋体"/>
                <w:spacing w:val="1"/>
                <w:kern w:val="2"/>
                <w:sz w:val="21"/>
                <w:szCs w:val="21"/>
              </w:rPr>
              <w:t>乙方提供的其他</w:t>
            </w:r>
            <w:r>
              <w:rPr>
                <w:rFonts w:ascii="宋体" w:hAnsi="宋体" w:cs="宋体"/>
                <w:kern w:val="2"/>
                <w:sz w:val="21"/>
                <w:szCs w:val="21"/>
              </w:rPr>
              <w:t xml:space="preserve"> </w:t>
            </w:r>
            <w:r>
              <w:rPr>
                <w:rFonts w:ascii="宋体" w:hAnsi="宋体" w:cs="宋体"/>
                <w:spacing w:val="-3"/>
                <w:kern w:val="2"/>
                <w:sz w:val="21"/>
                <w:szCs w:val="21"/>
              </w:rPr>
              <w:t>服务</w:t>
            </w:r>
          </w:p>
        </w:tc>
        <w:tc>
          <w:tcPr>
            <w:tcW w:w="5159" w:type="dxa"/>
            <w:vAlign w:val="top"/>
          </w:tcPr>
          <w:p>
            <w:pPr>
              <w:widowControl w:val="0"/>
              <w:jc w:val="both"/>
              <w:rPr>
                <w:rFonts w:ascii="Arial"/>
                <w:kern w:val="2"/>
                <w:sz w:val="21"/>
                <w:lang w:eastAsia="zh-CN"/>
              </w:rPr>
            </w:pPr>
          </w:p>
        </w:tc>
      </w:tr>
      <w:tr>
        <w:tblPrEx>
          <w:tblW w:w="5000" w:type="pct"/>
          <w:tblInd w:w="76" w:type="dxa"/>
          <w:tblLayout w:type="fixed"/>
          <w:tblCellMar>
            <w:top w:w="0" w:type="dxa"/>
            <w:left w:w="0" w:type="dxa"/>
            <w:bottom w:w="0" w:type="dxa"/>
            <w:right w:w="0" w:type="dxa"/>
          </w:tblCellMar>
        </w:tblPrEx>
        <w:trPr>
          <w:trHeight w:val="749"/>
        </w:trPr>
        <w:tc>
          <w:tcPr>
            <w:tcW w:w="1593" w:type="dxa"/>
            <w:vAlign w:val="top"/>
          </w:tcPr>
          <w:p>
            <w:pPr>
              <w:widowControl w:val="0"/>
              <w:spacing w:before="160" w:line="237" w:lineRule="auto"/>
              <w:ind w:left="475"/>
              <w:jc w:val="both"/>
              <w:rPr>
                <w:rFonts w:ascii="宋体" w:hAnsi="宋体" w:cs="宋体"/>
                <w:kern w:val="2"/>
                <w:sz w:val="21"/>
                <w:szCs w:val="21"/>
              </w:rPr>
            </w:pPr>
            <w:r>
              <w:rPr>
                <w:rFonts w:ascii="宋体" w:hAnsi="宋体" w:cs="宋体"/>
                <w:spacing w:val="-2"/>
                <w:kern w:val="2"/>
                <w:sz w:val="21"/>
                <w:szCs w:val="21"/>
              </w:rPr>
              <w:t>第二节</w:t>
            </w:r>
          </w:p>
          <w:p>
            <w:pPr>
              <w:widowControl w:val="0"/>
              <w:spacing w:line="219" w:lineRule="auto"/>
              <w:ind w:left="365"/>
              <w:jc w:val="both"/>
              <w:rPr>
                <w:rFonts w:ascii="宋体" w:hAnsi="宋体" w:cs="宋体"/>
                <w:kern w:val="2"/>
                <w:sz w:val="21"/>
                <w:szCs w:val="21"/>
              </w:rPr>
            </w:pPr>
            <w:r>
              <w:rPr>
                <w:rFonts w:ascii="宋体" w:hAnsi="宋体" w:cs="宋体"/>
                <w:spacing w:val="-2"/>
                <w:kern w:val="2"/>
                <w:sz w:val="21"/>
                <w:szCs w:val="21"/>
              </w:rPr>
              <w:t>第15.1款</w:t>
            </w:r>
          </w:p>
        </w:tc>
        <w:tc>
          <w:tcPr>
            <w:tcW w:w="1738" w:type="dxa"/>
            <w:vAlign w:val="top"/>
          </w:tcPr>
          <w:p>
            <w:pPr>
              <w:widowControl w:val="0"/>
              <w:spacing w:before="161" w:line="233" w:lineRule="auto"/>
              <w:ind w:left="122" w:right="122"/>
              <w:jc w:val="both"/>
              <w:rPr>
                <w:rFonts w:ascii="宋体" w:hAnsi="宋体" w:cs="宋体"/>
                <w:kern w:val="2"/>
                <w:sz w:val="21"/>
                <w:szCs w:val="21"/>
              </w:rPr>
            </w:pPr>
            <w:r>
              <w:rPr>
                <w:rFonts w:ascii="宋体" w:hAnsi="宋体" w:cs="宋体"/>
                <w:spacing w:val="-2"/>
                <w:kern w:val="2"/>
                <w:sz w:val="21"/>
                <w:szCs w:val="21"/>
              </w:rPr>
              <w:t>修理、重作、更</w:t>
            </w:r>
            <w:r>
              <w:rPr>
                <w:rFonts w:ascii="宋体" w:hAnsi="宋体" w:cs="宋体"/>
                <w:spacing w:val="4"/>
                <w:kern w:val="2"/>
                <w:sz w:val="21"/>
                <w:szCs w:val="21"/>
              </w:rPr>
              <w:t xml:space="preserve"> </w:t>
            </w:r>
            <w:r>
              <w:rPr>
                <w:rFonts w:ascii="宋体" w:hAnsi="宋体" w:cs="宋体"/>
                <w:spacing w:val="1"/>
                <w:kern w:val="2"/>
                <w:sz w:val="21"/>
                <w:szCs w:val="21"/>
              </w:rPr>
              <w:t>换相关具体规定</w:t>
            </w:r>
          </w:p>
        </w:tc>
        <w:tc>
          <w:tcPr>
            <w:tcW w:w="5159" w:type="dxa"/>
            <w:vAlign w:val="top"/>
          </w:tcPr>
          <w:p>
            <w:pPr>
              <w:widowControl w:val="0"/>
              <w:jc w:val="both"/>
              <w:rPr>
                <w:rFonts w:ascii="Arial"/>
                <w:kern w:val="2"/>
                <w:sz w:val="21"/>
                <w:lang w:eastAsia="zh-CN"/>
              </w:rPr>
            </w:pPr>
          </w:p>
        </w:tc>
      </w:tr>
      <w:tr>
        <w:tblPrEx>
          <w:tblW w:w="5000" w:type="pct"/>
          <w:tblInd w:w="76" w:type="dxa"/>
          <w:tblLayout w:type="fixed"/>
          <w:tblCellMar>
            <w:top w:w="0" w:type="dxa"/>
            <w:left w:w="0" w:type="dxa"/>
            <w:bottom w:w="0" w:type="dxa"/>
            <w:right w:w="0" w:type="dxa"/>
          </w:tblCellMar>
        </w:tblPrEx>
        <w:trPr>
          <w:trHeight w:val="729"/>
        </w:trPr>
        <w:tc>
          <w:tcPr>
            <w:tcW w:w="1593" w:type="dxa"/>
            <w:vAlign w:val="top"/>
          </w:tcPr>
          <w:p>
            <w:pPr>
              <w:widowControl w:val="0"/>
              <w:spacing w:before="151" w:line="219" w:lineRule="auto"/>
              <w:ind w:left="475"/>
              <w:jc w:val="both"/>
              <w:rPr>
                <w:rFonts w:ascii="宋体" w:hAnsi="宋体" w:cs="宋体"/>
                <w:kern w:val="2"/>
                <w:sz w:val="21"/>
                <w:szCs w:val="21"/>
              </w:rPr>
            </w:pPr>
            <w:r>
              <w:rPr>
                <w:rFonts w:ascii="宋体" w:hAnsi="宋体" w:cs="宋体"/>
                <w:spacing w:val="-2"/>
                <w:kern w:val="2"/>
                <w:sz w:val="21"/>
                <w:szCs w:val="21"/>
              </w:rPr>
              <w:t>第二节</w:t>
            </w:r>
          </w:p>
          <w:p>
            <w:pPr>
              <w:widowControl w:val="0"/>
              <w:spacing w:before="30" w:line="219" w:lineRule="auto"/>
              <w:ind w:left="85"/>
              <w:jc w:val="both"/>
              <w:rPr>
                <w:rFonts w:ascii="宋体" w:hAnsi="宋体" w:cs="宋体"/>
                <w:kern w:val="2"/>
                <w:sz w:val="21"/>
                <w:szCs w:val="21"/>
              </w:rPr>
            </w:pPr>
            <w:r>
              <w:rPr>
                <w:rFonts w:ascii="宋体" w:hAnsi="宋体" w:cs="宋体"/>
                <w:spacing w:val="18"/>
                <w:kern w:val="2"/>
                <w:sz w:val="21"/>
                <w:szCs w:val="21"/>
              </w:rPr>
              <w:t>第15</w:t>
            </w:r>
            <w:r>
              <w:rPr>
                <w:rFonts w:ascii="宋体" w:hAnsi="宋体" w:cs="宋体"/>
                <w:spacing w:val="-54"/>
                <w:kern w:val="2"/>
                <w:sz w:val="21"/>
                <w:szCs w:val="21"/>
              </w:rPr>
              <w:t xml:space="preserve"> </w:t>
            </w:r>
            <w:r>
              <w:rPr>
                <w:rFonts w:ascii="宋体" w:hAnsi="宋体" w:cs="宋体"/>
                <w:spacing w:val="18"/>
                <w:kern w:val="2"/>
                <w:sz w:val="21"/>
                <w:szCs w:val="21"/>
              </w:rPr>
              <w:t>.</w:t>
            </w:r>
            <w:r>
              <w:rPr>
                <w:rFonts w:ascii="宋体" w:hAnsi="宋体" w:cs="宋体"/>
                <w:spacing w:val="-61"/>
                <w:kern w:val="2"/>
                <w:sz w:val="21"/>
                <w:szCs w:val="21"/>
              </w:rPr>
              <w:t xml:space="preserve"> </w:t>
            </w:r>
            <w:r>
              <w:rPr>
                <w:rFonts w:ascii="宋体" w:hAnsi="宋体" w:cs="宋体"/>
                <w:spacing w:val="18"/>
                <w:kern w:val="2"/>
                <w:sz w:val="21"/>
                <w:szCs w:val="21"/>
              </w:rPr>
              <w:t>2(2)项</w:t>
            </w:r>
          </w:p>
        </w:tc>
        <w:tc>
          <w:tcPr>
            <w:tcW w:w="1738" w:type="dxa"/>
            <w:vAlign w:val="top"/>
          </w:tcPr>
          <w:p>
            <w:pPr>
              <w:widowControl w:val="0"/>
              <w:spacing w:before="260" w:line="219" w:lineRule="auto"/>
              <w:ind w:left="122"/>
              <w:jc w:val="both"/>
              <w:rPr>
                <w:rFonts w:ascii="宋体" w:hAnsi="宋体" w:cs="宋体"/>
                <w:kern w:val="2"/>
                <w:sz w:val="21"/>
                <w:szCs w:val="21"/>
              </w:rPr>
            </w:pPr>
            <w:r>
              <w:rPr>
                <w:rFonts w:ascii="宋体" w:hAnsi="宋体" w:cs="宋体"/>
                <w:spacing w:val="1"/>
                <w:kern w:val="2"/>
                <w:sz w:val="21"/>
                <w:szCs w:val="21"/>
              </w:rPr>
              <w:t>迟延交货赔偿费</w:t>
            </w:r>
          </w:p>
        </w:tc>
        <w:tc>
          <w:tcPr>
            <w:tcW w:w="5159" w:type="dxa"/>
            <w:vAlign w:val="top"/>
          </w:tcPr>
          <w:p>
            <w:pPr>
              <w:widowControl w:val="0"/>
              <w:jc w:val="both"/>
              <w:rPr>
                <w:rFonts w:ascii="Arial"/>
                <w:kern w:val="2"/>
                <w:sz w:val="21"/>
                <w:lang w:eastAsia="zh-CN"/>
              </w:rPr>
            </w:pPr>
          </w:p>
        </w:tc>
      </w:tr>
      <w:tr>
        <w:tblPrEx>
          <w:tblW w:w="5000" w:type="pct"/>
          <w:tblInd w:w="76" w:type="dxa"/>
          <w:tblLayout w:type="fixed"/>
          <w:tblCellMar>
            <w:top w:w="0" w:type="dxa"/>
            <w:left w:w="0" w:type="dxa"/>
            <w:bottom w:w="0" w:type="dxa"/>
            <w:right w:w="0" w:type="dxa"/>
          </w:tblCellMar>
        </w:tblPrEx>
        <w:trPr>
          <w:trHeight w:val="749"/>
        </w:trPr>
        <w:tc>
          <w:tcPr>
            <w:tcW w:w="1593" w:type="dxa"/>
            <w:vAlign w:val="top"/>
          </w:tcPr>
          <w:p>
            <w:pPr>
              <w:widowControl w:val="0"/>
              <w:spacing w:before="162" w:line="237" w:lineRule="auto"/>
              <w:ind w:left="475"/>
              <w:jc w:val="both"/>
              <w:rPr>
                <w:rFonts w:ascii="宋体" w:hAnsi="宋体" w:cs="宋体"/>
                <w:kern w:val="2"/>
                <w:sz w:val="21"/>
                <w:szCs w:val="21"/>
              </w:rPr>
            </w:pPr>
            <w:r>
              <w:rPr>
                <w:rFonts w:ascii="宋体" w:hAnsi="宋体" w:cs="宋体"/>
                <w:spacing w:val="-2"/>
                <w:kern w:val="2"/>
                <w:sz w:val="21"/>
                <w:szCs w:val="21"/>
              </w:rPr>
              <w:t>第二节</w:t>
            </w:r>
          </w:p>
          <w:p>
            <w:pPr>
              <w:widowControl w:val="0"/>
              <w:spacing w:line="219" w:lineRule="auto"/>
              <w:ind w:left="365"/>
              <w:jc w:val="both"/>
              <w:rPr>
                <w:rFonts w:ascii="宋体" w:hAnsi="宋体" w:cs="宋体"/>
                <w:kern w:val="2"/>
                <w:sz w:val="21"/>
                <w:szCs w:val="21"/>
              </w:rPr>
            </w:pPr>
            <w:r>
              <w:rPr>
                <w:rFonts w:ascii="宋体" w:hAnsi="宋体" w:cs="宋体"/>
                <w:spacing w:val="-2"/>
                <w:kern w:val="2"/>
                <w:sz w:val="21"/>
                <w:szCs w:val="21"/>
              </w:rPr>
              <w:t>第15.3款</w:t>
            </w:r>
          </w:p>
        </w:tc>
        <w:tc>
          <w:tcPr>
            <w:tcW w:w="1738" w:type="dxa"/>
            <w:vAlign w:val="top"/>
          </w:tcPr>
          <w:p>
            <w:pPr>
              <w:widowControl w:val="0"/>
              <w:spacing w:before="272" w:line="219" w:lineRule="auto"/>
              <w:ind w:left="112"/>
              <w:jc w:val="both"/>
              <w:rPr>
                <w:rFonts w:ascii="宋体" w:hAnsi="宋体" w:cs="宋体"/>
                <w:kern w:val="2"/>
                <w:sz w:val="21"/>
                <w:szCs w:val="21"/>
              </w:rPr>
            </w:pPr>
            <w:r>
              <w:rPr>
                <w:rFonts w:ascii="宋体" w:hAnsi="宋体" w:cs="宋体"/>
                <w:spacing w:val="2"/>
                <w:kern w:val="2"/>
                <w:sz w:val="21"/>
                <w:szCs w:val="21"/>
              </w:rPr>
              <w:t>逾期付款利息</w:t>
            </w:r>
          </w:p>
        </w:tc>
        <w:tc>
          <w:tcPr>
            <w:tcW w:w="5159" w:type="dxa"/>
            <w:vAlign w:val="top"/>
          </w:tcPr>
          <w:p>
            <w:pPr>
              <w:widowControl w:val="0"/>
              <w:jc w:val="both"/>
              <w:rPr>
                <w:rFonts w:ascii="Arial"/>
                <w:kern w:val="2"/>
                <w:sz w:val="21"/>
                <w:lang w:eastAsia="zh-CN"/>
              </w:rPr>
            </w:pPr>
          </w:p>
        </w:tc>
      </w:tr>
      <w:tr>
        <w:tblPrEx>
          <w:tblW w:w="5000" w:type="pct"/>
          <w:tblInd w:w="76" w:type="dxa"/>
          <w:tblLayout w:type="fixed"/>
          <w:tblCellMar>
            <w:top w:w="0" w:type="dxa"/>
            <w:left w:w="0" w:type="dxa"/>
            <w:bottom w:w="0" w:type="dxa"/>
            <w:right w:w="0" w:type="dxa"/>
          </w:tblCellMar>
        </w:tblPrEx>
        <w:trPr>
          <w:trHeight w:val="869"/>
        </w:trPr>
        <w:tc>
          <w:tcPr>
            <w:tcW w:w="1593" w:type="dxa"/>
            <w:vAlign w:val="top"/>
          </w:tcPr>
          <w:p>
            <w:pPr>
              <w:widowControl w:val="0"/>
              <w:spacing w:before="213" w:line="237" w:lineRule="auto"/>
              <w:ind w:left="475"/>
              <w:jc w:val="both"/>
              <w:rPr>
                <w:rFonts w:ascii="宋体" w:hAnsi="宋体" w:cs="宋体"/>
                <w:kern w:val="2"/>
                <w:sz w:val="21"/>
                <w:szCs w:val="21"/>
              </w:rPr>
            </w:pPr>
            <w:r>
              <w:rPr>
                <w:rFonts w:ascii="宋体" w:hAnsi="宋体" w:cs="宋体"/>
                <w:spacing w:val="-2"/>
                <w:kern w:val="2"/>
                <w:sz w:val="21"/>
                <w:szCs w:val="21"/>
              </w:rPr>
              <w:t>第二节</w:t>
            </w:r>
          </w:p>
          <w:p>
            <w:pPr>
              <w:widowControl w:val="0"/>
              <w:spacing w:line="219" w:lineRule="auto"/>
              <w:ind w:left="365"/>
              <w:jc w:val="both"/>
              <w:rPr>
                <w:rFonts w:ascii="宋体" w:hAnsi="宋体" w:cs="宋体"/>
                <w:kern w:val="2"/>
                <w:sz w:val="21"/>
                <w:szCs w:val="21"/>
              </w:rPr>
            </w:pPr>
            <w:r>
              <w:rPr>
                <w:rFonts w:ascii="宋体" w:hAnsi="宋体" w:cs="宋体"/>
                <w:spacing w:val="-2"/>
                <w:kern w:val="2"/>
                <w:sz w:val="21"/>
                <w:szCs w:val="21"/>
              </w:rPr>
              <w:t>第15.4款</w:t>
            </w:r>
          </w:p>
        </w:tc>
        <w:tc>
          <w:tcPr>
            <w:tcW w:w="1738" w:type="dxa"/>
            <w:vAlign w:val="top"/>
          </w:tcPr>
          <w:p>
            <w:pPr>
              <w:widowControl w:val="0"/>
              <w:spacing w:line="263" w:lineRule="auto"/>
              <w:jc w:val="both"/>
              <w:rPr>
                <w:rFonts w:ascii="Arial"/>
                <w:kern w:val="2"/>
                <w:sz w:val="21"/>
                <w:lang w:eastAsia="zh-CN"/>
              </w:rPr>
            </w:pPr>
          </w:p>
          <w:p>
            <w:pPr>
              <w:widowControl w:val="0"/>
              <w:spacing w:before="69" w:line="219" w:lineRule="auto"/>
              <w:ind w:left="112"/>
              <w:jc w:val="both"/>
              <w:rPr>
                <w:rFonts w:ascii="宋体" w:hAnsi="宋体" w:cs="宋体"/>
                <w:kern w:val="2"/>
                <w:sz w:val="21"/>
                <w:szCs w:val="21"/>
              </w:rPr>
            </w:pPr>
            <w:r>
              <w:rPr>
                <w:rFonts w:ascii="宋体" w:hAnsi="宋体" w:cs="宋体"/>
                <w:spacing w:val="-2"/>
                <w:kern w:val="2"/>
                <w:sz w:val="21"/>
                <w:szCs w:val="21"/>
              </w:rPr>
              <w:t>其他违约责任</w:t>
            </w:r>
          </w:p>
        </w:tc>
        <w:tc>
          <w:tcPr>
            <w:tcW w:w="5159" w:type="dxa"/>
            <w:vAlign w:val="top"/>
          </w:tcPr>
          <w:p>
            <w:pPr>
              <w:widowControl w:val="0"/>
              <w:jc w:val="both"/>
              <w:rPr>
                <w:rFonts w:ascii="Arial"/>
                <w:kern w:val="2"/>
                <w:sz w:val="21"/>
                <w:lang w:eastAsia="zh-CN"/>
              </w:rPr>
            </w:pPr>
          </w:p>
        </w:tc>
      </w:tr>
      <w:tr>
        <w:tblPrEx>
          <w:tblW w:w="5000" w:type="pct"/>
          <w:tblInd w:w="76" w:type="dxa"/>
          <w:tblLayout w:type="fixed"/>
          <w:tblCellMar>
            <w:top w:w="0" w:type="dxa"/>
            <w:left w:w="0" w:type="dxa"/>
            <w:bottom w:w="0" w:type="dxa"/>
            <w:right w:w="0" w:type="dxa"/>
          </w:tblCellMar>
        </w:tblPrEx>
        <w:trPr>
          <w:trHeight w:val="1867"/>
        </w:trPr>
        <w:tc>
          <w:tcPr>
            <w:tcW w:w="1593" w:type="dxa"/>
            <w:vAlign w:val="top"/>
          </w:tcPr>
          <w:p>
            <w:pPr>
              <w:widowControl w:val="0"/>
              <w:spacing w:line="311" w:lineRule="auto"/>
              <w:jc w:val="both"/>
              <w:rPr>
                <w:rFonts w:ascii="Arial"/>
                <w:kern w:val="2"/>
                <w:sz w:val="21"/>
                <w:lang w:eastAsia="zh-CN"/>
              </w:rPr>
            </w:pPr>
          </w:p>
          <w:p>
            <w:pPr>
              <w:widowControl w:val="0"/>
              <w:spacing w:line="311" w:lineRule="auto"/>
              <w:jc w:val="both"/>
              <w:rPr>
                <w:rFonts w:ascii="Arial"/>
                <w:kern w:val="2"/>
                <w:sz w:val="21"/>
                <w:lang w:eastAsia="zh-CN"/>
              </w:rPr>
            </w:pPr>
          </w:p>
          <w:p>
            <w:pPr>
              <w:widowControl w:val="0"/>
              <w:spacing w:before="68" w:line="300" w:lineRule="exact"/>
              <w:ind w:left="475"/>
              <w:jc w:val="both"/>
              <w:rPr>
                <w:rFonts w:ascii="宋体" w:hAnsi="宋体" w:cs="宋体"/>
                <w:kern w:val="2"/>
                <w:sz w:val="21"/>
                <w:szCs w:val="21"/>
              </w:rPr>
            </w:pPr>
            <w:r>
              <w:rPr>
                <w:rFonts w:ascii="宋体" w:hAnsi="宋体" w:cs="宋体"/>
                <w:spacing w:val="-2"/>
                <w:kern w:val="2"/>
                <w:position w:val="6"/>
                <w:sz w:val="21"/>
                <w:szCs w:val="21"/>
              </w:rPr>
              <w:t>第二节</w:t>
            </w:r>
          </w:p>
          <w:p>
            <w:pPr>
              <w:widowControl w:val="0"/>
              <w:spacing w:line="219" w:lineRule="auto"/>
              <w:ind w:left="365"/>
              <w:jc w:val="both"/>
              <w:rPr>
                <w:rFonts w:ascii="宋体" w:hAnsi="宋体" w:cs="宋体"/>
                <w:kern w:val="2"/>
                <w:sz w:val="21"/>
                <w:szCs w:val="21"/>
              </w:rPr>
            </w:pPr>
            <w:r>
              <w:rPr>
                <w:rFonts w:ascii="宋体" w:hAnsi="宋体" w:cs="宋体"/>
                <w:spacing w:val="-2"/>
                <w:kern w:val="2"/>
                <w:sz w:val="21"/>
                <w:szCs w:val="21"/>
              </w:rPr>
              <w:t>第19.2款</w:t>
            </w:r>
          </w:p>
        </w:tc>
        <w:tc>
          <w:tcPr>
            <w:tcW w:w="1738" w:type="dxa"/>
            <w:vAlign w:val="top"/>
          </w:tcPr>
          <w:p>
            <w:pPr>
              <w:widowControl w:val="0"/>
              <w:spacing w:line="253" w:lineRule="auto"/>
              <w:jc w:val="both"/>
              <w:rPr>
                <w:rFonts w:ascii="Arial"/>
                <w:kern w:val="2"/>
                <w:sz w:val="21"/>
                <w:lang w:eastAsia="zh-CN"/>
              </w:rPr>
            </w:pPr>
          </w:p>
          <w:p>
            <w:pPr>
              <w:widowControl w:val="0"/>
              <w:spacing w:line="254" w:lineRule="auto"/>
              <w:jc w:val="both"/>
              <w:rPr>
                <w:rFonts w:ascii="Arial"/>
                <w:kern w:val="2"/>
                <w:sz w:val="21"/>
                <w:lang w:eastAsia="zh-CN"/>
              </w:rPr>
            </w:pPr>
          </w:p>
          <w:p>
            <w:pPr>
              <w:widowControl w:val="0"/>
              <w:spacing w:line="254" w:lineRule="auto"/>
              <w:jc w:val="both"/>
              <w:rPr>
                <w:rFonts w:ascii="Arial"/>
                <w:kern w:val="2"/>
                <w:sz w:val="21"/>
                <w:lang w:eastAsia="zh-CN"/>
              </w:rPr>
            </w:pPr>
          </w:p>
          <w:p>
            <w:pPr>
              <w:widowControl w:val="0"/>
              <w:spacing w:before="69" w:line="219" w:lineRule="auto"/>
              <w:ind w:left="122"/>
              <w:jc w:val="both"/>
              <w:rPr>
                <w:rFonts w:ascii="宋体" w:hAnsi="宋体" w:cs="宋体"/>
                <w:kern w:val="2"/>
                <w:sz w:val="21"/>
                <w:szCs w:val="21"/>
              </w:rPr>
            </w:pPr>
            <w:r>
              <w:rPr>
                <w:rFonts w:ascii="宋体" w:hAnsi="宋体" w:cs="宋体"/>
                <w:spacing w:val="-1"/>
                <w:kern w:val="2"/>
                <w:sz w:val="21"/>
                <w:szCs w:val="21"/>
              </w:rPr>
              <w:t>解决争议的方法</w:t>
            </w:r>
          </w:p>
        </w:tc>
        <w:tc>
          <w:tcPr>
            <w:tcW w:w="5159" w:type="dxa"/>
            <w:vAlign w:val="top"/>
          </w:tcPr>
          <w:p>
            <w:pPr>
              <w:widowControl w:val="0"/>
              <w:spacing w:before="154" w:line="343" w:lineRule="auto"/>
              <w:ind w:left="114"/>
              <w:jc w:val="both"/>
              <w:rPr>
                <w:rFonts w:ascii="宋体" w:hAnsi="宋体" w:cs="宋体"/>
                <w:kern w:val="2"/>
                <w:sz w:val="21"/>
                <w:szCs w:val="21"/>
              </w:rPr>
            </w:pPr>
            <w:r>
              <w:rPr>
                <w:rFonts w:ascii="宋体" w:hAnsi="宋体" w:cs="宋体"/>
                <w:kern w:val="2"/>
                <w:sz w:val="21"/>
                <w:szCs w:val="21"/>
              </w:rPr>
              <w:t>因本合同及合同有关事项发生的争议，按下列第</w:t>
            </w:r>
            <w:r>
              <w:rPr>
                <w:rFonts w:ascii="宋体" w:hAnsi="宋体" w:cs="宋体"/>
                <w:spacing w:val="104"/>
                <w:kern w:val="2"/>
                <w:sz w:val="21"/>
                <w:szCs w:val="21"/>
                <w:u w:val="single"/>
              </w:rPr>
              <w:t xml:space="preserve"> </w:t>
            </w:r>
            <w:r>
              <w:rPr>
                <w:rFonts w:ascii="宋体" w:hAnsi="宋体" w:cs="宋体"/>
                <w:kern w:val="2"/>
                <w:sz w:val="21"/>
                <w:szCs w:val="21"/>
              </w:rPr>
              <w:t>种</w:t>
            </w:r>
          </w:p>
          <w:p>
            <w:pPr>
              <w:widowControl w:val="0"/>
              <w:spacing w:line="219" w:lineRule="auto"/>
              <w:ind w:left="94"/>
              <w:jc w:val="both"/>
              <w:rPr>
                <w:rFonts w:ascii="宋体" w:hAnsi="宋体" w:cs="宋体"/>
                <w:kern w:val="2"/>
                <w:sz w:val="21"/>
                <w:szCs w:val="21"/>
              </w:rPr>
            </w:pPr>
            <w:r>
              <w:rPr>
                <w:rFonts w:ascii="宋体" w:hAnsi="宋体" w:cs="宋体"/>
                <w:spacing w:val="-1"/>
                <w:kern w:val="2"/>
                <w:sz w:val="21"/>
                <w:szCs w:val="21"/>
              </w:rPr>
              <w:t>方式解决：</w:t>
            </w:r>
          </w:p>
          <w:p>
            <w:pPr>
              <w:widowControl w:val="0"/>
              <w:spacing w:before="162" w:line="219" w:lineRule="auto"/>
              <w:ind w:left="224"/>
              <w:jc w:val="both"/>
              <w:rPr>
                <w:rFonts w:ascii="宋体" w:hAnsi="宋体" w:cs="宋体"/>
                <w:kern w:val="2"/>
                <w:sz w:val="21"/>
                <w:szCs w:val="21"/>
              </w:rPr>
            </w:pPr>
            <w:r>
              <w:rPr>
                <w:rFonts w:ascii="宋体" w:hAnsi="宋体" w:cs="宋体"/>
                <w:spacing w:val="-1"/>
                <w:kern w:val="2"/>
                <w:sz w:val="21"/>
                <w:szCs w:val="21"/>
              </w:rPr>
              <w:t>(1)向_</w:t>
            </w:r>
            <w:r>
              <w:rPr>
                <w:rFonts w:ascii="宋体" w:hAnsi="宋体" w:cs="宋体"/>
                <w:spacing w:val="4"/>
                <w:kern w:val="2"/>
                <w:sz w:val="21"/>
                <w:szCs w:val="21"/>
              </w:rPr>
              <w:t xml:space="preserve">                   </w:t>
            </w:r>
            <w:r>
              <w:rPr>
                <w:rFonts w:ascii="宋体" w:hAnsi="宋体" w:cs="宋体"/>
                <w:spacing w:val="-1"/>
                <w:kern w:val="2"/>
                <w:sz w:val="21"/>
                <w:szCs w:val="21"/>
              </w:rPr>
              <w:t>仲裁委员会申请仲裁，</w:t>
            </w:r>
          </w:p>
          <w:p>
            <w:pPr>
              <w:widowControl w:val="0"/>
              <w:spacing w:before="128" w:line="219" w:lineRule="auto"/>
              <w:ind w:left="94"/>
              <w:jc w:val="both"/>
              <w:rPr>
                <w:rFonts w:ascii="宋体" w:hAnsi="宋体" w:cs="宋体"/>
                <w:kern w:val="2"/>
                <w:sz w:val="12"/>
                <w:szCs w:val="12"/>
              </w:rPr>
            </w:pPr>
            <w:r>
              <w:rPr>
                <w:rFonts w:ascii="宋体" w:hAnsi="宋体" w:cs="宋体"/>
                <w:spacing w:val="-2"/>
                <w:kern w:val="2"/>
                <w:sz w:val="21"/>
                <w:szCs w:val="21"/>
              </w:rPr>
              <w:t>仲裁地点为</w:t>
            </w:r>
            <w:r>
              <w:rPr>
                <w:rFonts w:ascii="宋体" w:hAnsi="宋体" w:cs="宋体"/>
                <w:spacing w:val="-94"/>
                <w:kern w:val="2"/>
                <w:sz w:val="21"/>
                <w:szCs w:val="21"/>
              </w:rPr>
              <w:t xml:space="preserve"> </w:t>
            </w:r>
            <w:r>
              <w:rPr>
                <w:rFonts w:ascii="宋体" w:hAnsi="宋体" w:cs="宋体"/>
                <w:spacing w:val="1"/>
                <w:kern w:val="2"/>
                <w:sz w:val="12"/>
                <w:szCs w:val="12"/>
                <w:u w:val="single"/>
              </w:rPr>
              <w:t xml:space="preserve">                   </w:t>
            </w:r>
            <w:r>
              <w:rPr>
                <w:rFonts w:ascii="宋体" w:hAnsi="宋体" w:cs="宋体"/>
                <w:spacing w:val="-2"/>
                <w:kern w:val="2"/>
                <w:sz w:val="12"/>
                <w:szCs w:val="12"/>
                <w:u w:val="single"/>
              </w:rPr>
              <w:t>;</w:t>
            </w:r>
          </w:p>
          <w:p>
            <w:pPr>
              <w:widowControl w:val="0"/>
              <w:spacing w:before="51" w:line="195" w:lineRule="auto"/>
              <w:ind w:left="204"/>
              <w:jc w:val="both"/>
              <w:rPr>
                <w:rFonts w:ascii="宋体" w:hAnsi="宋体" w:cs="宋体"/>
                <w:kern w:val="2"/>
                <w:sz w:val="21"/>
                <w:szCs w:val="21"/>
              </w:rPr>
            </w:pPr>
            <w:r>
              <w:rPr>
                <w:rFonts w:ascii="宋体" w:hAnsi="宋体" w:cs="宋体"/>
                <w:spacing w:val="1"/>
                <w:kern w:val="2"/>
                <w:sz w:val="21"/>
                <w:szCs w:val="21"/>
              </w:rPr>
              <w:t>(2)向</w:t>
            </w:r>
            <w:r>
              <w:rPr>
                <w:rFonts w:ascii="宋体" w:hAnsi="宋体" w:cs="宋体"/>
                <w:kern w:val="2"/>
                <w:sz w:val="21"/>
                <w:szCs w:val="21"/>
              </w:rPr>
              <w:t xml:space="preserve">                     </w:t>
            </w:r>
            <w:r>
              <w:rPr>
                <w:rFonts w:ascii="宋体" w:hAnsi="宋体" w:cs="宋体"/>
                <w:spacing w:val="1"/>
                <w:kern w:val="2"/>
                <w:sz w:val="21"/>
                <w:szCs w:val="21"/>
              </w:rPr>
              <w:t>人民法院起诉。</w:t>
            </w:r>
          </w:p>
        </w:tc>
      </w:tr>
      <w:tr>
        <w:tblPrEx>
          <w:tblW w:w="5000" w:type="pct"/>
          <w:tblInd w:w="76" w:type="dxa"/>
          <w:tblLayout w:type="fixed"/>
          <w:tblCellMar>
            <w:top w:w="0" w:type="dxa"/>
            <w:left w:w="0" w:type="dxa"/>
            <w:bottom w:w="0" w:type="dxa"/>
            <w:right w:w="0" w:type="dxa"/>
          </w:tblCellMar>
        </w:tblPrEx>
        <w:trPr>
          <w:trHeight w:val="784"/>
        </w:trPr>
        <w:tc>
          <w:tcPr>
            <w:tcW w:w="1593" w:type="dxa"/>
            <w:vAlign w:val="top"/>
          </w:tcPr>
          <w:p>
            <w:pPr>
              <w:widowControl w:val="0"/>
              <w:spacing w:before="177" w:line="237" w:lineRule="auto"/>
              <w:ind w:left="475"/>
              <w:jc w:val="both"/>
              <w:rPr>
                <w:rFonts w:ascii="宋体" w:hAnsi="宋体" w:cs="宋体"/>
                <w:kern w:val="2"/>
                <w:sz w:val="21"/>
                <w:szCs w:val="21"/>
              </w:rPr>
            </w:pPr>
            <w:r>
              <w:rPr>
                <w:rFonts w:ascii="宋体" w:hAnsi="宋体" w:cs="宋体"/>
                <w:spacing w:val="-2"/>
                <w:kern w:val="2"/>
                <w:sz w:val="21"/>
                <w:szCs w:val="21"/>
              </w:rPr>
              <w:t>第二节</w:t>
            </w:r>
          </w:p>
          <w:p>
            <w:pPr>
              <w:widowControl w:val="0"/>
              <w:spacing w:line="219" w:lineRule="auto"/>
              <w:ind w:left="365"/>
              <w:jc w:val="both"/>
              <w:rPr>
                <w:rFonts w:ascii="宋体" w:hAnsi="宋体" w:cs="宋体"/>
                <w:kern w:val="2"/>
                <w:sz w:val="21"/>
                <w:szCs w:val="21"/>
              </w:rPr>
            </w:pPr>
            <w:r>
              <w:rPr>
                <w:rFonts w:ascii="宋体" w:hAnsi="宋体" w:cs="宋体"/>
                <w:spacing w:val="-2"/>
                <w:kern w:val="2"/>
                <w:sz w:val="21"/>
                <w:szCs w:val="21"/>
              </w:rPr>
              <w:t>第23.1款</w:t>
            </w:r>
          </w:p>
        </w:tc>
        <w:tc>
          <w:tcPr>
            <w:tcW w:w="1738" w:type="dxa"/>
            <w:vAlign w:val="top"/>
          </w:tcPr>
          <w:p>
            <w:pPr>
              <w:widowControl w:val="0"/>
              <w:spacing w:before="297" w:line="219" w:lineRule="auto"/>
              <w:ind w:left="112"/>
              <w:jc w:val="both"/>
              <w:rPr>
                <w:rFonts w:ascii="宋体" w:hAnsi="宋体" w:cs="宋体"/>
                <w:kern w:val="2"/>
                <w:sz w:val="21"/>
                <w:szCs w:val="21"/>
              </w:rPr>
            </w:pPr>
            <w:r>
              <w:rPr>
                <w:rFonts w:ascii="宋体" w:hAnsi="宋体" w:cs="宋体"/>
                <w:spacing w:val="-2"/>
                <w:kern w:val="2"/>
                <w:sz w:val="21"/>
                <w:szCs w:val="21"/>
              </w:rPr>
              <w:t>其他专用条款</w:t>
            </w:r>
          </w:p>
        </w:tc>
        <w:tc>
          <w:tcPr>
            <w:tcW w:w="5159" w:type="dxa"/>
            <w:vAlign w:val="top"/>
          </w:tcPr>
          <w:p>
            <w:pPr>
              <w:widowControl w:val="0"/>
              <w:jc w:val="both"/>
              <w:rPr>
                <w:rFonts w:ascii="Arial"/>
                <w:kern w:val="2"/>
                <w:sz w:val="21"/>
                <w:lang w:eastAsia="zh-CN"/>
              </w:rPr>
            </w:pPr>
          </w:p>
        </w:tc>
      </w:tr>
    </w:tbl>
    <w:p>
      <w:pPr>
        <w:widowControl w:val="0"/>
        <w:jc w:val="both"/>
        <w:rPr>
          <w:rFonts w:ascii="Arial" w:eastAsia="宋体"/>
          <w:kern w:val="2"/>
          <w:sz w:val="21"/>
          <w:lang w:eastAsia="zh-CN"/>
        </w:rPr>
      </w:pPr>
    </w:p>
    <w:p>
      <w:pPr>
        <w:widowControl w:val="0"/>
        <w:jc w:val="both"/>
        <w:rPr>
          <w:rFonts w:ascii="Arial" w:eastAsia="Arial" w:hAnsi="Arial" w:cs="Arial"/>
          <w:kern w:val="2"/>
          <w:sz w:val="21"/>
          <w:szCs w:val="21"/>
          <w:highlight w:val="green"/>
          <w:lang w:eastAsia="zh-CN"/>
        </w:rPr>
        <w:sectPr>
          <w:footerReference w:type="default" r:id="rId18"/>
          <w:pgSz w:w="11890" w:h="16850"/>
          <w:pgMar w:top="1440" w:right="1800" w:bottom="1440" w:left="1800" w:header="0" w:footer="1089" w:gutter="0"/>
          <w:pgBorders>
            <w:top w:val="none" w:sz="0" w:space="0" w:color="auto"/>
            <w:left w:val="none" w:sz="0" w:space="0" w:color="auto"/>
            <w:bottom w:val="none" w:sz="0" w:space="0" w:color="auto"/>
            <w:right w:val="none" w:sz="0" w:space="0" w:color="auto"/>
          </w:pgBorders>
          <w:pgNumType w:fmt="numberInDash"/>
          <w:cols w:num="1" w:space="720"/>
        </w:sectPr>
      </w:pPr>
    </w:p>
    <w:p>
      <w:pPr>
        <w:pageBreakBefore w:val="0"/>
        <w:widowControl w:val="0"/>
        <w:kinsoku/>
        <w:overflowPunct/>
        <w:topLinePunct w:val="0"/>
        <w:autoSpaceDE/>
        <w:autoSpaceDN/>
        <w:bidi w:val="0"/>
        <w:spacing w:before="0" w:beforeAutospacing="0" w:after="0" w:afterAutospacing="0" w:line="360" w:lineRule="auto"/>
        <w:ind w:left="0" w:right="0" w:firstLine="0" w:leftChars="0" w:firstLineChars="0"/>
        <w:jc w:val="center"/>
        <w:outlineLvl w:val="0"/>
        <w:rPr>
          <w:rFonts w:ascii="宋体" w:eastAsia="宋体" w:hAnsi="宋体" w:cs="宋体" w:hint="eastAsia"/>
          <w:b/>
          <w:bCs/>
          <w:kern w:val="44"/>
          <w:sz w:val="44"/>
          <w:szCs w:val="44"/>
          <w:lang w:eastAsia="zh-CN"/>
        </w:rPr>
      </w:pPr>
      <w:r>
        <w:rPr>
          <w:rFonts w:ascii="宋体" w:eastAsia="宋体" w:hAnsi="宋体" w:cs="宋体" w:hint="eastAsia"/>
          <w:b/>
          <w:bCs/>
          <w:kern w:val="44"/>
          <w:sz w:val="44"/>
          <w:szCs w:val="44"/>
          <w:lang w:eastAsia="zh-CN"/>
        </w:rPr>
        <w:t>第二册  通用条款（自行采购）</w:t>
      </w:r>
    </w:p>
    <w:bookmarkEnd w:id="89"/>
    <w:p>
      <w:pPr>
        <w:widowControl w:val="0"/>
        <w:jc w:val="both"/>
        <w:rPr>
          <w:rFonts w:ascii="宋体" w:eastAsia="宋体" w:hAnsi="宋体" w:cs="宋体" w:hint="eastAsia"/>
          <w:kern w:val="2"/>
          <w:sz w:val="21"/>
          <w:lang w:eastAsia="zh-CN"/>
        </w:rPr>
      </w:pPr>
    </w:p>
    <w:p>
      <w:pPr>
        <w:widowControl w:val="0"/>
        <w:jc w:val="center"/>
        <w:outlineLvl w:val="0"/>
        <w:rPr>
          <w:rFonts w:ascii="宋体" w:eastAsia="宋体" w:hAnsi="宋体" w:cs="宋体" w:hint="eastAsia"/>
          <w:b/>
          <w:bCs/>
          <w:kern w:val="2"/>
          <w:sz w:val="32"/>
          <w:szCs w:val="32"/>
          <w:lang w:eastAsia="zh-CN"/>
        </w:rPr>
      </w:pPr>
      <w:bookmarkStart w:id="90" w:name="bookmark89"/>
      <w:bookmarkEnd w:id="90"/>
      <w:bookmarkStart w:id="91" w:name="bookmark88"/>
      <w:bookmarkEnd w:id="91"/>
      <w:bookmarkStart w:id="92" w:name="bookmark87"/>
      <w:bookmarkEnd w:id="92"/>
      <w:r>
        <w:rPr>
          <w:rFonts w:ascii="宋体" w:eastAsia="宋体" w:hAnsi="宋体" w:cs="宋体" w:hint="eastAsia"/>
          <w:b/>
          <w:bCs/>
          <w:kern w:val="2"/>
          <w:sz w:val="32"/>
          <w:szCs w:val="32"/>
          <w:lang w:eastAsia="zh-CN"/>
        </w:rPr>
        <w:t>第一章 总则</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1.通用条款说明</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1.1 本自行采购文件分为第一册“专用条款 ”和第二册“通用条款 ”。</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1.2“专用条款 ”是对本次采购项目的具体要求，包含投标人资格要求、采购项目需求、 投标文件格式、附件等内容。</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1.3“通用条款 ”是通用于政府采购项目的基础性条款，具有普遍性和通用性。</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1.4“专用条款 ”和“通用条款 ”表述不一致或有冲突时，以“专用条款 ”为准。</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2.投标人责任</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2.1 欢迎诚信、有实力和有社会责任心的投标人参与龙华区教育系统自行采购活动。</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2.2 投标人应当遵循公平竞争的原则，不得恶意串通，不得妨碍其他投标投标人的竞争 行为，不得损害采购人或者其他投标人的合法权益。如违反上述要求，经核实后，投标人的 投标无效。</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2.3本项目按照深圳市龙华区教育局有关教育系统自行采购管理规定，并参照政府采购有关法律法规，通过公开招标方式确定中标供应商。</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3．投标人参加自行采购活动的条件</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3.1 投标人的资格要求</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参加本项目的投标人应具备的资格条件详见本项目采购公告中 “对投标人资格要求 ” 的内容。</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4.本项目若涉及采购货物，则合格的货物及相应服务应满足以下要求：</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4.1  必须是全新、未使用过的原装合格正品（包括零部件），如安装或配置了软件的， 须为正版软件。</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4.2  国产的货物及其有关服务必须符合中华人民共和国的设计和制造生产标准或行业 标准。采购公告有其他要求的，亦应符合其要求。</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4.3  进口货物及其有关服务必须符合原产地和/或中华人民共和国的设计和制造生产 标准或行业标准。进口的货物必须具有合法的进口手续和途径，并通过中华人民共和国商检</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部门检验。采购公告有其他要求的，亦应符合其要求。</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4.4  投标人应保证，其所提供的货物在提供给采购单位前具有完全的所有权，采购单</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位在中华人民共和国使用该货物或货物的任何一部分时，不会产生因第三方提出的包括但不 限于侵犯其专利权、商标权、工业设计权等知识产权和侵犯其所有权、抵押权等物权及其他 权利而引发的纠纷。如有纠纷，投标人应承担全部责任。</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4.5  投标人应保证，其所提供的货物应具有行政主管部门颁发的资质证书或国家质量 监督部门的产品《检验报告》。设备到货验收时，还必须提供设备的产品合格证、质量保证 文件。若中选后，除非另有约定，投标人必须按合同规定完成设备的安装，并达到验收标准。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4.6  对工期的要求：投标人在投标时对其所投项目应提交详细的《交货进度表》，列 明交货计划等，在合同规定的时间内完工验收。</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4.7  投标人必须承担的设备运输、安装调试、验收检测和提供设备操作说明书、图纸 等其他相关及类似的义务。</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5．投标费用</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不论投标结果如何，投标人应承担其编制投标文件与递交投标文件所涉及的一切费用。</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6．踏勘现场</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7.1 如有需要（详见专用条款），采购人将组织投标人对项目现场及周围环境进行踏勘， 以便投标人获取有关编制投标文件和签署合同所需的资料。踏勘现场所发生的费用由投标人 自行承担。投标人应按采购公告所约定的时间、地点踏勘现场。</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7.2 投标人及其人员经过采购人的允许，可以踏勘目的进入采购人的项目现场。若采购 文件要求投标人于统一时间地点踏勘现场的，投标人应当按时前往。</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7.3 采购人必须通过深圳市泽钧招标有限公司向投标人提供有关现场的资料和数据。</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7.4 任何人或任何组织在踏勘现场时向投标人提交的任何书面资料或口头承诺，未经深圳市泽钧招标有限公司在网上发布或书面通知，均作无效处理。深圳市泽钧招标有限公司 对投标人由此而做出的推论、理解和结论概不负责。</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7.5 未参与现场踏勘不作为否定投标人资格的理由。</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8．采购答疑</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8.1 采购答疑的目的是澄清、解答投标人在查阅采购文件后或现场踏勘中可能提出的与 投标有关的疑问或询问。</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8.2 投标人如对采购文件内容有疑问，必须在采购文件规定的答疑截止时间前提交给深圳市泽钧招标有限公司。</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8.3 如深圳市泽钧招标有限公司认为有必要组织现场答疑会，投标人应按照文件规定的 时间或书面通知（包括网站发布的通知）的时间和地点，参与现场答疑会。</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8.4 未参与采购答疑不作为否定投标人资格的理由。</w:t>
      </w:r>
    </w:p>
    <w:p>
      <w:pPr>
        <w:widowControl w:val="0"/>
        <w:jc w:val="both"/>
        <w:rPr>
          <w:rFonts w:ascii="宋体" w:eastAsia="宋体" w:hAnsi="宋体" w:cs="宋体" w:hint="eastAsia"/>
          <w:kern w:val="2"/>
          <w:sz w:val="21"/>
          <w:lang w:eastAsia="zh-CN"/>
        </w:rPr>
      </w:pPr>
    </w:p>
    <w:p>
      <w:pPr>
        <w:widowControl w:val="0"/>
        <w:jc w:val="center"/>
        <w:outlineLvl w:val="0"/>
        <w:rPr>
          <w:rFonts w:ascii="宋体" w:eastAsia="宋体" w:hAnsi="宋体" w:cs="宋体" w:hint="eastAsia"/>
          <w:b/>
          <w:bCs/>
          <w:kern w:val="2"/>
          <w:sz w:val="32"/>
          <w:szCs w:val="32"/>
          <w:lang w:eastAsia="zh-CN"/>
        </w:rPr>
      </w:pPr>
      <w:bookmarkStart w:id="93" w:name="bookmark90"/>
      <w:bookmarkEnd w:id="93"/>
      <w:bookmarkStart w:id="94" w:name="bookmark91"/>
      <w:bookmarkEnd w:id="94"/>
      <w:r>
        <w:rPr>
          <w:rFonts w:ascii="宋体" w:eastAsia="宋体" w:hAnsi="宋体" w:cs="宋体" w:hint="eastAsia"/>
          <w:b/>
          <w:bCs/>
          <w:kern w:val="2"/>
          <w:sz w:val="32"/>
          <w:szCs w:val="32"/>
          <w:lang w:eastAsia="zh-CN"/>
        </w:rPr>
        <w:t>第二章 采购文件</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9．采购文件的编制与组成</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9.1 采购文件除以下内容外，深圳市泽钧招标有限公司在采购（或谈判）期间发出的答 疑公告或其他补充修改函件，均是采购文件的组成部分，对投标人起约束作用；</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采购文件包括下列内容：</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第一册  专用条款 关键信息</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第一章  采购公告</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第二章  项目需求</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第三章  投标文件格式、附件</w:t>
      </w:r>
    </w:p>
    <w:p>
      <w:pPr>
        <w:widowControl w:val="0"/>
        <w:jc w:val="both"/>
        <w:outlineLvl w:val="2"/>
        <w:rPr>
          <w:rFonts w:ascii="宋体" w:eastAsia="宋体" w:hAnsi="宋体" w:cs="宋体" w:hint="eastAsia"/>
          <w:kern w:val="2"/>
          <w:sz w:val="21"/>
          <w:lang w:eastAsia="zh-CN"/>
        </w:rPr>
      </w:pPr>
      <w:r>
        <w:rPr>
          <w:rFonts w:ascii="宋体" w:eastAsia="宋体" w:hAnsi="宋体" w:cs="宋体" w:hint="eastAsia"/>
          <w:kern w:val="2"/>
          <w:sz w:val="21"/>
          <w:lang w:eastAsia="zh-CN"/>
        </w:rPr>
        <w:t>第二册  通用条款</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第一章  总则</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第二章  采购文件</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第三章  投标文件的编制</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第四章  投标文件的递交</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第五章  开标</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第六章  评审要求</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第七章  评审程序及评审方法</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第八章  定标及公示</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第九章  公开采购失败的后续处理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第十章  合同的授予与备案</w:t>
      </w:r>
    </w:p>
    <w:p>
      <w:pPr>
        <w:widowControl w:val="0"/>
        <w:jc w:val="both"/>
        <w:rPr>
          <w:rFonts w:ascii="宋体" w:eastAsia="宋体" w:hAnsi="宋体" w:cs="宋体" w:hint="eastAsia"/>
          <w:kern w:val="2"/>
          <w:sz w:val="21"/>
          <w:lang w:eastAsia="zh-CN"/>
        </w:rPr>
      </w:pPr>
    </w:p>
    <w:p>
      <w:pPr>
        <w:widowControl w:val="0"/>
        <w:jc w:val="both"/>
        <w:rPr>
          <w:rFonts w:ascii="宋体" w:eastAsia="宋体" w:hAnsi="宋体" w:cs="宋体" w:hint="eastAsia"/>
          <w:kern w:val="2"/>
          <w:sz w:val="21"/>
          <w:lang w:eastAsia="zh-CN"/>
        </w:rPr>
      </w:pP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9.2 投标人下载采购文件后，应仔细检查采购文件的所有内容，如有疑问应在答疑截止 时间之前向深圳市泽钧招标有限公司提出，否则，由此引起的投标损失自负；投标人同时应 认真审阅采购文件所有的事项、格式、条款和规范要求等，如果投标人的投标文件未按采购 文件要求提交全部资料或者投标文件未对采购文件做出实质性投标，其风险应由投标人自行 承担，并根据有关条款规定，其投标有可能被拒绝。</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9.3 任何人或任何组织向投标人提交的任何书面或口头资料，未经深圳市泽钧招标有限公司在网上发布或书面通知，均作无效处理，不得作为采购文件的组成部分。深圳市泽钧招标有限公司对投标人由此而做出的推论、理解和结论概不负责。</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10．采购文件的答疑</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10.1 投标人如对采购文件内容有疑问，必须在采购文件规定的答疑截止时间前提交给 深圳市泽钧招标有限公司。不论是深圳市泽钧招标有限公司根据需要主动对采购文件进行 必要的澄清或是根据投标人的要求对采购文件做出澄清，深圳市泽钧招标有限公司都将在投 标截止日期前答复或发送给投标人。</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10.2 对于没有提出澄清又参与了该项目投标的投标人将被视为完全认同该采购文件， 投标截止期后不再受理针对采购文件的相关质疑或投诉。</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10.3 对采购文件中描述有歧意或前后不一致的地方，评审委员会有权进行评判，但对同 一条款的评判应适用于每个投标人。</w:t>
      </w:r>
    </w:p>
    <w:p>
      <w:pPr>
        <w:widowControl w:val="0"/>
        <w:jc w:val="both"/>
        <w:rPr>
          <w:rFonts w:ascii="宋体" w:eastAsia="宋体" w:hAnsi="宋体" w:cs="宋体" w:hint="eastAsia"/>
          <w:kern w:val="2"/>
          <w:sz w:val="21"/>
          <w:lang w:eastAsia="zh-CN"/>
        </w:rPr>
      </w:pPr>
    </w:p>
    <w:p>
      <w:pPr>
        <w:widowControl w:val="0"/>
        <w:jc w:val="both"/>
        <w:rPr>
          <w:rFonts w:ascii="宋体" w:eastAsia="宋体" w:hAnsi="宋体" w:cs="宋体" w:hint="eastAsia"/>
          <w:kern w:val="2"/>
          <w:sz w:val="21"/>
          <w:lang w:eastAsia="zh-CN"/>
        </w:rPr>
      </w:pPr>
    </w:p>
    <w:p>
      <w:pPr>
        <w:widowControl w:val="0"/>
        <w:jc w:val="center"/>
        <w:outlineLvl w:val="0"/>
        <w:rPr>
          <w:rFonts w:ascii="宋体" w:eastAsia="宋体" w:hAnsi="宋体" w:cs="宋体" w:hint="eastAsia"/>
          <w:b/>
          <w:bCs/>
          <w:kern w:val="2"/>
          <w:sz w:val="32"/>
          <w:szCs w:val="32"/>
          <w:lang w:eastAsia="zh-CN"/>
        </w:rPr>
      </w:pPr>
      <w:bookmarkStart w:id="95" w:name="bookmark93"/>
      <w:bookmarkEnd w:id="95"/>
      <w:bookmarkStart w:id="96" w:name="bookmark92"/>
      <w:bookmarkEnd w:id="96"/>
      <w:r>
        <w:rPr>
          <w:rFonts w:ascii="宋体" w:eastAsia="宋体" w:hAnsi="宋体" w:cs="宋体" w:hint="eastAsia"/>
          <w:b/>
          <w:bCs/>
          <w:kern w:val="2"/>
          <w:sz w:val="32"/>
          <w:szCs w:val="32"/>
          <w:lang w:eastAsia="zh-CN"/>
        </w:rPr>
        <w:t>第三章 投标文件的编制</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12．投标文件的语言及度量单位</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12.1 投标人与深圳市泽钧招标有限公司之间与投标有关的所有往来通知、函件和投标 文件均用中文表述。投标人随投标文件提供的证明文件和资料可以为其它语言，但必须附中 文译文。翻译的中文资料与外文资料如果出现差异时， 以中文为准，但翻译错误的除外。</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12.2 除技术规范另有规定外，投标文件使用的度量单位，均采用中华人民共和国法定 计量单位。</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13．投标文件的组成</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本项目实行电子投标，投标文件必须有详细的、含页码编排的目录，商务、技术和经济 部分合订成一本投标文件。</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14．投标文件格式</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投标人提交的投标文件应毫无例外地使用招标文件所提供的相应格式并统一使用 A4 篇幅（表格可以按同样格式扩展）。</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16．证明投标文件投标技术方案的合格性和符合采购文件规定的文件要求</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16.1 投标人应提交证明文件证明其投标技术方案项下的货物、工程和服务的合格性符 合采购文件规定。该投标技术方案及其证明文件作为投标文件的一部分。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16.2 投标人提供证明投标技术方案与采购文件的要求相一致的文件，可以是文字资料、 图纸、数据或数码照片、制造商公布的产品说明书、产品彩页和我国政府机构出具的产品检 验和核准证件等， 以证明投标人投标的真实性。它包括并应符合以下要求：</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16.2.1 主要技术指标和性能的详细说明。</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16.2.2 投标产品从采购人开始使用至采购文件中规定的周期内正常、连续地使用所必 须的备件和专用工具清单，包括备件和专用工具的货源及现行价格。</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16.2.3 对照采购文件技术规格，逐条说明投标技术方案已对采购人的技术规格做出了 实质性的投标，或申明与技术规格条文的偏差和例外。投标人应详细说明投标技术方案中产 品的具体参数，不得照搬照抄采购文件的技术要求。</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16.2.4 产品说明书或彩页应为制造商公布或出具的中文产品说明书或彩页；提供外文 说明书或彩页的，必须同时提供加盖制造商公章的对应中文翻译说明，评审依据以中文翻译 内容为准，外文说明书或彩页仅供参考；产品说明书或彩页的尺寸和清晰度要求能够使用电 脑阅读、识别和判断；</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16.2.5 我国政府机构出具的产品检验和核准证件应为证件正面、背面和附件标注的全 部具体内容；产品检验和核准证件的尺寸和清晰度应该能够在电脑上被阅读、识别和判断， 提供原件扫描件。</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16.3 相关资料不符合 18.2 款要求的，评审委员会有权认定为投标技术方案不合格投标， 其相关分数予以扣减或作投标无效处理。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16.4 投标人在阐述上述第 18.2 时应注意采购人在技术规格中指出的工艺、材料和设备 的标准以及参照的牌号或分类号仅起说明作用，并没有任何限制性。投标人在投标中可以选 用替代标准、牌号或分类号，但这些替代要实质上满足采购文件中技术规格的要求，是否满 足要求， 由评审委员会来评判。</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16.5 为保证公平公正，除非另有规定或说明，投标人对同一货物或服务投标时，不得 同时提供两套或两套以上的投标方案。</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17．投标文件其他证明文件的要求</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17.1 对项目采购文件《评审信息》评分项中涉及的相关业绩、社保情况等内容以及《资 格性审查表》和《符合性审查表》中涉及的资格证书，投标人应提供相关部门出具的证明材 料扫描件，原件备查。若投标人未按要求提供证明材料或提供的是部分证明材料或提供不清 晰的扫描件（或照片）的，评审委员会有权认定其投标文件未对采购文件有关需求进行投标， 涉及资格性检查或符合性检查的予以投标无效处理，涉及《评审信息》打分项的则该项评分予以 0 分处理。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17.2 本项目涉及提供的有关资质证书，若原有资质证书处于年审期间，须提供证书颁 发部门提供的回执，并且回执须证明该证书依然有效（若在法规范围不需提供的，投标人应 做书面说明并提供证明文件，否则该证书无效），则该投标人提供年审证明的可按原资质投 标；若投标人正在申报上一级别资质，在未获批准之前，仍按原级别资质投标。</w:t>
      </w:r>
    </w:p>
    <w:p>
      <w:pPr>
        <w:widowControl w:val="0"/>
        <w:jc w:val="both"/>
        <w:rPr>
          <w:rFonts w:ascii="宋体" w:eastAsia="宋体" w:hAnsi="宋体" w:cs="宋体" w:hint="eastAsia"/>
          <w:kern w:val="2"/>
          <w:sz w:val="21"/>
          <w:lang w:eastAsia="zh-CN"/>
        </w:rPr>
      </w:pPr>
    </w:p>
    <w:p>
      <w:pPr>
        <w:widowControl w:val="0"/>
        <w:jc w:val="center"/>
        <w:outlineLvl w:val="0"/>
        <w:rPr>
          <w:rFonts w:ascii="宋体" w:eastAsia="宋体" w:hAnsi="宋体" w:cs="宋体" w:hint="eastAsia"/>
          <w:b/>
          <w:bCs/>
          <w:kern w:val="2"/>
          <w:sz w:val="32"/>
          <w:szCs w:val="32"/>
          <w:lang w:eastAsia="zh-CN"/>
        </w:rPr>
      </w:pPr>
      <w:bookmarkStart w:id="97" w:name="bookmark95"/>
      <w:bookmarkEnd w:id="97"/>
      <w:bookmarkStart w:id="98" w:name="bookmark94"/>
      <w:bookmarkEnd w:id="98"/>
      <w:r>
        <w:rPr>
          <w:rFonts w:ascii="宋体" w:eastAsia="宋体" w:hAnsi="宋体" w:cs="宋体" w:hint="eastAsia"/>
          <w:b/>
          <w:bCs/>
          <w:kern w:val="2"/>
          <w:sz w:val="32"/>
          <w:szCs w:val="32"/>
          <w:lang w:eastAsia="zh-CN"/>
        </w:rPr>
        <w:t>第四章 投标文件的递交</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18．投标有效期</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18.1 投标有效期为从投标截止之日算起的日历天数，具体见专用条款中投标有效期的 天数要求。在此期限内，所有投标文件均保持有效；</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18.2 中选单位的投标书有效期，截止于完成本采购文件规定的全部项目内容，并通过 竣工验收及保修结束。</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投标文件的递交</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19．投标文件的递交</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本项目实行电子投标，投标单位务必于投标截止时间前，在深圳政府采购自行采购系统（系统登录地址：https://trade.szggzy.com/ggzy/center/#/login）上传电子版投标文件，封表面均应正确标明项目编号、项目名称。投标文件未按照前述要 求递交将作投标无效处理。</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20.样品的递交</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20.1 原则上，不接受样品要求（如有要求，详见第一册专用条款的第二章相关内容）。 如确有必要，采购人可以要求投标人提供能反映货物材质或关键部分的极少部分的尺寸、价 值不大的样品，投标人在投标时应提交《样品清单》，所提供样品必须密封包装，样品作为 投标文件的一部分。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20.2 投标样品上必须标注“项目名称及项目编号、样品编号、样品名称 ”等信息。需 要安装的投标样品必须为安装完整的成品，由投标人自行组织安装。</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20.2.1 样品递交签到：</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投标人授权人要求在本项目投标截止时间前，携带法定代表人证明书（盖公章）、法定 代表人授权委托书（盖公章）、授权委托人身份证原件和扫描件、样品清单（加盖公章）， 到达深圳市泽钧招标有限公司，按深圳市泽钧招标有限公司工作人员指引进行样品递交签 到。</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特别注意事项：（1）上述资料提供不齐全的，不予签到；（2）本项目投标截止时间后，</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不再受理签到；（3）未进行签到的，样品不予接收。</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20.2.2 样品接收</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本项目投标截止时间后进行投标样品接收。投标样品接收必须进行身份核对、样品核对、 登记确认、顺序编号。</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(1)深圳市泽钧招标有限公司核对投标人授权委托人提供的“法定代表人证明书（盖公 章）、法定代表人授权委托书（盖公章）、授权委托人身份证原件和扫描件 ”。资料不齐全 的，不得接收投标样品。</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（2）样品核对。深圳市泽钧招标有限公司工作人员将投标样品与投标人提供的《样品 清单》（盖公章）进行一一核对。有不一致的或损坏情况的，将要求投标人授权委托人在《样 品清单》上注明。</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（3）登记确认。在完成身份核对及样品核对后，投标人授权委托人必须在《样品接收 登记表》上登记确认。</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（4）顺序编号。深圳市泽钧招标有限公司工作人员按投标样品接收的先后顺序进行编 号。</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20.3 深圳市泽钧招标有限公司工作人员负责组织投标样品摆样，指引投标人授权委托 人将投标样品搬运到指定地点摆放、拆除包装，按要求摆放整齐。</w:t>
      </w:r>
    </w:p>
    <w:p>
      <w:pPr>
        <w:widowControl w:val="0"/>
        <w:jc w:val="left"/>
        <w:rPr>
          <w:rFonts w:ascii="宋体" w:eastAsia="宋体" w:hAnsi="宋体" w:cs="宋体" w:hint="eastAsia"/>
          <w:kern w:val="2"/>
          <w:sz w:val="21"/>
          <w:lang w:eastAsia="zh-CN"/>
        </w:rPr>
      </w:pPr>
      <w:r>
        <w:rPr>
          <w:rFonts w:ascii="宋体" w:eastAsia="宋体" w:hAnsi="宋体" w:cs="宋体" w:hint="eastAsia"/>
          <w:kern w:val="2"/>
          <w:sz w:val="21"/>
          <w:lang w:eastAsia="zh-CN"/>
        </w:rPr>
        <w:t>20.4 样品的退回：（1）未中选的投标人投标样品，深圳市泽钧招标有限公司工作人员 将按规定通知其投标人授权委托人在项目完成评审后的三天内取回。（2） 中选的投标人投 标样品，深圳市泽钧招标有限公司工作人员将按规定在中选通知书发出后通知采购人代表三 天内取走。投标样品移交时，深圳市泽钧招标有限公司工作人员将再次核对投标人授权委托 人或采购人代表身份、核对《样品清单》，签字确认后并取走样品。</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20.5 投标样品未能及时退回的，深圳市泽钧招标有限公司工作人员将及时存放到样品 室，并发函或电话敦促相关单位取回。经敦促仍未能按规定取回的，视同投标人或采购人放 弃取回，深圳市泽钧招标有限公司将定期清理。</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21．投标文件的修改和撤销</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21.1 投标截止时间以后不得修改投标文件。</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21.2 从投标截止期至投标人在投标书中确定的投标有效期之间的这段时间内，投标人 不得撤回其投标。</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21.3 深圳市泽钧招标有限公司不退还投标文件，另有规定的除外。</w:t>
      </w:r>
    </w:p>
    <w:p>
      <w:pPr>
        <w:widowControl w:val="0"/>
        <w:jc w:val="center"/>
        <w:outlineLvl w:val="0"/>
        <w:rPr>
          <w:rFonts w:ascii="宋体" w:eastAsia="宋体" w:hAnsi="宋体" w:cs="宋体" w:hint="eastAsia"/>
          <w:b/>
          <w:bCs/>
          <w:kern w:val="2"/>
          <w:sz w:val="32"/>
          <w:szCs w:val="32"/>
          <w:lang w:eastAsia="zh-CN"/>
        </w:rPr>
      </w:pPr>
      <w:bookmarkStart w:id="99" w:name="bookmark97"/>
      <w:bookmarkEnd w:id="99"/>
      <w:bookmarkStart w:id="100" w:name="bookmark96"/>
      <w:bookmarkEnd w:id="100"/>
      <w:r>
        <w:rPr>
          <w:rFonts w:ascii="宋体" w:eastAsia="宋体" w:hAnsi="宋体" w:cs="宋体" w:hint="eastAsia"/>
          <w:b/>
          <w:bCs/>
          <w:kern w:val="2"/>
          <w:sz w:val="32"/>
          <w:szCs w:val="32"/>
          <w:lang w:eastAsia="zh-CN"/>
        </w:rPr>
        <w:t>第五章 开标</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22．开标</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22.1 深圳市泽钧招标有限公司将在投标截止时间后，对投标文件进行开标。</w:t>
      </w:r>
      <w:bookmarkStart w:id="101" w:name="bookmark98"/>
      <w:bookmarkEnd w:id="101"/>
      <w:bookmarkStart w:id="102" w:name="bookmark99"/>
      <w:bookmarkEnd w:id="102"/>
    </w:p>
    <w:p>
      <w:pPr>
        <w:widowControl w:val="0"/>
        <w:jc w:val="both"/>
        <w:rPr>
          <w:rFonts w:ascii="宋体" w:eastAsia="宋体" w:hAnsi="宋体" w:cs="宋体" w:hint="eastAsia"/>
          <w:kern w:val="2"/>
          <w:sz w:val="21"/>
          <w:lang w:eastAsia="zh-CN"/>
        </w:rPr>
      </w:pPr>
    </w:p>
    <w:p>
      <w:pPr>
        <w:widowControl w:val="0"/>
        <w:jc w:val="center"/>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t>第六章 评审要求</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23．评审委员会组成</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23.1 开标结束后召开评审会议，评审委员会会由深圳市泽钧招标有限公司依法组建，负 责评审活动。</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采购人代表须持本单位签发的《评审授权书》参加评审。</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采购单位无代表参与评审，应在开标前一天提交《采购单位不派评委参与项目评审承诺 书》给深圳市泽钧招标有限公司。</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23.2 评审定标应当遵循公平、公正、科学、择优的原则。</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23.3 评审活动依法进行，任何单位和个人不得非法干预评审过程和结果。</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23.4 评审过程中不允许违背评审程序或采用采购文件未载明的评审方法或评审因素进 行评审。</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23.5 开标后，直到签订合同为止，凡属于对投标文件的审查、澄清、评价和比较的有 关资料以及中选候选人的推荐情况、与评审有关的其他任何情况均严格保密。</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24．向评审委员会提供的资料</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24.1 公开发布的采购文件，包括图纸、服务清单、答疑文件等；</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24.2 其他评审必须的资料。</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24.3 评审委员会应当认真研究采购文件，至少应了解熟悉以下内容：</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（1）采购的目的；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（2）采购项目需求的范围和性质；</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（3）采购文件规定的投标人的资格、财政预算限额、商务条款；</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（4）采购文件规定的评审程序、评审方法和评审因素；</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（5）采购文件所列示的资格性审查表及符合性审查表。</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25．独立评审</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25.1 评审委员会成员的评审活动应当独立进行，并应遵循投标文件初审、澄清有关问题、 比较与评价、确定中标人、编写评审报告的工作程序。</w:t>
      </w:r>
    </w:p>
    <w:p>
      <w:pPr>
        <w:widowControl w:val="0"/>
        <w:jc w:val="both"/>
        <w:rPr>
          <w:rFonts w:ascii="宋体" w:eastAsia="宋体" w:hAnsi="宋体" w:cs="宋体" w:hint="eastAsia"/>
          <w:kern w:val="2"/>
          <w:sz w:val="21"/>
          <w:lang w:eastAsia="zh-CN"/>
        </w:rPr>
      </w:pPr>
    </w:p>
    <w:p>
      <w:pPr>
        <w:widowControl w:val="0"/>
        <w:jc w:val="center"/>
        <w:outlineLvl w:val="0"/>
        <w:rPr>
          <w:rFonts w:ascii="宋体" w:eastAsia="宋体" w:hAnsi="宋体" w:cs="宋体" w:hint="eastAsia"/>
          <w:b/>
          <w:bCs/>
          <w:kern w:val="2"/>
          <w:sz w:val="32"/>
          <w:szCs w:val="32"/>
          <w:lang w:eastAsia="zh-CN"/>
        </w:rPr>
      </w:pPr>
      <w:bookmarkStart w:id="103" w:name="bookmark100"/>
      <w:bookmarkEnd w:id="103"/>
      <w:bookmarkStart w:id="104" w:name="bookmark101"/>
      <w:bookmarkEnd w:id="104"/>
      <w:r>
        <w:rPr>
          <w:rFonts w:ascii="宋体" w:eastAsia="宋体" w:hAnsi="宋体" w:cs="宋体" w:hint="eastAsia"/>
          <w:b/>
          <w:bCs/>
          <w:kern w:val="2"/>
          <w:sz w:val="32"/>
          <w:szCs w:val="32"/>
          <w:lang w:eastAsia="zh-CN"/>
        </w:rPr>
        <w:t>第七章 评审程序及评审方法</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26．投标文件初审</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26.1 投标文件初审包括资格性审查和符合性审查。资格性审查：依据法律法规和采购 文件的规定，对投标文件中的资格证明等进行审查，以确定投标人是否具备投标资格。符合 性审查：依据采购文件的规定，从投标文件的有效性、完整性和对采购文件的投标程度进行</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审查，以确定是否对采购文件的实质性要求作出投标。</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26.2 投标文件初审内容请详见《资格性审查表》和《符合性审查表》部分。投标人若 有一条审查不通过则按投标无效处理。评审委员会对投标单位打√为通过审查，打×为未通过 审查。</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26.3 投标人投标文件作无效处理的情形，具体包括但不限于以下：</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26.3.1 不同投标人的投标文件由同一单位或者同一个人编制，或者由同一个人分阶段 参与编制；</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26.3.2 不同投标人委托同一单位或者个人办理投标事宜；</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26.3.3 不同投标人的投标文件载明的项目管理成员或者联系人员为同一人；</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26.3.4 不同投标人的投标文件异常一致或者投标报价呈规律性差异；</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26.3.5 不同投标人的投标文件相互混装；</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26.3.6 投标人之间相互约定给予未中选的投标人利益补偿；</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26.3.7 不同投标人的法定代表人、主要经营负责人、项目投标授权代表人、项目负责 人、主要技术人员为同一人、属同一单位或者同一单位缴纳社会保险；</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26.3.8 不同投标人的投标文件内容存在非正常一致；</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26.3.9 在同一单位工作人员为两家以上（含两家）投标人进行同一项投标活动；</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26.3.10 法律、法规认定的其他情形。</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26.4 对不属于《资格性审查表》和《符合性审查表》所列的其他情形，除专用条款另 有规定和 32.4 条款所列情形外，不得作为投保无效的理由。</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27．澄清有关问题</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对于投标文件中含义不明确、同类问题表述不一致或者有明显文字和计算错误的内容， 评审委员会应当以书面形式要求投标人作出必要的澄清、说明或者补正。</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投标人的澄清、说明或者补正应当采用书面形式，并加盖公章，或者由法定代表人 或其授权的代表签字。投标人的澄清、说明或者补正不得超出投标文件的范围或者改变投标 文件的实质性内容。</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凡属于评审委员会在评审中发现的算术错误进行核实的修改不在此列。</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28. 错误的修正</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投标文件报价出现前后不一致的，除专用条款另有规定外，按照下列规定修正：</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28.1 投标文件中开标一览表内容与投标文件中相应内容不一致的，以开标一览表为准；</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28.2 大写金额和小写金额不一致的， 以大写金额为准；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28.3 单价金额小数点或者百分比有明显错位，以开标一览表的总价为准，并修改单价；</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28.4 总价金额与按单价汇总金额不一致的，以单价金额计算结果为准。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28.5 同时出现两种以上不一致的，按照前款规定的顺序修正。修正后的报价按照本通 用条款 33 条的规定，经投标人确认后产生约束力，投标人不确认的，其投标无效。</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29．投标文件的比较与评价</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评审委员会成员对需要共同认定的事项存在争议的，应当按照少数服从多数的原则作出结 论。持不同意见的评审委员会应当在评审报告上签署不同意见及理由，否则视为同意评审报告。 30.实地考察、演示或设备测试</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30.1 在采购过程中，评审委员会有权决定是否对本项目投标人进行现场勘察或实地考察 或检验有关证明材料的原件。投标人应随时做好接受检查的准备。</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30.2 若采购文件要求进行现场演示或设备测试的，投标人应做好相应准备。</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31．评审方法</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31.1 最低价法</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最低评审价法，是指投标文件满足采购文件全部实质性要求，且投标报价最低的投标人 为中选候选人的评审方法。</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31.1.2 综合评分法</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综合评分法，是指投标文件满足采购文件全部实质性要求，且按照评审因素的量化指标 评审得分最高的投标人为中选候选人的评审方法。</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31.1.3 定性评审法</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定性评审法，是指按照采购文件规定的各项因素进行技术商务定性评审，对各投标文件 是否满足采购文件实质性要求提出意见，指出投标文件的优点、缺陷、问题以及签订合同前 应注意和澄清的事项，并形成评审报告。所有递交的投标文件不被判定为废标或者无效标的 投标人，均推荐为候选中标人。</w:t>
      </w:r>
    </w:p>
    <w:p>
      <w:pPr>
        <w:widowControl w:val="0"/>
        <w:jc w:val="both"/>
        <w:rPr>
          <w:rFonts w:ascii="宋体" w:eastAsia="宋体" w:hAnsi="宋体" w:cs="宋体" w:hint="eastAsia"/>
          <w:kern w:val="2"/>
          <w:sz w:val="21"/>
          <w:lang w:eastAsia="zh-CN"/>
        </w:rPr>
      </w:pPr>
    </w:p>
    <w:p>
      <w:pPr>
        <w:widowControl w:val="0"/>
        <w:jc w:val="both"/>
        <w:rPr>
          <w:rFonts w:ascii="宋体" w:eastAsia="宋体" w:hAnsi="宋体" w:cs="宋体" w:hint="eastAsia"/>
          <w:kern w:val="2"/>
          <w:sz w:val="21"/>
          <w:lang w:eastAsia="zh-CN"/>
        </w:rPr>
      </w:pPr>
    </w:p>
    <w:p>
      <w:pPr>
        <w:widowControl w:val="0"/>
        <w:jc w:val="center"/>
        <w:outlineLvl w:val="0"/>
        <w:rPr>
          <w:rFonts w:ascii="宋体" w:eastAsia="宋体" w:hAnsi="宋体" w:cs="宋体" w:hint="eastAsia"/>
          <w:b/>
          <w:bCs/>
          <w:kern w:val="2"/>
          <w:sz w:val="32"/>
          <w:szCs w:val="32"/>
          <w:lang w:eastAsia="zh-CN"/>
        </w:rPr>
      </w:pPr>
      <w:bookmarkStart w:id="105" w:name="bookmark103"/>
      <w:bookmarkEnd w:id="105"/>
      <w:bookmarkStart w:id="106" w:name="bookmark102"/>
      <w:bookmarkEnd w:id="106"/>
      <w:r>
        <w:rPr>
          <w:rFonts w:ascii="宋体" w:eastAsia="宋体" w:hAnsi="宋体" w:cs="宋体" w:hint="eastAsia"/>
          <w:b/>
          <w:bCs/>
          <w:kern w:val="2"/>
          <w:sz w:val="32"/>
          <w:szCs w:val="32"/>
          <w:lang w:eastAsia="zh-CN"/>
        </w:rPr>
        <w:t>第八章   定标及公示</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32．定标方法</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32.1 非评定分离项目定标方法</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32.1.1 评审委员会依据本项目采购文件所约定的评审方法进行评审和比较，向深圳市泽钧招标有限公司提交书面评审报告，并根据评审方法比较评价结果从优到劣进行排序，并推 荐中选候选人或确定中标人。</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32.1.2 采用最低评审价法的，评审结果按投标报价由低到高顺序排列。投标报价相同的并列。投标文件满足采购文件全部实质性要求且投标报价最低的投标人为排名第一的中选 候选人。</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32.1.3 采用综合评分法的，评审结果按评审后得分由高到低顺序排列。得分相同的， 按投标报价由低到高顺序排列。得分且投标报价相同的并列。投标文件满足采购文件全部实 质性要求，且按照评审因素的量化指标评审得分最高的投标人为排名第一的中选候选人。</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32.2 评定分离项目定标方法</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32.2.1 本项目采用评审和定标分离办法，即评审委员会按照本项目规定的评审方法对投 标文件进行评审、推荐候选中标人并出具书面评审报告，由采购人根据评审委员会出具的评审 报告和推荐的候选中标人确定中标人。具体所采用的评审方法和定标方法（定标规则）详见 本采购文件关键信息中的《评审信息》和《定标方法》。</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32.2.2 采用“综合评分法 ”或“最低价法 ”评审方法的项目，评审委员会按照评审结果， 推荐“N+2 ”数量（N 为需要的中标人数量，当有效投标人少于“N+2 ”时，全部推荐；N 的 具体数量由采购人在项目申报时确定）的候选中标人。采用“定性评审法 ”评审方法的项目， 所有递交投标文件不被判定为无效标的投标投标人，均推荐为候选中标人。采用“定性评审 法 ”评审方法的项目，所有递交的投标文件不被判定为无效标的投标投标人，均推荐为候选 中标人。</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32.2.3 采购人应当按照以下方法确定中标人：</w:t>
      </w:r>
    </w:p>
    <w:p>
      <w:pPr>
        <w:widowControl w:val="0"/>
        <w:jc w:val="both"/>
        <w:rPr>
          <w:rFonts w:ascii="宋体" w:eastAsia="宋体" w:hAnsi="宋体" w:cs="宋体" w:hint="eastAsia"/>
          <w:kern w:val="2"/>
          <w:sz w:val="21"/>
          <w:lang w:eastAsia="zh-CN"/>
        </w:rPr>
      </w:pPr>
      <w:hyperlink r:id="rId19" w:history="1">
        <w:r>
          <w:rPr>
            <w:rFonts w:ascii="宋体" w:eastAsia="宋体" w:hAnsi="宋体" w:cs="宋体" w:hint="eastAsia"/>
            <w:kern w:val="2"/>
            <w:sz w:val="21"/>
            <w:lang w:eastAsia="zh-CN"/>
          </w:rPr>
          <w:t>32.2.3.1</w:t>
        </w:r>
      </w:hyperlink>
      <w:r>
        <w:rPr>
          <w:rFonts w:ascii="宋体" w:eastAsia="宋体" w:hAnsi="宋体" w:cs="宋体" w:hint="eastAsia"/>
          <w:kern w:val="2"/>
          <w:sz w:val="21"/>
          <w:lang w:eastAsia="zh-CN"/>
        </w:rPr>
        <w:t xml:space="preserve"> 自定法。 自定法是指采购人组织定标小组， 由定标小组在候选中标人中确定 中标人。</w:t>
      </w:r>
    </w:p>
    <w:p>
      <w:pPr>
        <w:widowControl w:val="0"/>
        <w:jc w:val="both"/>
        <w:rPr>
          <w:rFonts w:ascii="宋体" w:eastAsia="宋体" w:hAnsi="宋体" w:cs="宋体" w:hint="eastAsia"/>
          <w:kern w:val="2"/>
          <w:sz w:val="21"/>
          <w:lang w:eastAsia="zh-CN"/>
        </w:rPr>
      </w:pPr>
      <w:hyperlink r:id="rId20" w:history="1">
        <w:r>
          <w:rPr>
            <w:rFonts w:ascii="宋体" w:eastAsia="宋体" w:hAnsi="宋体" w:cs="宋体" w:hint="eastAsia"/>
            <w:kern w:val="2"/>
            <w:sz w:val="21"/>
            <w:lang w:eastAsia="zh-CN"/>
          </w:rPr>
          <w:t>36.2.3.2</w:t>
        </w:r>
      </w:hyperlink>
      <w:r>
        <w:rPr>
          <w:rFonts w:ascii="宋体" w:eastAsia="宋体" w:hAnsi="宋体" w:cs="宋体" w:hint="eastAsia"/>
          <w:kern w:val="2"/>
          <w:sz w:val="21"/>
          <w:lang w:eastAsia="zh-CN"/>
        </w:rPr>
        <w:t xml:space="preserve"> 抽签法。抽签法是指候选中标人产生后， 由采购人委托深圳市泽钧招标有限公司按照随机抽签的方式在候选中标人中确定中标人。并由采购人和深圳市泽钧招标有限公司签字确认抽签结果。</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32.3 专用条款另有规定的，按专用条款相关要求定标。</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33．编写评审报告</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评审报告是评审委员会根据全体评审成员签字的原始评审记录和评审结果编写的报告，评 审报告由评审委员会全体成员签字。对评审结论持有异议的评审委员会成员可以书面方式阐述其 不同意见和理由。评审委员会成员拒绝在评审报告上签字且不陈述其不同意见和理由的，视为 同意评审结论。评审委员会应当对此作出书面说明并记录在案。</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34．中选公告</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34.1 为体现“公开、公平、公正 ”的原则，评审结束后，深圳市泽钧招标有限公司将 在深圳政府采购自行采购系统（https://zxcg.szggzy.com/home/index.html）上发布中选结果公告并公示。投标人如对评审结果有异议，请于公示期内，以书面向深圳市泽钧招标有限公司反映。若在公示期内 未提出异议，则视为认同该评审结果。</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35．中选通知书</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35.1 中选公告公布以后,公示期内无人质疑投诉,请中标人和采购单位凭单位证明及本 人身份证直接到深圳市泽钧招标有限公司领取《中选通知书》。</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35.2 中选通知书是合同的重要组成部分。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35.3 因质疑投诉或其它原因导致项目结果变更或采购终止的，深圳市泽钧招标有限公司有权收回或作废中选通知书。</w:t>
      </w:r>
    </w:p>
    <w:p>
      <w:pPr>
        <w:widowControl w:val="0"/>
        <w:jc w:val="both"/>
        <w:rPr>
          <w:rFonts w:ascii="宋体" w:eastAsia="宋体" w:hAnsi="宋体" w:cs="宋体" w:hint="eastAsia"/>
          <w:kern w:val="2"/>
          <w:sz w:val="21"/>
          <w:lang w:eastAsia="zh-CN"/>
        </w:rPr>
      </w:pPr>
    </w:p>
    <w:p>
      <w:pPr>
        <w:widowControl w:val="0"/>
        <w:jc w:val="center"/>
        <w:outlineLvl w:val="0"/>
        <w:rPr>
          <w:rFonts w:ascii="宋体" w:eastAsia="宋体" w:hAnsi="宋体" w:cs="宋体" w:hint="eastAsia"/>
          <w:b/>
          <w:bCs/>
          <w:kern w:val="2"/>
          <w:sz w:val="32"/>
          <w:szCs w:val="32"/>
          <w:lang w:eastAsia="zh-CN"/>
        </w:rPr>
      </w:pPr>
      <w:bookmarkStart w:id="107" w:name="bookmark105"/>
      <w:bookmarkEnd w:id="107"/>
      <w:bookmarkStart w:id="108" w:name="bookmark104"/>
      <w:bookmarkEnd w:id="108"/>
      <w:r>
        <w:rPr>
          <w:rFonts w:ascii="宋体" w:eastAsia="宋体" w:hAnsi="宋体" w:cs="宋体" w:hint="eastAsia"/>
          <w:b/>
          <w:bCs/>
          <w:kern w:val="2"/>
          <w:sz w:val="32"/>
          <w:szCs w:val="32"/>
          <w:lang w:eastAsia="zh-CN"/>
        </w:rPr>
        <w:t>第九章 公开采购失败的后续处理</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36．公开采购失败的处理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36.1 本项目公开采购过程中若由于投标截止后实际递交投标文件的投标人数量不足、 经评审委员会评审对采购文件作实质投标的投标人不足等原因造成公开采购失败，可由龙华区 教育局招标采购组重新组织采购。若中标供应商因故弃标或被中标资格被依法认定无效，且 项目紧急重新采购无法满足需求的，采购人可以按照评审报告推荐的中标候选人名单排序， 确定下一候选人为中标供应商。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36.2 对公开采购失败的项目，评审委员会在出具该项目采购失败结论的同时，提出重新 采购组织形式的建议， 以及进一步完善采购文件的资格、技术、商务要求的修改建议。</w:t>
      </w:r>
    </w:p>
    <w:p>
      <w:pPr>
        <w:widowControl w:val="0"/>
        <w:jc w:val="both"/>
        <w:rPr>
          <w:rFonts w:ascii="宋体" w:eastAsia="宋体" w:hAnsi="宋体" w:cs="宋体" w:hint="eastAsia"/>
          <w:kern w:val="2"/>
          <w:sz w:val="21"/>
          <w:lang w:eastAsia="zh-CN"/>
        </w:rPr>
      </w:pPr>
    </w:p>
    <w:p>
      <w:pPr>
        <w:widowControl w:val="0"/>
        <w:jc w:val="center"/>
        <w:outlineLvl w:val="0"/>
        <w:rPr>
          <w:rFonts w:ascii="宋体" w:eastAsia="宋体" w:hAnsi="宋体" w:cs="宋体" w:hint="eastAsia"/>
          <w:b/>
          <w:bCs/>
          <w:kern w:val="2"/>
          <w:sz w:val="32"/>
          <w:szCs w:val="32"/>
          <w:lang w:eastAsia="zh-CN"/>
        </w:rPr>
      </w:pPr>
      <w:bookmarkStart w:id="109" w:name="bookmark107"/>
      <w:bookmarkEnd w:id="109"/>
      <w:bookmarkStart w:id="110" w:name="bookmark106"/>
      <w:bookmarkEnd w:id="110"/>
      <w:r>
        <w:rPr>
          <w:rFonts w:ascii="宋体" w:eastAsia="宋体" w:hAnsi="宋体" w:cs="宋体" w:hint="eastAsia"/>
          <w:b/>
          <w:bCs/>
          <w:kern w:val="2"/>
          <w:sz w:val="32"/>
          <w:szCs w:val="32"/>
          <w:lang w:eastAsia="zh-CN"/>
        </w:rPr>
        <w:t>第十章 合同的授予与备案</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37．合同授予标准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本项目的合同将授予按本采购文件规定评审确定的中标人。</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38．接受和拒绝任何或所有投标的权力</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深圳市泽钧招标有限公司和采购人保留在投标之前任何时候接受或拒绝任何投标或所 有投标，以及宣布采购无效的权力，对受影响的投标人不承担任何责任，也无义务向受影响 的投标投标人解释采取这一行动的理由。</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39．合同协议书的签订</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39.1 中标人将于《中标通知书》发出之日起十个工作日内，按照采购文件（采购文件 和投标文件等）内容与采购人签订政府采购合同；合同的实质性内容应当符合采购文件的规 定；</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39.3 中标人应当按照合同约定履行义务，完成中选项目，不得将中选项目转让（转包）给他人。</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40.合同的备案</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采购人与中标人应于合同签订之日起十日内，由采购人或委托中标人将采购合同上传至 龙华区教育局招标采购管理系统备案。</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41.投标人违法责任</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根据有关规定，有下列行为之一的，一至三年内禁止其参与龙华区教育局自行采购和深圳市政府采购自行采购活动， 情节严重的，依法承担赔偿责任；涉嫌犯罪的，依法移送司法机关处理：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（1）在采购活动中应当回避而未回避的；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（2）未按本条例规定签订、履行采购合同，造成严重后果的；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（3）隐瞒真实情况，提供虚假资料的；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 以非法手段排斥其他投标人参与竞争的；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（5）与其他采购参加人串通投标的；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（6）恶意投诉的；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（7）向采购项目相关人行贿或者提供其他不当利益的；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（8）阻碍、抗拒深圳市泽钧招标有限公司监督检查的；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（9）其他违反法律、法规、规章及本条例规定的行为。</w:t>
      </w:r>
    </w:p>
    <w:p>
      <w:pPr>
        <w:widowControl w:val="0"/>
        <w:jc w:val="both"/>
        <w:rPr>
          <w:rFonts w:ascii="宋体" w:eastAsia="宋体" w:hAnsi="宋体" w:cs="宋体" w:hint="eastAsia"/>
          <w:kern w:val="2"/>
          <w:sz w:val="21"/>
          <w:lang w:eastAsia="zh-CN"/>
        </w:rPr>
      </w:pPr>
    </w:p>
    <w:p>
      <w:pPr>
        <w:widowControl w:val="0"/>
        <w:jc w:val="center"/>
        <w:outlineLvl w:val="0"/>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t>第十一章  质疑处理</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52.质疑提出与答复</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52.1提出质疑</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参与自行采购活动的供应商认为自己的权益在采购活动中受到损害的，应当向采购人、深圳市泽钧招标有限公司以书面形式提出质疑。</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52.2法律依据</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按照深圳市龙华区教育系统自行采购管理有关规定，并参照《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52.3质疑条件</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52.3.1提出质疑的供应商应当是参与所质疑项目采购活动的供应商；</w:t>
      </w:r>
      <w:bookmarkStart w:id="111" w:name="_Hlk75374941"/>
      <w:r>
        <w:rPr>
          <w:rFonts w:ascii="宋体" w:eastAsia="宋体" w:hAnsi="宋体" w:cs="宋体" w:hint="eastAsia"/>
          <w:kern w:val="2"/>
          <w:sz w:val="21"/>
          <w:lang w:eastAsia="zh-CN"/>
        </w:rPr>
        <w:t>以联合体形式参与的，质疑应当由组成联合体的所有成员共同提出</w:t>
      </w:r>
      <w:bookmarkEnd w:id="111"/>
      <w:r>
        <w:rPr>
          <w:rFonts w:ascii="宋体" w:eastAsia="宋体" w:hAnsi="宋体" w:cs="宋体" w:hint="eastAsia"/>
          <w:kern w:val="2"/>
          <w:sz w:val="21"/>
          <w:lang w:eastAsia="zh-CN"/>
        </w:rPr>
        <w:t>；</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52.3.2应当在法定质疑期内一次性提出针对同一采购程序环节的质疑。应当知道其权益受到损害之日是指：对招标文件的质疑，为招标文件公布之日；对采购过程的质疑，为各采购程序环节结束之日；对中标结果以及评审委员会组成人员的质疑，为中标结果公示之日；</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52.3.3应提交书面质疑函，质疑函应当包括以下内容： </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（1）供应商的名称（或者姓名）、地址、邮编、邮箱、联系人及联系电话；</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（2）质疑项目的名称、编号；</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（3）具体、明确的质疑对象、质疑事项和质疑请求；</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（4）因质疑事项而受损害的权益；</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（5）事实依据；</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（6）必要的法律依据；</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（7）提出质疑的日期。</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供应商为自然人的，应当由本人签字；供应商为法人或者其他组织的，应当由法定代表人（负责人），或者其授权代理人签字或者盖章，并加盖公章。</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52.4提交材料</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供应商质疑实行实名制。供应商为自然人的，应当提交本人身份证扫描件；供应商为法人或者其他组织的，应当根据自身性质提交营业执照扫描件或者其他证明文件（如事业单位法人证书等）扫描件。</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52.5收文地点</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地址：深圳市泽钧招标有限公司（地址：深圳市龙华区龙华街道富康社区东环二路8号中执时代广场B座7K），质疑咨询电话：0755-21017932。</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52.6收文办理程序</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52.6.1供应商提交的质疑符合受理条件的，深圳市泽钧招标有限公司自收到质疑材料之日起即为受理，应当向供应商出具质疑函收文回执并可以要求其递交质疑的法定代表人（负责人）或者授权代理人签署质疑文书送达地址确认书。</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52.6.2供应商提交的质疑材料不符合质疑条件的，视情况处理：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供应商提交的质疑材料不全或者未按要求签字或者盖章的，深圳市泽钧招标有限公司应当一次性告知供应商需补正的内容和补正期限。</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供应商提交的质疑存在下列情形之一的，不予受理：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（1）质疑主体不满足要求的；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（2）供应商自身权益未受到损害的；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（3）供应商未在法定质疑期限内提出质疑的；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（4）质疑材料不全或者未按要求签字或者盖章的情况下，要求补正后，逾期未补正或者补正后仍不符合规定的；</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（5）其他不符合受理条件情形的。</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质疑事项不予受理的，深圳市泽钧招标有限公司应当向供应商出具不符合质疑条件告知书。</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52.7质疑答复时限</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自收文之日起七个工作日内。</w:t>
      </w:r>
    </w:p>
    <w:p>
      <w:pPr>
        <w:widowControl w:val="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52.8投诉</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对质疑答复不满意或者未在规定时间内答复的，提出质疑的供应商可以在答复期满后15个工作日内向同级财政部门投诉。</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53. 质疑后续处理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    53.1供应商质疑不成立，或者成立但未对中标、成交结果构成影响的，继续开展采购活动。</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ascii="宋体" w:eastAsia="宋体" w:hAnsi="宋体" w:cs="宋体" w:hint="eastAsia"/>
          <w:kern w:val="2"/>
          <w:sz w:val="21"/>
          <w:lang w:eastAsia="zh-CN"/>
        </w:rPr>
      </w:pPr>
    </w:p>
    <w:p>
      <w:pPr>
        <w:widowControl w:val="0"/>
        <w:jc w:val="center"/>
        <w:outlineLvl w:val="0"/>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t>第十二章 相关政府采购政策文件</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54.1执行政府采购促进中小企业发展政策，</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《政府采购促进中小企业发展管理办法》 (财库〔2020〕46号 )</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《广东省政府采购促进中小企业发展实施细则》</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《深圳市财政局关于贯彻落实进一步加大政府采购支持中小企业力度有关事宜的通知》（深财购〔2022〕15号）</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54.2执行强制或优先采购节能、环境标志产品政策。</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《财政部发展改革委生态环境部市场监管总局关于调整 优化节能产品环境标志产品政府采购执行机制的通知》 (财库〔2019〕9号 )</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《财政部发展改革委关于印发节能产品政府采购品 目清单的通知》 (财库〔2019〕19号 )</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《财政部生态环境部关于印发环境标志产品政府采 购品目清单的通知》 (财库〔2019〕18号 )</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54.3执行支持监狱企业发展、促进残疾人就业政府采购政策。</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《中华人民共和国政府采购法实施条例》第六十八条 《财政部司法部关于政府采购支持监狱企业发展有关问题的通知》 (财库〔2014〕68号 )。</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《财政部民政部中国残疾人联合会关于促进残疾人就 业政府采购政策的通知》 (财库〔2017〕141号 )。</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54.4执行政府采购支持脱贫地区政策。</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《财政部农业部国家乡村振兴局关于运用政府采购政 策支持乡村产业振兴的通知》 (财库〔2021〕19号 )。</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54.5执行商品包装、快递包装政府采购标准</w:t>
      </w:r>
    </w:p>
    <w:p>
      <w:pPr>
        <w:widowControl w:val="0"/>
        <w:jc w:val="both"/>
        <w:rPr>
          <w:rFonts w:ascii="宋体" w:eastAsia="宋体" w:hAnsi="宋体" w:cs="宋体" w:hint="eastAsia"/>
          <w:kern w:val="2"/>
          <w:sz w:val="21"/>
          <w:lang w:eastAsia="zh-CN"/>
        </w:rPr>
      </w:pPr>
      <w:r>
        <w:rPr>
          <w:rFonts w:ascii="宋体" w:eastAsia="宋体" w:hAnsi="宋体" w:cs="宋体" w:hint="eastAsia"/>
          <w:bCs/>
          <w:kern w:val="2"/>
          <w:sz w:val="21"/>
          <w:szCs w:val="21"/>
          <w:lang w:eastAsia="zh-CN"/>
        </w:rPr>
        <w:t>中标单位在履约过程中应严格执行《商品包装政府采购需求标准（试行）》、《快递包装政府采购需求标准（试行）》（财办库〔2020〕123号）、《绿色建筑和绿色建材政府采购需求标准》（财办库〔2022〕35号）、《绿色数据中心政府采购需求标准（试行）》（财办库〔2023〕7号）。</w:t>
      </w:r>
    </w:p>
    <w:p>
      <w:pPr>
        <w:widowControl w:val="0"/>
        <w:jc w:val="both"/>
        <w:outlineLvl w:val="1"/>
        <w:rPr>
          <w:rFonts w:ascii="宋体" w:eastAsia="宋体" w:hAnsi="宋体" w:cs="宋体" w:hint="eastAsia"/>
          <w:kern w:val="2"/>
          <w:sz w:val="21"/>
          <w:lang w:eastAsia="zh-CN"/>
        </w:rPr>
      </w:pPr>
      <w:r>
        <w:rPr>
          <w:rFonts w:ascii="宋体" w:eastAsia="宋体" w:hAnsi="宋体" w:cs="宋体" w:hint="eastAsia"/>
          <w:kern w:val="2"/>
          <w:sz w:val="21"/>
          <w:lang w:eastAsia="zh-CN"/>
        </w:rPr>
        <w:t>54.5执行政府采购订单融资政策</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http://zfcg.szggzy.com:8081/financeplatform/），相关政策法规参阅深圳市政府采购监管网（http://zfcg.sz.gov.cn/）信息公开栏目。咨询电话：0755­88653386。</w:t>
      </w:r>
    </w:p>
    <w:p>
      <w:pPr>
        <w:widowControl w:val="0"/>
        <w:jc w:val="both"/>
        <w:rPr>
          <w:rFonts w:ascii="宋体" w:eastAsia="宋体" w:hAnsi="宋体" w:cs="宋体" w:hint="eastAsia"/>
          <w:kern w:val="2"/>
          <w:sz w:val="21"/>
          <w:lang w:eastAsia="zh-CN"/>
        </w:rPr>
      </w:pPr>
    </w:p>
    <w:p>
      <w:pPr>
        <w:widowControl w:val="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 END ----</w:t>
      </w:r>
    </w:p>
    <w:p>
      <w:pPr>
        <w:widowControl w:val="0"/>
        <w:jc w:val="both"/>
        <w:rPr>
          <w:rFonts w:ascii="宋体" w:eastAsia="宋体" w:hAnsi="宋体" w:cs="宋体" w:hint="eastAsia"/>
          <w:kern w:val="2"/>
          <w:sz w:val="21"/>
          <w:lang w:eastAsia="zh-CN"/>
        </w:rPr>
      </w:pPr>
    </w:p>
    <w:p>
      <w:pPr>
        <w:widowControl w:val="0"/>
        <w:jc w:val="both"/>
        <w:rPr>
          <w:rFonts w:ascii="宋体" w:eastAsia="宋体" w:hAnsi="宋体" w:cs="宋体" w:hint="eastAsia"/>
          <w:kern w:val="2"/>
          <w:sz w:val="21"/>
          <w:lang w:eastAsia="zh-CN"/>
        </w:rPr>
      </w:pP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sectPr>
          <w:footerReference w:type="default" r:id="rId21"/>
          <w:pgMar w:top="1440" w:right="1800" w:bottom="1440" w:left="1800" w:header="708" w:footer="708" w:gutter="0"/>
          <w:pgNumType w:fmt="numberInDash"/>
          <w:cols w:num="1"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教职工食堂设备采购-A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龙华区教育系统自行采购投标及履约承诺函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政府采购违法行为风险知悉确认书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现场踏勘</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设计安装方案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LHAZXDL-2025-00044-001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教职工食堂设备采购-A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落实政府采购政策需满足的资格要求：本项目属于专门面向中小微企业采购的项目（投标人需提供符合要求的《中小企业声明函》，所投产品制造商企业类型均须为中小微型企业；如投标人为残疾人福利性单位或监狱企业，视同小型、微型企业，提供《残疾人福利性单位声明函》或《监狱企业声明函》及监狱企业证明文件亦视为符合）；：</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落实政府采购政策需满足的资格要求：本项目属于专门面向中小微企业采购的项目（投标人需提供符合要求的《中小企业声明函》，所投产品制造商企业类型均须为中小微型企业；如投标人为残疾人福利性单位或监狱企业，视同小型、微型企业，提供《残疾人福利性单位声明函》或《监狱企业声明函》及监狱企业证明文件亦视为符合）；</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参与本项目投标前三年内，在经营活动中没有重大违法记录（由供应商在《龙华区教育系统自行采购投标及履约承诺函》中作出声明）；：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参与本项目投标前三年内，在经营活动中没有重大违法记录（由供应商在《龙华区教育系统自行采购投标及履约承诺函》中作出声明）；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参与本项目政府采购活动时不存在被有关部门禁止参与政府采购活动且在有效期内的情况（由供应商在《龙华区教育系统自行采购投标及履约承诺函》中作出声明）；：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参与本项目政府采购活动时不存在被有关部门禁止参与政府采购活动且在有效期内的情况（由供应商在《龙华区教育系统自行采购投标及履约承诺函》中作出声明）；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具备《中华人民共和国政府采购法》第二十二条第一款的条件（由供应商在《龙华区教育系统自行采购投标及履约承诺函》中作出声明）；：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具备《中华人民共和国政府采购法》第二十二条第一款的条件（由供应商在《龙华区教育系统自行采购投标及履约承诺函》中作出声明）；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税收违法黑名单）、政府采购严重违法失信行为记录名单（由供应商在《龙华区教育系统自行采购投标及履约承诺函》中作出声明）。注：信用中国”、中国政府采购网”、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依据《中华人民共和国政府采购法实施条例》第十八条第一款规定，单位负责人为同一人或者存在直接控股、管理关系的不同供应商，不得参加同一合同项下的政府采购活动（由供应商在《龙华区教育系统自行采购投标及履约承诺函》中作出声明并根据实际填写股东构成审查表”（详见采购文件相应章节）。：</w:t>
            </w:r>
            <w:r>
              <w:rPr>
                <w:rFonts w:ascii="FangSong" w:eastAsia="FangSong" w:hAnsi="FangSong" w:cs="FangSong"/>
                <w:color w:val="666666"/>
                <w:lang w:val="en" w:eastAsia="en"/>
              </w:rPr>
              <w:br/>
            </w:r>
            <w:r>
              <w:rPr>
                <w:rFonts w:ascii="FangSong" w:eastAsia="FangSong" w:hAnsi="FangSong" w:cs="FangSong"/>
                <w:color w:val="666666"/>
                <w:lang w:val="en" w:eastAsia="en"/>
              </w:rPr>
              <w:t>依据《中华人民共和国政府采购法实施条例》第十八条第一款规定，单位负责人为同一人或者存在直接控股、管理关系的不同供应商，不得参加同一合同项下的政府采购活动（由供应商在《龙华区教育系统自行采购投标及履约承诺函》中作出声明并根据实际填写股东构成审查表”（详见采购文件相应章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将一个包或一个标段的内容拆开投标；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将一个包或一个标段的内容拆开投标；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对同一项目投标时，提供两套（或以上）的投标方案（招标文件另有规定的除外）；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对同一项目投标时，提供两套（或以上）的投标方案（招标文件另有规定的除外）；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分项报价或投标总价高于相应财政预算金额（或设定的财政预算金额下的最高限价）；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分项报价或投标总价高于相应财政预算金额（或设定的财政预算金额下的最高限价）；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所投货物、服务在技术、商务等方面没有实质性满足招标文件要求的（是否实质性满足招标文件要求，由评审委员会根据《实质性条款响应情况表》做出评判）；</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所投货物、服务在技术、商务等方面没有实质性满足招标文件要求的（是否实质性满足招标文件要求，由评审委员会根据《实质性条款响应情况表》做出评判）；</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未按招标文件所提供的样式填写《投标函》；未按招标文件所提供的《龙华区教育系统自行采购投标及履约承诺函》进行承诺；未按招标文件对投标文件组成的要求提供投标文件；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未按招标文件所提供的样式填写《投标函》；未按招标文件所提供的《龙华区教育系统自行采购投标及履约承诺函》进行承诺；未按招标文件对投标文件组成的要求提供投标文件；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投标报价有缺漏项目,或者对招标文件规定的项目需求内容或者需求数量进行修改，评审委员会判定投标响应不满足采购需求；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投标报价有缺漏项目,或者对招标文件规定的项目需求内容或者需求数量进行修改，评审委员会判定投标响应不满足采购需求；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使用同一MAC 或 IP 地址投标的或者不同投标供应商投标文件“文件制作机器码”一致的或者不同投标供应商投标文件“文件创建标识码”一致的；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使用同一MAC 或 IP 地址投标的或者不同投标供应商投标文件“文件制作机器码”一致的或者不同投标供应商投标文件“文件创建标识码”一致的；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投标文件电子文档有病毒的；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投标文件电子文档有病毒的；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在投标文件中详细说明技术保障措施，内容包括但不限于：（1）技术团队、（2）技术安装方案、（3）生产设备及车间实景、（4）生产场地、（5）服务车辆等，评审委员会根据招标文件的采购需求和投标文件响应情况进行评价， 二、评分标准： 1.上述全部满足得40分；满足任意4点得35分；满足任意3点得30分；满足任意2点得20分；满足任意1点得5分。未满足不得分。 2.在此基础上，评审委员会根据各供应商的具体响应内容按照量化的评审因素指标进一步评审： 评审为优（项目方案完善，工作内容和安排考虑周到，流程合理）的加60分；评价为良（项目方案较完善，工作内容和安排考虑较周到，流程较合理）的加30分；评价为中（项目方案一般，工作内容和安排考虑基本周到，流程一般）的加10分；评价为差（项目方案不完善，工作内容和安排考虑欠周到）的不得分。未提供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在投标文件中详细说明售后服务保障措施，内容包括但不限于：（1）售后服务团队、（2）售后服务机构、（3）保修期内售后保障及保修期外售后服务保障、（4）售后响应时间等，评审委员会根据招标文件的采购需求和投标文件响应情况进行评价， 二、评分标准： 1.上述全部满足得30分；满足任意3点得20分；满足任意2点得10分；满足任意1点得5分。未满足不得分。 2.在此基础上，评审委员会根据各供应商的具体响应内容按照量化的评审因素指标进一步评审： 评审为优（项目方案完善，工作内容和安排考虑周到，流程合理）的加70分；评价为良（项目方案较完善，工作内容和安排考虑较周到，流程较合理）的加30分；评价为中（项目方案一般，工作内容和安排考虑基本周到，流程一般）的加10分；评价为差（项目方案不完善，工作内容和安排考虑欠周到）的不得分。未提供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评审小组根据《技术规格偏离表》（以下简称“偏离表”）响应情况进行打分，全部满足的得满分，一般参数负偏离一项扣1分，重点技术参数▲项负偏离一项扣10分，扣完为止。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现场勘查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在采购公告载明的采购文件领取时间之日起的前三个日历日（采购公告发布当日为第一个日历日）上午9：00至1100到达现场开始进行踏勘，以充分了解本项目的实施效果影响、详细需求、位置、情况及任何其它足以影响投标报价的情况并获得现场勘察证明。 踏勘地点：深圳市龙华新区民治办事处民治大道395号深圳市龙华区民治小学。 联系人：梅老师，联系电话：15919477190 （二）评分依据： 提供采购单位盖章的踏勘证明文件以及现场勘查现场照片（不少于3张）得100分，不提供或未按要求提供或提供不清晰导致专家无法判断的均不得分。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设计安装方案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依据现场踏勘证明文件以及现场照片，结合采购方场地实际情况对应本项目项目清单及技术要求做出详细提供安装整体方案，包括：（1）平面布置图、（2）厨房动线图、（3）设备水电图、（4）施工安装方案、（5）应急管理方案等； （二）评分依据： 1.上述全部满足得40分；满足任意4点得30分；满足任意3点得20分；满足任意2点得10分；满足任意1点得5分。未提供现场踏勘证明文件以及图纸不满足项目清单的不得分。2.评审委员会根据各供应商的具体响应内容按照量化的评审因素指标进一步评审： 评审为优（布局清晰、设计美观、施工安装方案科学合理，应急措施到位）的加60分；评价为良（布局较为清晰、设计较为美观、施工安装方案较为科学合理，应急措施较为到位）的加30分；评价为中（布局一般、设计一般、施工安装方案一般，应急措施一般）的加10分；评价为差（布局差、设计差、施工安装方案差，应急措施差）的不得分。未提供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投标人应如实填写《商务条款偏离情况》，评审小组根据响应情况进行打分，实质性条款除外，全部满足要求的得满分，每负偏离一项扣10分。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2021年12月1日至本项目投标截止之日，具有厨房设备或用品类经验的，每提供1个项目经验的得50分，最高得100分。 证明文件： 提供合同关键页扫描件，原件备查。未提供或提供的不符合或提供不清晰导致无法判断的均不得分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 （二）评分依据：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简行楷">
    <w:altName w:val="宋体"/>
    <w:panose1 w:val="00000000000000000000"/>
    <w:charset w:val="00"/>
    <w:family w:val="auto"/>
    <w:pitch w:val="default"/>
    <w:sig w:usb0="00000000" w:usb1="00000000" w:usb2="00000000" w:usb3="00000000" w:csb0="00040001" w:csb1="00000000"/>
  </w:font>
  <w:font w:name="FZXBSK--GBK1-0">
    <w:altName w:val="宋体"/>
    <w:panose1 w:val="00000000000000000000"/>
    <w:charset w:val="86"/>
    <w:family w:val="auto"/>
    <w:pitch w:val="default"/>
    <w:sig w:usb0="00000000" w:usb1="00000000" w:usb2="0000000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68" w:lineRule="auto"/>
      <w:ind w:left="4136"/>
      <w:rPr>
        <w:sz w:val="13"/>
        <w:szCs w:val="13"/>
      </w:rPr>
    </w:pPr>
    <w:r>
      <w:rPr>
        <w:sz w:val="13"/>
        <w:szCs w:val="13"/>
      </w:rPr>
      <w:t>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68" w:lineRule="auto"/>
      <w:ind w:left="4165"/>
      <w:rPr>
        <w:sz w:val="14"/>
        <w:szCs w:val="14"/>
      </w:rPr>
    </w:pPr>
    <w:r>
      <w:rPr>
        <w:sz w:val="14"/>
        <w:szCs w:val="14"/>
      </w:rPr>
      <w:t>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71" w:lineRule="auto"/>
      <w:ind w:left="4153"/>
      <w:rPr>
        <w:sz w:val="15"/>
        <w:szCs w:val="15"/>
      </w:rPr>
    </w:pPr>
    <w:r>
      <w:rPr>
        <w:spacing w:val="-5"/>
        <w:sz w:val="15"/>
        <w:szCs w:val="15"/>
      </w:rPr>
      <w:t>12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71" w:lineRule="auto"/>
      <w:ind w:left="4143"/>
      <w:rPr>
        <w:sz w:val="15"/>
        <w:szCs w:val="15"/>
      </w:rPr>
    </w:pPr>
    <w:r>
      <w:rPr>
        <w:spacing w:val="-5"/>
        <w:sz w:val="15"/>
        <w:szCs w:val="15"/>
      </w:rPr>
      <w:t>13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70" w:lineRule="auto"/>
      <w:ind w:left="4116"/>
      <w:rPr>
        <w:sz w:val="14"/>
        <w:szCs w:val="14"/>
      </w:rPr>
    </w:pPr>
    <w:r>
      <w:rPr>
        <w:spacing w:val="-4"/>
        <w:sz w:val="14"/>
        <w:szCs w:val="14"/>
      </w:rPr>
      <w:t>14</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jc w:val="right"/>
      <w:rPr>
        <w:rFonts w:ascii="微软简行楷" w:eastAsia="微软简行楷" w:hAnsi="微软简行楷" w:cs="微软简行楷" w:hint="eastAsia"/>
        <w:b w:val="0"/>
        <w:bCs w:val="0"/>
        <w:lang w:val="en-US" w:eastAsia="zh-CN"/>
      </w:rPr>
    </w:pPr>
    <w:r>
      <w:rPr>
        <w:rFonts w:hint="eastAsia"/>
        <w:lang w:eastAsia="zh-CN"/>
      </w:rPr>
      <w:tab/>
    </w:r>
    <w:r>
      <w:rPr>
        <w:rFonts w:ascii="微软简行楷" w:eastAsia="微软简行楷" w:hAnsi="微软简行楷" w:cs="微软简行楷" w:hint="eastAsia"/>
        <w:b w:val="0"/>
        <w:bCs w:val="0"/>
      </w:rPr>
      <w:t xml:space="preserve">                            </w:t>
    </w:r>
    <w:r>
      <w:rPr>
        <w:rFonts w:ascii="微软简行楷" w:eastAsia="微软简行楷" w:hAnsi="微软简行楷" w:cs="微软简行楷" w:hint="eastAsia"/>
        <w:b w:val="0"/>
        <w:bCs w:val="0"/>
      </w:rPr>
      <w:br/>
    </w:r>
    <w:r>
      <w:rPr>
        <w:rFonts w:ascii="微软简行楷" w:eastAsia="微软简行楷" w:hAnsi="微软简行楷" w:cs="微软简行楷" w:hint="eastAsia"/>
        <w:b w:val="0"/>
        <w:bCs w:val="0"/>
      </w:rPr>
      <w:t xml:space="preserve">  </w:t>
    </w:r>
    <w:r>
      <w:rPr>
        <w:rFonts w:ascii="微软简行楷" w:eastAsia="微软简行楷" w:hAnsi="微软简行楷" w:cs="微软简行楷" w:hint="eastAsia"/>
        <w:b w:val="0"/>
        <w:bCs w:val="0"/>
        <w:lang w:val="en-US" w:eastAsia="zh-CN"/>
      </w:rPr>
      <w:t>润万物而生，视为</w:t>
    </w:r>
    <w:r>
      <w:rPr>
        <w:rFonts w:ascii="微软简行楷" w:eastAsia="微软简行楷" w:hAnsi="微软简行楷" w:cs="微软简行楷" w:hint="eastAsia"/>
        <w:b/>
        <w:bCs/>
        <w:lang w:val="en-US" w:eastAsia="zh-CN"/>
      </w:rPr>
      <w:t>泽</w:t>
    </w:r>
    <w:r>
      <w:rPr>
        <w:rFonts w:ascii="微软简行楷" w:eastAsia="微软简行楷" w:hAnsi="微软简行楷" w:cs="微软简行楷" w:hint="eastAsia"/>
        <w:b w:val="0"/>
        <w:bCs w:val="0"/>
        <w:lang w:val="en-US" w:eastAsia="zh-CN"/>
      </w:rPr>
      <w:t>；</w:t>
    </w:r>
  </w:p>
  <w:p>
    <w:pPr>
      <w:pStyle w:val="Header"/>
      <w:pBdr>
        <w:bottom w:val="none" w:sz="0" w:space="0" w:color="auto"/>
      </w:pBdr>
      <w:jc w:val="right"/>
      <w:rPr>
        <w:rFonts w:eastAsia="宋体" w:hint="eastAsia"/>
        <w:lang w:eastAsia="zh-CN"/>
      </w:rPr>
    </w:pPr>
    <w:r>
      <w:rPr>
        <w:rFonts w:ascii="微软简行楷" w:eastAsia="微软简行楷" w:hAnsi="微软简行楷" w:cs="微软简行楷" w:hint="eastAsia"/>
        <w:b w:val="0"/>
        <w:bCs w:val="0"/>
        <w:lang w:val="en-US" w:eastAsia="zh-CN"/>
      </w:rPr>
      <w:t>惠千行百业，视为</w:t>
    </w:r>
    <w:r>
      <w:rPr>
        <w:rFonts w:ascii="微软简行楷" w:eastAsia="微软简行楷" w:hAnsi="微软简行楷" w:cs="微软简行楷" w:hint="eastAsia"/>
        <w:b/>
        <w:bCs/>
        <w:lang w:val="en-US" w:eastAsia="zh-CN"/>
      </w:rPr>
      <w:t>钧</w:t>
    </w:r>
    <w:r>
      <w:rPr>
        <w:rFonts w:ascii="微软简行楷" w:eastAsia="微软简行楷" w:hAnsi="微软简行楷" w:cs="微软简行楷" w:hint="eastAsia"/>
        <w:b w:val="0"/>
        <w:bCs w:val="0"/>
        <w:lang w:val="en-US" w:eastAsia="zh-CN"/>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0720F5"/>
    <w:multiLevelType w:val="singleLevel"/>
    <w:tmpl w:val="AF0720F5"/>
    <w:lvl w:ilvl="0">
      <w:start w:val="2"/>
      <w:numFmt w:val="decimal"/>
      <w:suff w:val="space"/>
      <w:lvlText w:val="%1."/>
      <w:lvlJc w:val="left"/>
    </w:lvl>
  </w:abstractNum>
  <w:abstractNum w:abstractNumId="1">
    <w:nsid w:val="D76725A9"/>
    <w:multiLevelType w:val="singleLevel"/>
    <w:tmpl w:val="D76725A9"/>
    <w:lvl w:ilvl="0">
      <w:start w:val="2"/>
      <w:numFmt w:val="decimal"/>
      <w:suff w:val="nothing"/>
      <w:lvlText w:val="%1、"/>
      <w:lvlJc w:val="left"/>
      <w:pPr>
        <w:ind w:left="630" w:firstLine="0" w:leftChars="0" w:firstLineChars="0"/>
      </w:pPr>
    </w:lvl>
  </w:abstractNum>
  <w:abstractNum w:abstractNumId="2">
    <w:nsid w:val="0EC1EFE2"/>
    <w:multiLevelType w:val="singleLevel"/>
    <w:tmpl w:val="0EC1EFE2"/>
    <w:lvl w:ilvl="0">
      <w:start w:val="4"/>
      <w:numFmt w:val="chineseCounting"/>
      <w:suff w:val="nothing"/>
      <w:lvlText w:val="（%1）"/>
      <w:lvlJc w:val="left"/>
      <w:rPr>
        <w:rFonts w:hint="eastAsia"/>
      </w:rPr>
    </w:lvl>
  </w:abstractNum>
  <w:abstractNum w:abstractNumId="3">
    <w:nsid w:val="2E78E005"/>
    <w:multiLevelType w:val="singleLevel"/>
    <w:tmpl w:val="2E78E005"/>
    <w:lvl w:ilvl="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autoRedefine/>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autoRedefine/>
    <w:uiPriority w:val="99"/>
    <w:qFormat/>
    <w:rPr>
      <w:rFonts w:eastAsia="宋体"/>
      <w:kern w:val="2"/>
      <w:sz w:val="18"/>
      <w:szCs w:val="18"/>
      <w:lang w:eastAsia="zh-CN"/>
    </w:rPr>
  </w:style>
  <w:style w:type="paragraph" w:styleId="Footer">
    <w:name w:val="footer"/>
    <w:basedOn w:val="Normal"/>
    <w:link w:val="a0"/>
    <w:autoRedefine/>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autoRedefine/>
    <w:qFormat/>
    <w:rPr>
      <w:rFonts w:eastAsia="宋体"/>
      <w:kern w:val="2"/>
      <w:sz w:val="18"/>
      <w:szCs w:val="18"/>
      <w:lang w:eastAsia="zh-CN"/>
    </w:rPr>
  </w:style>
  <w:style w:type="paragraph" w:styleId="PlainText">
    <w:name w:val="Plain Text"/>
    <w:basedOn w:val="Normal"/>
    <w:link w:val="a1"/>
    <w:autoRedefine/>
    <w:qFormat/>
    <w:pPr>
      <w:widowControl w:val="0"/>
      <w:jc w:val="both"/>
    </w:pPr>
    <w:rPr>
      <w:rFonts w:ascii="宋体" w:eastAsia="宋体" w:hAnsi="Courier New"/>
      <w:kern w:val="2"/>
      <w:sz w:val="21"/>
      <w:szCs w:val="20"/>
      <w:lang w:eastAsia="zh-CN"/>
    </w:rPr>
  </w:style>
  <w:style w:type="character" w:customStyle="1" w:styleId="a1">
    <w:name w:val="纯文本 字符"/>
    <w:link w:val="PlainText"/>
    <w:autoRedefine/>
    <w:qFormat/>
    <w:rPr>
      <w:rFonts w:ascii="宋体" w:eastAsia="宋体" w:hAnsi="Courier New"/>
      <w:kern w:val="2"/>
      <w:sz w:val="21"/>
      <w:lang w:eastAsia="zh-CN"/>
    </w:rPr>
  </w:style>
  <w:style w:type="table" w:styleId="TableGrid">
    <w:name w:val="Table Grid"/>
    <w:basedOn w:val="TableNormal"/>
    <w:autoRedefine/>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qFormat/>
    <w:pPr>
      <w:widowControl w:val="0"/>
      <w:spacing w:after="200" w:line="475" w:lineRule="exact"/>
      <w:ind w:left="300" w:firstLine="460"/>
      <w:outlineLvl w:val="3"/>
    </w:pPr>
    <w:rPr>
      <w:rFonts w:ascii="宋体" w:eastAsia="宋体" w:hAnsi="宋体" w:cs="宋体"/>
      <w:sz w:val="22"/>
      <w:szCs w:val="22"/>
      <w:lang w:val="zh-TW" w:eastAsia="zh-TW" w:bidi="zh-TW"/>
    </w:rPr>
  </w:style>
  <w:style w:type="paragraph" w:styleId="BodyText">
    <w:name w:val="Body Text"/>
    <w:basedOn w:val="Normal"/>
    <w:next w:val="Normal"/>
    <w:link w:val="a2"/>
    <w:autoRedefine/>
    <w:qFormat/>
    <w:pPr>
      <w:widowControl w:val="0"/>
      <w:spacing w:line="360" w:lineRule="auto"/>
      <w:jc w:val="both"/>
    </w:pPr>
    <w:rPr>
      <w:rFonts w:eastAsia="宋体"/>
      <w:b/>
      <w:bCs/>
      <w:kern w:val="2"/>
      <w:lang w:eastAsia="zh-CN"/>
    </w:rPr>
  </w:style>
  <w:style w:type="character" w:customStyle="1" w:styleId="a2">
    <w:name w:val="正文文本 字符"/>
    <w:link w:val="BodyText"/>
    <w:autoRedefine/>
    <w:qFormat/>
    <w:rPr>
      <w:rFonts w:eastAsia="宋体"/>
      <w:b/>
      <w:bCs/>
      <w:kern w:val="2"/>
      <w:sz w:val="24"/>
      <w:szCs w:val="24"/>
      <w:lang w:eastAsia="zh-CN"/>
    </w:rPr>
  </w:style>
  <w:style w:type="paragraph" w:styleId="NormalWeb">
    <w:name w:val="Normal (Web)"/>
    <w:basedOn w:val="Normal"/>
    <w:autoRedefine/>
    <w:uiPriority w:val="99"/>
    <w:qFormat/>
    <w:pPr>
      <w:widowControl w:val="0"/>
      <w:spacing w:beforeAutospacing="1" w:afterAutospacing="1"/>
    </w:pPr>
    <w:rPr>
      <w:rFonts w:eastAsia="宋体"/>
      <w:lang w:eastAsia="zh-CN"/>
    </w:rPr>
  </w:style>
  <w:style w:type="paragraph" w:styleId="NormalIndent">
    <w:name w:val="Normal Indent"/>
    <w:basedOn w:val="Normal"/>
    <w:link w:val="a3"/>
    <w:qFormat/>
    <w:pPr>
      <w:widowControl w:val="0"/>
      <w:ind w:firstLine="420"/>
      <w:jc w:val="both"/>
    </w:pPr>
    <w:rPr>
      <w:rFonts w:eastAsia="宋体"/>
      <w:kern w:val="2"/>
      <w:sz w:val="21"/>
      <w:szCs w:val="20"/>
      <w:lang w:eastAsia="zh-CN"/>
    </w:rPr>
  </w:style>
  <w:style w:type="character" w:customStyle="1" w:styleId="a3">
    <w:name w:val="正文缩进 字符"/>
    <w:link w:val="NormalIndent"/>
    <w:autoRedefine/>
    <w:qFormat/>
    <w:rPr>
      <w:rFonts w:eastAsia="宋体"/>
      <w:kern w:val="2"/>
      <w:sz w:val="21"/>
      <w:lang w:eastAsia="zh-CN"/>
    </w:rPr>
  </w:style>
  <w:style w:type="table" w:customStyle="1" w:styleId="TableNormal0">
    <w:name w:val="Table Normal_0"/>
    <w:semiHidden/>
    <w:unhideWhenUsed/>
    <w:qFormat/>
    <w:rPr>
      <w:rFonts w:eastAsia="宋体"/>
    </w:rPr>
    <w:tblPr>
      <w:tblCellMar>
        <w:top w:w="0" w:type="dxa"/>
        <w:left w:w="0" w:type="dxa"/>
        <w:bottom w:w="0" w:type="dxa"/>
        <w:right w:w="0" w:type="dxa"/>
      </w:tblCellMar>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hyperlink" Target="https://amr.sz.gov.cn/outer/entSelect/gs.html" TargetMode="External"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hyperlink" Target="32.2.3.1" TargetMode="External" /><Relationship Id="rId2" Type="http://schemas.openxmlformats.org/officeDocument/2006/relationships/webSettings" Target="webSettings.xml" /><Relationship Id="rId20" Type="http://schemas.openxmlformats.org/officeDocument/2006/relationships/hyperlink" Target="36.2.3.2" TargetMode="Externa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www.creditchina.gov.cn" TargetMode="External"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