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lang w:val="en-US"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b/>
          <w:color w:val="FF0000"/>
          <w:lang w:val="en-US" w:eastAsia="zh-CN"/>
        </w:rPr>
        <w:t>注：“特别警示条款”和《政府采购违法行为风险知悉确认书》用于对供应商违法行为的提醒，不作为供应商资格性审查及符合性审查条件。</w:t>
      </w:r>
    </w:p>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21"/>
        <w:tblW w:w="8174" w:type="dxa"/>
        <w:jc w:val="center"/>
        <w:tblCellSpacing w:w="0" w:type="dxa"/>
        <w:tblLayout w:type="autofit"/>
        <w:tblCellMar>
          <w:top w:w="36" w:type="dxa"/>
          <w:left w:w="36" w:type="dxa"/>
          <w:bottom w:w="36" w:type="dxa"/>
          <w:right w:w="36" w:type="dxa"/>
        </w:tblCellMar>
      </w:tblPr>
      <w:tblGrid>
        <w:gridCol w:w="2186"/>
        <w:gridCol w:w="5988"/>
      </w:tblGrid>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项目编号：</w:t>
            </w:r>
          </w:p>
        </w:tc>
        <w:tc>
          <w:tcPr>
            <w:tcW w:w="5988" w:type="dxa"/>
            <w:vAlign w:val="center"/>
          </w:tcPr>
          <w:p>
            <w:pPr>
              <w:rPr>
                <w:rFonts w:hint="eastAsia" w:eastAsiaTheme="minorEastAsia"/>
                <w:sz w:val="30"/>
                <w:szCs w:val="30"/>
                <w:lang w:eastAsia="zh-CN"/>
              </w:rPr>
            </w:pPr>
            <w:r>
              <w:rPr>
                <w:rFonts w:hint="eastAsia" w:eastAsiaTheme="minorEastAsia"/>
                <w:sz w:val="30"/>
                <w:szCs w:val="30"/>
                <w:lang w:eastAsia="zh-CN"/>
              </w:rPr>
              <w:t>LHAZXCG-2025-00109</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项目名称：</w:t>
            </w:r>
          </w:p>
        </w:tc>
        <w:tc>
          <w:tcPr>
            <w:tcW w:w="5988" w:type="dxa"/>
            <w:vAlign w:val="center"/>
          </w:tcPr>
          <w:p>
            <w:pPr>
              <w:rPr>
                <w:rFonts w:hint="default" w:eastAsiaTheme="minorEastAsia"/>
                <w:sz w:val="30"/>
                <w:szCs w:val="30"/>
                <w:lang w:val="en-US" w:eastAsia="zh-CN"/>
              </w:rPr>
            </w:pPr>
            <w:r>
              <w:rPr>
                <w:rFonts w:hint="default" w:eastAsiaTheme="minorEastAsia"/>
                <w:sz w:val="30"/>
                <w:szCs w:val="30"/>
                <w:lang w:val="en-US" w:eastAsia="zh-CN"/>
              </w:rPr>
              <w:t>智慧医疗“114工程”双活数据中心及区域医疗应用扩充建设项目网络安全等级保护测评及商用密码应用安全性评估服务</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包</w:t>
            </w:r>
            <w:r>
              <w:rPr>
                <w:rFonts w:hint="eastAsia"/>
                <w:sz w:val="30"/>
                <w:szCs w:val="30"/>
                <w:lang w:val="en-US" w:eastAsia="zh-CN"/>
              </w:rPr>
              <w:t xml:space="preserve">    </w:t>
            </w:r>
            <w:r>
              <w:rPr>
                <w:sz w:val="30"/>
                <w:szCs w:val="30"/>
              </w:rPr>
              <w:t>号：</w:t>
            </w:r>
          </w:p>
        </w:tc>
        <w:tc>
          <w:tcPr>
            <w:tcW w:w="5988" w:type="dxa"/>
            <w:vAlign w:val="center"/>
          </w:tcPr>
          <w:p>
            <w:pPr>
              <w:rPr>
                <w:sz w:val="30"/>
                <w:szCs w:val="30"/>
              </w:rPr>
            </w:pPr>
            <w:r>
              <w:rPr>
                <w:sz w:val="30"/>
                <w:szCs w:val="30"/>
              </w:rPr>
              <w:t>A</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项目类型：</w:t>
            </w:r>
          </w:p>
        </w:tc>
        <w:tc>
          <w:tcPr>
            <w:tcW w:w="5988" w:type="dxa"/>
            <w:vAlign w:val="center"/>
          </w:tcPr>
          <w:p>
            <w:pPr>
              <w:rPr>
                <w:sz w:val="30"/>
                <w:szCs w:val="30"/>
              </w:rPr>
            </w:pPr>
            <w:r>
              <w:rPr>
                <w:rFonts w:hint="eastAsia"/>
                <w:sz w:val="30"/>
                <w:szCs w:val="30"/>
                <w:lang w:val="en-US" w:eastAsia="zh-CN"/>
              </w:rPr>
              <w:t>服务</w:t>
            </w:r>
            <w:r>
              <w:rPr>
                <w:sz w:val="30"/>
                <w:szCs w:val="30"/>
              </w:rPr>
              <w:t>类</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采购方式：</w:t>
            </w:r>
          </w:p>
        </w:tc>
        <w:tc>
          <w:tcPr>
            <w:tcW w:w="5988" w:type="dxa"/>
            <w:vAlign w:val="center"/>
          </w:tcPr>
          <w:p>
            <w:pPr>
              <w:rPr>
                <w:sz w:val="30"/>
                <w:szCs w:val="30"/>
              </w:rPr>
            </w:pPr>
            <w:r>
              <w:rPr>
                <w:sz w:val="30"/>
                <w:szCs w:val="30"/>
              </w:rPr>
              <w:t>公开招标</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货币类型：</w:t>
            </w:r>
          </w:p>
        </w:tc>
        <w:tc>
          <w:tcPr>
            <w:tcW w:w="5988" w:type="dxa"/>
            <w:vAlign w:val="center"/>
          </w:tcPr>
          <w:p>
            <w:pPr>
              <w:rPr>
                <w:sz w:val="30"/>
                <w:szCs w:val="30"/>
              </w:rPr>
            </w:pPr>
            <w:r>
              <w:rPr>
                <w:sz w:val="30"/>
                <w:szCs w:val="30"/>
              </w:rPr>
              <w:t>人民币</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评标方法：</w:t>
            </w:r>
          </w:p>
        </w:tc>
        <w:tc>
          <w:tcPr>
            <w:tcW w:w="5988" w:type="dxa"/>
            <w:vAlign w:val="center"/>
          </w:tcPr>
          <w:p>
            <w:pPr>
              <w:rPr>
                <w:sz w:val="30"/>
                <w:szCs w:val="30"/>
              </w:rPr>
            </w:pPr>
            <w:r>
              <w:rPr>
                <w:rFonts w:ascii="宋体" w:hAnsi="宋体" w:cs="宋体"/>
                <w:kern w:val="0"/>
                <w:sz w:val="30"/>
                <w:szCs w:val="30"/>
                <w:lang w:bidi="ar"/>
              </w:rPr>
              <w:t>综合评分法</w:t>
            </w:r>
          </w:p>
        </w:tc>
      </w:tr>
    </w:tbl>
    <w:p>
      <w:pPr>
        <w:tabs>
          <w:tab w:val="left" w:pos="2790"/>
        </w:tabs>
        <w:snapToGrid w:val="0"/>
        <w:spacing w:line="440" w:lineRule="exact"/>
        <w:jc w:val="left"/>
        <w:rPr>
          <w:rFonts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21"/>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pPr>
        <w:tabs>
          <w:tab w:val="left" w:pos="2790"/>
        </w:tabs>
        <w:snapToGrid w:val="0"/>
        <w:jc w:val="center"/>
        <w:rPr>
          <w:rFonts w:hint="eastAsia" w:ascii="黑体" w:hAnsi="黑体" w:eastAsia="黑体" w:cs="Times New Roman"/>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21"/>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b/>
                <w:highlight w:val="yellow"/>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highlight w:val="yellow"/>
              </w:rPr>
            </w:pPr>
            <w:r>
              <w:rPr>
                <w:rFonts w:hint="eastAsia"/>
              </w:rPr>
              <w:t>法律、法规、规章、规范性文件规定的其他情形。</w:t>
            </w:r>
          </w:p>
        </w:tc>
      </w:tr>
    </w:tbl>
    <w:p>
      <w:pPr>
        <w:pStyle w:val="18"/>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rPr>
        <w:t>评标信息</w:t>
      </w:r>
    </w:p>
    <w:tbl>
      <w:tblPr>
        <w:tblStyle w:val="21"/>
        <w:tblW w:w="913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7"/>
        <w:gridCol w:w="680"/>
        <w:gridCol w:w="2835"/>
        <w:gridCol w:w="681"/>
        <w:gridCol w:w="4196"/>
        <w:gridCol w:w="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68"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6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rPr>
            </w:pPr>
            <w:r>
              <w:rPr>
                <w:szCs w:val="21"/>
              </w:rPr>
              <w:t>价格分计算方法：</w:t>
            </w:r>
          </w:p>
          <w:p>
            <w:pPr>
              <w:pStyle w:val="1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r>
              <w:rPr>
                <w:kern w:val="2"/>
                <w:sz w:val="21"/>
                <w:szCs w:val="21"/>
              </w:rPr>
              <w:br w:type="textWrapping"/>
            </w:r>
            <w:r>
              <w:rPr>
                <w:kern w:val="2"/>
                <w:sz w:val="21"/>
                <w:szCs w:val="21"/>
              </w:rPr>
              <w:t xml:space="preserve">投标报价得分=(评标基准价／投标报价)×100 </w:t>
            </w:r>
            <w:r>
              <w:rPr>
                <w:kern w:val="2"/>
                <w:sz w:val="21"/>
                <w:szCs w:val="21"/>
              </w:rPr>
              <w:br w:type="textWrapping"/>
            </w:r>
            <w:r>
              <w:rPr>
                <w:kern w:val="2"/>
                <w:sz w:val="21"/>
                <w:szCs w:val="21"/>
              </w:rPr>
              <w:t xml:space="preserve">评标总得分＝F1×A1＋F2×A2＋……＋Fn×An </w:t>
            </w:r>
            <w:r>
              <w:rPr>
                <w:kern w:val="2"/>
                <w:sz w:val="21"/>
                <w:szCs w:val="21"/>
              </w:rPr>
              <w:br w:type="textWrapping"/>
            </w:r>
            <w:r>
              <w:rPr>
                <w:kern w:val="2"/>
                <w:sz w:val="21"/>
                <w:szCs w:val="21"/>
              </w:rPr>
              <w:t xml:space="preserve">F1、F2……Fn分别为各项评审因素的得分； </w:t>
            </w:r>
            <w:r>
              <w:rPr>
                <w:kern w:val="2"/>
                <w:sz w:val="21"/>
                <w:szCs w:val="21"/>
              </w:rPr>
              <w:br w:type="textWrapping"/>
            </w:r>
            <w:r>
              <w:rPr>
                <w:kern w:val="2"/>
                <w:sz w:val="21"/>
                <w:szCs w:val="21"/>
              </w:rPr>
              <w:t xml:space="preserve">A1、A2、……An 分别为各项评审因素所占的权重(A1＋A2＋……＋An＝1)。 </w:t>
            </w:r>
            <w:r>
              <w:rPr>
                <w:kern w:val="2"/>
                <w:sz w:val="21"/>
                <w:szCs w:val="21"/>
              </w:rPr>
              <w:br w:type="textWrapping"/>
            </w:r>
            <w:r>
              <w:rPr>
                <w:kern w:val="2"/>
                <w:sz w:val="21"/>
                <w:szCs w:val="21"/>
              </w:rPr>
              <w:t>评标过程中，不得去掉报价中的最高报价和最低报价。</w:t>
            </w:r>
          </w:p>
          <w:p>
            <w:pPr>
              <w:pStyle w:val="1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kern w:val="2"/>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b/>
                <w:bCs/>
                <w:sz w:val="21"/>
                <w:szCs w:val="21"/>
              </w:rPr>
            </w:pPr>
            <w:r>
              <w:rPr>
                <w:rFonts w:hint="eastAsia" w:ascii="宋体" w:hAnsi="宋体" w:cs="宋体"/>
                <w:b/>
                <w:bCs/>
                <w:sz w:val="21"/>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b/>
                <w:bCs/>
                <w:sz w:val="21"/>
                <w:szCs w:val="21"/>
              </w:rPr>
            </w:pPr>
            <w:r>
              <w:rPr>
                <w:rFonts w:hint="eastAsia" w:ascii="宋体" w:hAnsi="宋体" w:cs="宋体"/>
                <w:b/>
                <w:bCs/>
                <w:sz w:val="21"/>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b/>
                <w:bCs/>
                <w:sz w:val="21"/>
                <w:szCs w:val="21"/>
              </w:rPr>
            </w:pPr>
            <w:r>
              <w:rPr>
                <w:rFonts w:hint="eastAsia" w:ascii="宋体" w:hAnsi="宋体" w:cs="宋体"/>
                <w:b/>
                <w:bCs/>
                <w:sz w:val="21"/>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价格</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restart"/>
            <w:tcBorders>
              <w:top w:val="single" w:color="000000" w:sz="8" w:space="0"/>
              <w:left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技术部分</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shd w:val="clear" w:color="auto" w:fill="E6EFFA"/>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bidi w:val="0"/>
              <w:snapToGrid/>
              <w:spacing w:line="240" w:lineRule="auto"/>
              <w:rPr>
                <w:rFonts w:ascii="宋体" w:hAnsi="宋体" w:cs="宋体"/>
                <w:sz w:val="21"/>
                <w:szCs w:val="21"/>
              </w:rPr>
            </w:pPr>
            <w:r>
              <w:rPr>
                <w:rFonts w:hint="eastAsia" w:ascii="宋体" w:hAnsi="宋体" w:cs="宋体"/>
                <w:color w:val="000000"/>
                <w:kern w:val="0"/>
                <w:sz w:val="21"/>
                <w:szCs w:val="21"/>
              </w:rPr>
              <w:t>实施方案</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10</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line="240" w:lineRule="auto"/>
              <w:textAlignment w:val="auto"/>
              <w:rPr>
                <w:rFonts w:ascii="宋体" w:hAnsi="宋体" w:cs="宋体"/>
                <w:b/>
                <w:bCs/>
                <w:sz w:val="21"/>
                <w:szCs w:val="21"/>
              </w:rPr>
            </w:pPr>
            <w:r>
              <w:rPr>
                <w:rFonts w:hint="eastAsia" w:ascii="宋体" w:hAnsi="宋体" w:cs="宋体"/>
                <w:b/>
                <w:bCs/>
                <w:sz w:val="21"/>
                <w:szCs w:val="21"/>
              </w:rPr>
              <w:t>考察内容：</w:t>
            </w:r>
          </w:p>
          <w:p>
            <w:pPr>
              <w:keepNext w:val="0"/>
              <w:keepLines w:val="0"/>
              <w:pageBreakBefore w:val="0"/>
              <w:kinsoku/>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rPr>
              <w:t>根据投标人针对本项目</w:t>
            </w:r>
            <w:r>
              <w:rPr>
                <w:rFonts w:hint="eastAsia" w:ascii="宋体" w:hAnsi="宋体" w:cs="宋体"/>
                <w:sz w:val="21"/>
                <w:szCs w:val="21"/>
                <w:lang w:val="en-US" w:eastAsia="zh-CN"/>
              </w:rPr>
              <w:t>制定的实施方案，分别描述网络安全等级保护测评服务、商用密码应用安全性评估服务，包括：</w:t>
            </w:r>
          </w:p>
          <w:p>
            <w:pPr>
              <w:pStyle w:val="60"/>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eastAsia" w:ascii="宋体" w:hAnsi="宋体" w:cs="宋体"/>
                <w:b w:val="0"/>
                <w:bCs/>
                <w:sz w:val="21"/>
                <w:szCs w:val="21"/>
                <w:lang w:val="en-US" w:eastAsia="zh-CN"/>
              </w:rPr>
            </w:pPr>
            <w:r>
              <w:rPr>
                <w:rFonts w:hint="eastAsia" w:ascii="宋体" w:hAnsi="宋体" w:eastAsia="宋体" w:cs="宋体"/>
                <w:b w:val="0"/>
                <w:bCs/>
                <w:spacing w:val="10"/>
                <w:kern w:val="0"/>
                <w:sz w:val="21"/>
                <w:szCs w:val="21"/>
                <w:lang w:val="en-US" w:eastAsia="zh-CN" w:bidi="ar-SA"/>
              </w:rPr>
              <w:t>1、</w:t>
            </w:r>
            <w:r>
              <w:rPr>
                <w:rFonts w:hint="eastAsia" w:ascii="宋体" w:hAnsi="宋体" w:cs="宋体"/>
                <w:b w:val="0"/>
                <w:bCs/>
                <w:sz w:val="21"/>
                <w:szCs w:val="21"/>
                <w:lang w:val="en-US" w:eastAsia="zh-CN"/>
              </w:rPr>
              <w:t>测评内容</w:t>
            </w:r>
          </w:p>
          <w:p>
            <w:pPr>
              <w:pStyle w:val="8"/>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default"/>
                <w:b w:val="0"/>
                <w:bCs/>
                <w:sz w:val="21"/>
                <w:szCs w:val="21"/>
                <w:lang w:val="en-US" w:eastAsia="zh-CN"/>
              </w:rPr>
            </w:pPr>
            <w:r>
              <w:rPr>
                <w:rFonts w:hint="default" w:ascii="Times New Roman" w:hAnsi="Times New Roman" w:eastAsia="宋体" w:cs="Times New Roman"/>
                <w:b w:val="0"/>
                <w:bCs/>
                <w:kern w:val="2"/>
                <w:sz w:val="21"/>
                <w:szCs w:val="21"/>
                <w:lang w:val="en-US" w:eastAsia="zh-CN" w:bidi="ar-SA"/>
              </w:rPr>
              <w:t>2、</w:t>
            </w:r>
            <w:r>
              <w:rPr>
                <w:rFonts w:hint="eastAsia"/>
                <w:b w:val="0"/>
                <w:bCs/>
                <w:sz w:val="21"/>
                <w:szCs w:val="21"/>
                <w:lang w:val="en-US" w:eastAsia="zh-CN"/>
              </w:rPr>
              <w:t>测评方法</w:t>
            </w:r>
          </w:p>
          <w:p>
            <w:pPr>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eastAsia"/>
                <w:b w:val="0"/>
                <w:bCs/>
                <w:sz w:val="21"/>
                <w:szCs w:val="21"/>
                <w:lang w:val="en-US" w:eastAsia="zh-CN"/>
              </w:rPr>
            </w:pPr>
            <w:r>
              <w:rPr>
                <w:rFonts w:hint="eastAsia" w:ascii="Times New Roman" w:hAnsi="Times New Roman" w:eastAsia="宋体" w:cs="Times New Roman"/>
                <w:b w:val="0"/>
                <w:bCs/>
                <w:kern w:val="2"/>
                <w:sz w:val="21"/>
                <w:szCs w:val="21"/>
                <w:lang w:val="en-US" w:eastAsia="zh-CN" w:bidi="ar-SA"/>
              </w:rPr>
              <w:t>3</w:t>
            </w:r>
            <w:r>
              <w:rPr>
                <w:rFonts w:hint="eastAsia" w:cs="Times New Roman"/>
                <w:b w:val="0"/>
                <w:bCs/>
                <w:kern w:val="2"/>
                <w:sz w:val="21"/>
                <w:szCs w:val="21"/>
                <w:lang w:val="en-US" w:eastAsia="zh-CN" w:bidi="ar-SA"/>
              </w:rPr>
              <w:t>、</w:t>
            </w:r>
            <w:r>
              <w:rPr>
                <w:rFonts w:hint="eastAsia"/>
                <w:b w:val="0"/>
                <w:bCs/>
                <w:sz w:val="21"/>
                <w:szCs w:val="21"/>
                <w:lang w:val="en-US" w:eastAsia="zh-CN"/>
              </w:rPr>
              <w:t>测评流程</w:t>
            </w:r>
          </w:p>
          <w:p>
            <w:pPr>
              <w:pStyle w:val="60"/>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default"/>
                <w:b w:val="0"/>
                <w:bCs/>
                <w:sz w:val="21"/>
                <w:szCs w:val="21"/>
                <w:lang w:val="en-US" w:eastAsia="zh-CN"/>
              </w:rPr>
            </w:pPr>
            <w:r>
              <w:rPr>
                <w:rFonts w:hint="default" w:ascii="Times New Roman" w:hAnsi="Times New Roman" w:eastAsia="宋体" w:cs="Times New Roman"/>
                <w:b w:val="0"/>
                <w:bCs/>
                <w:spacing w:val="10"/>
                <w:kern w:val="0"/>
                <w:sz w:val="21"/>
                <w:szCs w:val="21"/>
                <w:lang w:val="en-US" w:eastAsia="zh-CN" w:bidi="ar-SA"/>
              </w:rPr>
              <w:t>4</w:t>
            </w:r>
            <w:r>
              <w:rPr>
                <w:rFonts w:hint="eastAsia" w:cs="Times New Roman"/>
                <w:b w:val="0"/>
                <w:bCs/>
                <w:spacing w:val="10"/>
                <w:kern w:val="0"/>
                <w:sz w:val="21"/>
                <w:szCs w:val="21"/>
                <w:lang w:val="en-US" w:eastAsia="zh-CN" w:bidi="ar-SA"/>
              </w:rPr>
              <w:t>、</w:t>
            </w:r>
            <w:r>
              <w:rPr>
                <w:rFonts w:hint="eastAsia"/>
                <w:b w:val="0"/>
                <w:bCs/>
                <w:sz w:val="21"/>
                <w:szCs w:val="21"/>
                <w:lang w:val="en-US" w:eastAsia="zh-CN"/>
              </w:rPr>
              <w:t>人员安排</w:t>
            </w:r>
          </w:p>
          <w:p>
            <w:pPr>
              <w:pStyle w:val="8"/>
              <w:keepNext w:val="0"/>
              <w:keepLines w:val="0"/>
              <w:pageBreakBefore w:val="0"/>
              <w:kinsoku/>
              <w:overflowPunct/>
              <w:topLinePunct w:val="0"/>
              <w:autoSpaceDE/>
              <w:autoSpaceDN/>
              <w:bidi w:val="0"/>
              <w:adjustRightInd/>
              <w:snapToGrid/>
              <w:spacing w:line="240" w:lineRule="auto"/>
              <w:textAlignment w:val="auto"/>
              <w:rPr>
                <w:rFonts w:ascii="宋体" w:hAnsi="宋体" w:cs="宋体"/>
                <w:b w:val="0"/>
                <w:bCs/>
                <w:sz w:val="21"/>
                <w:szCs w:val="21"/>
              </w:rPr>
            </w:pPr>
            <w:r>
              <w:rPr>
                <w:rFonts w:hint="eastAsia"/>
                <w:b w:val="0"/>
                <w:bCs/>
                <w:sz w:val="21"/>
                <w:szCs w:val="21"/>
                <w:lang w:val="en-US" w:eastAsia="zh-CN"/>
              </w:rPr>
              <w:t>5、管理措施</w:t>
            </w:r>
            <w:r>
              <w:rPr>
                <w:rFonts w:hint="eastAsia" w:ascii="宋体" w:hAnsi="宋体" w:cs="宋体"/>
                <w:b w:val="0"/>
                <w:bCs/>
                <w:sz w:val="21"/>
                <w:szCs w:val="21"/>
              </w:rPr>
              <w:t xml:space="preserve"> </w:t>
            </w:r>
          </w:p>
          <w:p>
            <w:pPr>
              <w:keepNext w:val="0"/>
              <w:keepLines w:val="0"/>
              <w:pageBreakBefore w:val="0"/>
              <w:kinsoku/>
              <w:wordWrap w:val="0"/>
              <w:overflowPunct/>
              <w:topLinePunct w:val="0"/>
              <w:autoSpaceDE/>
              <w:autoSpaceDN/>
              <w:bidi w:val="0"/>
              <w:adjustRightInd/>
              <w:snapToGrid/>
              <w:spacing w:line="240" w:lineRule="auto"/>
              <w:textAlignment w:val="auto"/>
              <w:rPr>
                <w:rFonts w:ascii="宋体" w:hAnsi="宋体" w:cs="宋体"/>
                <w:b/>
                <w:bCs/>
                <w:sz w:val="21"/>
                <w:szCs w:val="21"/>
              </w:rPr>
            </w:pPr>
            <w:r>
              <w:rPr>
                <w:rFonts w:hint="eastAsia" w:ascii="宋体" w:hAnsi="宋体" w:cs="宋体"/>
                <w:b/>
                <w:bCs/>
                <w:sz w:val="21"/>
                <w:szCs w:val="21"/>
              </w:rPr>
              <w:t>评审标准：</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根据招标文件的需求和投标文件的响应情况，进行评价及分档评分：</w:t>
            </w:r>
          </w:p>
          <w:p>
            <w:pPr>
              <w:keepNext w:val="0"/>
              <w:keepLines w:val="0"/>
              <w:pageBreakBefore w:val="0"/>
              <w:numPr>
                <w:ilvl w:val="0"/>
                <w:numId w:val="1"/>
              </w:numPr>
              <w:kinsoku/>
              <w:overflowPunct/>
              <w:topLinePunct w:val="0"/>
              <w:autoSpaceDE/>
              <w:autoSpaceDN/>
              <w:bidi w:val="0"/>
              <w:adjustRightInd/>
              <w:snapToGrid/>
              <w:spacing w:line="240" w:lineRule="auto"/>
              <w:jc w:val="left"/>
              <w:textAlignment w:val="auto"/>
              <w:rPr>
                <w:rFonts w:ascii="宋体" w:hAnsi="宋体" w:cs="宋体"/>
                <w:sz w:val="21"/>
                <w:szCs w:val="21"/>
              </w:rPr>
            </w:pPr>
            <w:r>
              <w:rPr>
                <w:rFonts w:hint="eastAsia" w:ascii="宋体" w:hAnsi="宋体" w:cs="宋体"/>
                <w:sz w:val="21"/>
                <w:szCs w:val="21"/>
              </w:rPr>
              <w:t>满足</w:t>
            </w:r>
            <w:r>
              <w:rPr>
                <w:rFonts w:hint="eastAsia" w:ascii="宋体" w:hAnsi="宋体" w:cs="宋体"/>
                <w:sz w:val="21"/>
                <w:szCs w:val="21"/>
                <w:lang w:val="en-US" w:eastAsia="zh-CN"/>
              </w:rPr>
              <w:t>4</w:t>
            </w:r>
            <w:r>
              <w:rPr>
                <w:rFonts w:hint="eastAsia" w:ascii="宋体" w:hAnsi="宋体" w:cs="宋体"/>
                <w:sz w:val="21"/>
                <w:szCs w:val="21"/>
              </w:rPr>
              <w:t>点得</w:t>
            </w:r>
            <w:r>
              <w:rPr>
                <w:rFonts w:hint="eastAsia" w:ascii="宋体" w:hAnsi="宋体" w:cs="宋体"/>
                <w:sz w:val="21"/>
                <w:szCs w:val="21"/>
                <w:lang w:val="en-US" w:eastAsia="zh-CN"/>
              </w:rPr>
              <w:t>6</w:t>
            </w:r>
            <w:r>
              <w:rPr>
                <w:rFonts w:hint="eastAsia" w:ascii="宋体" w:hAnsi="宋体" w:cs="宋体"/>
                <w:sz w:val="21"/>
                <w:szCs w:val="21"/>
              </w:rPr>
              <w:t>0分；</w:t>
            </w:r>
          </w:p>
          <w:p>
            <w:pPr>
              <w:keepNext w:val="0"/>
              <w:keepLines w:val="0"/>
              <w:pageBreakBefore w:val="0"/>
              <w:numPr>
                <w:ilvl w:val="0"/>
                <w:numId w:val="1"/>
              </w:numPr>
              <w:kinsoku/>
              <w:overflowPunct/>
              <w:topLinePunct w:val="0"/>
              <w:autoSpaceDE/>
              <w:autoSpaceDN/>
              <w:bidi w:val="0"/>
              <w:adjustRightInd/>
              <w:snapToGrid/>
              <w:spacing w:line="240" w:lineRule="auto"/>
              <w:jc w:val="left"/>
              <w:textAlignment w:val="auto"/>
              <w:rPr>
                <w:rFonts w:ascii="宋体" w:hAnsi="宋体" w:cs="宋体"/>
                <w:sz w:val="21"/>
                <w:szCs w:val="21"/>
              </w:rPr>
            </w:pPr>
            <w:r>
              <w:rPr>
                <w:rFonts w:hint="eastAsia" w:ascii="宋体" w:hAnsi="宋体" w:cs="宋体"/>
                <w:sz w:val="21"/>
                <w:szCs w:val="21"/>
              </w:rPr>
              <w:t>满足任意</w:t>
            </w:r>
            <w:r>
              <w:rPr>
                <w:rFonts w:hint="eastAsia" w:ascii="宋体" w:hAnsi="宋体" w:cs="宋体"/>
                <w:sz w:val="21"/>
                <w:szCs w:val="21"/>
                <w:lang w:val="en-US" w:eastAsia="zh-CN"/>
              </w:rPr>
              <w:t>3</w:t>
            </w:r>
            <w:r>
              <w:rPr>
                <w:rFonts w:hint="eastAsia" w:ascii="宋体" w:hAnsi="宋体" w:cs="宋体"/>
                <w:sz w:val="21"/>
                <w:szCs w:val="21"/>
              </w:rPr>
              <w:t>点得</w:t>
            </w:r>
            <w:r>
              <w:rPr>
                <w:rFonts w:hint="eastAsia" w:ascii="宋体" w:hAnsi="宋体" w:cs="宋体"/>
                <w:sz w:val="21"/>
                <w:szCs w:val="21"/>
                <w:lang w:val="en-US" w:eastAsia="zh-CN"/>
              </w:rPr>
              <w:t>4</w:t>
            </w:r>
            <w:r>
              <w:rPr>
                <w:rFonts w:hint="eastAsia" w:ascii="宋体" w:hAnsi="宋体" w:cs="宋体"/>
                <w:sz w:val="21"/>
                <w:szCs w:val="21"/>
              </w:rPr>
              <w:t>0分；</w:t>
            </w:r>
          </w:p>
          <w:p>
            <w:pPr>
              <w:keepNext w:val="0"/>
              <w:keepLines w:val="0"/>
              <w:pageBreakBefore w:val="0"/>
              <w:numPr>
                <w:ilvl w:val="0"/>
                <w:numId w:val="1"/>
              </w:numPr>
              <w:kinsoku/>
              <w:overflowPunct/>
              <w:topLinePunct w:val="0"/>
              <w:autoSpaceDE/>
              <w:autoSpaceDN/>
              <w:bidi w:val="0"/>
              <w:adjustRightInd/>
              <w:snapToGrid/>
              <w:spacing w:line="240" w:lineRule="auto"/>
              <w:jc w:val="left"/>
              <w:textAlignment w:val="auto"/>
              <w:rPr>
                <w:rFonts w:ascii="宋体" w:hAnsi="宋体" w:cs="宋体"/>
                <w:sz w:val="21"/>
                <w:szCs w:val="21"/>
              </w:rPr>
            </w:pPr>
            <w:r>
              <w:rPr>
                <w:rFonts w:hint="eastAsia" w:ascii="宋体" w:hAnsi="宋体" w:cs="宋体"/>
                <w:sz w:val="21"/>
                <w:szCs w:val="21"/>
              </w:rPr>
              <w:t>满足任意</w:t>
            </w:r>
            <w:r>
              <w:rPr>
                <w:rFonts w:hint="eastAsia" w:ascii="宋体" w:hAnsi="宋体" w:cs="宋体"/>
                <w:sz w:val="21"/>
                <w:szCs w:val="21"/>
                <w:lang w:val="en-US" w:eastAsia="zh-CN"/>
              </w:rPr>
              <w:t>2</w:t>
            </w:r>
            <w:r>
              <w:rPr>
                <w:rFonts w:hint="eastAsia" w:ascii="宋体" w:hAnsi="宋体" w:cs="宋体"/>
                <w:sz w:val="21"/>
                <w:szCs w:val="21"/>
              </w:rPr>
              <w:t>点得</w:t>
            </w:r>
            <w:r>
              <w:rPr>
                <w:rFonts w:hint="eastAsia" w:ascii="宋体" w:hAnsi="宋体" w:cs="宋体"/>
                <w:sz w:val="21"/>
                <w:szCs w:val="21"/>
                <w:lang w:val="en-US" w:eastAsia="zh-CN"/>
              </w:rPr>
              <w:t>2</w:t>
            </w:r>
            <w:r>
              <w:rPr>
                <w:rFonts w:hint="eastAsia" w:ascii="宋体" w:hAnsi="宋体" w:cs="宋体"/>
                <w:sz w:val="21"/>
                <w:szCs w:val="21"/>
              </w:rPr>
              <w:t>0分；</w:t>
            </w:r>
          </w:p>
          <w:p>
            <w:pPr>
              <w:keepNext w:val="0"/>
              <w:keepLines w:val="0"/>
              <w:pageBreakBefore w:val="0"/>
              <w:numPr>
                <w:ilvl w:val="0"/>
                <w:numId w:val="1"/>
              </w:numPr>
              <w:kinsoku/>
              <w:overflowPunct/>
              <w:topLinePunct w:val="0"/>
              <w:autoSpaceDE/>
              <w:autoSpaceDN/>
              <w:bidi w:val="0"/>
              <w:adjustRightInd/>
              <w:snapToGrid/>
              <w:spacing w:line="240" w:lineRule="auto"/>
              <w:jc w:val="left"/>
              <w:textAlignment w:val="auto"/>
              <w:rPr>
                <w:rFonts w:ascii="宋体" w:hAnsi="宋体" w:cs="宋体"/>
                <w:sz w:val="21"/>
                <w:szCs w:val="21"/>
              </w:rPr>
            </w:pPr>
            <w:r>
              <w:rPr>
                <w:rFonts w:hint="eastAsia" w:ascii="宋体" w:hAnsi="宋体" w:cs="宋体"/>
                <w:sz w:val="21"/>
                <w:szCs w:val="21"/>
              </w:rPr>
              <w:t>满足</w:t>
            </w:r>
            <w:r>
              <w:rPr>
                <w:rFonts w:hint="eastAsia" w:ascii="宋体" w:hAnsi="宋体" w:cs="宋体"/>
                <w:sz w:val="21"/>
                <w:szCs w:val="21"/>
                <w:lang w:val="en-US" w:eastAsia="zh-CN"/>
              </w:rPr>
              <w:t>2</w:t>
            </w:r>
            <w:r>
              <w:rPr>
                <w:rFonts w:hint="eastAsia" w:ascii="宋体" w:hAnsi="宋体" w:cs="宋体"/>
                <w:sz w:val="21"/>
                <w:szCs w:val="21"/>
              </w:rPr>
              <w:t>点</w:t>
            </w:r>
            <w:r>
              <w:rPr>
                <w:rFonts w:hint="eastAsia" w:ascii="宋体" w:hAnsi="宋体" w:cs="宋体"/>
                <w:sz w:val="21"/>
                <w:szCs w:val="21"/>
                <w:lang w:val="en-US" w:eastAsia="zh-CN"/>
              </w:rPr>
              <w:t>以下</w:t>
            </w:r>
            <w:r>
              <w:rPr>
                <w:rFonts w:hint="eastAsia" w:ascii="宋体" w:hAnsi="宋体" w:cs="宋体"/>
                <w:sz w:val="21"/>
                <w:szCs w:val="21"/>
              </w:rPr>
              <w:t>不得分。</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在此基础上，根据各投标人的具体响应内容按照量化的评审因素指标进一步评审：</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1、评审为优（方案完善、合理、可操作性强）的加</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0分；</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2、评审为良（方案基本完善、基本合理、具有可操作性）的加</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0分；</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3、评审为中（方案一般完善、一般合理、可操作性一般）的加</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分；</w:t>
            </w:r>
          </w:p>
          <w:p>
            <w:pPr>
              <w:keepNext w:val="0"/>
              <w:keepLines w:val="0"/>
              <w:pageBreakBefore w:val="0"/>
              <w:widowControl/>
              <w:kinsoku/>
              <w:overflowPunct/>
              <w:topLinePunct w:val="0"/>
              <w:autoSpaceDE/>
              <w:autoSpaceDN/>
              <w:bidi w:val="0"/>
              <w:adjustRightInd/>
              <w:snapToGrid/>
              <w:spacing w:line="240" w:lineRule="auto"/>
              <w:textAlignment w:val="auto"/>
              <w:rPr>
                <w:rFonts w:ascii="宋体" w:hAnsi="宋体" w:cs="宋体"/>
                <w:color w:val="000000"/>
                <w:kern w:val="0"/>
                <w:sz w:val="21"/>
                <w:szCs w:val="21"/>
              </w:rPr>
            </w:pPr>
            <w:r>
              <w:rPr>
                <w:rFonts w:hint="eastAsia" w:ascii="宋体" w:hAnsi="宋体" w:cs="宋体"/>
                <w:color w:val="000000"/>
                <w:kern w:val="0"/>
                <w:sz w:val="21"/>
                <w:szCs w:val="21"/>
              </w:rPr>
              <w:t>4、评审为差（方案不完整、不合理、不具备可操作性）的得0分。</w:t>
            </w:r>
          </w:p>
          <w:p>
            <w:pPr>
              <w:keepNext w:val="0"/>
              <w:keepLines w:val="0"/>
              <w:pageBreakBefore w:val="0"/>
              <w:kinsoku/>
              <w:wordWrap w:val="0"/>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color w:val="000000"/>
                <w:kern w:val="0"/>
                <w:sz w:val="21"/>
                <w:szCs w:val="21"/>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bidi w:val="0"/>
              <w:snapToGrid/>
              <w:spacing w:line="240" w:lineRule="auto"/>
              <w:rPr>
                <w:rFonts w:ascii="宋体" w:hAnsi="宋体" w:cs="宋体"/>
                <w:sz w:val="21"/>
                <w:szCs w:val="21"/>
              </w:rPr>
            </w:pPr>
            <w:r>
              <w:rPr>
                <w:rFonts w:hint="eastAsia" w:ascii="宋体" w:hAnsi="宋体" w:cs="宋体"/>
                <w:color w:val="000000"/>
                <w:kern w:val="0"/>
                <w:sz w:val="21"/>
                <w:szCs w:val="21"/>
              </w:rPr>
              <w:t>项目重难点分析、应对措施及相关的合理化建议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bidi w:val="0"/>
              <w:snapToGrid/>
              <w:spacing w:line="240" w:lineRule="auto"/>
              <w:jc w:val="center"/>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考察内容：</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根据投标人提供的项目重难点分析、应对措施及相关的合理化建议进行评审，方案内容包括以下内容：</w:t>
            </w:r>
          </w:p>
          <w:p>
            <w:pPr>
              <w:keepNext w:val="0"/>
              <w:keepLines w:val="0"/>
              <w:pageBreakBefore w:val="0"/>
              <w:numPr>
                <w:ilvl w:val="0"/>
                <w:numId w:val="2"/>
              </w:numPr>
              <w:kinsoku/>
              <w:overflowPunct/>
              <w:topLinePunct w:val="0"/>
              <w:bidi w:val="0"/>
              <w:snapToGrid/>
              <w:spacing w:line="240" w:lineRule="auto"/>
              <w:jc w:val="left"/>
              <w:rPr>
                <w:rFonts w:hint="eastAsia" w:ascii="宋体" w:hAnsi="宋体" w:cs="宋体"/>
                <w:sz w:val="21"/>
                <w:szCs w:val="21"/>
              </w:rPr>
            </w:pPr>
            <w:r>
              <w:rPr>
                <w:rFonts w:hint="eastAsia" w:ascii="宋体" w:hAnsi="宋体" w:cs="宋体"/>
                <w:sz w:val="21"/>
                <w:szCs w:val="21"/>
              </w:rPr>
              <w:t>重</w:t>
            </w:r>
            <w:r>
              <w:rPr>
                <w:rFonts w:hint="eastAsia" w:ascii="宋体" w:hAnsi="宋体" w:cs="宋体"/>
                <w:sz w:val="21"/>
                <w:szCs w:val="21"/>
                <w:lang w:val="en-US" w:eastAsia="zh-CN"/>
              </w:rPr>
              <w:t>难</w:t>
            </w:r>
            <w:r>
              <w:rPr>
                <w:rFonts w:hint="eastAsia" w:ascii="宋体" w:hAnsi="宋体" w:cs="宋体"/>
                <w:sz w:val="21"/>
                <w:szCs w:val="21"/>
              </w:rPr>
              <w:t>点分析</w:t>
            </w:r>
          </w:p>
          <w:p>
            <w:pPr>
              <w:keepNext w:val="0"/>
              <w:keepLines w:val="0"/>
              <w:pageBreakBefore w:val="0"/>
              <w:numPr>
                <w:ilvl w:val="0"/>
                <w:numId w:val="2"/>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重难点应对措施</w:t>
            </w:r>
          </w:p>
          <w:p>
            <w:pPr>
              <w:keepNext w:val="0"/>
              <w:keepLines w:val="0"/>
              <w:pageBreakBefore w:val="0"/>
              <w:numPr>
                <w:ilvl w:val="0"/>
                <w:numId w:val="2"/>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相关的合理化建议</w:t>
            </w:r>
          </w:p>
          <w:p>
            <w:pPr>
              <w:keepNext w:val="0"/>
              <w:keepLines w:val="0"/>
              <w:pageBreakBefore w:val="0"/>
              <w:kinsoku/>
              <w:wordWrap w:val="0"/>
              <w:overflowPunct/>
              <w:topLinePunct w:val="0"/>
              <w:bidi w:val="0"/>
              <w:snapToGrid/>
              <w:spacing w:line="240" w:lineRule="auto"/>
              <w:rPr>
                <w:rFonts w:ascii="宋体" w:hAnsi="宋体" w:cs="宋体"/>
                <w:b/>
                <w:bCs/>
                <w:sz w:val="21"/>
                <w:szCs w:val="21"/>
              </w:rPr>
            </w:pPr>
            <w:r>
              <w:rPr>
                <w:rFonts w:hint="eastAsia" w:ascii="宋体" w:hAnsi="宋体" w:cs="宋体"/>
                <w:b/>
                <w:bCs/>
                <w:sz w:val="21"/>
                <w:szCs w:val="21"/>
              </w:rPr>
              <w:t>评审标准：</w:t>
            </w:r>
          </w:p>
          <w:p>
            <w:pPr>
              <w:keepNext w:val="0"/>
              <w:keepLines w:val="0"/>
              <w:pageBreakBefore w:val="0"/>
              <w:numPr>
                <w:ilvl w:val="0"/>
                <w:numId w:val="3"/>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满足</w:t>
            </w:r>
            <w:r>
              <w:rPr>
                <w:rFonts w:hint="eastAsia" w:ascii="宋体" w:hAnsi="宋体" w:cs="宋体"/>
                <w:sz w:val="21"/>
                <w:szCs w:val="21"/>
                <w:lang w:val="en-US" w:eastAsia="zh-CN"/>
              </w:rPr>
              <w:t>3</w:t>
            </w:r>
            <w:r>
              <w:rPr>
                <w:rFonts w:hint="eastAsia" w:ascii="宋体" w:hAnsi="宋体" w:cs="宋体"/>
                <w:sz w:val="21"/>
                <w:szCs w:val="21"/>
              </w:rPr>
              <w:t>点得</w:t>
            </w:r>
            <w:r>
              <w:rPr>
                <w:rFonts w:hint="eastAsia" w:ascii="宋体" w:hAnsi="宋体" w:cs="宋体"/>
                <w:sz w:val="21"/>
                <w:szCs w:val="21"/>
                <w:lang w:val="en-US" w:eastAsia="zh-CN"/>
              </w:rPr>
              <w:t>6</w:t>
            </w:r>
            <w:r>
              <w:rPr>
                <w:rFonts w:hint="eastAsia" w:ascii="宋体" w:hAnsi="宋体" w:cs="宋体"/>
                <w:sz w:val="21"/>
                <w:szCs w:val="21"/>
              </w:rPr>
              <w:t>0分；</w:t>
            </w:r>
          </w:p>
          <w:p>
            <w:pPr>
              <w:keepNext w:val="0"/>
              <w:keepLines w:val="0"/>
              <w:pageBreakBefore w:val="0"/>
              <w:numPr>
                <w:ilvl w:val="0"/>
                <w:numId w:val="3"/>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满足任意</w:t>
            </w:r>
            <w:r>
              <w:rPr>
                <w:rFonts w:hint="eastAsia" w:ascii="宋体" w:hAnsi="宋体" w:cs="宋体"/>
                <w:sz w:val="21"/>
                <w:szCs w:val="21"/>
                <w:lang w:val="en-US" w:eastAsia="zh-CN"/>
              </w:rPr>
              <w:t>2</w:t>
            </w:r>
            <w:r>
              <w:rPr>
                <w:rFonts w:hint="eastAsia" w:ascii="宋体" w:hAnsi="宋体" w:cs="宋体"/>
                <w:sz w:val="21"/>
                <w:szCs w:val="21"/>
              </w:rPr>
              <w:t>点得</w:t>
            </w:r>
            <w:r>
              <w:rPr>
                <w:rFonts w:hint="eastAsia" w:ascii="宋体" w:hAnsi="宋体" w:cs="宋体"/>
                <w:sz w:val="21"/>
                <w:szCs w:val="21"/>
                <w:lang w:val="en-US" w:eastAsia="zh-CN"/>
              </w:rPr>
              <w:t>4</w:t>
            </w:r>
            <w:r>
              <w:rPr>
                <w:rFonts w:hint="eastAsia" w:ascii="宋体" w:hAnsi="宋体" w:cs="宋体"/>
                <w:sz w:val="21"/>
                <w:szCs w:val="21"/>
              </w:rPr>
              <w:t>0分；</w:t>
            </w:r>
          </w:p>
          <w:p>
            <w:pPr>
              <w:keepNext w:val="0"/>
              <w:keepLines w:val="0"/>
              <w:pageBreakBefore w:val="0"/>
              <w:numPr>
                <w:ilvl w:val="0"/>
                <w:numId w:val="3"/>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满足任意</w:t>
            </w:r>
            <w:r>
              <w:rPr>
                <w:rFonts w:hint="eastAsia" w:ascii="宋体" w:hAnsi="宋体" w:cs="宋体"/>
                <w:sz w:val="21"/>
                <w:szCs w:val="21"/>
                <w:lang w:val="en-US" w:eastAsia="zh-CN"/>
              </w:rPr>
              <w:t>1</w:t>
            </w:r>
            <w:r>
              <w:rPr>
                <w:rFonts w:hint="eastAsia" w:ascii="宋体" w:hAnsi="宋体" w:cs="宋体"/>
                <w:sz w:val="21"/>
                <w:szCs w:val="21"/>
              </w:rPr>
              <w:t>点得</w:t>
            </w:r>
            <w:r>
              <w:rPr>
                <w:rFonts w:hint="eastAsia" w:ascii="宋体" w:hAnsi="宋体" w:cs="宋体"/>
                <w:sz w:val="21"/>
                <w:szCs w:val="21"/>
                <w:lang w:val="en-US" w:eastAsia="zh-CN"/>
              </w:rPr>
              <w:t>2</w:t>
            </w:r>
            <w:r>
              <w:rPr>
                <w:rFonts w:hint="eastAsia" w:ascii="宋体" w:hAnsi="宋体" w:cs="宋体"/>
                <w:sz w:val="21"/>
                <w:szCs w:val="21"/>
              </w:rPr>
              <w:t>0分；</w:t>
            </w:r>
          </w:p>
          <w:p>
            <w:pPr>
              <w:keepNext w:val="0"/>
              <w:keepLines w:val="0"/>
              <w:pageBreakBefore w:val="0"/>
              <w:numPr>
                <w:ilvl w:val="0"/>
                <w:numId w:val="3"/>
              </w:numPr>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lang w:val="en-US" w:eastAsia="zh-CN"/>
              </w:rPr>
              <w:t>不满足</w:t>
            </w:r>
            <w:r>
              <w:rPr>
                <w:rFonts w:hint="eastAsia" w:ascii="宋体" w:hAnsi="宋体" w:cs="宋体"/>
                <w:sz w:val="21"/>
                <w:szCs w:val="21"/>
              </w:rPr>
              <w:t>不得分。</w:t>
            </w:r>
          </w:p>
          <w:p>
            <w:pPr>
              <w:keepNext w:val="0"/>
              <w:keepLines w:val="0"/>
              <w:pageBreakBefore w:val="0"/>
              <w:widowControl/>
              <w:kinsoku/>
              <w:overflowPunct/>
              <w:topLinePunct w:val="0"/>
              <w:bidi w:val="0"/>
              <w:snapToGrid/>
              <w:spacing w:line="240" w:lineRule="auto"/>
              <w:rPr>
                <w:rFonts w:ascii="宋体" w:hAnsi="宋体" w:cs="宋体"/>
                <w:color w:val="000000"/>
                <w:kern w:val="0"/>
                <w:sz w:val="21"/>
                <w:szCs w:val="21"/>
              </w:rPr>
            </w:pPr>
            <w:r>
              <w:rPr>
                <w:rFonts w:hint="eastAsia" w:ascii="宋体" w:hAnsi="宋体" w:cs="宋体"/>
                <w:color w:val="000000"/>
                <w:kern w:val="0"/>
                <w:sz w:val="21"/>
                <w:szCs w:val="21"/>
              </w:rPr>
              <w:t>在此基础上，根据各投标人的具体响应内容按照量化的评审因素指标进一步评审：</w:t>
            </w:r>
          </w:p>
          <w:p>
            <w:pPr>
              <w:keepNext w:val="0"/>
              <w:keepLines w:val="0"/>
              <w:pageBreakBefore w:val="0"/>
              <w:widowControl/>
              <w:kinsoku/>
              <w:overflowPunct/>
              <w:topLinePunct w:val="0"/>
              <w:bidi w:val="0"/>
              <w:snapToGrid/>
              <w:spacing w:line="240" w:lineRule="auto"/>
              <w:rPr>
                <w:rFonts w:ascii="宋体" w:hAnsi="宋体" w:cs="宋体"/>
                <w:color w:val="000000"/>
                <w:kern w:val="0"/>
                <w:sz w:val="21"/>
                <w:szCs w:val="21"/>
              </w:rPr>
            </w:pPr>
            <w:r>
              <w:rPr>
                <w:rFonts w:hint="eastAsia" w:ascii="宋体" w:hAnsi="宋体" w:cs="宋体"/>
                <w:color w:val="000000"/>
                <w:kern w:val="0"/>
                <w:sz w:val="21"/>
                <w:szCs w:val="21"/>
              </w:rPr>
              <w:t>1、评审为优（方案完善、合理、可操作性强）的加</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0分；</w:t>
            </w:r>
          </w:p>
          <w:p>
            <w:pPr>
              <w:keepNext w:val="0"/>
              <w:keepLines w:val="0"/>
              <w:pageBreakBefore w:val="0"/>
              <w:widowControl/>
              <w:kinsoku/>
              <w:overflowPunct/>
              <w:topLinePunct w:val="0"/>
              <w:bidi w:val="0"/>
              <w:snapToGrid/>
              <w:spacing w:line="240" w:lineRule="auto"/>
              <w:rPr>
                <w:rFonts w:ascii="宋体" w:hAnsi="宋体" w:cs="宋体"/>
                <w:color w:val="000000"/>
                <w:kern w:val="0"/>
                <w:sz w:val="21"/>
                <w:szCs w:val="21"/>
              </w:rPr>
            </w:pPr>
            <w:r>
              <w:rPr>
                <w:rFonts w:hint="eastAsia" w:ascii="宋体" w:hAnsi="宋体" w:cs="宋体"/>
                <w:color w:val="000000"/>
                <w:kern w:val="0"/>
                <w:sz w:val="21"/>
                <w:szCs w:val="21"/>
              </w:rPr>
              <w:t>2、评审为良（方案基本完善、基本合理、具有可操作性）的加</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0分；</w:t>
            </w:r>
          </w:p>
          <w:p>
            <w:pPr>
              <w:keepNext w:val="0"/>
              <w:keepLines w:val="0"/>
              <w:pageBreakBefore w:val="0"/>
              <w:widowControl/>
              <w:kinsoku/>
              <w:overflowPunct/>
              <w:topLinePunct w:val="0"/>
              <w:bidi w:val="0"/>
              <w:snapToGrid/>
              <w:spacing w:line="240" w:lineRule="auto"/>
              <w:rPr>
                <w:rFonts w:ascii="宋体" w:hAnsi="宋体" w:cs="宋体"/>
                <w:color w:val="000000"/>
                <w:kern w:val="0"/>
                <w:sz w:val="21"/>
                <w:szCs w:val="21"/>
              </w:rPr>
            </w:pPr>
            <w:r>
              <w:rPr>
                <w:rFonts w:hint="eastAsia" w:ascii="宋体" w:hAnsi="宋体" w:cs="宋体"/>
                <w:color w:val="000000"/>
                <w:kern w:val="0"/>
                <w:sz w:val="21"/>
                <w:szCs w:val="21"/>
              </w:rPr>
              <w:t>3、评审为中（方案一般完善、一般合理、可操作性一般）的加</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分；</w:t>
            </w:r>
          </w:p>
          <w:p>
            <w:pPr>
              <w:keepNext w:val="0"/>
              <w:keepLines w:val="0"/>
              <w:pageBreakBefore w:val="0"/>
              <w:widowControl/>
              <w:kinsoku/>
              <w:overflowPunct/>
              <w:topLinePunct w:val="0"/>
              <w:bidi w:val="0"/>
              <w:snapToGrid/>
              <w:spacing w:line="240" w:lineRule="auto"/>
              <w:rPr>
                <w:rFonts w:ascii="宋体" w:hAnsi="宋体" w:cs="宋体"/>
                <w:color w:val="000000"/>
                <w:kern w:val="0"/>
                <w:sz w:val="21"/>
                <w:szCs w:val="21"/>
              </w:rPr>
            </w:pPr>
            <w:r>
              <w:rPr>
                <w:rFonts w:hint="eastAsia" w:ascii="宋体" w:hAnsi="宋体" w:cs="宋体"/>
                <w:color w:val="000000"/>
                <w:kern w:val="0"/>
                <w:sz w:val="21"/>
                <w:szCs w:val="21"/>
              </w:rPr>
              <w:t>4、评审为差（方案不完整、不合理、不具备可操作性）的得0分。</w:t>
            </w:r>
          </w:p>
          <w:p>
            <w:pPr>
              <w:keepNext w:val="0"/>
              <w:keepLines w:val="0"/>
              <w:pageBreakBefore w:val="0"/>
              <w:kinsoku/>
              <w:wordWrap w:val="0"/>
              <w:overflowPunct/>
              <w:topLinePunct w:val="0"/>
              <w:bidi w:val="0"/>
              <w:snapToGrid/>
              <w:spacing w:line="240" w:lineRule="auto"/>
              <w:jc w:val="left"/>
              <w:rPr>
                <w:rFonts w:ascii="宋体" w:hAnsi="宋体" w:cs="宋体"/>
                <w:sz w:val="21"/>
                <w:szCs w:val="21"/>
              </w:rPr>
            </w:pPr>
            <w:r>
              <w:rPr>
                <w:rFonts w:hint="eastAsia" w:ascii="宋体" w:hAnsi="宋体" w:cs="宋体"/>
                <w:color w:val="000000"/>
                <w:kern w:val="0"/>
                <w:sz w:val="21"/>
                <w:szCs w:val="21"/>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color w:val="000000"/>
                <w:kern w:val="0"/>
                <w:sz w:val="21"/>
                <w:szCs w:val="21"/>
              </w:rPr>
              <w:t>质量保障措施及方案</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hint="eastAsia" w:ascii="宋体" w:hAnsi="宋体" w:eastAsia="宋体" w:cs="宋体"/>
                <w:sz w:val="21"/>
                <w:szCs w:val="21"/>
              </w:rPr>
            </w:pPr>
            <w:r>
              <w:rPr>
                <w:rFonts w:hint="eastAsia" w:ascii="宋体" w:hAnsi="宋体" w:eastAsia="宋体" w:cs="宋体"/>
                <w:b/>
                <w:bCs/>
                <w:sz w:val="21"/>
                <w:szCs w:val="21"/>
              </w:rPr>
              <w:t>考察内容：</w:t>
            </w:r>
          </w:p>
          <w:p>
            <w:pPr>
              <w:keepNext w:val="0"/>
              <w:keepLines w:val="0"/>
              <w:pageBreakBefore w:val="0"/>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根据投标人提供针对本项目提出的质量保障措施及方案进行评审，包括以下内容：</w:t>
            </w:r>
          </w:p>
          <w:p>
            <w:pPr>
              <w:pStyle w:val="60"/>
              <w:numPr>
                <w:ilvl w:val="0"/>
                <w:numId w:val="0"/>
              </w:numPr>
              <w:rPr>
                <w:rFonts w:hint="eastAsia" w:ascii="宋体" w:hAnsi="宋体" w:eastAsia="宋体" w:cs="宋体"/>
                <w:sz w:val="21"/>
                <w:szCs w:val="21"/>
                <w:lang w:eastAsia="zh-CN"/>
              </w:rPr>
            </w:pPr>
            <w:r>
              <w:rPr>
                <w:rFonts w:hint="eastAsia" w:ascii="宋体" w:hAnsi="宋体" w:eastAsia="宋体" w:cs="宋体"/>
                <w:bCs/>
                <w:spacing w:val="10"/>
                <w:kern w:val="0"/>
                <w:sz w:val="21"/>
                <w:szCs w:val="21"/>
                <w:lang w:val="en-US" w:eastAsia="zh-CN" w:bidi="ar-SA"/>
              </w:rPr>
              <w:t>1、</w:t>
            </w:r>
            <w:r>
              <w:rPr>
                <w:rFonts w:hint="eastAsia" w:ascii="宋体" w:hAnsi="宋体" w:eastAsia="宋体" w:cs="宋体"/>
                <w:sz w:val="21"/>
                <w:szCs w:val="21"/>
              </w:rPr>
              <w:t>对本项目质量控制措施手段</w:t>
            </w:r>
            <w:r>
              <w:rPr>
                <w:rFonts w:hint="eastAsia" w:ascii="宋体" w:hAnsi="宋体" w:eastAsia="宋体" w:cs="宋体"/>
                <w:sz w:val="21"/>
                <w:szCs w:val="21"/>
                <w:lang w:eastAsia="zh-CN"/>
              </w:rPr>
              <w:t>；</w:t>
            </w:r>
          </w:p>
          <w:p>
            <w:pPr>
              <w:keepNext w:val="0"/>
              <w:keepLines w:val="0"/>
              <w:pageBreakBefore w:val="0"/>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、对本项目</w:t>
            </w:r>
            <w:r>
              <w:rPr>
                <w:rFonts w:hint="eastAsia" w:ascii="宋体" w:hAnsi="宋体" w:eastAsia="宋体" w:cs="宋体"/>
                <w:kern w:val="0"/>
                <w:sz w:val="21"/>
                <w:szCs w:val="21"/>
              </w:rPr>
              <w:t>进度控制措施手段</w:t>
            </w:r>
            <w:r>
              <w:rPr>
                <w:rFonts w:hint="eastAsia" w:ascii="宋体" w:hAnsi="宋体" w:eastAsia="宋体" w:cs="宋体"/>
                <w:sz w:val="21"/>
                <w:szCs w:val="21"/>
              </w:rPr>
              <w:t>；</w:t>
            </w:r>
          </w:p>
          <w:p>
            <w:pPr>
              <w:keepNext w:val="0"/>
              <w:keepLines w:val="0"/>
              <w:pageBreakBefore w:val="0"/>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、对本项目的人员</w:t>
            </w:r>
            <w:r>
              <w:rPr>
                <w:rFonts w:hint="eastAsia" w:ascii="宋体" w:hAnsi="宋体" w:eastAsia="宋体" w:cs="宋体"/>
                <w:sz w:val="21"/>
                <w:szCs w:val="21"/>
                <w:lang w:val="en-US" w:eastAsia="zh-CN"/>
              </w:rPr>
              <w:t>管理</w:t>
            </w:r>
            <w:r>
              <w:rPr>
                <w:rFonts w:hint="eastAsia" w:ascii="宋体" w:hAnsi="宋体" w:eastAsia="宋体" w:cs="宋体"/>
                <w:sz w:val="21"/>
                <w:szCs w:val="21"/>
              </w:rPr>
              <w:t>方案；</w:t>
            </w:r>
          </w:p>
          <w:p>
            <w:pPr>
              <w:keepNext w:val="0"/>
              <w:keepLines w:val="0"/>
              <w:pageBreakBefore w:val="0"/>
              <w:kinsoku/>
              <w:wordWrap w:val="0"/>
              <w:overflowPunct/>
              <w:topLinePunct w:val="0"/>
              <w:bidi w:val="0"/>
              <w:snapToGrid/>
              <w:spacing w:line="240" w:lineRule="auto"/>
              <w:rPr>
                <w:rFonts w:hint="eastAsia" w:ascii="宋体" w:hAnsi="宋体" w:eastAsia="宋体" w:cs="宋体"/>
                <w:b/>
                <w:bCs/>
                <w:sz w:val="21"/>
                <w:szCs w:val="21"/>
              </w:rPr>
            </w:pPr>
            <w:r>
              <w:rPr>
                <w:rFonts w:hint="eastAsia" w:ascii="宋体" w:hAnsi="宋体" w:eastAsia="宋体" w:cs="宋体"/>
                <w:b/>
                <w:bCs/>
                <w:sz w:val="21"/>
                <w:szCs w:val="21"/>
              </w:rPr>
              <w:t>评审标准：</w:t>
            </w:r>
          </w:p>
          <w:p>
            <w:pPr>
              <w:keepNext w:val="0"/>
              <w:keepLines w:val="0"/>
              <w:pageBreakBefore w:val="0"/>
              <w:numPr>
                <w:ilvl w:val="0"/>
                <w:numId w:val="4"/>
              </w:numPr>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满足</w:t>
            </w:r>
            <w:r>
              <w:rPr>
                <w:rFonts w:hint="eastAsia" w:ascii="宋体" w:hAnsi="宋体" w:eastAsia="宋体" w:cs="宋体"/>
                <w:sz w:val="21"/>
                <w:szCs w:val="21"/>
                <w:lang w:val="en-US" w:eastAsia="zh-CN"/>
              </w:rPr>
              <w:t>3</w:t>
            </w:r>
            <w:r>
              <w:rPr>
                <w:rFonts w:hint="eastAsia" w:ascii="宋体" w:hAnsi="宋体" w:eastAsia="宋体" w:cs="宋体"/>
                <w:sz w:val="21"/>
                <w:szCs w:val="21"/>
              </w:rPr>
              <w:t>点得</w:t>
            </w:r>
            <w:r>
              <w:rPr>
                <w:rFonts w:hint="eastAsia" w:ascii="宋体" w:hAnsi="宋体" w:eastAsia="宋体" w:cs="宋体"/>
                <w:sz w:val="21"/>
                <w:szCs w:val="21"/>
                <w:lang w:val="en-US" w:eastAsia="zh-CN"/>
              </w:rPr>
              <w:t>6</w:t>
            </w:r>
            <w:r>
              <w:rPr>
                <w:rFonts w:hint="eastAsia" w:ascii="宋体" w:hAnsi="宋体" w:eastAsia="宋体" w:cs="宋体"/>
                <w:sz w:val="21"/>
                <w:szCs w:val="21"/>
              </w:rPr>
              <w:t>0分；</w:t>
            </w:r>
          </w:p>
          <w:p>
            <w:pPr>
              <w:keepNext w:val="0"/>
              <w:keepLines w:val="0"/>
              <w:pageBreakBefore w:val="0"/>
              <w:numPr>
                <w:ilvl w:val="0"/>
                <w:numId w:val="4"/>
              </w:numPr>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满足任意</w:t>
            </w:r>
            <w:r>
              <w:rPr>
                <w:rFonts w:hint="eastAsia" w:ascii="宋体" w:hAnsi="宋体" w:eastAsia="宋体" w:cs="宋体"/>
                <w:sz w:val="21"/>
                <w:szCs w:val="21"/>
                <w:lang w:val="en-US" w:eastAsia="zh-CN"/>
              </w:rPr>
              <w:t>2</w:t>
            </w:r>
            <w:r>
              <w:rPr>
                <w:rFonts w:hint="eastAsia" w:ascii="宋体" w:hAnsi="宋体" w:eastAsia="宋体" w:cs="宋体"/>
                <w:sz w:val="21"/>
                <w:szCs w:val="21"/>
              </w:rPr>
              <w:t>点得</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p>
            <w:pPr>
              <w:keepNext w:val="0"/>
              <w:keepLines w:val="0"/>
              <w:pageBreakBefore w:val="0"/>
              <w:numPr>
                <w:ilvl w:val="0"/>
                <w:numId w:val="4"/>
              </w:numPr>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满足任意</w:t>
            </w:r>
            <w:r>
              <w:rPr>
                <w:rFonts w:hint="eastAsia" w:ascii="宋体" w:hAnsi="宋体" w:eastAsia="宋体" w:cs="宋体"/>
                <w:sz w:val="21"/>
                <w:szCs w:val="21"/>
                <w:lang w:val="en-US" w:eastAsia="zh-CN"/>
              </w:rPr>
              <w:t>1</w:t>
            </w:r>
            <w:r>
              <w:rPr>
                <w:rFonts w:hint="eastAsia" w:ascii="宋体" w:hAnsi="宋体" w:eastAsia="宋体" w:cs="宋体"/>
                <w:sz w:val="21"/>
                <w:szCs w:val="21"/>
              </w:rPr>
              <w:t>点得</w:t>
            </w:r>
            <w:r>
              <w:rPr>
                <w:rFonts w:hint="eastAsia" w:ascii="宋体" w:hAnsi="宋体" w:eastAsia="宋体" w:cs="宋体"/>
                <w:sz w:val="21"/>
                <w:szCs w:val="21"/>
                <w:lang w:val="en-US" w:eastAsia="zh-CN"/>
              </w:rPr>
              <w:t>2</w:t>
            </w:r>
            <w:r>
              <w:rPr>
                <w:rFonts w:hint="eastAsia" w:ascii="宋体" w:hAnsi="宋体" w:eastAsia="宋体" w:cs="宋体"/>
                <w:sz w:val="21"/>
                <w:szCs w:val="21"/>
              </w:rPr>
              <w:t>0分；</w:t>
            </w:r>
          </w:p>
          <w:p>
            <w:pPr>
              <w:keepNext w:val="0"/>
              <w:keepLines w:val="0"/>
              <w:pageBreakBefore w:val="0"/>
              <w:numPr>
                <w:ilvl w:val="0"/>
                <w:numId w:val="4"/>
              </w:numPr>
              <w:kinsoku/>
              <w:overflowPunct/>
              <w:topLinePunct w:val="0"/>
              <w:bidi w:val="0"/>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不满足</w:t>
            </w:r>
            <w:r>
              <w:rPr>
                <w:rFonts w:hint="eastAsia" w:ascii="宋体" w:hAnsi="宋体" w:eastAsia="宋体" w:cs="宋体"/>
                <w:sz w:val="21"/>
                <w:szCs w:val="21"/>
              </w:rPr>
              <w:t>不得分。</w:t>
            </w:r>
          </w:p>
          <w:p>
            <w:pPr>
              <w:keepNext w:val="0"/>
              <w:keepLines w:val="0"/>
              <w:pageBreakBefore w:val="0"/>
              <w:widowControl/>
              <w:kinsoku/>
              <w:overflowPunct/>
              <w:topLinePunct w:val="0"/>
              <w:bidi w:val="0"/>
              <w:snapToGrid/>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在此基础上，根据各投标人的具体响应内容按照量化的评审因素指标进一步评审：</w:t>
            </w:r>
          </w:p>
          <w:p>
            <w:pPr>
              <w:keepNext w:val="0"/>
              <w:keepLines w:val="0"/>
              <w:pageBreakBefore w:val="0"/>
              <w:widowControl/>
              <w:kinsoku/>
              <w:overflowPunct/>
              <w:topLinePunct w:val="0"/>
              <w:bidi w:val="0"/>
              <w:snapToGrid/>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1、评审为优（方案完善、合理、可操作性强）的加</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0分；</w:t>
            </w:r>
          </w:p>
          <w:p>
            <w:pPr>
              <w:keepNext w:val="0"/>
              <w:keepLines w:val="0"/>
              <w:pageBreakBefore w:val="0"/>
              <w:widowControl/>
              <w:kinsoku/>
              <w:overflowPunct/>
              <w:topLinePunct w:val="0"/>
              <w:bidi w:val="0"/>
              <w:snapToGrid/>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2、评审为良（方案基本完善、基本合理、具有可操作性）的加</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0分；</w:t>
            </w:r>
          </w:p>
          <w:p>
            <w:pPr>
              <w:keepNext w:val="0"/>
              <w:keepLines w:val="0"/>
              <w:pageBreakBefore w:val="0"/>
              <w:widowControl/>
              <w:kinsoku/>
              <w:overflowPunct/>
              <w:topLinePunct w:val="0"/>
              <w:bidi w:val="0"/>
              <w:snapToGrid/>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3、评审为中（方案一般完善、一般合理、可操作性一般）的加</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分；</w:t>
            </w:r>
          </w:p>
          <w:p>
            <w:pPr>
              <w:keepNext w:val="0"/>
              <w:keepLines w:val="0"/>
              <w:pageBreakBefore w:val="0"/>
              <w:widowControl/>
              <w:kinsoku/>
              <w:overflowPunct/>
              <w:topLinePunct w:val="0"/>
              <w:bidi w:val="0"/>
              <w:snapToGrid/>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4、评审为差（方案不完整、不合理、不具备可操作性）的得0分。</w:t>
            </w:r>
          </w:p>
          <w:p>
            <w:pPr>
              <w:keepNext w:val="0"/>
              <w:keepLines w:val="0"/>
              <w:pageBreakBefore w:val="0"/>
              <w:kinsoku/>
              <w:wordWrap w:val="0"/>
              <w:overflowPunct/>
              <w:topLinePunct w:val="0"/>
              <w:bidi w:val="0"/>
              <w:snapToGrid/>
              <w:spacing w:line="240" w:lineRule="auto"/>
              <w:jc w:val="left"/>
              <w:rPr>
                <w:rFonts w:ascii="宋体" w:hAnsi="宋体" w:cs="宋体"/>
                <w:sz w:val="21"/>
                <w:szCs w:val="21"/>
              </w:rPr>
            </w:pPr>
            <w:r>
              <w:rPr>
                <w:rFonts w:hint="eastAsia" w:ascii="宋体" w:hAnsi="宋体" w:eastAsia="宋体" w:cs="宋体"/>
                <w:color w:val="000000"/>
                <w:kern w:val="0"/>
                <w:sz w:val="21"/>
                <w:szCs w:val="21"/>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项目完成（服务期满）后的服务承诺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rPr>
                <w:rFonts w:ascii="宋体" w:hAnsi="宋体" w:cs="宋体"/>
                <w:b/>
                <w:bCs/>
                <w:color w:val="000000"/>
                <w:kern w:val="0"/>
                <w:sz w:val="21"/>
                <w:szCs w:val="21"/>
              </w:rPr>
            </w:pPr>
            <w:r>
              <w:rPr>
                <w:rFonts w:hint="eastAsia" w:ascii="宋体" w:hAnsi="宋体" w:cs="宋体"/>
                <w:b/>
                <w:bCs/>
                <w:color w:val="000000"/>
                <w:kern w:val="0"/>
                <w:sz w:val="21"/>
                <w:szCs w:val="21"/>
              </w:rPr>
              <w:t>考察内容：</w:t>
            </w:r>
          </w:p>
          <w:p>
            <w:pPr>
              <w:keepNext w:val="0"/>
              <w:keepLines w:val="0"/>
              <w:pageBreakBefore w:val="0"/>
              <w:kinsoku/>
              <w:wordWrap w:val="0"/>
              <w:overflowPunct/>
              <w:topLinePunct w:val="0"/>
              <w:bidi w:val="0"/>
              <w:snapToGrid/>
              <w:spacing w:line="240" w:lineRule="auto"/>
              <w:rPr>
                <w:rFonts w:hint="eastAsia" w:ascii="宋体" w:hAnsi="宋体" w:cs="宋体"/>
                <w:b w:val="0"/>
                <w:bCs w:val="0"/>
                <w:sz w:val="21"/>
                <w:szCs w:val="21"/>
              </w:rPr>
            </w:pPr>
            <w:r>
              <w:rPr>
                <w:rFonts w:hint="eastAsia" w:ascii="宋体" w:hAnsi="宋体" w:cs="宋体"/>
                <w:b w:val="0"/>
                <w:bCs w:val="0"/>
                <w:sz w:val="21"/>
                <w:szCs w:val="21"/>
              </w:rPr>
              <w:t>投标人承诺以下全部内容得100分，未全部满足或未提供承诺函不得分。</w:t>
            </w:r>
          </w:p>
          <w:p>
            <w:pPr>
              <w:keepNext w:val="0"/>
              <w:keepLines w:val="0"/>
              <w:pageBreakBefore w:val="0"/>
              <w:kinsoku/>
              <w:wordWrap w:val="0"/>
              <w:overflowPunct/>
              <w:topLinePunct w:val="0"/>
              <w:bidi w:val="0"/>
              <w:snapToGrid/>
              <w:spacing w:line="240" w:lineRule="auto"/>
              <w:rPr>
                <w:rFonts w:hint="eastAsia" w:ascii="宋体" w:hAnsi="宋体" w:cs="宋体"/>
                <w:b w:val="0"/>
                <w:bCs w:val="0"/>
                <w:sz w:val="21"/>
                <w:szCs w:val="21"/>
              </w:rPr>
            </w:pPr>
            <w:r>
              <w:rPr>
                <w:rFonts w:hint="eastAsia" w:ascii="宋体" w:hAnsi="宋体" w:cs="宋体"/>
                <w:b w:val="0"/>
                <w:bCs w:val="0"/>
                <w:sz w:val="21"/>
                <w:szCs w:val="21"/>
              </w:rPr>
              <w:t>承诺内容：服务期满后，投标人继续为采购人提供本次项目相关的咨询服务。</w:t>
            </w:r>
          </w:p>
          <w:p>
            <w:pPr>
              <w:keepNext w:val="0"/>
              <w:keepLines w:val="0"/>
              <w:pageBreakBefore w:val="0"/>
              <w:kinsoku/>
              <w:wordWrap w:val="0"/>
              <w:overflowPunct/>
              <w:topLinePunct w:val="0"/>
              <w:bidi w:val="0"/>
              <w:snapToGrid/>
              <w:spacing w:line="240" w:lineRule="auto"/>
              <w:rPr>
                <w:rFonts w:ascii="宋体" w:hAnsi="宋体" w:cs="宋体"/>
                <w:b/>
                <w:bCs/>
                <w:sz w:val="21"/>
                <w:szCs w:val="21"/>
              </w:rPr>
            </w:pPr>
            <w:r>
              <w:rPr>
                <w:rFonts w:hint="eastAsia" w:ascii="宋体" w:hAnsi="宋体" w:cs="宋体"/>
                <w:b/>
                <w:bCs/>
                <w:sz w:val="21"/>
                <w:szCs w:val="21"/>
              </w:rPr>
              <w:t>评审标准：</w:t>
            </w:r>
          </w:p>
          <w:p>
            <w:pPr>
              <w:keepNext w:val="0"/>
              <w:keepLines w:val="0"/>
              <w:pageBreakBefore w:val="0"/>
              <w:widowControl/>
              <w:kinsoku/>
              <w:overflowPunct/>
              <w:topLinePunct w:val="0"/>
              <w:bidi w:val="0"/>
              <w:snapToGrid/>
              <w:spacing w:line="240" w:lineRule="auto"/>
              <w:jc w:val="left"/>
              <w:rPr>
                <w:rFonts w:ascii="宋体" w:hAnsi="宋体" w:cs="宋体"/>
                <w:color w:val="000000"/>
                <w:kern w:val="0"/>
                <w:sz w:val="21"/>
                <w:szCs w:val="21"/>
              </w:rPr>
            </w:pPr>
            <w:r>
              <w:rPr>
                <w:rFonts w:hint="eastAsia" w:ascii="宋体" w:hAnsi="宋体" w:cs="宋体"/>
                <w:sz w:val="21"/>
                <w:szCs w:val="21"/>
              </w:rPr>
              <w:t>提供承诺函（格式自拟）</w:t>
            </w:r>
            <w:r>
              <w:rPr>
                <w:rFonts w:hint="eastAsia" w:ascii="宋体" w:hAnsi="宋体" w:cs="宋体"/>
                <w:sz w:val="21"/>
                <w:szCs w:val="21"/>
                <w:lang w:eastAsia="zh-CN"/>
              </w:rPr>
              <w:t>，</w:t>
            </w:r>
            <w:r>
              <w:rPr>
                <w:rFonts w:hint="eastAsia" w:ascii="宋体" w:hAnsi="宋体" w:cs="宋体"/>
                <w:color w:val="000000"/>
                <w:kern w:val="0"/>
                <w:sz w:val="21"/>
                <w:szCs w:val="21"/>
              </w:rPr>
              <w:t>按要求提供得100分。</w:t>
            </w:r>
          </w:p>
          <w:p>
            <w:pPr>
              <w:keepNext w:val="0"/>
              <w:keepLines w:val="0"/>
              <w:pageBreakBefore w:val="0"/>
              <w:kinsoku/>
              <w:wordWrap w:val="0"/>
              <w:overflowPunct/>
              <w:topLinePunct w:val="0"/>
              <w:bidi w:val="0"/>
              <w:snapToGrid/>
              <w:spacing w:line="240" w:lineRule="auto"/>
              <w:jc w:val="left"/>
              <w:rPr>
                <w:rFonts w:hint="eastAsia" w:ascii="宋体" w:hAnsi="宋体" w:eastAsia="宋体" w:cs="宋体"/>
                <w:sz w:val="21"/>
                <w:szCs w:val="21"/>
                <w:lang w:eastAsia="zh-CN"/>
              </w:rPr>
            </w:pPr>
            <w:r>
              <w:rPr>
                <w:rFonts w:hint="eastAsia" w:hAnsi="宋体" w:cs="宋体"/>
                <w:color w:val="000000"/>
                <w:sz w:val="21"/>
                <w:szCs w:val="21"/>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sz w:val="21"/>
                <w:szCs w:val="21"/>
              </w:rPr>
            </w:pPr>
            <w:r>
              <w:rPr>
                <w:rFonts w:hint="eastAsia" w:ascii="宋体" w:hAnsi="宋体" w:cs="宋体"/>
                <w:color w:val="000000"/>
                <w:kern w:val="0"/>
                <w:sz w:val="21"/>
                <w:szCs w:val="21"/>
              </w:rPr>
              <w:t>违约承诺</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jc w:val="center"/>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2</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考察内容：</w:t>
            </w:r>
          </w:p>
          <w:p>
            <w:pPr>
              <w:keepNext w:val="0"/>
              <w:keepLines w:val="0"/>
              <w:pageBreakBefore w:val="0"/>
              <w:widowControl/>
              <w:kinsoku/>
              <w:overflowPunct/>
              <w:topLinePunct w:val="0"/>
              <w:bidi w:val="0"/>
              <w:snapToGrid/>
              <w:spacing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投标人书面承诺：</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、服务质量达到招标文件要求；</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、对未能达到的管理要求承担管理责任。</w:t>
            </w:r>
          </w:p>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评审标准</w:t>
            </w:r>
            <w:r>
              <w:rPr>
                <w:rFonts w:hint="eastAsia" w:ascii="宋体" w:hAnsi="宋体" w:cs="宋体"/>
                <w:sz w:val="21"/>
                <w:szCs w:val="21"/>
              </w:rPr>
              <w:t>：</w:t>
            </w:r>
          </w:p>
          <w:p>
            <w:pPr>
              <w:keepNext w:val="0"/>
              <w:keepLines w:val="0"/>
              <w:pageBreakBefore w:val="0"/>
              <w:widowControl/>
              <w:kinsoku/>
              <w:overflowPunct/>
              <w:topLinePunct w:val="0"/>
              <w:bidi w:val="0"/>
              <w:snapToGrid/>
              <w:spacing w:line="240" w:lineRule="auto"/>
              <w:jc w:val="left"/>
              <w:rPr>
                <w:rFonts w:ascii="宋体" w:hAnsi="宋体" w:cs="宋体"/>
                <w:color w:val="000000"/>
                <w:kern w:val="0"/>
                <w:sz w:val="21"/>
                <w:szCs w:val="21"/>
              </w:rPr>
            </w:pPr>
            <w:r>
              <w:rPr>
                <w:rFonts w:hint="eastAsia" w:ascii="宋体" w:hAnsi="宋体" w:cs="宋体"/>
                <w:color w:val="000000"/>
                <w:kern w:val="0"/>
                <w:sz w:val="21"/>
                <w:szCs w:val="21"/>
              </w:rPr>
              <w:t>提供违约承诺函（格式自拟），按要求提供得100分。</w:t>
            </w:r>
          </w:p>
          <w:p>
            <w:pPr>
              <w:pStyle w:val="10"/>
              <w:keepNext w:val="0"/>
              <w:keepLines w:val="0"/>
              <w:pageBreakBefore w:val="0"/>
              <w:kinsoku/>
              <w:overflowPunct/>
              <w:topLinePunct w:val="0"/>
              <w:bidi w:val="0"/>
              <w:snapToGrid/>
              <w:spacing w:line="240" w:lineRule="auto"/>
              <w:rPr>
                <w:rFonts w:hAnsi="宋体" w:cs="宋体"/>
                <w:color w:val="000000"/>
                <w:sz w:val="21"/>
                <w:szCs w:val="21"/>
              </w:rPr>
            </w:pPr>
            <w:r>
              <w:rPr>
                <w:rFonts w:hint="eastAsia" w:hAnsi="宋体" w:cs="宋体"/>
                <w:color w:val="000000"/>
                <w:sz w:val="21"/>
                <w:szCs w:val="21"/>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6</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sz w:val="21"/>
                <w:szCs w:val="21"/>
              </w:rPr>
            </w:pPr>
            <w:r>
              <w:rPr>
                <w:rFonts w:hint="eastAsia" w:ascii="宋体" w:hAnsi="宋体" w:cs="宋体"/>
                <w:sz w:val="21"/>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hint="default" w:ascii="宋体" w:hAnsi="宋体" w:eastAsia="宋体" w:cs="宋体"/>
                <w:sz w:val="21"/>
                <w:szCs w:val="21"/>
                <w:lang w:val="en-US" w:eastAsia="zh-CN"/>
              </w:rPr>
            </w:pPr>
            <w:r>
              <w:rPr>
                <w:rFonts w:hint="eastAsia" w:ascii="宋体" w:hAnsi="宋体" w:cs="宋体"/>
                <w:color w:val="000000"/>
                <w:kern w:val="0"/>
                <w:sz w:val="21"/>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b/>
                <w:bCs/>
                <w:sz w:val="21"/>
                <w:szCs w:val="21"/>
              </w:rPr>
              <w:t>考察内容：</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宋体" w:hAnsi="宋体" w:cs="宋体"/>
                <w:sz w:val="21"/>
                <w:szCs w:val="21"/>
              </w:rPr>
            </w:pPr>
            <w:r>
              <w:rPr>
                <w:rFonts w:hint="eastAsia" w:ascii="宋体" w:hAnsi="宋体" w:cs="宋体"/>
                <w:sz w:val="21"/>
                <w:szCs w:val="21"/>
              </w:rPr>
              <w:t>拟安排项目负责人为投标单位员工，在此基础上进行打分：</w:t>
            </w:r>
          </w:p>
          <w:p>
            <w:pPr>
              <w:keepNext w:val="0"/>
              <w:keepLines w:val="0"/>
              <w:pageBreakBefore w:val="0"/>
              <w:widowControl w:val="0"/>
              <w:numPr>
                <w:ilvl w:val="0"/>
                <w:numId w:val="0"/>
              </w:numPr>
              <w:kinsoku/>
              <w:overflowPunct/>
              <w:topLinePunct w:val="0"/>
              <w:autoSpaceDE/>
              <w:autoSpaceDN/>
              <w:bidi w:val="0"/>
              <w:adjustRightInd/>
              <w:snapToGrid/>
              <w:spacing w:line="240" w:lineRule="auto"/>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w:t>
            </w:r>
            <w:r>
              <w:rPr>
                <w:rFonts w:hint="eastAsia" w:ascii="宋体" w:hAnsi="宋体" w:cs="宋体"/>
                <w:sz w:val="21"/>
                <w:szCs w:val="21"/>
                <w:lang w:val="en-US" w:eastAsia="zh-CN"/>
              </w:rPr>
              <w:t>国家商用密码应用安全性评估人员测评能力考核小组颁发的商用密码应用安全性评估人员测评能力考核证书或国家密码管理局商用密码管理办公室颁发的商用密码应用安全性评估从业人员考核证书或中关村信息安全测评联盟或公安部关键信息基础设施保护中心颁发的网络安全等级测评师证书的，得60分；</w:t>
            </w:r>
          </w:p>
          <w:p>
            <w:pPr>
              <w:keepNext w:val="0"/>
              <w:keepLines w:val="0"/>
              <w:pageBreakBefore w:val="0"/>
              <w:widowControl w:val="0"/>
              <w:numPr>
                <w:ilvl w:val="0"/>
                <w:numId w:val="0"/>
              </w:numPr>
              <w:kinsoku/>
              <w:overflowPunct/>
              <w:topLinePunct w:val="0"/>
              <w:autoSpaceDE/>
              <w:autoSpaceDN/>
              <w:bidi w:val="0"/>
              <w:adjustRightInd/>
              <w:snapToGrid/>
              <w:spacing w:line="240" w:lineRule="auto"/>
              <w:jc w:val="left"/>
              <w:textAlignment w:val="auto"/>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具</w:t>
            </w:r>
            <w:r>
              <w:rPr>
                <w:rFonts w:hint="eastAsia" w:ascii="宋体" w:hAnsi="宋体" w:cs="宋体"/>
                <w:sz w:val="21"/>
                <w:szCs w:val="21"/>
                <w:lang w:val="en-US" w:eastAsia="zh-CN"/>
              </w:rPr>
              <w:t>有计算机、软件工程、电子通信或电子工程相关专业硕士及以上学位证书，得20分，本项最高20分；</w:t>
            </w:r>
          </w:p>
          <w:p>
            <w:pPr>
              <w:keepNext w:val="0"/>
              <w:keepLines w:val="0"/>
              <w:pageBreakBefore w:val="0"/>
              <w:widowControl w:val="0"/>
              <w:numPr>
                <w:ilvl w:val="0"/>
                <w:numId w:val="0"/>
              </w:numPr>
              <w:kinsoku/>
              <w:overflowPunct/>
              <w:topLinePunct w:val="0"/>
              <w:autoSpaceDE/>
              <w:autoSpaceDN/>
              <w:bidi w:val="0"/>
              <w:adjustRightInd/>
              <w:snapToGrid/>
              <w:spacing w:line="240" w:lineRule="auto"/>
              <w:jc w:val="left"/>
              <w:textAlignment w:val="auto"/>
              <w:rPr>
                <w:rFonts w:hint="eastAsia" w:ascii="宋体" w:hAnsi="宋体" w:cs="宋体"/>
                <w:kern w:val="0"/>
                <w:sz w:val="21"/>
                <w:szCs w:val="21"/>
                <w:u w:val="none"/>
              </w:rPr>
            </w:pP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w:t>
            </w:r>
            <w:r>
              <w:rPr>
                <w:rFonts w:hint="eastAsia" w:ascii="宋体" w:hAnsi="宋体" w:cs="宋体"/>
                <w:sz w:val="21"/>
                <w:szCs w:val="21"/>
              </w:rPr>
              <w:t>具有</w:t>
            </w:r>
            <w:r>
              <w:rPr>
                <w:rFonts w:hint="eastAsia" w:ascii="宋体" w:hAnsi="宋体" w:cs="宋体"/>
                <w:color w:val="000000" w:themeColor="text1"/>
                <w:sz w:val="21"/>
                <w:szCs w:val="21"/>
                <w:u w:val="none"/>
                <w14:textFill>
                  <w14:solidFill>
                    <w14:schemeClr w14:val="tx1"/>
                  </w14:solidFill>
                </w14:textFill>
              </w:rPr>
              <w:t>人社部</w:t>
            </w:r>
            <w:r>
              <w:rPr>
                <w:rFonts w:hint="eastAsia" w:ascii="宋体" w:hAnsi="宋体" w:cs="宋体"/>
                <w:color w:val="000000" w:themeColor="text1"/>
                <w:sz w:val="21"/>
                <w:szCs w:val="21"/>
                <w:u w:val="none"/>
                <w:lang w:val="en-US" w:eastAsia="zh-CN"/>
                <w14:textFill>
                  <w14:solidFill>
                    <w14:schemeClr w14:val="tx1"/>
                  </w14:solidFill>
                </w14:textFill>
              </w:rPr>
              <w:t>门</w:t>
            </w:r>
            <w:r>
              <w:rPr>
                <w:rFonts w:hint="eastAsia" w:ascii="宋体" w:hAnsi="宋体" w:cs="宋体"/>
                <w:color w:val="000000" w:themeColor="text1"/>
                <w:sz w:val="21"/>
                <w:szCs w:val="21"/>
                <w:u w:val="none"/>
                <w14:textFill>
                  <w14:solidFill>
                    <w14:schemeClr w14:val="tx1"/>
                  </w14:solidFill>
                </w14:textFill>
              </w:rPr>
              <w:t>或工信部</w:t>
            </w:r>
            <w:r>
              <w:rPr>
                <w:rFonts w:hint="eastAsia" w:ascii="宋体" w:hAnsi="宋体" w:cs="宋体"/>
                <w:color w:val="000000" w:themeColor="text1"/>
                <w:sz w:val="21"/>
                <w:szCs w:val="21"/>
                <w:u w:val="none"/>
                <w:lang w:val="en-US" w:eastAsia="zh-CN"/>
                <w14:textFill>
                  <w14:solidFill>
                    <w14:schemeClr w14:val="tx1"/>
                  </w14:solidFill>
                </w14:textFill>
              </w:rPr>
              <w:t>门</w:t>
            </w:r>
            <w:r>
              <w:rPr>
                <w:rFonts w:hint="eastAsia" w:ascii="宋体" w:hAnsi="宋体" w:cs="宋体"/>
                <w:color w:val="000000" w:themeColor="text1"/>
                <w:sz w:val="21"/>
                <w:szCs w:val="21"/>
                <w:u w:val="none"/>
                <w14:textFill>
                  <w14:solidFill>
                    <w14:schemeClr w14:val="tx1"/>
                  </w14:solidFill>
                </w14:textFill>
              </w:rPr>
              <w:t>颁发的计算机技术与软件专业技术资格（专业：</w:t>
            </w:r>
            <w:r>
              <w:rPr>
                <w:rFonts w:hint="eastAsia" w:ascii="宋体" w:hAnsi="宋体" w:cs="宋体"/>
                <w:color w:val="000000" w:themeColor="text1"/>
                <w:sz w:val="21"/>
                <w:szCs w:val="21"/>
                <w:u w:val="none"/>
                <w:lang w:val="en-US" w:eastAsia="zh-CN"/>
                <w14:textFill>
                  <w14:solidFill>
                    <w14:schemeClr w14:val="tx1"/>
                  </w14:solidFill>
                </w14:textFill>
              </w:rPr>
              <w:t>信息系统项目管理师</w:t>
            </w:r>
            <w:r>
              <w:rPr>
                <w:rFonts w:hint="eastAsia" w:ascii="宋体" w:hAnsi="宋体" w:cs="宋体"/>
                <w:color w:val="000000" w:themeColor="text1"/>
                <w:sz w:val="21"/>
                <w:szCs w:val="21"/>
                <w:u w:val="none"/>
                <w14:textFill>
                  <w14:solidFill>
                    <w14:schemeClr w14:val="tx1"/>
                  </w14:solidFill>
                </w14:textFill>
              </w:rPr>
              <w:t>）</w:t>
            </w:r>
            <w:r>
              <w:rPr>
                <w:rFonts w:hint="eastAsia" w:ascii="宋体" w:hAnsi="宋体" w:cs="宋体"/>
                <w:color w:val="000000" w:themeColor="text1"/>
                <w:sz w:val="21"/>
                <w:szCs w:val="21"/>
                <w:u w:val="none"/>
                <w:lang w:eastAsia="zh-CN"/>
                <w14:textFill>
                  <w14:solidFill>
                    <w14:schemeClr w14:val="tx1"/>
                  </w14:solidFill>
                </w14:textFill>
              </w:rPr>
              <w:t>，</w:t>
            </w:r>
            <w:r>
              <w:rPr>
                <w:rFonts w:hint="eastAsia" w:ascii="宋体" w:hAnsi="宋体" w:cs="宋体"/>
                <w:color w:val="000000" w:themeColor="text1"/>
                <w:sz w:val="21"/>
                <w:szCs w:val="21"/>
                <w:u w:val="none"/>
                <w:lang w:val="en-US" w:eastAsia="zh-CN"/>
                <w14:textFill>
                  <w14:solidFill>
                    <w14:schemeClr w14:val="tx1"/>
                  </w14:solidFill>
                </w14:textFill>
              </w:rPr>
              <w:t>得10分；</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eastAsia="宋体"/>
                <w:sz w:val="21"/>
                <w:szCs w:val="21"/>
                <w:lang w:eastAsia="zh-CN"/>
              </w:rPr>
            </w:pPr>
            <w:r>
              <w:rPr>
                <w:rFonts w:hint="eastAsia"/>
                <w:sz w:val="21"/>
                <w:szCs w:val="21"/>
                <w:lang w:val="en-US" w:eastAsia="zh-CN"/>
              </w:rPr>
              <w:t>4、</w:t>
            </w:r>
            <w:r>
              <w:rPr>
                <w:rFonts w:hint="eastAsia"/>
                <w:sz w:val="21"/>
                <w:szCs w:val="21"/>
              </w:rPr>
              <w:t>具有</w:t>
            </w:r>
            <w:r>
              <w:rPr>
                <w:rFonts w:hint="eastAsia" w:ascii="宋体" w:hAnsi="宋体" w:cs="宋体"/>
                <w:color w:val="000000"/>
                <w:szCs w:val="21"/>
              </w:rPr>
              <w:t>中国网络安全审查认证和市场监管大数据中心或</w:t>
            </w:r>
            <w:r>
              <w:rPr>
                <w:rFonts w:hint="eastAsia" w:ascii="宋体" w:hAnsi="宋体" w:eastAsia="宋体" w:cs="宋体"/>
                <w:color w:val="000000"/>
                <w:kern w:val="0"/>
                <w:sz w:val="21"/>
                <w:szCs w:val="21"/>
                <w:highlight w:val="none"/>
              </w:rPr>
              <w:t>中国网络安全审查技术与认证中心</w:t>
            </w:r>
            <w:r>
              <w:rPr>
                <w:rFonts w:hint="eastAsia"/>
                <w:sz w:val="21"/>
                <w:szCs w:val="21"/>
              </w:rPr>
              <w:t>颁发的信息安全保障人员</w:t>
            </w:r>
            <w:r>
              <w:rPr>
                <w:rFonts w:hint="eastAsia"/>
                <w:sz w:val="21"/>
                <w:szCs w:val="21"/>
                <w:lang w:val="en-US" w:eastAsia="zh-CN"/>
              </w:rPr>
              <w:t>证书</w:t>
            </w:r>
            <w:r>
              <w:rPr>
                <w:rFonts w:hint="eastAsia"/>
                <w:sz w:val="21"/>
                <w:szCs w:val="21"/>
              </w:rPr>
              <w:t>（CISAW）</w:t>
            </w:r>
            <w:r>
              <w:rPr>
                <w:rFonts w:hint="eastAsia"/>
                <w:sz w:val="21"/>
                <w:szCs w:val="21"/>
                <w:lang w:eastAsia="zh-CN"/>
              </w:rPr>
              <w:t>，</w:t>
            </w:r>
            <w:r>
              <w:rPr>
                <w:rFonts w:hint="eastAsia"/>
                <w:sz w:val="21"/>
                <w:szCs w:val="21"/>
                <w:lang w:val="en-US" w:eastAsia="zh-CN"/>
              </w:rPr>
              <w:t>得10分</w:t>
            </w:r>
            <w:r>
              <w:rPr>
                <w:rFonts w:hint="eastAsia"/>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ascii="宋体" w:hAnsi="宋体" w:cs="宋体"/>
                <w:sz w:val="21"/>
                <w:szCs w:val="21"/>
              </w:rPr>
            </w:pPr>
            <w:r>
              <w:rPr>
                <w:rFonts w:hint="eastAsia" w:ascii="宋体" w:hAnsi="宋体" w:cs="宋体"/>
                <w:sz w:val="21"/>
                <w:szCs w:val="21"/>
              </w:rPr>
              <w:t>以上</w:t>
            </w:r>
            <w:r>
              <w:rPr>
                <w:rFonts w:hint="eastAsia" w:ascii="宋体" w:hAnsi="宋体" w:cs="宋体"/>
                <w:sz w:val="21"/>
                <w:szCs w:val="21"/>
                <w:lang w:val="en-US" w:eastAsia="zh-CN"/>
              </w:rPr>
              <w:t>4</w:t>
            </w:r>
            <w:r>
              <w:rPr>
                <w:rFonts w:hint="eastAsia" w:ascii="宋体" w:hAnsi="宋体" w:cs="宋体"/>
                <w:sz w:val="21"/>
                <w:szCs w:val="21"/>
              </w:rPr>
              <w:t>项累计计分，最高得100分。</w:t>
            </w:r>
          </w:p>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评审标准</w:t>
            </w:r>
            <w:r>
              <w:rPr>
                <w:rFonts w:hint="eastAsia" w:ascii="宋体" w:hAnsi="宋体" w:cs="宋体"/>
                <w:sz w:val="21"/>
                <w:szCs w:val="21"/>
              </w:rPr>
              <w:t>：</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1、提供开标日前由投标人为拟投入本项目的负责人缴交的载有政府部门公章（或专用章）的202</w:t>
            </w:r>
            <w:r>
              <w:rPr>
                <w:rFonts w:hint="eastAsia" w:ascii="宋体" w:hAnsi="宋体" w:cs="宋体"/>
                <w:sz w:val="21"/>
                <w:szCs w:val="21"/>
                <w:lang w:val="en-US" w:eastAsia="zh-CN"/>
              </w:rPr>
              <w:t>5</w:t>
            </w:r>
            <w:r>
              <w:rPr>
                <w:rFonts w:hint="eastAsia" w:ascii="宋体" w:hAnsi="宋体" w:cs="宋体"/>
                <w:sz w:val="21"/>
                <w:szCs w:val="21"/>
              </w:rPr>
              <w:t>年</w:t>
            </w:r>
            <w:r>
              <w:rPr>
                <w:rFonts w:hint="eastAsia" w:ascii="宋体" w:hAnsi="宋体" w:cs="宋体"/>
                <w:sz w:val="21"/>
                <w:szCs w:val="21"/>
                <w:lang w:val="en-US" w:eastAsia="zh-CN"/>
              </w:rPr>
              <w:t>8</w:t>
            </w:r>
            <w:r>
              <w:rPr>
                <w:rFonts w:hint="eastAsia" w:ascii="宋体" w:hAnsi="宋体" w:cs="宋体"/>
                <w:sz w:val="21"/>
                <w:szCs w:val="21"/>
              </w:rPr>
              <w:t>月-202</w:t>
            </w:r>
            <w:r>
              <w:rPr>
                <w:rFonts w:hint="eastAsia" w:ascii="宋体" w:hAnsi="宋体" w:cs="宋体"/>
                <w:sz w:val="21"/>
                <w:szCs w:val="21"/>
                <w:lang w:val="en-US" w:eastAsia="zh-CN"/>
              </w:rPr>
              <w:t>5</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的社保缴交证明材料（已退休返聘人员需提供聘用合同），如社保材料因政府部门原因暂时无法取得，则可以往前顺延一个月；社保资料至少显示缴交养老保险信息，未显示该信息的该社保资料则不符合要求，原件备查。如供应商为新成立企业且成立时间不足3个月的，可提供加盖公章的情况说明或其他相关证明材料，原件备查；</w:t>
            </w:r>
          </w:p>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提供学位证书扫描件，学位信息在中国学位与研究生教育信息网(学位网)（http://www.cdgdc.edu.cn/）官网查询截图，由于日期较早无法查询的，需提供毕业院校或者人社部门出具的证明，国外学历证书提供教育部留学服务中心出具的国外学历认证书以及教育部留学服务中心官网查询截图（查询网址：http://zwfw.cscse.edu.cn/）；</w:t>
            </w:r>
          </w:p>
          <w:p>
            <w:pPr>
              <w:keepNext w:val="0"/>
              <w:keepLines w:val="0"/>
              <w:pageBreakBefore w:val="0"/>
              <w:kinsoku/>
              <w:overflowPunct/>
              <w:topLinePunct w:val="0"/>
              <w:bidi w:val="0"/>
              <w:snapToGrid/>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3、提供相关证书扫描件；</w:t>
            </w:r>
          </w:p>
          <w:p>
            <w:pPr>
              <w:pStyle w:val="8"/>
              <w:rPr>
                <w:rFonts w:ascii="宋体" w:hAnsi="宋体" w:cs="宋体"/>
                <w:sz w:val="21"/>
                <w:szCs w:val="21"/>
              </w:rPr>
            </w:pPr>
            <w:r>
              <w:rPr>
                <w:rFonts w:hint="eastAsia" w:ascii="宋体" w:hAnsi="宋体" w:eastAsia="宋体" w:cs="宋体"/>
                <w:b w:val="0"/>
                <w:bCs w:val="0"/>
                <w:kern w:val="2"/>
                <w:sz w:val="21"/>
                <w:szCs w:val="21"/>
                <w:lang w:val="en-US" w:eastAsia="zh-CN" w:bidi="ar-SA"/>
              </w:rPr>
              <w:t>4、未提供或未按要求提供或提供的不清晰导致专家无法判断的，不得分。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7</w:t>
            </w:r>
          </w:p>
        </w:tc>
        <w:tc>
          <w:tcPr>
            <w:tcW w:w="283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拟安排的项目主要团队成员（主要技术人员）情况（项目负责人除外）</w:t>
            </w:r>
          </w:p>
        </w:tc>
        <w:tc>
          <w:tcPr>
            <w:tcW w:w="681"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15</w:t>
            </w:r>
          </w:p>
        </w:tc>
        <w:tc>
          <w:tcPr>
            <w:tcW w:w="41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考察内容：</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宋体" w:hAnsi="宋体" w:cs="宋体"/>
                <w:sz w:val="21"/>
                <w:szCs w:val="21"/>
              </w:rPr>
            </w:pPr>
            <w:r>
              <w:rPr>
                <w:rFonts w:hint="eastAsia" w:ascii="宋体" w:hAnsi="宋体" w:cs="宋体"/>
                <w:kern w:val="0"/>
                <w:sz w:val="21"/>
                <w:szCs w:val="21"/>
              </w:rPr>
              <w:t>投标人拟投入本项目的团队成员须为投标人自有正式员工</w:t>
            </w:r>
            <w:r>
              <w:rPr>
                <w:rFonts w:hint="eastAsia" w:ascii="宋体" w:hAnsi="宋体" w:cs="宋体"/>
                <w:kern w:val="0"/>
                <w:sz w:val="21"/>
                <w:szCs w:val="21"/>
                <w:lang w:eastAsia="zh-CN"/>
              </w:rPr>
              <w:t>，</w:t>
            </w:r>
            <w:r>
              <w:rPr>
                <w:rFonts w:hint="eastAsia" w:ascii="宋体" w:hAnsi="宋体" w:cs="宋体"/>
                <w:sz w:val="21"/>
                <w:szCs w:val="21"/>
              </w:rPr>
              <w:t>在此基础上进行打分：</w:t>
            </w:r>
          </w:p>
          <w:p>
            <w:pPr>
              <w:pStyle w:val="8"/>
              <w:numPr>
                <w:ilvl w:val="0"/>
                <w:numId w:val="5"/>
              </w:numPr>
              <w:rPr>
                <w:rFonts w:hint="eastAsia" w:ascii="宋体" w:hAnsi="宋体" w:cs="宋体"/>
                <w:b/>
                <w:bCs/>
                <w:sz w:val="21"/>
                <w:szCs w:val="21"/>
                <w:lang w:val="en-US" w:eastAsia="zh-CN"/>
              </w:rPr>
            </w:pPr>
            <w:r>
              <w:rPr>
                <w:rFonts w:hint="eastAsia" w:ascii="宋体" w:hAnsi="宋体" w:cs="宋体"/>
                <w:b/>
                <w:bCs/>
                <w:sz w:val="21"/>
                <w:szCs w:val="21"/>
                <w:lang w:val="en-US" w:eastAsia="zh-CN"/>
              </w:rPr>
              <w:t>技术负责人：</w:t>
            </w:r>
          </w:p>
          <w:p>
            <w:pPr>
              <w:keepNext w:val="0"/>
              <w:keepLines w:val="0"/>
              <w:pageBreakBefore w:val="0"/>
              <w:widowControl w:val="0"/>
              <w:numPr>
                <w:ilvl w:val="0"/>
                <w:numId w:val="0"/>
              </w:numPr>
              <w:kinsoku/>
              <w:overflowPunct/>
              <w:topLinePunct w:val="0"/>
              <w:autoSpaceDE/>
              <w:autoSpaceDN/>
              <w:bidi w:val="0"/>
              <w:adjustRightInd/>
              <w:snapToGrid/>
              <w:spacing w:line="240" w:lineRule="auto"/>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eastAsia" w:ascii="宋体" w:hAnsi="宋体" w:cs="宋体"/>
                <w:sz w:val="21"/>
                <w:szCs w:val="21"/>
                <w:lang w:val="en-US" w:eastAsia="zh-CN"/>
              </w:rPr>
              <w:t>具备国家商用密码应用安全性评估人员测评能力考核小组颁发的商用密码应用安全性评估人员测评能力考核证书或国家密码管理局商用密码管理办公室颁发的商用密码应用安全性评估从业人员考核证书或中关村信息安全测评联盟或公安部关键信息基础设施保护中心颁发的网络安全等级测评师证书，得40分；</w:t>
            </w:r>
          </w:p>
          <w:p>
            <w:pPr>
              <w:keepNext w:val="0"/>
              <w:keepLines w:val="0"/>
              <w:pageBreakBefore w:val="0"/>
              <w:widowControl w:val="0"/>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2、</w:t>
            </w:r>
            <w:r>
              <w:rPr>
                <w:rFonts w:hint="eastAsia" w:ascii="宋体" w:hAnsi="宋体" w:cs="宋体"/>
                <w:kern w:val="0"/>
                <w:sz w:val="21"/>
                <w:szCs w:val="21"/>
              </w:rPr>
              <w:t>具</w:t>
            </w:r>
            <w:r>
              <w:rPr>
                <w:rFonts w:hint="eastAsia" w:ascii="宋体" w:hAnsi="宋体" w:cs="宋体"/>
                <w:sz w:val="21"/>
                <w:szCs w:val="21"/>
                <w:lang w:val="en-US" w:eastAsia="zh-CN"/>
              </w:rPr>
              <w:t>有计算机、软件工程、电子通信或电子工程相关专业硕士及以上学位证书，得10分，本</w:t>
            </w:r>
            <w:r>
              <w:rPr>
                <w:rFonts w:hint="eastAsia" w:ascii="宋体" w:hAnsi="宋体" w:cs="宋体"/>
                <w:szCs w:val="21"/>
                <w:lang w:val="en-US" w:eastAsia="zh-CN"/>
              </w:rPr>
              <w:t>项最高10分</w:t>
            </w:r>
            <w:r>
              <w:rPr>
                <w:rFonts w:hint="eastAsia" w:ascii="宋体" w:hAnsi="宋体" w:cs="宋体"/>
                <w:kern w:val="0"/>
                <w:sz w:val="21"/>
                <w:szCs w:val="21"/>
              </w:rPr>
              <w:t>；</w:t>
            </w:r>
          </w:p>
          <w:p>
            <w:pPr>
              <w:keepNext w:val="0"/>
              <w:keepLines w:val="0"/>
              <w:pageBreakBefore w:val="0"/>
              <w:numPr>
                <w:ilvl w:val="0"/>
                <w:numId w:val="0"/>
              </w:numPr>
              <w:kinsoku/>
              <w:overflowPunct/>
              <w:topLinePunct w:val="0"/>
              <w:bidi w:val="0"/>
              <w:snapToGrid/>
              <w:spacing w:line="240" w:lineRule="auto"/>
              <w:jc w:val="left"/>
              <w:rPr>
                <w:rFonts w:hint="default" w:ascii="宋体" w:hAnsi="宋体" w:cs="宋体"/>
                <w:sz w:val="21"/>
                <w:szCs w:val="21"/>
                <w:lang w:val="en-US" w:eastAsia="zh-CN"/>
              </w:rPr>
            </w:pP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w:t>
            </w:r>
            <w:r>
              <w:rPr>
                <w:rFonts w:hint="eastAsia"/>
                <w:sz w:val="21"/>
                <w:szCs w:val="21"/>
              </w:rPr>
              <w:t>具有</w:t>
            </w:r>
            <w:r>
              <w:rPr>
                <w:rFonts w:hint="eastAsia" w:ascii="宋体" w:hAnsi="宋体" w:cs="宋体"/>
                <w:color w:val="000000"/>
                <w:szCs w:val="21"/>
              </w:rPr>
              <w:t>中国网络安全审查认证和市场监管大数据中心或</w:t>
            </w:r>
            <w:r>
              <w:rPr>
                <w:rFonts w:hint="eastAsia" w:ascii="宋体" w:hAnsi="宋体" w:eastAsia="宋体" w:cs="宋体"/>
                <w:color w:val="000000"/>
                <w:kern w:val="0"/>
                <w:sz w:val="21"/>
                <w:szCs w:val="21"/>
                <w:highlight w:val="none"/>
              </w:rPr>
              <w:t>中国网络安全审查技术与认证中心</w:t>
            </w:r>
            <w:r>
              <w:rPr>
                <w:rFonts w:hint="eastAsia"/>
                <w:sz w:val="21"/>
                <w:szCs w:val="21"/>
              </w:rPr>
              <w:t>颁发的信息安全保障人员</w:t>
            </w:r>
            <w:r>
              <w:rPr>
                <w:rFonts w:hint="eastAsia"/>
                <w:sz w:val="21"/>
                <w:szCs w:val="21"/>
                <w:lang w:val="en-US" w:eastAsia="zh-CN"/>
              </w:rPr>
              <w:t>证书</w:t>
            </w:r>
            <w:r>
              <w:rPr>
                <w:rFonts w:hint="eastAsia"/>
                <w:sz w:val="21"/>
                <w:szCs w:val="21"/>
              </w:rPr>
              <w:t>（CISAW）</w:t>
            </w:r>
            <w:r>
              <w:rPr>
                <w:rFonts w:hint="eastAsia"/>
                <w:sz w:val="21"/>
                <w:szCs w:val="21"/>
                <w:lang w:val="en-US" w:eastAsia="zh-CN"/>
              </w:rPr>
              <w:t>或</w:t>
            </w:r>
            <w:r>
              <w:rPr>
                <w:rFonts w:hint="eastAsia"/>
                <w:sz w:val="21"/>
                <w:szCs w:val="21"/>
              </w:rPr>
              <w:t>具有</w:t>
            </w:r>
            <w:r>
              <w:rPr>
                <w:rStyle w:val="24"/>
                <w:rFonts w:hint="default" w:ascii="Arial" w:hAnsi="Arial" w:eastAsia="宋体" w:cs="Arial"/>
                <w:b w:val="0"/>
                <w:bCs w:val="0"/>
                <w:i w:val="0"/>
                <w:iCs w:val="0"/>
                <w:caps w:val="0"/>
                <w:color w:val="222222"/>
                <w:spacing w:val="0"/>
                <w:sz w:val="21"/>
                <w:szCs w:val="21"/>
                <w:shd w:val="clear" w:fill="FFFFFF"/>
              </w:rPr>
              <w:t>中国信息安全测评中心</w:t>
            </w:r>
            <w:r>
              <w:rPr>
                <w:rFonts w:hint="eastAsia"/>
                <w:sz w:val="21"/>
                <w:szCs w:val="21"/>
              </w:rPr>
              <w:t>颁发的注册信息安全专业人员CISP证书</w:t>
            </w:r>
            <w:r>
              <w:rPr>
                <w:rFonts w:hint="eastAsia" w:ascii="宋体" w:hAnsi="宋体" w:cs="宋体"/>
                <w:sz w:val="21"/>
                <w:szCs w:val="21"/>
                <w:lang w:val="en-US" w:eastAsia="zh-CN"/>
              </w:rPr>
              <w:t>，得10分；</w:t>
            </w:r>
          </w:p>
          <w:p>
            <w:pPr>
              <w:pStyle w:val="8"/>
              <w:rPr>
                <w:rFonts w:hint="default" w:eastAsia="宋体"/>
                <w:sz w:val="21"/>
                <w:szCs w:val="21"/>
                <w:lang w:val="en-US" w:eastAsia="zh-CN"/>
              </w:rPr>
            </w:pPr>
            <w:r>
              <w:rPr>
                <w:rFonts w:hint="eastAsia"/>
                <w:sz w:val="21"/>
                <w:szCs w:val="21"/>
                <w:lang w:val="en-US" w:eastAsia="zh-CN"/>
              </w:rPr>
              <w:t>本项累计最高得60分</w:t>
            </w:r>
          </w:p>
          <w:p>
            <w:pPr>
              <w:keepNext w:val="0"/>
              <w:keepLines w:val="0"/>
              <w:pageBreakBefore w:val="0"/>
              <w:numPr>
                <w:ilvl w:val="0"/>
                <w:numId w:val="0"/>
              </w:numPr>
              <w:kinsoku/>
              <w:overflowPunct/>
              <w:topLinePunct w:val="0"/>
              <w:bidi w:val="0"/>
              <w:snapToGrid/>
              <w:spacing w:line="240" w:lineRule="auto"/>
              <w:jc w:val="left"/>
              <w:rPr>
                <w:rFonts w:hint="default" w:ascii="宋体" w:hAnsi="宋体" w:cs="宋体"/>
                <w:b/>
                <w:bCs/>
                <w:sz w:val="21"/>
                <w:szCs w:val="21"/>
                <w:lang w:val="en-US" w:eastAsia="zh-CN"/>
              </w:rPr>
            </w:pPr>
            <w:r>
              <w:rPr>
                <w:rFonts w:hint="eastAsia" w:ascii="宋体" w:hAnsi="宋体" w:cs="宋体"/>
                <w:b/>
                <w:bCs/>
                <w:sz w:val="21"/>
                <w:szCs w:val="21"/>
                <w:lang w:val="en-US" w:eastAsia="zh-CN"/>
              </w:rPr>
              <w:t>（2）测评服务工程师：</w:t>
            </w:r>
          </w:p>
          <w:p>
            <w:pPr>
              <w:keepNext w:val="0"/>
              <w:keepLines w:val="0"/>
              <w:pageBreakBefore w:val="0"/>
              <w:numPr>
                <w:ilvl w:val="0"/>
                <w:numId w:val="0"/>
              </w:numPr>
              <w:kinsoku/>
              <w:overflowPunct/>
              <w:topLinePunct w:val="0"/>
              <w:bidi w:val="0"/>
              <w:snapToGrid/>
              <w:spacing w:line="240" w:lineRule="auto"/>
              <w:jc w:val="left"/>
              <w:rPr>
                <w:rFonts w:hint="eastAsia"/>
                <w:sz w:val="21"/>
                <w:szCs w:val="21"/>
                <w:lang w:val="en-US" w:eastAsia="zh-CN"/>
              </w:rPr>
            </w:pPr>
            <w:r>
              <w:rPr>
                <w:rFonts w:hint="eastAsia"/>
                <w:sz w:val="21"/>
                <w:szCs w:val="21"/>
                <w:lang w:val="en-US" w:eastAsia="zh-CN"/>
              </w:rPr>
              <w:t>1、</w:t>
            </w:r>
            <w:r>
              <w:rPr>
                <w:rFonts w:hint="eastAsia" w:ascii="宋体" w:hAnsi="宋体" w:cs="宋体"/>
                <w:sz w:val="21"/>
                <w:szCs w:val="21"/>
                <w:lang w:val="en-US" w:eastAsia="zh-CN"/>
              </w:rPr>
              <w:t>具备国家商用密码应用安全性评估人员测评能力考核小组颁发的商用密码应用安全性评估人员测评能力考核证书或国家密码管理局商用密码管理办公室颁发的商用密码应用安全性评估从业人员考核证书或中关村信息安全测评联盟或公安部关键信息基础设施保护中心颁发的网络安全等级测评师证书，得30分；</w:t>
            </w:r>
          </w:p>
          <w:p>
            <w:pPr>
              <w:keepNext w:val="0"/>
              <w:keepLines w:val="0"/>
              <w:pageBreakBefore w:val="0"/>
              <w:numPr>
                <w:ilvl w:val="0"/>
                <w:numId w:val="0"/>
              </w:numPr>
              <w:kinsoku/>
              <w:overflowPunct/>
              <w:topLinePunct w:val="0"/>
              <w:bidi w:val="0"/>
              <w:snapToGrid/>
              <w:spacing w:line="240" w:lineRule="auto"/>
              <w:jc w:val="left"/>
              <w:rPr>
                <w:rFonts w:hint="eastAsia" w:ascii="宋体" w:hAnsi="宋体" w:cs="宋体"/>
                <w:sz w:val="21"/>
                <w:szCs w:val="21"/>
                <w:lang w:val="en-US" w:eastAsia="zh-CN"/>
              </w:rPr>
            </w:pPr>
            <w:r>
              <w:rPr>
                <w:rFonts w:hint="eastAsia"/>
                <w:sz w:val="21"/>
                <w:szCs w:val="21"/>
                <w:lang w:val="en-US" w:eastAsia="zh-CN"/>
              </w:rPr>
              <w:t>2、</w:t>
            </w:r>
            <w:r>
              <w:rPr>
                <w:rFonts w:hint="eastAsia"/>
                <w:sz w:val="21"/>
                <w:szCs w:val="21"/>
              </w:rPr>
              <w:t>具有</w:t>
            </w:r>
            <w:r>
              <w:rPr>
                <w:rFonts w:hint="eastAsia" w:ascii="宋体" w:hAnsi="宋体" w:cs="宋体"/>
                <w:color w:val="000000"/>
                <w:szCs w:val="21"/>
              </w:rPr>
              <w:t>中国网络安全审查认证和市场监管大数据中心或</w:t>
            </w:r>
            <w:r>
              <w:rPr>
                <w:rFonts w:hint="eastAsia" w:ascii="宋体" w:hAnsi="宋体" w:eastAsia="宋体" w:cs="宋体"/>
                <w:color w:val="000000"/>
                <w:kern w:val="0"/>
                <w:sz w:val="21"/>
                <w:szCs w:val="21"/>
                <w:highlight w:val="none"/>
              </w:rPr>
              <w:t>中国网络安全审查技术与认证中心</w:t>
            </w:r>
            <w:r>
              <w:rPr>
                <w:rFonts w:hint="eastAsia"/>
                <w:sz w:val="21"/>
                <w:szCs w:val="21"/>
              </w:rPr>
              <w:t>颁发的信息安全保障人员</w:t>
            </w:r>
            <w:r>
              <w:rPr>
                <w:rFonts w:hint="eastAsia"/>
                <w:sz w:val="21"/>
                <w:szCs w:val="21"/>
                <w:lang w:val="en-US" w:eastAsia="zh-CN"/>
              </w:rPr>
              <w:t>证书</w:t>
            </w:r>
            <w:r>
              <w:rPr>
                <w:rFonts w:hint="eastAsia"/>
                <w:sz w:val="21"/>
                <w:szCs w:val="21"/>
              </w:rPr>
              <w:t>（CISAW）</w:t>
            </w:r>
            <w:r>
              <w:rPr>
                <w:rFonts w:hint="eastAsia"/>
                <w:sz w:val="21"/>
                <w:szCs w:val="21"/>
                <w:lang w:val="en-US" w:eastAsia="zh-CN"/>
              </w:rPr>
              <w:t>或</w:t>
            </w:r>
            <w:r>
              <w:rPr>
                <w:rFonts w:hint="eastAsia"/>
                <w:sz w:val="21"/>
                <w:szCs w:val="21"/>
              </w:rPr>
              <w:t>具有</w:t>
            </w:r>
            <w:r>
              <w:rPr>
                <w:rStyle w:val="24"/>
                <w:rFonts w:hint="default" w:ascii="Arial" w:hAnsi="Arial" w:eastAsia="宋体" w:cs="Arial"/>
                <w:b w:val="0"/>
                <w:bCs w:val="0"/>
                <w:i w:val="0"/>
                <w:iCs w:val="0"/>
                <w:caps w:val="0"/>
                <w:color w:val="222222"/>
                <w:spacing w:val="0"/>
                <w:sz w:val="21"/>
                <w:szCs w:val="21"/>
                <w:shd w:val="clear" w:fill="FFFFFF"/>
              </w:rPr>
              <w:t>中国信息安全测评中心</w:t>
            </w:r>
            <w:r>
              <w:rPr>
                <w:rFonts w:hint="eastAsia"/>
                <w:sz w:val="21"/>
                <w:szCs w:val="21"/>
              </w:rPr>
              <w:t>颁发的注册信息安全专业人员CISP证书</w:t>
            </w:r>
            <w:r>
              <w:rPr>
                <w:rFonts w:hint="eastAsia" w:ascii="宋体" w:hAnsi="宋体" w:cs="宋体"/>
                <w:sz w:val="21"/>
                <w:szCs w:val="21"/>
                <w:lang w:val="en-US" w:eastAsia="zh-CN"/>
              </w:rPr>
              <w:t>，得10分；</w:t>
            </w:r>
          </w:p>
          <w:p>
            <w:pPr>
              <w:keepNext w:val="0"/>
              <w:keepLines w:val="0"/>
              <w:pageBreakBefore w:val="0"/>
              <w:numPr>
                <w:ilvl w:val="0"/>
                <w:numId w:val="0"/>
              </w:numPr>
              <w:kinsoku/>
              <w:overflowPunct/>
              <w:topLinePunct w:val="0"/>
              <w:bidi w:val="0"/>
              <w:snapToGrid/>
              <w:spacing w:line="240" w:lineRule="auto"/>
              <w:jc w:val="left"/>
              <w:rPr>
                <w:rFonts w:hint="default"/>
                <w:b/>
                <w:bCs/>
                <w:lang w:val="en-US" w:eastAsia="zh-CN"/>
              </w:rPr>
            </w:pPr>
            <w:r>
              <w:rPr>
                <w:rFonts w:hint="eastAsia" w:ascii="宋体" w:hAnsi="宋体" w:cs="宋体"/>
                <w:b/>
                <w:bCs/>
                <w:sz w:val="21"/>
                <w:szCs w:val="21"/>
                <w:lang w:val="en-US" w:eastAsia="zh-CN"/>
              </w:rPr>
              <w:t>本项累计最高得40分</w:t>
            </w:r>
          </w:p>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评审标准</w:t>
            </w:r>
            <w:r>
              <w:rPr>
                <w:rFonts w:hint="eastAsia" w:ascii="宋体" w:hAnsi="宋体" w:cs="宋体"/>
                <w:sz w:val="21"/>
                <w:szCs w:val="21"/>
              </w:rPr>
              <w:t>：</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1、提供开标日前由投标人为拟投入本项目的负责人缴交的载有政府部门公章（或专用章）的202</w:t>
            </w:r>
            <w:r>
              <w:rPr>
                <w:rFonts w:hint="eastAsia" w:ascii="宋体" w:hAnsi="宋体" w:cs="宋体"/>
                <w:sz w:val="21"/>
                <w:szCs w:val="21"/>
                <w:lang w:val="en-US" w:eastAsia="zh-CN"/>
              </w:rPr>
              <w:t>5</w:t>
            </w:r>
            <w:r>
              <w:rPr>
                <w:rFonts w:hint="eastAsia" w:ascii="宋体" w:hAnsi="宋体" w:cs="宋体"/>
                <w:sz w:val="21"/>
                <w:szCs w:val="21"/>
              </w:rPr>
              <w:t>年</w:t>
            </w:r>
            <w:r>
              <w:rPr>
                <w:rFonts w:hint="eastAsia" w:ascii="宋体" w:hAnsi="宋体" w:cs="宋体"/>
                <w:sz w:val="21"/>
                <w:szCs w:val="21"/>
                <w:lang w:val="en-US" w:eastAsia="zh-CN"/>
              </w:rPr>
              <w:t>8</w:t>
            </w:r>
            <w:r>
              <w:rPr>
                <w:rFonts w:hint="eastAsia" w:ascii="宋体" w:hAnsi="宋体" w:cs="宋体"/>
                <w:sz w:val="21"/>
                <w:szCs w:val="21"/>
              </w:rPr>
              <w:t>月-202</w:t>
            </w:r>
            <w:r>
              <w:rPr>
                <w:rFonts w:hint="eastAsia" w:ascii="宋体" w:hAnsi="宋体" w:cs="宋体"/>
                <w:sz w:val="21"/>
                <w:szCs w:val="21"/>
                <w:lang w:val="en-US" w:eastAsia="zh-CN"/>
              </w:rPr>
              <w:t>5</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的社保缴交证明材料（已退休返聘人员需提供聘用合同），如社保材料因政府部门原因暂时无法取得，则可以往前顺延一个月；社保资料至少显示缴交养老保险信息，未显示该信息的该社保资料则不符合要求，原件备查。如供应商为新成立企业且成立时间不足3个月的，可提供加盖公章的情况说明或其他相关证明材料，原件备查。</w:t>
            </w:r>
          </w:p>
          <w:p>
            <w:pPr>
              <w:keepNext w:val="0"/>
              <w:keepLines w:val="0"/>
              <w:pageBreakBefore w:val="0"/>
              <w:kinsoku/>
              <w:overflowPunct/>
              <w:topLinePunct w:val="0"/>
              <w:bidi w:val="0"/>
              <w:snapToGrid/>
              <w:spacing w:line="24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Theme="minorEastAsia" w:hAnsiTheme="minorEastAsia" w:eastAsiaTheme="minorEastAsia" w:cstheme="minorEastAsia"/>
                <w:b w:val="0"/>
                <w:bCs w:val="0"/>
                <w:sz w:val="21"/>
                <w:szCs w:val="21"/>
              </w:rPr>
              <w:t>提供学位证书扫描件，学位信息在中国学位与研究生教育信息网(学位网)（http://www.cdgdc.edu.cn/）官网查询截图，由于日期较早无法查询的，需提供毕业院校或者人社部门出具的证明，国外学历证书提供教育部留学服务中心出具的国外学历认证书以及教育部留学服务中心官网查询截图（查询网址：http://zwfw.cscse.edu.cn/）；</w:t>
            </w:r>
          </w:p>
          <w:p>
            <w:pPr>
              <w:keepNext w:val="0"/>
              <w:keepLines w:val="0"/>
              <w:pageBreakBefore w:val="0"/>
              <w:kinsoku/>
              <w:overflowPunct/>
              <w:topLinePunct w:val="0"/>
              <w:bidi w:val="0"/>
              <w:snapToGrid/>
              <w:spacing w:line="240" w:lineRule="auto"/>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相关</w:t>
            </w:r>
            <w:r>
              <w:rPr>
                <w:rFonts w:hint="eastAsia" w:ascii="宋体" w:hAnsi="宋体" w:eastAsia="宋体" w:cs="宋体"/>
                <w:b w:val="0"/>
                <w:bCs w:val="0"/>
                <w:color w:val="000000" w:themeColor="text1"/>
                <w:sz w:val="21"/>
                <w:szCs w:val="21"/>
                <w14:textFill>
                  <w14:solidFill>
                    <w14:schemeClr w14:val="tx1"/>
                  </w14:solidFill>
                </w14:textFill>
              </w:rPr>
              <w:t>证书扫描件，原件备查；</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未提供或未按要求提供或提供的不清</w:t>
            </w:r>
            <w:r>
              <w:rPr>
                <w:rFonts w:hint="eastAsia" w:ascii="宋体" w:hAnsi="宋体" w:cs="宋体"/>
                <w:sz w:val="21"/>
                <w:szCs w:val="21"/>
              </w:rPr>
              <w:t>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restart"/>
            <w:tcBorders>
              <w:top w:val="single" w:color="000000" w:sz="8" w:space="0"/>
              <w:left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商务部分</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hint="default" w:ascii="宋体" w:hAnsi="宋体" w:cs="宋体" w:eastAsiaTheme="minorEastAsia"/>
                <w:b/>
                <w:bCs/>
                <w:color w:val="0000FF"/>
                <w:sz w:val="21"/>
                <w:szCs w:val="21"/>
                <w:lang w:val="en-US" w:eastAsia="zh-CN"/>
              </w:rPr>
            </w:pPr>
            <w:r>
              <w:rPr>
                <w:rFonts w:hint="eastAsia" w:ascii="宋体" w:hAnsi="宋体" w:cs="宋体"/>
                <w:b/>
                <w:bCs/>
                <w:color w:val="0000FF"/>
                <w:sz w:val="21"/>
                <w:szCs w:val="21"/>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shd w:val="clear" w:color="auto" w:fill="E6EFFA"/>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sz w:val="21"/>
                <w:szCs w:val="21"/>
              </w:rPr>
            </w:pPr>
            <w:r>
              <w:rPr>
                <w:rFonts w:hint="eastAsia" w:ascii="宋体" w:hAnsi="宋体" w:cs="宋体"/>
                <w:color w:val="000000"/>
                <w:kern w:val="0"/>
                <w:sz w:val="21"/>
                <w:szCs w:val="21"/>
              </w:rPr>
              <w:t>同类项目业绩情况</w:t>
            </w:r>
          </w:p>
        </w:tc>
        <w:tc>
          <w:tcPr>
            <w:tcW w:w="681"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41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考察内容：</w:t>
            </w:r>
          </w:p>
          <w:p>
            <w:pPr>
              <w:keepNext w:val="0"/>
              <w:keepLines w:val="0"/>
              <w:pageBreakBefore w:val="0"/>
              <w:kinsoku/>
              <w:overflowPunct/>
              <w:topLinePunct w:val="0"/>
              <w:bidi w:val="0"/>
              <w:snapToGrid/>
              <w:spacing w:line="240" w:lineRule="auto"/>
              <w:jc w:val="left"/>
              <w:rPr>
                <w:rFonts w:hint="default" w:ascii="宋体" w:hAnsi="宋体" w:eastAsia="宋体" w:cs="宋体"/>
                <w:sz w:val="21"/>
                <w:szCs w:val="21"/>
                <w:lang w:val="en-US" w:eastAsia="zh-CN"/>
              </w:rPr>
            </w:pPr>
            <w:r>
              <w:rPr>
                <w:rFonts w:hint="eastAsia" w:ascii="宋体" w:hAnsi="宋体" w:cs="宋体"/>
                <w:sz w:val="21"/>
                <w:szCs w:val="21"/>
              </w:rPr>
              <w:t>投标人提供202</w:t>
            </w:r>
            <w:r>
              <w:rPr>
                <w:rFonts w:hint="eastAsia" w:ascii="宋体" w:hAnsi="宋体" w:cs="宋体"/>
                <w:sz w:val="21"/>
                <w:szCs w:val="21"/>
                <w:lang w:val="en-US" w:eastAsia="zh-CN"/>
              </w:rPr>
              <w:t>3</w:t>
            </w:r>
            <w:r>
              <w:rPr>
                <w:rFonts w:hint="eastAsia" w:ascii="宋体" w:hAnsi="宋体" w:cs="宋体"/>
                <w:sz w:val="21"/>
                <w:szCs w:val="21"/>
              </w:rPr>
              <w:t>年1月1日至本项目开标之日（以合同签订时间为准）的</w:t>
            </w:r>
            <w:r>
              <w:rPr>
                <w:rFonts w:hint="eastAsia" w:ascii="宋体" w:hAnsi="宋体" w:cs="宋体"/>
                <w:sz w:val="21"/>
                <w:szCs w:val="21"/>
                <w:lang w:val="en-US" w:eastAsia="zh-CN"/>
              </w:rPr>
              <w:t>同类项目业绩（网络安全等级保护测评或商用密码应用安全性评估）</w:t>
            </w:r>
            <w:r>
              <w:rPr>
                <w:rFonts w:hint="eastAsia" w:ascii="宋体" w:hAnsi="宋体" w:cs="宋体"/>
                <w:sz w:val="21"/>
                <w:szCs w:val="21"/>
                <w:lang w:eastAsia="zh-CN"/>
              </w:rPr>
              <w:t>，</w:t>
            </w:r>
            <w:r>
              <w:rPr>
                <w:rFonts w:hint="eastAsia" w:ascii="宋体" w:hAnsi="宋体" w:cs="宋体"/>
                <w:sz w:val="21"/>
                <w:szCs w:val="21"/>
                <w:lang w:val="en-US" w:eastAsia="zh-CN"/>
              </w:rPr>
              <w:t>每提供一个得15分，满分100分。</w:t>
            </w:r>
          </w:p>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cs="宋体"/>
                <w:b/>
                <w:bCs/>
                <w:sz w:val="21"/>
                <w:szCs w:val="21"/>
              </w:rPr>
              <w:t>评审标准</w:t>
            </w:r>
            <w:r>
              <w:rPr>
                <w:rFonts w:hint="eastAsia" w:ascii="宋体" w:hAnsi="宋体" w:cs="宋体"/>
                <w:sz w:val="21"/>
                <w:szCs w:val="21"/>
              </w:rPr>
              <w:t>：</w:t>
            </w:r>
          </w:p>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投标人提供合同关键页</w:t>
            </w:r>
            <w:r>
              <w:rPr>
                <w:rFonts w:hint="eastAsia" w:ascii="宋体" w:hAnsi="宋体" w:cs="宋体"/>
                <w:sz w:val="21"/>
                <w:szCs w:val="21"/>
                <w:lang w:eastAsia="zh-CN"/>
              </w:rPr>
              <w:t>（</w:t>
            </w:r>
            <w:r>
              <w:rPr>
                <w:rFonts w:hint="eastAsia" w:ascii="宋体" w:hAnsi="宋体" w:cs="宋体"/>
                <w:sz w:val="21"/>
                <w:szCs w:val="21"/>
                <w:lang w:val="en-US" w:eastAsia="zh-CN"/>
              </w:rPr>
              <w:t>至少包括合同首页、内容页、签章页</w:t>
            </w:r>
            <w:r>
              <w:rPr>
                <w:rFonts w:hint="eastAsia" w:ascii="宋体" w:hAnsi="宋体" w:cs="宋体"/>
                <w:sz w:val="21"/>
                <w:szCs w:val="21"/>
                <w:lang w:eastAsia="zh-CN"/>
              </w:rPr>
              <w:t>）</w:t>
            </w:r>
            <w:r>
              <w:rPr>
                <w:rFonts w:hint="eastAsia" w:ascii="宋体" w:hAnsi="宋体" w:cs="宋体"/>
                <w:sz w:val="21"/>
                <w:szCs w:val="21"/>
              </w:rPr>
              <w:t>证明文件，原件备查。通过合同关键信息无法判断是否得分的，还须同时提供能证明得分的其它证明资料，如项目报告或合同甲方出具的证明文件等。</w:t>
            </w:r>
          </w:p>
          <w:p>
            <w:pPr>
              <w:keepNext w:val="0"/>
              <w:keepLines w:val="0"/>
              <w:pageBreakBefore w:val="0"/>
              <w:kinsoku/>
              <w:overflowPunct/>
              <w:topLinePunct w:val="0"/>
              <w:bidi w:val="0"/>
              <w:snapToGrid/>
              <w:spacing w:line="240" w:lineRule="auto"/>
              <w:jc w:val="left"/>
              <w:rPr>
                <w:rFonts w:hint="eastAsia" w:ascii="宋体" w:hAnsi="宋体" w:eastAsia="宋体" w:cs="宋体"/>
                <w:sz w:val="21"/>
                <w:szCs w:val="21"/>
                <w:lang w:eastAsia="zh-CN"/>
              </w:rPr>
            </w:pPr>
            <w:r>
              <w:rPr>
                <w:rFonts w:hint="eastAsia" w:ascii="宋体" w:hAnsi="宋体" w:cs="宋体"/>
                <w:sz w:val="21"/>
                <w:szCs w:val="21"/>
              </w:rPr>
              <w:t>未提供或未按要求提供或提供的不清晰导致专家无法判断的，不得分</w:t>
            </w:r>
            <w:r>
              <w:rPr>
                <w:rFonts w:hint="eastAsia" w:ascii="宋体" w:hAnsi="宋体"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left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ascii="宋体" w:hAnsi="宋体" w:cs="宋体"/>
                <w:sz w:val="21"/>
                <w:szCs w:val="21"/>
              </w:rPr>
            </w:pPr>
            <w:r>
              <w:rPr>
                <w:rFonts w:hint="eastAsia" w:ascii="宋体" w:hAnsi="宋体" w:cs="宋体"/>
                <w:sz w:val="21"/>
                <w:szCs w:val="21"/>
              </w:rPr>
              <w:t>投标人自主知识产权产品（创新、设计）情况</w:t>
            </w:r>
          </w:p>
        </w:tc>
        <w:tc>
          <w:tcPr>
            <w:tcW w:w="681"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overflowPunct/>
              <w:topLinePunct w:val="0"/>
              <w:bidi w:val="0"/>
              <w:snapToGrid/>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rPr>
                <w:rFonts w:hint="eastAsia" w:ascii="宋体" w:hAnsi="宋体" w:eastAsia="宋体" w:cs="宋体"/>
                <w:b/>
                <w:bCs/>
                <w:sz w:val="21"/>
                <w:szCs w:val="21"/>
                <w:lang w:eastAsia="zh-CN"/>
              </w:rPr>
            </w:pPr>
            <w:r>
              <w:rPr>
                <w:rFonts w:hint="eastAsia" w:ascii="宋体" w:hAnsi="宋体" w:cs="宋体"/>
                <w:b/>
                <w:bCs/>
                <w:sz w:val="21"/>
                <w:szCs w:val="21"/>
              </w:rPr>
              <w:t>考察内容：</w:t>
            </w:r>
          </w:p>
          <w:p>
            <w:pPr>
              <w:keepNext w:val="0"/>
              <w:keepLines w:val="0"/>
              <w:pageBreakBefore w:val="0"/>
              <w:widowControl/>
              <w:kinsoku/>
              <w:overflowPunct/>
              <w:topLinePunct w:val="0"/>
              <w:bidi w:val="0"/>
              <w:snapToGrid/>
              <w:spacing w:line="240" w:lineRule="auto"/>
              <w:jc w:val="left"/>
              <w:rPr>
                <w:rFonts w:hint="eastAsia" w:ascii="宋体" w:hAnsi="宋体" w:eastAsia="宋体" w:cs="宋体"/>
                <w:sz w:val="21"/>
                <w:szCs w:val="21"/>
                <w:highlight w:val="none"/>
                <w:lang w:eastAsia="zh-CN"/>
              </w:rPr>
            </w:pPr>
            <w:r>
              <w:rPr>
                <w:rFonts w:hint="eastAsia" w:ascii="宋体" w:hAnsi="宋体" w:cs="宋体"/>
                <w:sz w:val="21"/>
                <w:szCs w:val="21"/>
              </w:rPr>
              <w:t>投标人具有20</w:t>
            </w:r>
            <w:r>
              <w:rPr>
                <w:rFonts w:hint="eastAsia" w:ascii="宋体" w:hAnsi="宋体" w:cs="宋体"/>
                <w:sz w:val="21"/>
                <w:szCs w:val="21"/>
                <w:lang w:val="en-US" w:eastAsia="zh-CN"/>
              </w:rPr>
              <w:t>22</w:t>
            </w:r>
            <w:r>
              <w:rPr>
                <w:rFonts w:hint="eastAsia" w:ascii="宋体" w:hAnsi="宋体" w:cs="宋体"/>
                <w:sz w:val="21"/>
                <w:szCs w:val="21"/>
              </w:rPr>
              <w:t>年1月</w:t>
            </w:r>
            <w:r>
              <w:rPr>
                <w:rFonts w:hint="eastAsia" w:ascii="宋体" w:hAnsi="宋体" w:cs="宋体"/>
                <w:sz w:val="21"/>
                <w:szCs w:val="21"/>
                <w:highlight w:val="none"/>
              </w:rPr>
              <w:t>1日以来登记的</w:t>
            </w:r>
            <w:r>
              <w:rPr>
                <w:rFonts w:hint="eastAsia" w:ascii="宋体" w:hAnsi="宋体" w:cs="宋体"/>
                <w:sz w:val="21"/>
                <w:szCs w:val="21"/>
                <w:highlight w:val="none"/>
                <w:lang w:val="en-US" w:eastAsia="zh-CN"/>
              </w:rPr>
              <w:t>商用密码技术类或等保测评类相关</w:t>
            </w:r>
            <w:r>
              <w:rPr>
                <w:rFonts w:hint="eastAsia" w:ascii="宋体" w:hAnsi="宋体" w:cs="宋体"/>
                <w:sz w:val="21"/>
                <w:szCs w:val="21"/>
                <w:highlight w:val="none"/>
              </w:rPr>
              <w:t>计算机软件著作权登记证书，每满足1项得20分，重复不得分，最高100分。</w:t>
            </w:r>
          </w:p>
          <w:p>
            <w:pPr>
              <w:keepNext w:val="0"/>
              <w:keepLines w:val="0"/>
              <w:pageBreakBefore w:val="0"/>
              <w:kinsoku/>
              <w:wordWrap w:val="0"/>
              <w:overflowPunct/>
              <w:topLinePunct w:val="0"/>
              <w:bidi w:val="0"/>
              <w:snapToGrid/>
              <w:spacing w:line="240" w:lineRule="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rPr>
              <w:t>评审标准：</w:t>
            </w:r>
          </w:p>
          <w:p>
            <w:pPr>
              <w:keepNext w:val="0"/>
              <w:keepLines w:val="0"/>
              <w:pageBreakBefore w:val="0"/>
              <w:kinsoku/>
              <w:wordWrap w:val="0"/>
              <w:overflowPunct/>
              <w:topLinePunct w:val="0"/>
              <w:bidi w:val="0"/>
              <w:snapToGrid/>
              <w:spacing w:line="240" w:lineRule="auto"/>
              <w:rPr>
                <w:rFonts w:hint="eastAsia"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提供国家版权局颁发的计算机软件著作权登记证书</w:t>
            </w:r>
            <w:r>
              <w:rPr>
                <w:rFonts w:hint="eastAsia" w:ascii="宋体" w:hAnsi="宋体"/>
                <w:bCs/>
                <w:sz w:val="21"/>
                <w:szCs w:val="21"/>
                <w:lang w:val="en-US" w:eastAsia="zh-CN"/>
              </w:rPr>
              <w:t>扫描</w:t>
            </w:r>
            <w:r>
              <w:rPr>
                <w:rFonts w:hint="eastAsia" w:ascii="宋体" w:hAnsi="宋体"/>
                <w:bCs/>
                <w:sz w:val="21"/>
                <w:szCs w:val="21"/>
              </w:rPr>
              <w:t>件（证书须能体现投标人为著作权人），原件备查。</w:t>
            </w:r>
          </w:p>
          <w:p>
            <w:pPr>
              <w:keepNext w:val="0"/>
              <w:keepLines w:val="0"/>
              <w:pageBreakBefore w:val="0"/>
              <w:kinsoku/>
              <w:wordWrap w:val="0"/>
              <w:overflowPunct/>
              <w:topLinePunct w:val="0"/>
              <w:bidi w:val="0"/>
              <w:snapToGrid/>
              <w:spacing w:line="240" w:lineRule="auto"/>
              <w:rPr>
                <w:rFonts w:hint="eastAsia" w:ascii="宋体" w:hAnsi="宋体" w:eastAsia="宋体" w:cs="宋体"/>
                <w:sz w:val="21"/>
                <w:szCs w:val="21"/>
                <w:lang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未提供或未按要求提供或提供</w:t>
            </w:r>
            <w:r>
              <w:rPr>
                <w:rFonts w:hint="eastAsia" w:ascii="宋体" w:hAnsi="宋体" w:cs="宋体"/>
                <w:sz w:val="21"/>
                <w:szCs w:val="21"/>
              </w:rPr>
              <w:t>的不清晰导致专家无法判断的，不得分</w:t>
            </w:r>
            <w:r>
              <w:rPr>
                <w:rFonts w:hint="eastAsia" w:ascii="宋体" w:hAnsi="宋体"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诚信情况</w:t>
            </w:r>
          </w:p>
        </w:tc>
        <w:tc>
          <w:tcPr>
            <w:tcW w:w="4196"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jc w:val="center"/>
              <w:rPr>
                <w:rFonts w:ascii="宋体" w:hAnsi="宋体" w:cs="宋体"/>
                <w:b/>
                <w:bCs/>
                <w:color w:val="0000FF"/>
                <w:sz w:val="21"/>
                <w:szCs w:val="21"/>
              </w:rPr>
            </w:pPr>
            <w:r>
              <w:rPr>
                <w:rFonts w:hint="eastAsia" w:ascii="宋体" w:hAnsi="宋体" w:cs="宋体"/>
                <w:b/>
                <w:bCs/>
                <w:color w:val="0000FF"/>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bidi w:val="0"/>
              <w:snapToGrid/>
              <w:spacing w:line="240" w:lineRule="auto"/>
              <w:jc w:val="center"/>
              <w:rPr>
                <w:rFonts w:ascii="宋体" w:hAnsi="宋体" w:cs="宋体"/>
                <w:sz w:val="21"/>
                <w:szCs w:val="21"/>
              </w:rPr>
            </w:pPr>
            <w:r>
              <w:rPr>
                <w:rFonts w:hint="eastAsia" w:ascii="宋体" w:hAnsi="宋体" w:cs="宋体"/>
                <w:sz w:val="21"/>
                <w:szCs w:val="21"/>
              </w:rPr>
              <w:t>5</w:t>
            </w:r>
          </w:p>
        </w:tc>
        <w:tc>
          <w:tcPr>
            <w:tcW w:w="4196" w:type="dxa"/>
            <w:tcBorders>
              <w:top w:val="single" w:color="000000" w:sz="8" w:space="0"/>
              <w:left w:val="single" w:color="000000" w:sz="8" w:space="0"/>
              <w:bottom w:val="single" w:color="000000" w:sz="8" w:space="0"/>
              <w:right w:val="single" w:color="000000" w:sz="8" w:space="0"/>
            </w:tcBorders>
          </w:tcPr>
          <w:p>
            <w:pPr>
              <w:pStyle w:val="8"/>
              <w:wordWrap w:val="0"/>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b w:val="0"/>
                <w:bCs w:val="0"/>
                <w:sz w:val="21"/>
                <w:szCs w:val="21"/>
                <w:lang w:val="en-US" w:eastAsia="zh-CN"/>
              </w:rPr>
              <w:t>有关</w:t>
            </w:r>
            <w:r>
              <w:rPr>
                <w:rFonts w:hint="eastAsia" w:ascii="宋体" w:hAnsi="宋体" w:eastAsia="宋体" w:cs="宋体"/>
                <w:b w:val="0"/>
                <w:bCs w:val="0"/>
                <w:sz w:val="21"/>
                <w:szCs w:val="21"/>
              </w:rPr>
              <w:t>供应商诚信查询结果。</w:t>
            </w:r>
          </w:p>
          <w:p>
            <w:pPr>
              <w:keepNext w:val="0"/>
              <w:keepLines w:val="0"/>
              <w:pageBreakBefore w:val="0"/>
              <w:kinsoku/>
              <w:wordWrap w:val="0"/>
              <w:overflowPunct/>
              <w:topLinePunct w:val="0"/>
              <w:bidi w:val="0"/>
              <w:snapToGrid/>
              <w:spacing w:line="240" w:lineRule="auto"/>
              <w:rPr>
                <w:rFonts w:ascii="宋体" w:hAnsi="宋体" w:cs="宋体"/>
                <w:sz w:val="21"/>
                <w:szCs w:val="21"/>
              </w:rPr>
            </w:pPr>
            <w:r>
              <w:rPr>
                <w:rFonts w:hint="eastAsia" w:ascii="宋体" w:hAnsi="宋体" w:eastAsia="宋体" w:cs="宋体"/>
                <w:b w:val="0"/>
                <w:bCs w:val="0"/>
                <w:sz w:val="21"/>
                <w:szCs w:val="21"/>
                <w:lang w:val="en-US" w:eastAsia="zh-CN"/>
              </w:rPr>
              <w:t>查询渠道：通过“信用中国”（www.creditchina.gov.cn，下载信用信息报告）、“中国政府采购网”（www.ccgp.gov.cn）、“深圳市政府采购监管网”（http://zfcg.sz.gov.cn）</w:t>
            </w:r>
            <w:bookmarkStart w:id="90" w:name="_GoBack"/>
            <w:bookmarkEnd w:id="90"/>
            <w:r>
              <w:rPr>
                <w:rFonts w:hint="eastAsia" w:ascii="宋体" w:hAnsi="宋体" w:eastAsia="宋体" w:cs="宋体"/>
                <w:b w:val="0"/>
                <w:bCs w:val="0"/>
                <w:sz w:val="21"/>
                <w:szCs w:val="21"/>
                <w:lang w:val="en-US" w:eastAsia="zh-CN"/>
              </w:rPr>
              <w:t>查询供应商信用信息，信用信息以开标当日的查询结果为准。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9" w:type="dxa"/>
          <w:tblCellSpacing w:w="0" w:type="dxa"/>
          <w:jc w:val="center"/>
        </w:trPr>
        <w:tc>
          <w:tcPr>
            <w:tcW w:w="68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bidi w:val="0"/>
              <w:snapToGrid/>
              <w:spacing w:line="240" w:lineRule="auto"/>
              <w:rPr>
                <w:rFonts w:ascii="宋体" w:hAnsi="宋体" w:cs="宋体"/>
                <w:b/>
                <w:bCs/>
                <w:color w:val="0000FF"/>
                <w:sz w:val="21"/>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bidi w:val="0"/>
              <w:snapToGrid/>
              <w:spacing w:line="240" w:lineRule="auto"/>
              <w:rPr>
                <w:rFonts w:ascii="宋体" w:hAnsi="宋体" w:cs="宋体"/>
                <w:sz w:val="21"/>
                <w:szCs w:val="21"/>
              </w:rPr>
            </w:pPr>
          </w:p>
        </w:tc>
      </w:tr>
    </w:tbl>
    <w:p>
      <w:pPr>
        <w:rPr>
          <w:b/>
          <w:sz w:val="84"/>
          <w:szCs w:val="84"/>
        </w:rPr>
      </w:pPr>
      <w:r>
        <w:rPr>
          <w:b/>
          <w:sz w:val="84"/>
          <w:szCs w:val="84"/>
        </w:rPr>
        <w:br w:type="page"/>
      </w:r>
    </w:p>
    <w:p>
      <w:pPr>
        <w:pStyle w:val="17"/>
        <w:rPr>
          <w:b/>
          <w:sz w:val="84"/>
          <w:szCs w:val="84"/>
        </w:rPr>
      </w:pPr>
    </w:p>
    <w:p>
      <w:pPr>
        <w:pStyle w:val="17"/>
        <w:rPr>
          <w:rFonts w:hint="eastAsia"/>
          <w:b/>
          <w:sz w:val="120"/>
          <w:szCs w:val="120"/>
        </w:rPr>
      </w:pPr>
      <w:bookmarkStart w:id="0" w:name="_Hlk71465316"/>
    </w:p>
    <w:p>
      <w:pPr>
        <w:jc w:val="center"/>
        <w:rPr>
          <w:b/>
          <w:sz w:val="120"/>
          <w:szCs w:val="120"/>
        </w:rPr>
      </w:pPr>
      <w:r>
        <w:rPr>
          <w:rFonts w:hint="eastAsia"/>
          <w:b/>
          <w:sz w:val="120"/>
          <w:szCs w:val="120"/>
          <w:lang w:eastAsia="zh-CN"/>
        </w:rPr>
        <w:t>自行</w:t>
      </w:r>
      <w:r>
        <w:rPr>
          <w:rFonts w:hint="eastAsia"/>
          <w:b/>
          <w:sz w:val="120"/>
          <w:szCs w:val="120"/>
        </w:rPr>
        <w:t>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p/>
    <w:p/>
    <w:p/>
    <w:p/>
    <w:p/>
    <w:p/>
    <w:p/>
    <w:p/>
    <w:p/>
    <w:p>
      <w:pPr>
        <w:pStyle w:val="8"/>
      </w:pPr>
    </w:p>
    <w:p>
      <w:pPr>
        <w:pStyle w:val="17"/>
      </w:pPr>
    </w:p>
    <w:p>
      <w:pPr>
        <w:pStyle w:val="17"/>
      </w:pPr>
    </w:p>
    <w:p>
      <w:pPr>
        <w:pStyle w:val="17"/>
      </w:pPr>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bookmarkEnd w:id="0"/>
    <w:p>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ascii="宋体" w:hAnsi="宋体"/>
          <w:color w:val="FF0000"/>
          <w:szCs w:val="21"/>
        </w:rPr>
      </w:pPr>
      <w:bookmarkStart w:id="1" w:name="_Hlk73564573"/>
      <w:r>
        <w:rPr>
          <w:rFonts w:hint="eastAsia" w:ascii="宋体" w:hAnsi="宋体" w:eastAsia="黑体"/>
          <w:b/>
          <w:bCs/>
          <w:color w:val="FF0000"/>
          <w:kern w:val="44"/>
          <w:sz w:val="28"/>
          <w:szCs w:val="44"/>
        </w:rPr>
        <w:t>警示条款</w:t>
      </w:r>
    </w:p>
    <w:bookmarkEnd w:id="1"/>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w:t>
      </w:r>
      <w:r>
        <w:rPr>
          <w:rFonts w:hint="eastAsia" w:ascii="宋体" w:hAnsi="宋体" w:eastAsia="宋体" w:cs="宋体"/>
          <w:b/>
          <w:bCs/>
          <w:color w:val="FF0000"/>
          <w:sz w:val="21"/>
          <w:szCs w:val="21"/>
        </w:rPr>
        <w:t>《深圳经济特区政府采购条例》第五十七条</w:t>
      </w:r>
      <w:r>
        <w:rPr>
          <w:rFonts w:hint="eastAsia" w:ascii="宋体" w:hAnsi="宋体" w:eastAsia="宋体" w:cs="宋体"/>
          <w:color w:val="FF0000"/>
          <w:sz w:val="21"/>
          <w:szCs w:val="21"/>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（一）在采购活动中应当回避而未回避的；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（三）隐瞒真实情况，提供虚假资料的；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（四）以非法手段排斥其他供应商参与竞争的；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（五）与其他采购参加人串通投标的；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（六）恶意投诉的；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（八）阻碍、抗拒主管部门监督检查的；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（九）其他违反本条例规定的行为。</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二、《深圳经济特区政府采购条例实施细则》第七十五条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w:t>
      </w:r>
      <w:r>
        <w:rPr>
          <w:rFonts w:hint="eastAsia" w:ascii="宋体" w:hAnsi="宋体" w:eastAsia="宋体" w:cs="宋体"/>
          <w:color w:val="FF0000"/>
          <w:sz w:val="21"/>
          <w:szCs w:val="21"/>
          <w:lang w:val="en-US" w:eastAsia="zh-CN"/>
        </w:rPr>
        <w:t>之一</w:t>
      </w:r>
      <w:r>
        <w:rPr>
          <w:rFonts w:hint="eastAsia" w:ascii="宋体" w:hAnsi="宋体" w:eastAsia="宋体" w:cs="宋体"/>
          <w:color w:val="FF0000"/>
          <w:sz w:val="21"/>
          <w:szCs w:val="21"/>
        </w:rPr>
        <w:t>的，属于采购条例所称的串通投标行为，按照采购条例第五十七条有关规定处理：（一）投标供应商之间相互约定给予未中标的供应商利益补偿</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（二）不同投标供应商的法定代表人、主要经营负责人、项目投标授权代表人、项目负责人、主要技术人员为同一人、属同一单位或者在同一单位缴纳社会保险</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（三）不同投标供应商的投标文件由同一单位或者同一人编制，或者由同一人分阶段参与编制的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（四）不同投标供应商的投标文件或部分投标文件相互混装</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（五）不同投标供应商的投标文件内容存在非正常一致</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（六）由同一单位工作人员为两家以上（含两家）供应商进行同一项投标活动的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（七）主管部门依照法律、法规认定的其他情形。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三、《深圳经济特区政府采购条例实施细则》第七十七条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供应商有下列情形之一的，属于隐瞒真实情况，提供虚假资料，按照采购条例第五十七</w:t>
      </w:r>
      <w:r>
        <w:rPr>
          <w:rFonts w:hint="eastAsia" w:ascii="宋体" w:hAnsi="宋体" w:eastAsia="宋体" w:cs="宋体"/>
          <w:color w:val="FF0000"/>
          <w:sz w:val="21"/>
          <w:szCs w:val="21"/>
          <w:lang w:val="en-US" w:eastAsia="zh-CN"/>
        </w:rPr>
        <w:t>条</w:t>
      </w:r>
      <w:r>
        <w:rPr>
          <w:rFonts w:hint="eastAsia" w:ascii="宋体" w:hAnsi="宋体" w:eastAsia="宋体" w:cs="宋体"/>
          <w:color w:val="FF0000"/>
          <w:sz w:val="21"/>
          <w:szCs w:val="21"/>
        </w:rPr>
        <w:t>的有关规定处理：（一）通过转让或者租借等方式从其他单位获取资格或者资质证书投标的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（二）由其他单位或者其他单位负责人在投标供应商编制的投标文件上加盖印章或者签字的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（三）项目负责人或者主要技术人员不是本单位人员的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（四）投标保证金不是从投标供应商基本账户转出的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（五）其他隐瞒真实情况、提供虚假资料的行为。</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left"/>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1"/>
          <w:szCs w:val="21"/>
        </w:rPr>
        <w:t>取消参与本市政府采购资格</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依法吊销其营业</w:t>
      </w:r>
      <w:r>
        <w:rPr>
          <w:rFonts w:hint="eastAsia" w:ascii="宋体" w:hAnsi="宋体" w:eastAsia="宋体" w:cs="宋体"/>
          <w:color w:val="FF0000"/>
          <w:sz w:val="21"/>
          <w:szCs w:val="21"/>
          <w:lang w:val="en-US" w:eastAsia="zh-CN"/>
        </w:rPr>
        <w:t>执照等行政处罚，</w:t>
      </w:r>
      <w:r>
        <w:rPr>
          <w:rFonts w:hint="eastAsia" w:ascii="宋体" w:hAnsi="宋体" w:eastAsia="宋体" w:cs="宋体"/>
          <w:color w:val="FF0000"/>
          <w:sz w:val="21"/>
          <w:szCs w:val="21"/>
        </w:rPr>
        <w:t>构成犯罪的，依法追究刑事责任</w:t>
      </w:r>
      <w:r>
        <w:rPr>
          <w:rFonts w:hint="eastAsia" w:ascii="宋体" w:hAnsi="宋体" w:eastAsia="宋体" w:cs="宋体"/>
          <w:b w:val="0"/>
          <w:bCs/>
          <w:color w:val="FF0000"/>
          <w:sz w:val="21"/>
          <w:szCs w:val="21"/>
          <w:lang w:val="en-US" w:eastAsia="zh-CN"/>
        </w:rPr>
        <w:t>，请各供应商独立编制、上传投标文件，妥善保管和使用电子秘钥。</w:t>
      </w:r>
    </w:p>
    <w:p>
      <w:pPr>
        <w:pStyle w:val="17"/>
        <w:rPr>
          <w:rFonts w:hint="eastAsia"/>
        </w:rPr>
      </w:pPr>
      <w:r>
        <w:rPr>
          <w:rFonts w:hint="eastAsia"/>
        </w:rPr>
        <w:br w:type="textWrapping"/>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72" w:firstLineChars="196"/>
        <w:rPr>
          <w:b/>
          <w:sz w:val="24"/>
          <w:szCs w:val="24"/>
        </w:rPr>
      </w:pPr>
      <w:r>
        <w:rPr>
          <w:rFonts w:hint="eastAsia"/>
          <w:b/>
          <w:sz w:val="24"/>
          <w:szCs w:val="24"/>
        </w:rPr>
        <w:tab/>
      </w:r>
      <w:r>
        <w:rPr>
          <w:rFonts w:hint="eastAsia" w:ascii="宋体" w:hAnsi="宋体"/>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lang w:val="en-US" w:eastAsia="zh-CN"/>
        </w:rPr>
        <w:t>，</w:t>
      </w:r>
      <w:bookmarkStart w:id="4"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4"/>
      <w:r>
        <w:rPr>
          <w:rFonts w:hint="eastAsia" w:ascii="宋体" w:hAnsi="宋体" w:cs="宋体"/>
          <w:color w:val="FF0000"/>
          <w:kern w:val="0"/>
          <w:szCs w:val="21"/>
        </w:rPr>
        <w:t>；</w:t>
      </w:r>
      <w:bookmarkEnd w:id="2"/>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.本项目是（否）专门面向中小企业采购：</w:t>
      </w:r>
      <w:r>
        <w:rPr>
          <w:rFonts w:hint="eastAsia" w:ascii="宋体" w:hAnsi="宋体" w:cs="宋体"/>
          <w:kern w:val="0"/>
          <w:szCs w:val="21"/>
          <w:highlight w:val="none"/>
          <w:lang w:val="en-US" w:eastAsia="zh-CN"/>
        </w:rPr>
        <w:t>否</w:t>
      </w:r>
      <w:r>
        <w:rPr>
          <w:rFonts w:hint="eastAsia" w:ascii="宋体" w:hAnsi="宋体" w:cs="宋体"/>
          <w:kern w:val="0"/>
          <w:szCs w:val="21"/>
          <w:highlight w:val="none"/>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Theme="minorEastAsia" w:hAnsiTheme="minorEastAsia" w:eastAsiaTheme="minorEastAsia" w:cstheme="minorEastAsia"/>
          <w:sz w:val="24"/>
          <w:szCs w:val="24"/>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widowControl/>
        <w:jc w:val="left"/>
        <w:rPr>
          <w:rFonts w:ascii="Arial" w:hAnsi="Arial" w:eastAsia="宋体" w:cs="Times New Roman"/>
          <w:b/>
          <w:color w:val="FF0000"/>
          <w:sz w:val="32"/>
          <w:szCs w:val="32"/>
        </w:rPr>
      </w:pPr>
    </w:p>
    <w:p>
      <w:pPr>
        <w:rPr>
          <w:rFonts w:hint="eastAsia" w:ascii="宋体" w:hAnsi="宋体" w:eastAsia="宋体" w:cs="Times New Roman"/>
          <w:b/>
          <w:bCs/>
          <w:kern w:val="0"/>
          <w:sz w:val="28"/>
          <w:szCs w:val="28"/>
        </w:rPr>
      </w:pP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6" w:name="_Toc73518117"/>
      <w:bookmarkStart w:id="7" w:name="_Toc73517639"/>
      <w:bookmarkStart w:id="8" w:name="_Toc100052364"/>
      <w:bookmarkStart w:id="9" w:name="_Toc73521635"/>
      <w:bookmarkStart w:id="10" w:name="_Toc73521547"/>
      <w:bookmarkStart w:id="11" w:name="_Toc60560625"/>
      <w:bookmarkStart w:id="12" w:name="_Toc60631620"/>
      <w:bookmarkStart w:id="13" w:name="_Toc101074876"/>
      <w:r>
        <w:rPr>
          <w:rFonts w:hint="eastAsia" w:ascii="宋体" w:hAnsi="宋体" w:eastAsia="宋体" w:cs="Times New Roman"/>
          <w:b/>
          <w:bCs/>
          <w:kern w:val="0"/>
          <w:sz w:val="24"/>
          <w:szCs w:val="24"/>
        </w:rPr>
        <w:t>一、对通用条款的补充内容</w:t>
      </w:r>
    </w:p>
    <w:bookmarkEnd w:id="6"/>
    <w:bookmarkEnd w:id="7"/>
    <w:bookmarkEnd w:id="8"/>
    <w:bookmarkEnd w:id="9"/>
    <w:bookmarkEnd w:id="10"/>
    <w:bookmarkEnd w:id="11"/>
    <w:bookmarkEnd w:id="12"/>
    <w:bookmarkEnd w:id="13"/>
    <w:tbl>
      <w:tblPr>
        <w:tblStyle w:val="21"/>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1755" w:type="dxa"/>
            <w:vAlign w:val="center"/>
          </w:tcPr>
          <w:p>
            <w:pPr>
              <w:jc w:val="center"/>
              <w:rPr>
                <w:rFonts w:ascii="宋体" w:hAnsi="宋体"/>
                <w:b/>
                <w:bCs/>
                <w:highlight w:val="none"/>
              </w:rPr>
            </w:pPr>
            <w:r>
              <w:rPr>
                <w:rFonts w:hint="eastAsia" w:ascii="宋体" w:hAnsi="宋体"/>
                <w:b/>
                <w:bCs/>
                <w:highlight w:val="none"/>
              </w:rPr>
              <w:t>涉及事项</w:t>
            </w:r>
          </w:p>
        </w:tc>
        <w:tc>
          <w:tcPr>
            <w:tcW w:w="6795"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1755" w:type="dxa"/>
            <w:vAlign w:val="center"/>
          </w:tcPr>
          <w:p>
            <w:pPr>
              <w:jc w:val="center"/>
              <w:rPr>
                <w:highlight w:val="none"/>
              </w:rPr>
            </w:pPr>
            <w:r>
              <w:rPr>
                <w:rFonts w:hint="eastAsia"/>
                <w:highlight w:val="none"/>
              </w:rPr>
              <w:t>采购人</w:t>
            </w:r>
          </w:p>
        </w:tc>
        <w:tc>
          <w:tcPr>
            <w:tcW w:w="6795" w:type="dxa"/>
            <w:vAlign w:val="center"/>
          </w:tcPr>
          <w:p>
            <w:pPr>
              <w:jc w:val="left"/>
              <w:rPr>
                <w:rFonts w:hint="default" w:ascii="宋体" w:hAnsi="宋体" w:eastAsiaTheme="minorEastAsia"/>
                <w:highlight w:val="none"/>
                <w:lang w:val="en-US" w:eastAsia="zh-CN"/>
              </w:rPr>
            </w:pPr>
            <w:r>
              <w:rPr>
                <w:rFonts w:hint="eastAsia" w:ascii="宋体" w:hAnsi="宋体"/>
              </w:rPr>
              <w:t>深圳市龙华区</w:t>
            </w:r>
            <w:r>
              <w:rPr>
                <w:rFonts w:hint="eastAsia" w:ascii="宋体" w:hAnsi="宋体"/>
                <w:lang w:val="en-US" w:eastAsia="zh-CN"/>
              </w:rPr>
              <w:t>卫生健康局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政府集中采购机构</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本文件所述的“政府集中采购机构”</w:t>
            </w:r>
            <w:r>
              <w:rPr>
                <w:rFonts w:ascii="宋体" w:hAnsi="宋体" w:eastAsia="宋体" w:cs="Arial"/>
                <w:szCs w:val="21"/>
                <w:highlight w:val="none"/>
              </w:rPr>
              <w:t>指</w:t>
            </w:r>
            <w:r>
              <w:rPr>
                <w:rFonts w:hint="eastAsia" w:ascii="宋体" w:hAnsi="宋体" w:eastAsia="宋体" w:cs="Arial"/>
                <w:b/>
                <w:bCs/>
                <w:szCs w:val="21"/>
                <w:highlight w:val="none"/>
              </w:rPr>
              <w:t>深圳公共资源交易中心</w:t>
            </w:r>
            <w:r>
              <w:rPr>
                <w:rFonts w:hint="eastAsia" w:ascii="Arial" w:hAnsi="Arial" w:eastAsia="宋体" w:cs="Times New Roman"/>
                <w:szCs w:val="24"/>
                <w:highlight w:val="none"/>
              </w:rPr>
              <w:t>。本项目具体由深圳公共资源交易中心（深圳交易集团有限公司</w:t>
            </w:r>
            <w:r>
              <w:rPr>
                <w:rFonts w:hint="eastAsia" w:ascii="Arial" w:hAnsi="Arial" w:eastAsia="宋体" w:cs="Times New Roman"/>
                <w:szCs w:val="24"/>
                <w:highlight w:val="none"/>
                <w:lang w:eastAsia="zh-CN"/>
              </w:rPr>
              <w:t>龙华</w:t>
            </w:r>
            <w:r>
              <w:rPr>
                <w:rFonts w:hint="eastAsia" w:ascii="Arial" w:hAnsi="Arial" w:eastAsia="宋体" w:cs="Times New Roman"/>
                <w:szCs w:val="24"/>
                <w:highlight w:val="none"/>
              </w:rPr>
              <w:t>分公司）执行</w:t>
            </w:r>
            <w:r>
              <w:rPr>
                <w:rFonts w:hint="eastAsia" w:ascii="Arial" w:hAnsi="Arial" w:eastAsia="宋体" w:cs="Times New Roman"/>
                <w:bCs/>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5</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联合体投标</w:t>
            </w:r>
          </w:p>
        </w:tc>
        <w:tc>
          <w:tcPr>
            <w:tcW w:w="6795" w:type="dxa"/>
            <w:vAlign w:val="center"/>
          </w:tcPr>
          <w:p>
            <w:pPr>
              <w:jc w:val="left"/>
              <w:rPr>
                <w:rFonts w:hint="default" w:ascii="Arial" w:hAnsi="Arial" w:eastAsia="宋体" w:cs="Times New Roman"/>
                <w:szCs w:val="24"/>
                <w:highlight w:val="none"/>
                <w:lang w:val="en-US" w:eastAsia="zh-CN"/>
              </w:rPr>
            </w:pPr>
            <w:r>
              <w:rPr>
                <w:rFonts w:hint="eastAsia" w:ascii="Arial" w:hAnsi="Arial" w:eastAsia="宋体" w:cs="Times New Roman"/>
                <w:szCs w:val="24"/>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1755" w:type="dxa"/>
            <w:vAlign w:val="center"/>
          </w:tcPr>
          <w:p>
            <w:pPr>
              <w:jc w:val="center"/>
              <w:rPr>
                <w:rFonts w:ascii="宋体" w:hAnsi="宋体"/>
                <w:highlight w:val="none"/>
              </w:rPr>
            </w:pPr>
            <w:r>
              <w:rPr>
                <w:rFonts w:hint="eastAsia" w:ascii="宋体" w:hAnsi="宋体"/>
                <w:highlight w:val="none"/>
              </w:rPr>
              <w:t>踏勘现场</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标前会议</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招标文件的澄清和修改</w:t>
            </w:r>
          </w:p>
        </w:tc>
        <w:tc>
          <w:tcPr>
            <w:tcW w:w="6795" w:type="dxa"/>
            <w:vAlign w:val="center"/>
          </w:tcPr>
          <w:p>
            <w:pPr>
              <w:jc w:val="left"/>
              <w:rPr>
                <w:rFonts w:hint="eastAsia" w:ascii="宋体" w:hAnsi="宋体"/>
                <w:highlight w:val="none"/>
                <w:lang w:eastAsia="zh-CN"/>
              </w:rPr>
            </w:pPr>
            <w:r>
              <w:rPr>
                <w:rFonts w:hint="eastAsia" w:ascii="宋体" w:hAnsi="宋体"/>
                <w:highlight w:val="none"/>
                <w:lang w:eastAsia="zh-CN"/>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投标有效期</w:t>
            </w:r>
          </w:p>
        </w:tc>
        <w:tc>
          <w:tcPr>
            <w:tcW w:w="6795" w:type="dxa"/>
            <w:vAlign w:val="center"/>
          </w:tcPr>
          <w:p>
            <w:pPr>
              <w:jc w:val="left"/>
              <w:rPr>
                <w:rFonts w:hint="eastAsia" w:ascii="宋体" w:hAnsi="宋体"/>
                <w:highlight w:val="none"/>
              </w:rPr>
            </w:pPr>
            <w:r>
              <w:rPr>
                <w:rFonts w:hint="eastAsia" w:ascii="宋体" w:hAnsi="宋体"/>
                <w:highlight w:val="none"/>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投标人的替代方案</w:t>
            </w:r>
          </w:p>
        </w:tc>
        <w:tc>
          <w:tcPr>
            <w:tcW w:w="6795" w:type="dxa"/>
            <w:vAlign w:val="center"/>
          </w:tcPr>
          <w:p>
            <w:pPr>
              <w:jc w:val="left"/>
              <w:rPr>
                <w:rFonts w:hint="eastAsia" w:ascii="宋体" w:hAnsi="宋体"/>
                <w:highlight w:val="none"/>
              </w:rPr>
            </w:pPr>
            <w:r>
              <w:rPr>
                <w:rFonts w:hint="eastAsia" w:ascii="宋体" w:hAnsi="宋体"/>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1755" w:type="dxa"/>
            <w:vAlign w:val="center"/>
          </w:tcPr>
          <w:p>
            <w:pPr>
              <w:jc w:val="center"/>
              <w:rPr>
                <w:rFonts w:ascii="宋体" w:hAnsi="宋体"/>
                <w:highlight w:val="none"/>
              </w:rPr>
            </w:pPr>
            <w:r>
              <w:rPr>
                <w:rFonts w:hint="eastAsia" w:ascii="宋体" w:hAnsi="宋体"/>
                <w:highlight w:val="none"/>
              </w:rPr>
              <w:t>投标文件的大小</w:t>
            </w:r>
          </w:p>
        </w:tc>
        <w:tc>
          <w:tcPr>
            <w:tcW w:w="6795" w:type="dxa"/>
            <w:vAlign w:val="center"/>
          </w:tcPr>
          <w:p>
            <w:pPr>
              <w:jc w:val="left"/>
              <w:rPr>
                <w:rFonts w:hint="eastAsia" w:ascii="宋体" w:hAnsi="宋体"/>
                <w:highlight w:val="none"/>
              </w:rPr>
            </w:pPr>
            <w:r>
              <w:rPr>
                <w:rFonts w:hint="eastAsia" w:ascii="宋体" w:hAnsi="宋体"/>
                <w:highlight w:val="none"/>
                <w:lang w:eastAsia="zh-CN"/>
              </w:rPr>
              <w:t>投标文件大小不得超过</w:t>
            </w:r>
            <w:r>
              <w:rPr>
                <w:rFonts w:hint="eastAsia" w:ascii="宋体" w:hAnsi="宋体"/>
                <w:highlight w:val="none"/>
                <w:lang w:val="en-US" w:eastAsia="zh-CN"/>
              </w:rPr>
              <w:t>1</w:t>
            </w:r>
            <w:r>
              <w:rPr>
                <w:rFonts w:hint="eastAsia" w:ascii="宋体" w:hAnsi="宋体"/>
                <w:highlight w:val="none"/>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1755" w:type="dxa"/>
            <w:vAlign w:val="center"/>
          </w:tcPr>
          <w:p>
            <w:pPr>
              <w:jc w:val="center"/>
              <w:rPr>
                <w:rFonts w:ascii="宋体" w:hAnsi="宋体"/>
                <w:highlight w:val="none"/>
              </w:rPr>
            </w:pPr>
            <w:bookmarkStart w:id="14" w:name="_Hlk71664860"/>
            <w:r>
              <w:rPr>
                <w:rFonts w:hint="eastAsia" w:ascii="宋体" w:hAnsi="宋体"/>
                <w:highlight w:val="none"/>
              </w:rPr>
              <w:t>样品、现场演示、方案讲解</w:t>
            </w:r>
            <w:bookmarkEnd w:id="14"/>
          </w:p>
        </w:tc>
        <w:tc>
          <w:tcPr>
            <w:tcW w:w="6795" w:type="dxa"/>
            <w:vAlign w:val="center"/>
          </w:tcPr>
          <w:p>
            <w:pPr>
              <w:jc w:val="left"/>
              <w:rPr>
                <w:rFonts w:ascii="宋体" w:hAnsi="宋体"/>
                <w:highlight w:val="none"/>
              </w:rPr>
            </w:pPr>
            <w:r>
              <w:rPr>
                <w:rFonts w:hint="eastAsia" w:ascii="宋体" w:hAnsi="宋体"/>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1755" w:type="dxa"/>
            <w:vAlign w:val="center"/>
          </w:tcPr>
          <w:p>
            <w:pPr>
              <w:jc w:val="center"/>
              <w:rPr>
                <w:rFonts w:ascii="宋体" w:hAnsi="宋体"/>
                <w:highlight w:val="none"/>
              </w:rPr>
            </w:pPr>
            <w:r>
              <w:rPr>
                <w:rFonts w:hint="eastAsia" w:ascii="宋体" w:hAnsi="宋体"/>
                <w:highlight w:val="none"/>
              </w:rPr>
              <w:t>评审方法</w:t>
            </w:r>
          </w:p>
        </w:tc>
        <w:tc>
          <w:tcPr>
            <w:tcW w:w="6795" w:type="dxa"/>
            <w:vAlign w:val="center"/>
          </w:tcPr>
          <w:p>
            <w:pPr>
              <w:jc w:val="left"/>
              <w:rPr>
                <w:rFonts w:ascii="宋体" w:hAnsi="宋体"/>
                <w:highlight w:val="none"/>
              </w:rPr>
            </w:pPr>
            <w:r>
              <w:rPr>
                <w:rFonts w:ascii="宋体" w:hAnsi="宋体"/>
                <w:b/>
                <w:bCs/>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1755" w:type="dxa"/>
            <w:vAlign w:val="center"/>
          </w:tcPr>
          <w:p>
            <w:pPr>
              <w:jc w:val="center"/>
              <w:rPr>
                <w:rFonts w:ascii="宋体" w:hAnsi="宋体"/>
                <w:highlight w:val="none"/>
              </w:rPr>
            </w:pPr>
            <w:r>
              <w:rPr>
                <w:rFonts w:hint="eastAsia" w:ascii="宋体" w:hAnsi="宋体"/>
                <w:highlight w:val="none"/>
              </w:rPr>
              <w:t>定标方法</w:t>
            </w:r>
          </w:p>
        </w:tc>
        <w:tc>
          <w:tcPr>
            <w:tcW w:w="6795" w:type="dxa"/>
            <w:vAlign w:val="center"/>
          </w:tcPr>
          <w:p>
            <w:pPr>
              <w:jc w:val="left"/>
              <w:rPr>
                <w:rFonts w:hint="eastAsia" w:ascii="宋体" w:hAnsi="宋体"/>
                <w:b/>
                <w:bCs/>
                <w:highlight w:val="none"/>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1755" w:type="dxa"/>
            <w:vAlign w:val="center"/>
          </w:tcPr>
          <w:p>
            <w:pPr>
              <w:jc w:val="center"/>
              <w:rPr>
                <w:rFonts w:ascii="宋体" w:hAnsi="宋体"/>
                <w:highlight w:val="none"/>
              </w:rPr>
            </w:pPr>
            <w:r>
              <w:rPr>
                <w:rFonts w:hint="eastAsia" w:ascii="宋体" w:hAnsi="宋体"/>
                <w:highlight w:val="none"/>
              </w:rPr>
              <w:t>履约担保</w:t>
            </w:r>
          </w:p>
        </w:tc>
        <w:tc>
          <w:tcPr>
            <w:tcW w:w="6795" w:type="dxa"/>
            <w:vAlign w:val="center"/>
          </w:tcPr>
          <w:p>
            <w:pPr>
              <w:jc w:val="left"/>
              <w:rPr>
                <w:rFonts w:ascii="宋体" w:hAnsi="宋体"/>
                <w:highlight w:val="none"/>
              </w:rPr>
            </w:pPr>
            <w:r>
              <w:rPr>
                <w:rFonts w:hint="eastAsia" w:ascii="宋体" w:hAnsi="宋体"/>
                <w:highlight w:val="none"/>
              </w:rPr>
              <w:t>不需要</w:t>
            </w:r>
          </w:p>
        </w:tc>
      </w:tr>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hint="default" w:eastAsia="宋体"/>
                <w:lang w:val="en-US" w:eastAsia="zh-CN"/>
              </w:rPr>
            </w:pPr>
            <w:r>
              <w:rPr>
                <w:rFonts w:hint="eastAsia" w:eastAsia="宋体"/>
                <w:lang w:val="en-US" w:eastAsia="zh-CN"/>
              </w:rPr>
              <w:t>3</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rPr>
                <w:rFonts w:hint="eastAsia" w:eastAsiaTheme="minorEastAsia"/>
                <w:lang w:val="en-US" w:eastAsia="zh-CN"/>
              </w:rPr>
            </w:pPr>
            <w:r>
              <w:rPr>
                <w:rFonts w:hint="eastAsia"/>
                <w:lang w:val="en-US" w:eastAsia="zh-CN"/>
              </w:rPr>
              <w:t>1</w:t>
            </w:r>
          </w:p>
        </w:tc>
        <w:tc>
          <w:tcPr>
            <w:tcW w:w="2450" w:type="dxa"/>
          </w:tcPr>
          <w:p>
            <w:pPr>
              <w:jc w:val="center"/>
              <w:rPr>
                <w:rFonts w:hint="eastAsia"/>
              </w:rPr>
            </w:pPr>
            <w:r>
              <w:rPr>
                <w:rFonts w:hint="eastAsia"/>
              </w:rPr>
              <w:t>1</w:t>
            </w:r>
          </w:p>
        </w:tc>
      </w:tr>
    </w:tbl>
    <w:p>
      <w:pPr>
        <w:pStyle w:val="17"/>
      </w:pPr>
    </w:p>
    <w:p>
      <w:pPr>
        <w:tabs>
          <w:tab w:val="left" w:pos="720"/>
        </w:tabs>
        <w:rPr>
          <w:rFonts w:ascii="黑体" w:hAnsi="宋体" w:eastAsia="黑体"/>
          <w:sz w:val="24"/>
        </w:rPr>
      </w:pPr>
    </w:p>
    <w:p>
      <w:pPr>
        <w:tabs>
          <w:tab w:val="left" w:pos="720"/>
        </w:tabs>
        <w:rPr>
          <w:rFonts w:ascii="黑体" w:hAnsi="宋体" w:eastAsia="黑体"/>
          <w:sz w:val="24"/>
        </w:rPr>
      </w:pPr>
      <w:r>
        <w:rPr>
          <w:rFonts w:hint="eastAsia" w:ascii="黑体" w:hAnsi="宋体" w:eastAsia="黑体"/>
          <w:sz w:val="24"/>
        </w:rPr>
        <w:t>（二）其他事项</w:t>
      </w:r>
    </w:p>
    <w:p>
      <w:pPr>
        <w:tabs>
          <w:tab w:val="left" w:pos="720"/>
        </w:tabs>
        <w:rPr>
          <w:rFonts w:ascii="黑体" w:hAnsi="宋体" w:eastAsia="黑体"/>
          <w:sz w:val="24"/>
        </w:rPr>
      </w:pPr>
      <w:r>
        <w:rPr>
          <w:rFonts w:hint="eastAsia" w:ascii="黑体" w:hAnsi="宋体" w:eastAsia="黑体"/>
          <w:sz w:val="24"/>
        </w:rPr>
        <w:t>1、关于享受优惠政策的主体、价格扣除比例及采购标的所属行业</w:t>
      </w:r>
    </w:p>
    <w:p>
      <w:pPr>
        <w:ind w:firstLine="420" w:firstLineChars="200"/>
        <w:rPr>
          <w:rFonts w:hint="default" w:eastAsia="宋体"/>
          <w:lang w:val="en-US" w:eastAsia="zh-CN"/>
        </w:rPr>
      </w:pPr>
      <w:bookmarkStart w:id="15" w:name="OLE_LINK5"/>
      <w:bookmarkStart w:id="16" w:name="OLE_LINK6"/>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bookmarkEnd w:id="15"/>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bookmarkEnd w:id="16"/>
    <w:p>
      <w:pPr>
        <w:numPr>
          <w:ilvl w:val="0"/>
          <w:numId w:val="6"/>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ind w:firstLine="420" w:firstLineChars="200"/>
        <w:rPr>
          <w:rFonts w:hint="eastAsia" w:asciiTheme="minorEastAsia" w:hAnsiTheme="minorEastAsia" w:eastAsiaTheme="minorEastAsia" w:cstheme="minorEastAsia"/>
          <w:sz w:val="21"/>
          <w:szCs w:val="21"/>
        </w:rPr>
      </w:pPr>
      <w:r>
        <w:rPr>
          <w:rFonts w:hint="eastAsia"/>
        </w:rPr>
        <w:t>（</w:t>
      </w:r>
      <w:r>
        <w:rPr>
          <w:rFonts w:hint="eastAsia"/>
          <w:lang w:val="en-US" w:eastAsia="zh-CN"/>
        </w:rPr>
        <w:t>5</w:t>
      </w:r>
      <w:r>
        <w:rPr>
          <w:rFonts w:hint="eastAsia"/>
        </w:rPr>
        <w:t>）享受价格扣除获得政府采购合同的，小微企业不得将合同分包给大中型企业。</w:t>
      </w:r>
    </w:p>
    <w:p>
      <w:pPr>
        <w:tabs>
          <w:tab w:val="left" w:pos="720"/>
        </w:tabs>
        <w:ind w:firstLine="420" w:firstLineChars="200"/>
        <w:rPr>
          <w:rFonts w:ascii="宋体" w:hAnsi="宋体"/>
          <w:bCs/>
        </w:rPr>
      </w:pPr>
    </w:p>
    <w:p>
      <w:pPr>
        <w:spacing w:line="360" w:lineRule="auto"/>
        <w:rPr>
          <w:rFonts w:ascii="宋体" w:hAnsi="宋体" w:eastAsia="宋体" w:cs="宋体"/>
          <w:b/>
          <w:bCs/>
          <w:szCs w:val="24"/>
        </w:rPr>
      </w:pPr>
      <w:r>
        <w:rPr>
          <w:rFonts w:hint="eastAsia" w:ascii="宋体" w:hAnsi="宋体" w:eastAsia="宋体" w:cs="宋体"/>
          <w:b/>
          <w:bCs/>
          <w:szCs w:val="24"/>
        </w:rPr>
        <w:t>2.关于政府采购订单融资政策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eastAsia="宋体" w:cs="Times New Roman"/>
          <w:b/>
          <w:szCs w:val="24"/>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tabs>
          <w:tab w:val="left" w:pos="720"/>
        </w:tabs>
        <w:rPr>
          <w:rFonts w:ascii="黑体" w:hAnsi="宋体" w:eastAsia="黑体"/>
          <w:sz w:val="24"/>
        </w:rPr>
      </w:pPr>
    </w:p>
    <w:p>
      <w:pPr>
        <w:tabs>
          <w:tab w:val="left" w:pos="720"/>
        </w:tabs>
        <w:rPr>
          <w:rFonts w:hint="eastAsia" w:ascii="宋体" w:hAnsi="宋体"/>
          <w:b/>
          <w:bCs/>
          <w:color w:val="FF0000"/>
          <w:lang w:eastAsia="zh-CN"/>
        </w:rPr>
      </w:pPr>
      <w:r>
        <w:rPr>
          <w:rFonts w:hint="eastAsia" w:ascii="宋体" w:hAnsi="宋体"/>
          <w:b/>
          <w:bCs/>
          <w:color w:val="FF0000"/>
        </w:rPr>
        <w:t>3、</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lang w:eastAsia="zh-CN"/>
        </w:rPr>
        <w:t>。</w:t>
      </w:r>
    </w:p>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供应商在领取《中标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通知书》之前须向深圳公共资源交易中心（深圳交易集团有限公司</w:t>
      </w:r>
      <w:r>
        <w:rPr>
          <w:rFonts w:hint="eastAsia" w:ascii="宋体" w:hAnsi="宋体"/>
          <w:color w:val="FF0000"/>
          <w:szCs w:val="21"/>
          <w:lang w:val="en-US" w:eastAsia="zh-CN"/>
        </w:rPr>
        <w:t>宝安</w:t>
      </w:r>
      <w:r>
        <w:rPr>
          <w:rFonts w:hint="eastAsia" w:ascii="宋体" w:hAnsi="宋体"/>
          <w:color w:val="FF0000"/>
          <w:szCs w:val="21"/>
        </w:rPr>
        <w:t>分公司）交纳代理服务费。若因中标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供应商交纳代理服务费所产生的时间影响到合同签订的，由中标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供应商自行承担责任。代理服务费标准参照</w:t>
      </w:r>
      <w:r>
        <w:rPr>
          <w:rFonts w:hint="eastAsia" w:ascii="宋体" w:hAnsi="宋体"/>
          <w:color w:val="FF0000"/>
          <w:szCs w:val="21"/>
          <w:lang w:val="en-US" w:eastAsia="zh-CN"/>
        </w:rPr>
        <w:t>下列</w:t>
      </w:r>
      <w:r>
        <w:rPr>
          <w:rFonts w:hint="eastAsia" w:ascii="宋体" w:hAnsi="宋体"/>
          <w:color w:val="FF0000"/>
          <w:szCs w:val="21"/>
        </w:rPr>
        <w:t>标准收取。本项目类型为</w:t>
      </w:r>
      <w:r>
        <w:rPr>
          <w:rFonts w:hint="eastAsia" w:ascii="宋体" w:hAnsi="宋体"/>
          <w:b/>
          <w:bCs/>
          <w:color w:val="FF0000"/>
          <w:szCs w:val="21"/>
          <w:u w:val="single"/>
          <w:lang w:val="en-US" w:eastAsia="zh-CN"/>
        </w:rPr>
        <w:t>服务</w:t>
      </w:r>
      <w:r>
        <w:rPr>
          <w:rFonts w:hint="eastAsia" w:ascii="宋体" w:hAnsi="宋体"/>
          <w:b/>
          <w:bCs/>
          <w:color w:val="FF0000"/>
          <w:szCs w:val="21"/>
          <w:u w:val="single"/>
        </w:rPr>
        <w:t>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1</w:t>
      </w:r>
      <w:r>
        <w:rPr>
          <w:rFonts w:hint="eastAsia" w:ascii="宋体" w:hAnsi="宋体"/>
          <w:color w:val="FF0000"/>
          <w:szCs w:val="21"/>
        </w:rPr>
        <w:t>）代理服务费以《中标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通知书》确定的中标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2</w:t>
      </w: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金额的各部分费率如下表：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 xml:space="preserve">备注：1.每宗交易代理服务费不低于 </w:t>
      </w:r>
      <w:r>
        <w:rPr>
          <w:rFonts w:hint="eastAsia" w:ascii="宋体" w:hAnsi="宋体"/>
          <w:color w:val="FF0000"/>
          <w:szCs w:val="21"/>
          <w:lang w:val="en-US" w:eastAsia="zh-CN"/>
        </w:rPr>
        <w:t>5</w:t>
      </w:r>
      <w:r>
        <w:rPr>
          <w:rFonts w:hint="eastAsia" w:ascii="宋体" w:hAnsi="宋体"/>
          <w:color w:val="FF0000"/>
          <w:szCs w:val="21"/>
        </w:rPr>
        <w:t>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r>
        <w:rPr>
          <w:rFonts w:hint="eastAsia" w:ascii="宋体" w:hAnsi="宋体"/>
          <w:color w:val="FF0000"/>
          <w:szCs w:val="21"/>
          <w:lang w:eastAsia="zh-CN"/>
        </w:rPr>
        <w:t>。</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）中标（成交）供应商成交后，必须按规定采用银行对公转账方式向深圳交易集团有限公司直接交纳代理服务费，交纳信息及要求按照缴款（付款）通知书执行。</w:t>
      </w:r>
    </w:p>
    <w:p>
      <w:pPr>
        <w:pStyle w:val="17"/>
        <w:rPr>
          <w:rFonts w:hint="eastAsia" w:ascii="宋体" w:hAnsi="宋体"/>
          <w:color w:val="FF0000"/>
          <w:szCs w:val="21"/>
        </w:rPr>
      </w:pPr>
    </w:p>
    <w:p>
      <w:pPr>
        <w:pStyle w:val="17"/>
        <w:rPr>
          <w:rFonts w:hint="eastAsia" w:ascii="宋体" w:hAnsi="宋体"/>
          <w:color w:val="FF0000"/>
          <w:szCs w:val="21"/>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center"/>
        <w:outlineLvl w:val="2"/>
        <w:rPr>
          <w:rFonts w:hint="eastAsia" w:ascii="Arial" w:hAnsi="Arial" w:eastAsia="宋体" w:cs="Times New Roman"/>
          <w:b/>
          <w:sz w:val="32"/>
          <w:szCs w:val="32"/>
        </w:rPr>
      </w:pPr>
      <w:r>
        <w:rPr>
          <w:rFonts w:hint="eastAsia" w:ascii="Arial" w:hAnsi="Arial" w:eastAsia="宋体" w:cs="Times New Roman"/>
          <w:b/>
          <w:sz w:val="32"/>
          <w:szCs w:val="32"/>
        </w:rPr>
        <w:t>一、项目基本信息</w:t>
      </w:r>
    </w:p>
    <w:tbl>
      <w:tblPr>
        <w:tblStyle w:val="21"/>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826"/>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04"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4826"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采购项目名称</w:t>
            </w:r>
          </w:p>
        </w:tc>
        <w:tc>
          <w:tcPr>
            <w:tcW w:w="2489"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04"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color w:val="FF0000"/>
                <w:szCs w:val="21"/>
              </w:rPr>
              <w:t>1</w:t>
            </w:r>
          </w:p>
        </w:tc>
        <w:tc>
          <w:tcPr>
            <w:tcW w:w="4826" w:type="dxa"/>
            <w:vAlign w:val="center"/>
          </w:tcPr>
          <w:p>
            <w:pPr>
              <w:spacing w:line="360" w:lineRule="auto"/>
              <w:jc w:val="center"/>
              <w:rPr>
                <w:rFonts w:hint="eastAsia" w:eastAsia="宋体" w:asciiTheme="minorEastAsia" w:hAnsiTheme="minorEastAsia" w:cstheme="minorEastAsia"/>
                <w:b/>
                <w:bCs/>
                <w:color w:val="FF0000"/>
                <w:szCs w:val="21"/>
                <w:lang w:val="en-US" w:eastAsia="zh-CN"/>
              </w:rPr>
            </w:pPr>
            <w:r>
              <w:rPr>
                <w:rFonts w:hint="eastAsia" w:ascii="宋体" w:hAnsi="宋体" w:cs="宋体"/>
                <w:b/>
                <w:bCs/>
                <w:color w:val="FF0000"/>
                <w:szCs w:val="21"/>
              </w:rPr>
              <w:t>智慧医疗“114工程”双活数据中心及区域医疗应用扩充建设项目-网络安全等级保护测评及商用密码应用安全性评估服务</w:t>
            </w:r>
          </w:p>
        </w:tc>
        <w:tc>
          <w:tcPr>
            <w:tcW w:w="2489" w:type="dxa"/>
            <w:vAlign w:val="center"/>
          </w:tcPr>
          <w:p>
            <w:pPr>
              <w:spacing w:line="360" w:lineRule="auto"/>
              <w:jc w:val="center"/>
              <w:rPr>
                <w:rFonts w:hint="default" w:asciiTheme="minorEastAsia" w:hAnsiTheme="minorEastAsia" w:eastAsiaTheme="minorEastAsia" w:cstheme="minorEastAsia"/>
                <w:bCs/>
                <w:color w:val="FF0000"/>
                <w:szCs w:val="21"/>
                <w:lang w:val="en-US"/>
              </w:rPr>
            </w:pPr>
            <w:r>
              <w:rPr>
                <w:rFonts w:hint="eastAsia"/>
                <w:b/>
                <w:color w:val="FF0000"/>
                <w:szCs w:val="21"/>
                <w:lang w:val="en-US" w:eastAsia="zh-CN"/>
              </w:rPr>
              <w:t>580,000.00</w:t>
            </w:r>
          </w:p>
        </w:tc>
      </w:tr>
    </w:tbl>
    <w:p>
      <w:pPr>
        <w:spacing w:line="360" w:lineRule="auto"/>
        <w:jc w:val="left"/>
        <w:rPr>
          <w:rFonts w:ascii="宋体" w:hAnsi="宋体" w:cs="宋体"/>
          <w:b/>
          <w:szCs w:val="21"/>
        </w:rPr>
      </w:pPr>
      <w:r>
        <w:rPr>
          <w:rFonts w:hint="eastAsia" w:ascii="宋体" w:hAnsi="宋体" w:cs="宋体"/>
          <w:b/>
          <w:szCs w:val="21"/>
        </w:rPr>
        <w:t>备注：本项目的财政预算金额为人民币</w:t>
      </w:r>
      <w:r>
        <w:rPr>
          <w:rFonts w:hint="eastAsia" w:ascii="宋体" w:hAnsi="宋体" w:cs="宋体"/>
          <w:b/>
          <w:color w:val="FF0000"/>
          <w:szCs w:val="21"/>
        </w:rPr>
        <w:t xml:space="preserve"> </w:t>
      </w:r>
      <w:r>
        <w:rPr>
          <w:rFonts w:hint="eastAsia"/>
          <w:b/>
          <w:color w:val="FF0000"/>
          <w:szCs w:val="21"/>
          <w:lang w:val="en-US" w:eastAsia="zh-CN"/>
        </w:rPr>
        <w:t>580,000.00</w:t>
      </w:r>
      <w:r>
        <w:rPr>
          <w:rFonts w:hint="eastAsia" w:ascii="宋体" w:hAnsi="宋体" w:cs="宋体"/>
          <w:b/>
          <w:color w:val="FF0000"/>
          <w:szCs w:val="21"/>
        </w:rPr>
        <w:t>元</w:t>
      </w:r>
      <w:r>
        <w:rPr>
          <w:rFonts w:hint="eastAsia" w:ascii="宋体" w:hAnsi="宋体" w:cs="宋体"/>
          <w:b/>
          <w:szCs w:val="21"/>
        </w:rPr>
        <w:t>。</w:t>
      </w:r>
    </w:p>
    <w:p>
      <w:pPr>
        <w:pStyle w:val="8"/>
      </w:pPr>
    </w:p>
    <w:p>
      <w:pPr>
        <w:pStyle w:val="3"/>
        <w:spacing w:before="120" w:beforeLines="50" w:after="120" w:afterLines="50"/>
        <w:jc w:val="center"/>
        <w:rPr>
          <w:szCs w:val="24"/>
        </w:rPr>
      </w:pPr>
      <w:r>
        <w:rPr>
          <w:rFonts w:hint="eastAsia"/>
          <w:szCs w:val="24"/>
        </w:rPr>
        <w:t>二、项目概况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一</w:t>
      </w:r>
      <w:r>
        <w:rPr>
          <w:rFonts w:hint="eastAsia"/>
          <w:sz w:val="21"/>
          <w:szCs w:val="21"/>
          <w:lang w:eastAsia="zh-CN"/>
        </w:rPr>
        <w:t>）</w:t>
      </w:r>
      <w:r>
        <w:rPr>
          <w:rFonts w:hint="eastAsia"/>
          <w:sz w:val="21"/>
          <w:szCs w:val="21"/>
          <w:lang w:val="en-US" w:eastAsia="zh-CN"/>
        </w:rPr>
        <w:t>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深圳市龙华区卫生健康局智慧医疗“114工程”双活数据中心及区域医疗应用扩充建设项目建设以《深圳市龙华区智慧龙华发展规划（2017－2025）》和《“智慧龙华”框架体系智慧医疗“114工程”总体规划（2017－2022年）》为依据，充分结合了区卫生健康发展规划以及智慧医疗“114工程”建设实际情况。一是通过同城双活数据中心的建设，夯实全区医疗业务系统的物理安全、网络安全、数据安全和应用安全。二是以智慧医疗“114工程”相关标准为基础、以《三级综合医院评审标准实施细则》、《全国医院信息化建设规范》为核心，以电子病历应用水平、互联互通成熟度、医院智慧管理等相关评级为目标，进一步实现区内各医院内部以及各医院之间数据共享、互联互通，提升区域医院数字化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主要建设内容</w:t>
      </w:r>
      <w:r>
        <w:rPr>
          <w:rFonts w:hint="eastAsia"/>
          <w:sz w:val="21"/>
          <w:szCs w:val="21"/>
          <w:lang w:val="en-US" w:eastAsia="zh-CN"/>
        </w:rPr>
        <w:t>包括</w:t>
      </w:r>
      <w:r>
        <w:rPr>
          <w:rFonts w:hint="eastAsia"/>
          <w:sz w:val="21"/>
          <w:szCs w:val="21"/>
          <w:lang w:eastAsia="zh-CN"/>
        </w:rPr>
        <w:t>：</w:t>
      </w:r>
      <w:r>
        <w:rPr>
          <w:rFonts w:hint="eastAsia"/>
          <w:sz w:val="21"/>
          <w:szCs w:val="21"/>
        </w:rPr>
        <w:t>区域医疗双活数据中心硬件建设、扩充区域医疗应用建设及安全建设三个部分。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default" w:eastAsia="宋体"/>
          <w:b w:val="0"/>
          <w:bCs w:val="0"/>
          <w:sz w:val="21"/>
          <w:szCs w:val="21"/>
          <w:lang w:val="en-US" w:eastAsia="zh-CN"/>
        </w:rPr>
        <w:t>项目主要建设内容为</w:t>
      </w:r>
      <w:r>
        <w:rPr>
          <w:rFonts w:hint="eastAsia"/>
          <w:b w:val="0"/>
          <w:bCs w:val="0"/>
          <w:sz w:val="21"/>
          <w:szCs w:val="21"/>
          <w:lang w:val="en-US" w:eastAsia="zh-CN"/>
        </w:rPr>
        <w:t>：</w:t>
      </w:r>
      <w:r>
        <w:rPr>
          <w:rFonts w:hint="default" w:eastAsia="宋体"/>
          <w:b w:val="0"/>
          <w:bCs w:val="0"/>
          <w:sz w:val="21"/>
          <w:szCs w:val="21"/>
          <w:lang w:val="en-US" w:eastAsia="zh-CN"/>
        </w:rPr>
        <w:t>区域医疗双活数据中心硬件建设、扩充区域医疗应用建设及安全建设三个部分。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eastAsia"/>
          <w:b w:val="0"/>
          <w:bCs w:val="0"/>
          <w:sz w:val="21"/>
          <w:szCs w:val="21"/>
          <w:lang w:val="en-US" w:eastAsia="zh-CN"/>
        </w:rPr>
        <w:t>1.</w:t>
      </w:r>
      <w:r>
        <w:rPr>
          <w:rFonts w:hint="default" w:eastAsia="宋体"/>
          <w:b w:val="0"/>
          <w:bCs w:val="0"/>
          <w:sz w:val="21"/>
          <w:szCs w:val="21"/>
          <w:lang w:val="en-US" w:eastAsia="zh-CN"/>
        </w:rPr>
        <w:t>区域医疗双活数据中心硬件建设</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default" w:eastAsia="宋体"/>
          <w:b w:val="0"/>
          <w:bCs w:val="0"/>
          <w:sz w:val="21"/>
          <w:szCs w:val="21"/>
          <w:lang w:val="en-US" w:eastAsia="zh-CN"/>
        </w:rPr>
        <w:t>包括双活数据中心传输网络、双活数据中心网络、计算资源池、存储资源池、业务系统双活应用。</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eastAsia"/>
          <w:b w:val="0"/>
          <w:bCs w:val="0"/>
          <w:sz w:val="21"/>
          <w:szCs w:val="21"/>
          <w:lang w:val="en-US" w:eastAsia="zh-CN"/>
        </w:rPr>
        <w:t>2.</w:t>
      </w:r>
      <w:r>
        <w:rPr>
          <w:rFonts w:hint="default" w:eastAsia="宋体"/>
          <w:b w:val="0"/>
          <w:bCs w:val="0"/>
          <w:sz w:val="21"/>
          <w:szCs w:val="21"/>
          <w:lang w:val="en-US" w:eastAsia="zh-CN"/>
        </w:rPr>
        <w:t>扩充区域医疗应用及大数据</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default" w:eastAsia="宋体"/>
          <w:b w:val="0"/>
          <w:bCs w:val="0"/>
          <w:sz w:val="21"/>
          <w:szCs w:val="21"/>
          <w:lang w:val="en-US" w:eastAsia="zh-CN"/>
        </w:rPr>
        <w:t>包括医疗应用软件建设（紧密型县域医共体信息化提升、核医学管理系统、心理评估信息系统、护理管理信息系统、区域检验信息系统创新应用改造）、卫生健康大数据底座。</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eastAsia"/>
          <w:b w:val="0"/>
          <w:bCs w:val="0"/>
          <w:sz w:val="21"/>
          <w:szCs w:val="21"/>
          <w:lang w:val="en-US" w:eastAsia="zh-CN"/>
        </w:rPr>
        <w:t>3.</w:t>
      </w:r>
      <w:r>
        <w:rPr>
          <w:rFonts w:hint="default" w:eastAsia="宋体"/>
          <w:b w:val="0"/>
          <w:bCs w:val="0"/>
          <w:sz w:val="21"/>
          <w:szCs w:val="21"/>
          <w:lang w:val="en-US" w:eastAsia="zh-CN"/>
        </w:rPr>
        <w:t>安全建设</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sz w:val="21"/>
          <w:szCs w:val="21"/>
          <w:lang w:val="en-US" w:eastAsia="zh-CN"/>
        </w:rPr>
      </w:pPr>
      <w:r>
        <w:rPr>
          <w:rFonts w:hint="default" w:eastAsia="宋体"/>
          <w:b w:val="0"/>
          <w:bCs w:val="0"/>
          <w:sz w:val="21"/>
          <w:szCs w:val="21"/>
          <w:lang w:val="en-US" w:eastAsia="zh-CN"/>
        </w:rPr>
        <w:t>包括计算环境安全（虚拟化防病毒、数据集中备份系统）、区域边界安全（WEB应用防护、互联网边界防火墙、新一代防火墙、上网行为管理）、安全管理中心（日志审计）、密码应用安全（国密堡垒机、云服务器密码机、SSL VPN、密码应用中间件、时间戳服务器、签名验签服务器）。</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b w:val="0"/>
          <w:bCs w:val="0"/>
          <w:sz w:val="21"/>
          <w:szCs w:val="21"/>
          <w:lang w:val="en-US" w:eastAsia="zh-CN"/>
        </w:rPr>
        <w:t>（二）</w:t>
      </w:r>
      <w:r>
        <w:rPr>
          <w:rFonts w:hint="eastAsia"/>
          <w:sz w:val="21"/>
          <w:szCs w:val="21"/>
        </w:rPr>
        <w:t>扩充区域医疗应用及大数据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包括医疗应用软件、卫生健康大数据底座等建设。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紧密型县域医共体信息化提升，</w:t>
      </w:r>
      <w:r>
        <w:rPr>
          <w:rFonts w:hint="eastAsia" w:asciiTheme="minorEastAsia" w:hAnsiTheme="minorEastAsia" w:eastAsiaTheme="minorEastAsia" w:cstheme="minorEastAsia"/>
          <w:sz w:val="21"/>
          <w:szCs w:val="21"/>
        </w:rPr>
        <w:t>强化区域内紧密型医联体信息化建设及应用水平的提升，促进社区健康服务信息系统信息资源的集聚整合与互联互通。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核医学信息系统</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整合核医学科的影像设备，建立统一、完善的核医学信息管理系统，实现核医学科工作流程的专业化、报告书写与发布的规范化、核医学影像信息采集的标准化、影像资料和病人信息的可靠保存。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3、建设心理评估</w:t>
      </w:r>
      <w:r>
        <w:rPr>
          <w:rFonts w:hint="eastAsia" w:asciiTheme="minorEastAsia" w:hAnsiTheme="minorEastAsia" w:cstheme="minorEastAsia"/>
          <w:sz w:val="21"/>
          <w:szCs w:val="21"/>
          <w:lang w:val="en-US" w:eastAsia="zh-CN"/>
        </w:rPr>
        <w:t>信息</w:t>
      </w:r>
      <w:r>
        <w:rPr>
          <w:rFonts w:hint="eastAsia" w:asciiTheme="minorEastAsia" w:hAnsiTheme="minorEastAsia" w:eastAsiaTheme="minorEastAsia" w:cstheme="minorEastAsia"/>
          <w:sz w:val="21"/>
          <w:szCs w:val="21"/>
        </w:rPr>
        <w:t>系统，确保评估过程和结果的标准化，避免因不同的评估工具或方法导致的不一致性。系统整合来自不同来源的数据，进行深入的数据分析和挖掘，从而更好地理解病患的需求和行为。通过系统即时生成评估报告，为医生临床决策提供快速的信息反馈，支撑心理体检业务的开展。</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4、建设护理管理</w:t>
      </w:r>
      <w:r>
        <w:rPr>
          <w:rFonts w:hint="eastAsia" w:asciiTheme="minorEastAsia" w:hAnsiTheme="minorEastAsia" w:cstheme="minorEastAsia"/>
          <w:sz w:val="21"/>
          <w:szCs w:val="21"/>
          <w:lang w:val="en-US" w:eastAsia="zh-CN"/>
        </w:rPr>
        <w:t>信息</w:t>
      </w:r>
      <w:r>
        <w:rPr>
          <w:rFonts w:hint="eastAsia" w:asciiTheme="minorEastAsia" w:hAnsiTheme="minorEastAsia" w:eastAsiaTheme="minorEastAsia" w:cstheme="minorEastAsia"/>
          <w:sz w:val="21"/>
          <w:szCs w:val="21"/>
        </w:rPr>
        <w:t>系统，通过自动化和标准化的工作流程，减少重复和不必要的任务，提高护理工作的效率。通过系统对护理过程进行监控和管理，确保护理服务的质量和安全。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cstheme="minorEastAsia"/>
          <w:sz w:val="21"/>
          <w:szCs w:val="21"/>
          <w:lang w:val="en-US" w:eastAsia="zh-CN"/>
        </w:rPr>
        <w:t>区域检验信息系统改造，</w:t>
      </w:r>
      <w:r>
        <w:rPr>
          <w:rFonts w:hint="eastAsia" w:asciiTheme="minorEastAsia" w:hAnsiTheme="minorEastAsia" w:eastAsiaTheme="minorEastAsia" w:cstheme="minorEastAsia"/>
          <w:sz w:val="21"/>
          <w:szCs w:val="21"/>
        </w:rPr>
        <w:t>推动信创在区域医疗业务的应用，逐步实现现有业务系统平滑过渡到信创环境，建设龙华区良好医疗信创生态。通过对在用的区域检验信息系统进行信创改造先行先试，积累实战经验，为逐步完成区域内医疗信息系统信创改造工作奠定基础，满足国家政策对医疗行业国产化的要求。</w:t>
      </w:r>
    </w:p>
    <w:p>
      <w:pPr>
        <w:pStyle w:val="8"/>
        <w:ind w:firstLine="420" w:firstLineChars="200"/>
        <w:rPr>
          <w:rFonts w:hint="default" w:eastAsiaTheme="minorEastAsia"/>
          <w:lang w:val="en-US" w:eastAsia="zh-CN"/>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cstheme="minorEastAsia"/>
          <w:b w:val="0"/>
          <w:bCs w:val="0"/>
          <w:sz w:val="21"/>
          <w:szCs w:val="21"/>
          <w:lang w:val="en-US" w:eastAsia="zh-CN"/>
        </w:rPr>
        <w:t>建设</w:t>
      </w:r>
      <w:r>
        <w:rPr>
          <w:rFonts w:hint="eastAsia" w:asciiTheme="minorEastAsia" w:hAnsiTheme="minorEastAsia" w:eastAsiaTheme="minorEastAsia" w:cstheme="minorEastAsia"/>
          <w:b w:val="0"/>
          <w:bCs w:val="0"/>
          <w:sz w:val="21"/>
          <w:szCs w:val="21"/>
          <w:lang w:val="en-US" w:eastAsia="zh-CN"/>
        </w:rPr>
        <w:t>卫生健康大数据底座，构建统一可信共享的区卫生健康大数据底座，融合区域全民健康信息平台，区域临床数据中心、医疗健康信息链（区块链平台），利用大数据治理工具，全面提升数据汇集、治理、分析、运营、服务能力,加强健康医疗大数据应用体系建设，推进基于区域医疗健康大数据开放共享、深度挖掘和广泛应用。通过数据服务的建设，全面深化区健康医疗大数据在卫生健康行业治理、临床和科研等领域的应用支撑，深化大数据在医院决策支持和绩效评估中的应用，支撑电子健康档案首页管理标准及相关技术与业务规范落地验证</w:t>
      </w:r>
      <w:r>
        <w:rPr>
          <w:rFonts w:hint="eastAsia" w:asciiTheme="minorEastAsia" w:hAnsiTheme="minorEastAsia" w:cstheme="minorEastAsia"/>
          <w:b w:val="0"/>
          <w:bCs w:val="0"/>
          <w:sz w:val="21"/>
          <w:szCs w:val="21"/>
          <w:lang w:val="en-US" w:eastAsia="zh-CN"/>
        </w:rPr>
        <w:t>。</w:t>
      </w:r>
    </w:p>
    <w:p>
      <w:pPr>
        <w:pStyle w:val="8"/>
        <w:rPr>
          <w:rFonts w:hint="eastAsia"/>
          <w:lang w:eastAsia="zh-CN"/>
        </w:rPr>
      </w:pPr>
    </w:p>
    <w:p>
      <w:pPr>
        <w:pStyle w:val="3"/>
        <w:numPr>
          <w:ilvl w:val="0"/>
          <w:numId w:val="7"/>
        </w:numPr>
        <w:spacing w:before="120" w:beforeLines="50" w:after="120" w:afterLines="50"/>
        <w:jc w:val="center"/>
        <w:rPr>
          <w:rFonts w:hint="eastAsia"/>
          <w:szCs w:val="24"/>
        </w:rPr>
      </w:pPr>
      <w:bookmarkStart w:id="17" w:name="_Hlk72073432"/>
      <w:r>
        <w:rPr>
          <w:rFonts w:hint="eastAsia"/>
          <w:szCs w:val="24"/>
        </w:rPr>
        <w:t>服务需求明细</w:t>
      </w:r>
      <w:bookmarkEnd w:id="17"/>
    </w:p>
    <w:p>
      <w:pPr>
        <w:pStyle w:val="8"/>
        <w:rPr>
          <w:rFonts w:hint="default" w:ascii="宋体" w:hAnsi="宋体" w:eastAsia="宋体" w:cs="Times New Roman"/>
          <w:b/>
          <w:color w:val="FF0000"/>
          <w:szCs w:val="21"/>
          <w:lang w:val="en-US" w:eastAsia="zh-CN"/>
        </w:rPr>
      </w:pPr>
      <w:r>
        <w:rPr>
          <w:rFonts w:hint="eastAsia" w:ascii="宋体" w:hAnsi="宋体" w:eastAsia="宋体" w:cs="Times New Roman"/>
          <w:b/>
          <w:color w:val="FF0000"/>
          <w:szCs w:val="21"/>
          <w:lang w:val="en-US" w:eastAsia="zh-CN"/>
        </w:rPr>
        <w:t>（一）需求明</w:t>
      </w:r>
      <w:r>
        <w:rPr>
          <w:rFonts w:hint="eastAsia" w:ascii="宋体" w:hAnsi="宋体" w:cs="Times New Roman"/>
          <w:b/>
          <w:color w:val="FF0000"/>
          <w:szCs w:val="21"/>
          <w:lang w:val="en-US" w:eastAsia="zh-CN"/>
        </w:rPr>
        <w:t>细</w:t>
      </w:r>
    </w:p>
    <w:tbl>
      <w:tblPr>
        <w:tblStyle w:val="21"/>
        <w:tblpPr w:leftFromText="180" w:rightFromText="180" w:vertAnchor="text" w:horzAnchor="margin" w:tblpX="98" w:tblpY="173"/>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962"/>
        <w:gridCol w:w="900"/>
        <w:gridCol w:w="105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4" w:type="dxa"/>
            <w:vAlign w:val="center"/>
          </w:tcPr>
          <w:p>
            <w:pPr>
              <w:spacing w:line="360" w:lineRule="auto"/>
              <w:jc w:val="center"/>
              <w:rPr>
                <w:rFonts w:ascii="宋体" w:hAnsi="宋体" w:cs="宋体"/>
                <w:bCs/>
                <w:szCs w:val="21"/>
              </w:rPr>
            </w:pPr>
            <w:r>
              <w:rPr>
                <w:rFonts w:hint="eastAsia" w:ascii="宋体" w:hAnsi="宋体" w:cs="宋体"/>
                <w:bCs/>
                <w:szCs w:val="21"/>
              </w:rPr>
              <w:t>序号</w:t>
            </w:r>
          </w:p>
        </w:tc>
        <w:tc>
          <w:tcPr>
            <w:tcW w:w="3962" w:type="dxa"/>
            <w:shd w:val="clear" w:color="auto" w:fill="auto"/>
            <w:vAlign w:val="center"/>
          </w:tcPr>
          <w:p>
            <w:pPr>
              <w:spacing w:line="360" w:lineRule="auto"/>
              <w:jc w:val="center"/>
              <w:rPr>
                <w:rFonts w:ascii="宋体" w:hAnsi="宋体" w:eastAsia="宋体" w:cs="宋体"/>
                <w:bCs/>
                <w:kern w:val="2"/>
                <w:sz w:val="21"/>
                <w:szCs w:val="21"/>
                <w:lang w:val="en-US" w:eastAsia="zh-CN" w:bidi="ar-SA"/>
              </w:rPr>
            </w:pPr>
            <w:r>
              <w:rPr>
                <w:rFonts w:hint="eastAsia" w:ascii="宋体" w:hAnsi="宋体" w:cs="宋体"/>
                <w:bCs/>
                <w:szCs w:val="21"/>
              </w:rPr>
              <w:t>服务需求名称（标的名称）</w:t>
            </w:r>
          </w:p>
        </w:tc>
        <w:tc>
          <w:tcPr>
            <w:tcW w:w="900" w:type="dxa"/>
            <w:shd w:val="clear" w:color="auto" w:fill="auto"/>
            <w:vAlign w:val="center"/>
          </w:tcPr>
          <w:p>
            <w:pPr>
              <w:spacing w:line="360" w:lineRule="auto"/>
              <w:jc w:val="center"/>
              <w:rPr>
                <w:rFonts w:ascii="宋体" w:hAnsi="宋体" w:eastAsia="宋体" w:cs="宋体"/>
                <w:bCs/>
                <w:kern w:val="2"/>
                <w:sz w:val="21"/>
                <w:szCs w:val="21"/>
                <w:lang w:val="en-US" w:eastAsia="zh-CN" w:bidi="ar-SA"/>
              </w:rPr>
            </w:pPr>
            <w:r>
              <w:rPr>
                <w:rFonts w:hint="eastAsia" w:ascii="宋体" w:hAnsi="宋体" w:cs="宋体"/>
                <w:bCs/>
                <w:szCs w:val="21"/>
              </w:rPr>
              <w:t>数量</w:t>
            </w:r>
          </w:p>
        </w:tc>
        <w:tc>
          <w:tcPr>
            <w:tcW w:w="1056" w:type="dxa"/>
            <w:shd w:val="clear" w:color="auto" w:fill="auto"/>
            <w:vAlign w:val="center"/>
          </w:tcPr>
          <w:p>
            <w:pPr>
              <w:spacing w:line="360" w:lineRule="auto"/>
              <w:jc w:val="center"/>
              <w:rPr>
                <w:rFonts w:ascii="宋体" w:hAnsi="宋体" w:eastAsia="宋体" w:cs="宋体"/>
                <w:bCs/>
                <w:kern w:val="2"/>
                <w:sz w:val="21"/>
                <w:szCs w:val="21"/>
                <w:lang w:val="en-US" w:eastAsia="zh-CN" w:bidi="ar-SA"/>
              </w:rPr>
            </w:pPr>
            <w:r>
              <w:rPr>
                <w:rFonts w:hint="eastAsia" w:ascii="宋体" w:hAnsi="宋体" w:cs="宋体"/>
                <w:bCs/>
                <w:szCs w:val="21"/>
              </w:rPr>
              <w:t>单位</w:t>
            </w:r>
          </w:p>
        </w:tc>
        <w:tc>
          <w:tcPr>
            <w:tcW w:w="1716" w:type="dxa"/>
            <w:vAlign w:val="center"/>
          </w:tcPr>
          <w:p>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4" w:type="dxa"/>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3962" w:type="dxa"/>
            <w:shd w:val="clear" w:color="auto" w:fill="auto"/>
            <w:vAlign w:val="center"/>
          </w:tcPr>
          <w:p>
            <w:pPr>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
                <w:bCs/>
                <w:color w:val="FF0000"/>
                <w:szCs w:val="21"/>
              </w:rPr>
              <w:t>网络安全等级保护测评</w:t>
            </w:r>
            <w:r>
              <w:rPr>
                <w:rFonts w:hint="eastAsia" w:ascii="宋体" w:hAnsi="宋体" w:cs="宋体"/>
                <w:b/>
                <w:bCs/>
                <w:color w:val="FF0000"/>
                <w:szCs w:val="21"/>
                <w:lang w:val="en-US" w:eastAsia="zh-CN"/>
              </w:rPr>
              <w:t>服务</w:t>
            </w:r>
          </w:p>
        </w:tc>
        <w:tc>
          <w:tcPr>
            <w:tcW w:w="900" w:type="dxa"/>
            <w:shd w:val="clear" w:color="auto" w:fill="auto"/>
            <w:vAlign w:val="center"/>
          </w:tcPr>
          <w:p>
            <w:pPr>
              <w:spacing w:line="360" w:lineRule="auto"/>
              <w:jc w:val="center"/>
              <w:rPr>
                <w:rFonts w:ascii="宋体" w:hAnsi="宋体" w:eastAsia="宋体" w:cs="宋体"/>
                <w:bCs/>
                <w:kern w:val="2"/>
                <w:sz w:val="21"/>
                <w:szCs w:val="21"/>
                <w:lang w:val="en-US" w:eastAsia="zh-CN" w:bidi="ar-SA"/>
              </w:rPr>
            </w:pPr>
            <w:r>
              <w:rPr>
                <w:rFonts w:hint="eastAsia"/>
              </w:rPr>
              <w:t>1</w:t>
            </w:r>
          </w:p>
        </w:tc>
        <w:tc>
          <w:tcPr>
            <w:tcW w:w="1056" w:type="dxa"/>
            <w:shd w:val="clear" w:color="auto" w:fill="auto"/>
            <w:vAlign w:val="center"/>
          </w:tcPr>
          <w:p>
            <w:pPr>
              <w:spacing w:line="360" w:lineRule="auto"/>
              <w:jc w:val="center"/>
              <w:rPr>
                <w:rFonts w:ascii="宋体" w:hAnsi="宋体" w:eastAsia="宋体" w:cs="宋体"/>
                <w:bCs/>
                <w:kern w:val="2"/>
                <w:sz w:val="21"/>
                <w:szCs w:val="21"/>
                <w:lang w:val="en-US" w:eastAsia="zh-CN" w:bidi="ar-SA"/>
              </w:rPr>
            </w:pPr>
            <w:r>
              <w:rPr>
                <w:rFonts w:hint="eastAsia"/>
                <w:bCs/>
                <w:szCs w:val="21"/>
              </w:rPr>
              <w:t>项</w:t>
            </w:r>
          </w:p>
        </w:tc>
        <w:tc>
          <w:tcPr>
            <w:tcW w:w="1716" w:type="dxa"/>
            <w:vMerge w:val="restart"/>
            <w:vAlign w:val="center"/>
          </w:tcPr>
          <w:p>
            <w:pPr>
              <w:spacing w:line="360" w:lineRule="auto"/>
              <w:jc w:val="center"/>
              <w:rPr>
                <w:rFonts w:hint="default" w:ascii="宋体" w:hAnsi="宋体" w:eastAsia="宋体" w:cs="宋体"/>
                <w:bCs/>
                <w:szCs w:val="21"/>
                <w:lang w:val="en-US" w:eastAsia="zh-CN"/>
              </w:rPr>
            </w:pPr>
            <w:r>
              <w:rPr>
                <w:rFonts w:hint="eastAsia" w:ascii="宋体" w:hAnsi="宋体" w:cs="宋体"/>
                <w:b/>
                <w:bCs w:val="0"/>
                <w:szCs w:val="21"/>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4" w:type="dxa"/>
            <w:vAlign w:val="center"/>
          </w:tcPr>
          <w:p>
            <w:pPr>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3962" w:type="dxa"/>
            <w:vAlign w:val="center"/>
          </w:tcPr>
          <w:p>
            <w:pPr>
              <w:spacing w:line="360" w:lineRule="auto"/>
              <w:jc w:val="center"/>
              <w:rPr>
                <w:rFonts w:hint="eastAsia" w:ascii="宋体" w:hAnsi="宋体" w:cs="宋体"/>
                <w:bCs/>
                <w:szCs w:val="21"/>
              </w:rPr>
            </w:pPr>
            <w:r>
              <w:rPr>
                <w:rFonts w:hint="eastAsia" w:ascii="宋体" w:hAnsi="宋体" w:cs="宋体"/>
                <w:b/>
                <w:bCs/>
                <w:color w:val="FF0000"/>
                <w:szCs w:val="21"/>
              </w:rPr>
              <w:t>商用密码应用安全性评估服务</w:t>
            </w:r>
          </w:p>
        </w:tc>
        <w:tc>
          <w:tcPr>
            <w:tcW w:w="900" w:type="dxa"/>
            <w:shd w:val="clear" w:color="auto" w:fill="auto"/>
            <w:vAlign w:val="center"/>
          </w:tcPr>
          <w:p>
            <w:pPr>
              <w:spacing w:line="360" w:lineRule="auto"/>
              <w:jc w:val="center"/>
              <w:rPr>
                <w:rFonts w:hint="eastAsia" w:ascii="宋体" w:hAnsi="宋体" w:eastAsia="宋体" w:cs="宋体"/>
                <w:bCs/>
                <w:kern w:val="2"/>
                <w:sz w:val="21"/>
                <w:szCs w:val="21"/>
                <w:lang w:val="en-US" w:eastAsia="zh-CN" w:bidi="ar-SA"/>
              </w:rPr>
            </w:pPr>
            <w:r>
              <w:rPr>
                <w:rFonts w:hint="eastAsia"/>
              </w:rPr>
              <w:t>1</w:t>
            </w:r>
          </w:p>
        </w:tc>
        <w:tc>
          <w:tcPr>
            <w:tcW w:w="1056" w:type="dxa"/>
            <w:shd w:val="clear" w:color="auto" w:fill="auto"/>
            <w:vAlign w:val="center"/>
          </w:tcPr>
          <w:p>
            <w:pPr>
              <w:spacing w:line="360" w:lineRule="auto"/>
              <w:jc w:val="center"/>
              <w:rPr>
                <w:rFonts w:hint="eastAsia" w:ascii="宋体" w:hAnsi="宋体" w:eastAsia="宋体" w:cs="宋体"/>
                <w:bCs/>
                <w:kern w:val="2"/>
                <w:sz w:val="21"/>
                <w:szCs w:val="21"/>
                <w:lang w:val="en-US" w:eastAsia="zh-CN" w:bidi="ar-SA"/>
              </w:rPr>
            </w:pPr>
            <w:r>
              <w:rPr>
                <w:rFonts w:hint="eastAsia"/>
                <w:bCs/>
                <w:szCs w:val="21"/>
              </w:rPr>
              <w:t>项</w:t>
            </w:r>
          </w:p>
        </w:tc>
        <w:tc>
          <w:tcPr>
            <w:tcW w:w="1716" w:type="dxa"/>
            <w:vMerge w:val="continue"/>
            <w:vAlign w:val="center"/>
          </w:tcPr>
          <w:p>
            <w:pPr>
              <w:spacing w:line="360" w:lineRule="auto"/>
              <w:jc w:val="center"/>
              <w:rPr>
                <w:rFonts w:hint="eastAsia"/>
                <w:bCs/>
                <w:szCs w:val="21"/>
              </w:rPr>
            </w:pPr>
          </w:p>
        </w:tc>
      </w:tr>
    </w:tbl>
    <w:p>
      <w:pPr>
        <w:rPr>
          <w:rFonts w:ascii="宋体" w:hAnsi="宋体"/>
          <w:b/>
          <w:color w:val="FF0000"/>
          <w:szCs w:val="21"/>
        </w:rPr>
      </w:pPr>
    </w:p>
    <w:p>
      <w:pPr>
        <w:pStyle w:val="5"/>
        <w:pageBreakBefore w:val="0"/>
        <w:widowControl w:val="0"/>
        <w:kinsoku/>
        <w:wordWrap/>
        <w:overflowPunct/>
        <w:topLinePunct w:val="0"/>
        <w:autoSpaceDE/>
        <w:autoSpaceDN/>
        <w:bidi w:val="0"/>
        <w:adjustRightInd/>
        <w:snapToGrid/>
        <w:spacing w:before="0" w:after="0" w:line="360" w:lineRule="auto"/>
        <w:textAlignment w:val="auto"/>
        <w:rPr>
          <w:sz w:val="21"/>
          <w:szCs w:val="21"/>
        </w:rPr>
      </w:pPr>
      <w:r>
        <w:rPr>
          <w:rFonts w:hint="eastAsia"/>
          <w:sz w:val="21"/>
          <w:szCs w:val="21"/>
          <w:lang w:eastAsia="zh-CN"/>
        </w:rPr>
        <w:t>（</w:t>
      </w:r>
      <w:r>
        <w:rPr>
          <w:rFonts w:hint="eastAsia"/>
          <w:sz w:val="21"/>
          <w:szCs w:val="21"/>
          <w:lang w:val="en-US" w:eastAsia="zh-CN"/>
        </w:rPr>
        <w:t>一</w:t>
      </w:r>
      <w:r>
        <w:rPr>
          <w:rFonts w:hint="eastAsia"/>
          <w:sz w:val="21"/>
          <w:szCs w:val="21"/>
          <w:lang w:eastAsia="zh-CN"/>
        </w:rPr>
        <w:t>）</w:t>
      </w:r>
      <w:r>
        <w:rPr>
          <w:rFonts w:hint="eastAsia"/>
          <w:sz w:val="21"/>
          <w:szCs w:val="21"/>
        </w:rPr>
        <w:t>服务内容</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按照《深圳市</w:t>
      </w:r>
      <w:r>
        <w:rPr>
          <w:rFonts w:hint="eastAsia" w:ascii="宋体" w:hAnsi="宋体" w:cs="宋体"/>
          <w:sz w:val="21"/>
          <w:szCs w:val="21"/>
          <w:lang w:val="en-US" w:eastAsia="zh-CN"/>
        </w:rPr>
        <w:t>政务信息化项目</w:t>
      </w:r>
      <w:r>
        <w:rPr>
          <w:rFonts w:hint="eastAsia" w:ascii="宋体" w:hAnsi="宋体" w:cs="宋体"/>
          <w:sz w:val="21"/>
          <w:szCs w:val="21"/>
        </w:rPr>
        <w:t>检测与验收管理办法》</w:t>
      </w:r>
      <w:r>
        <w:rPr>
          <w:rFonts w:hint="eastAsia" w:ascii="宋体" w:hAnsi="宋体" w:cs="宋体"/>
          <w:sz w:val="21"/>
          <w:szCs w:val="21"/>
          <w:lang w:val="en-US" w:eastAsia="zh-CN"/>
        </w:rPr>
        <w:t>要求</w:t>
      </w:r>
      <w:r>
        <w:rPr>
          <w:rFonts w:hint="eastAsia" w:ascii="宋体" w:hAnsi="宋体" w:cs="宋体"/>
          <w:sz w:val="21"/>
          <w:szCs w:val="21"/>
        </w:rPr>
        <w:t>，</w:t>
      </w:r>
      <w:r>
        <w:rPr>
          <w:rFonts w:hint="eastAsia" w:ascii="宋体" w:hAnsi="宋体" w:cs="宋体"/>
          <w:sz w:val="21"/>
          <w:szCs w:val="21"/>
          <w:lang w:val="en-US" w:eastAsia="zh-CN"/>
        </w:rPr>
        <w:t>开展智慧医疗“114工程”双活数据中心及区域医疗应用扩充建设项目各软件系统网络安全等级保护测评服务、商用密码应用安全性评估服务，并出具相应测评报告</w:t>
      </w:r>
      <w:r>
        <w:rPr>
          <w:rFonts w:hint="eastAsia" w:ascii="宋体" w:hAnsi="宋体" w:cs="宋体"/>
          <w:sz w:val="21"/>
          <w:szCs w:val="21"/>
        </w:rPr>
        <w:t>。主要包括以下内容：</w:t>
      </w:r>
    </w:p>
    <w:p>
      <w:pPr>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auto"/>
          <w:sz w:val="21"/>
          <w:szCs w:val="21"/>
          <w:highlight w:val="none"/>
          <w:lang w:val="en-US"/>
        </w:rPr>
        <w:t>网络安全等级保护测评服务</w:t>
      </w:r>
    </w:p>
    <w:p>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（1）指导采购方完成</w:t>
      </w:r>
      <w:r>
        <w:rPr>
          <w:rFonts w:hint="eastAsia" w:ascii="宋体" w:hAnsi="宋体" w:cs="宋体"/>
          <w:color w:val="auto"/>
          <w:sz w:val="21"/>
          <w:szCs w:val="21"/>
          <w:highlight w:val="none"/>
          <w:lang w:val="en-US" w:eastAsia="zh-CN"/>
        </w:rPr>
        <w:t>新建</w:t>
      </w:r>
      <w:r>
        <w:rPr>
          <w:rFonts w:hint="eastAsia" w:ascii="宋体" w:hAnsi="宋体" w:eastAsia="宋体" w:cs="宋体"/>
          <w:color w:val="auto"/>
          <w:sz w:val="21"/>
          <w:szCs w:val="21"/>
          <w:highlight w:val="none"/>
          <w:lang w:val="en-US"/>
        </w:rPr>
        <w:t>系统的定级备案材料编制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协助采购方取得《信息系统安全等级保护备案证明》</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据系统安全等级保护定级情况，制定信息系统安全等级保护测评方案，对项目涉及的机房、网络/安全设备、主机设备、应用系统、安全管理系统等进行等级保护差距测评，不符合项整改建议，以及漏洞扫描、渗透测试、验收测评、定级备案等，出具测评结果</w:t>
      </w:r>
      <w:r>
        <w:rPr>
          <w:rFonts w:hint="eastAsia" w:ascii="宋体" w:hAnsi="宋体" w:cs="宋体"/>
          <w:sz w:val="21"/>
          <w:szCs w:val="21"/>
          <w:lang w:val="en-US" w:eastAsia="zh-CN"/>
        </w:rPr>
        <w:t>/报告</w:t>
      </w:r>
      <w:r>
        <w:rPr>
          <w:rFonts w:hint="eastAsia" w:ascii="宋体" w:hAnsi="宋体" w:eastAsia="宋体" w:cs="宋体"/>
          <w:sz w:val="21"/>
          <w:szCs w:val="21"/>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auto"/>
          <w:sz w:val="21"/>
          <w:szCs w:val="21"/>
          <w:highlight w:val="none"/>
          <w:lang w:val="en-US"/>
        </w:rPr>
        <w:t>商用密码应用安全性评估</w:t>
      </w:r>
    </w:p>
    <w:p>
      <w:pPr>
        <w:pStyle w:val="8"/>
        <w:numPr>
          <w:ilvl w:val="0"/>
          <w:numId w:val="8"/>
        </w:numPr>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商用密码应用方案评</w:t>
      </w:r>
      <w:r>
        <w:rPr>
          <w:rFonts w:hint="eastAsia" w:ascii="宋体" w:hAnsi="宋体" w:cs="宋体"/>
          <w:b w:val="0"/>
          <w:bCs w:val="0"/>
          <w:sz w:val="21"/>
          <w:szCs w:val="21"/>
          <w:lang w:val="en-US" w:eastAsia="zh-CN"/>
        </w:rPr>
        <w:t>估</w:t>
      </w:r>
      <w:r>
        <w:rPr>
          <w:rFonts w:hint="eastAsia" w:ascii="宋体" w:hAnsi="宋体" w:eastAsia="宋体" w:cs="宋体"/>
          <w:b w:val="0"/>
          <w:bCs w:val="0"/>
          <w:sz w:val="21"/>
          <w:szCs w:val="21"/>
          <w:lang w:val="en-US" w:eastAsia="zh-CN"/>
        </w:rPr>
        <w:t>（方案评估、评估结论分析与形成、方案报告编制与评审等），出具密码应用方案评估报告。</w:t>
      </w:r>
    </w:p>
    <w:p>
      <w:pPr>
        <w:pStyle w:val="8"/>
        <w:numPr>
          <w:ilvl w:val="0"/>
          <w:numId w:val="8"/>
        </w:numPr>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商用密码应用安全性评估（含测评准备、</w:t>
      </w:r>
      <w:r>
        <w:rPr>
          <w:rFonts w:hint="eastAsia" w:ascii="宋体" w:hAnsi="宋体" w:cs="宋体"/>
          <w:b w:val="0"/>
          <w:bCs w:val="0"/>
          <w:sz w:val="21"/>
          <w:szCs w:val="21"/>
          <w:lang w:val="en-US" w:eastAsia="zh-CN"/>
        </w:rPr>
        <w:t>测评</w:t>
      </w:r>
      <w:r>
        <w:rPr>
          <w:rFonts w:hint="eastAsia" w:ascii="宋体" w:hAnsi="宋体" w:eastAsia="宋体" w:cs="宋体"/>
          <w:b w:val="0"/>
          <w:bCs w:val="0"/>
          <w:sz w:val="21"/>
          <w:szCs w:val="21"/>
          <w:lang w:val="en-US" w:eastAsia="zh-CN"/>
        </w:rPr>
        <w:t>方案编制、现场测评、分析与报告等），出具商用密码应用安全性评估报告。</w:t>
      </w:r>
    </w:p>
    <w:p>
      <w:pPr>
        <w:numPr>
          <w:ilvl w:val="0"/>
          <w:numId w:val="0"/>
        </w:numPr>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sz w:val="21"/>
          <w:szCs w:val="21"/>
          <w:lang w:val="en-US" w:eastAsia="zh-CN"/>
        </w:rPr>
        <w:t>系统清单</w:t>
      </w:r>
    </w:p>
    <w:tbl>
      <w:tblPr>
        <w:tblStyle w:val="21"/>
        <w:tblW w:w="8157"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7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卫生健康大数据底座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深圳市社区健康服务信息系统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核医学信息系统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心理评估信息系统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护理管理信息系统</w:t>
            </w:r>
          </w:p>
        </w:tc>
      </w:tr>
    </w:tbl>
    <w:p>
      <w:pPr>
        <w:pStyle w:val="8"/>
        <w:numPr>
          <w:ilvl w:val="-1"/>
          <w:numId w:val="0"/>
        </w:numPr>
        <w:rPr>
          <w:rFonts w:hint="default"/>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sz w:val="21"/>
          <w:szCs w:val="21"/>
        </w:rPr>
      </w:pPr>
      <w:r>
        <w:rPr>
          <w:rFonts w:hint="eastAsia"/>
          <w:sz w:val="21"/>
          <w:szCs w:val="21"/>
          <w:lang w:eastAsia="zh-CN"/>
        </w:rPr>
        <w:t>（</w:t>
      </w:r>
      <w:r>
        <w:rPr>
          <w:rFonts w:hint="eastAsia"/>
          <w:sz w:val="21"/>
          <w:szCs w:val="21"/>
          <w:lang w:val="en-US" w:eastAsia="zh-CN"/>
        </w:rPr>
        <w:t>二</w:t>
      </w:r>
      <w:r>
        <w:rPr>
          <w:rFonts w:hint="eastAsia"/>
          <w:sz w:val="21"/>
          <w:szCs w:val="21"/>
          <w:lang w:eastAsia="zh-CN"/>
        </w:rPr>
        <w:t>）</w:t>
      </w:r>
      <w:r>
        <w:rPr>
          <w:rFonts w:hint="eastAsia"/>
          <w:sz w:val="21"/>
          <w:szCs w:val="21"/>
        </w:rPr>
        <w:t>服务要求</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 w:val="21"/>
          <w:szCs w:val="21"/>
        </w:rPr>
      </w:pPr>
      <w:r>
        <w:rPr>
          <w:rFonts w:hint="eastAsia" w:ascii="宋体" w:hAnsi="宋体" w:cs="宋体"/>
          <w:b/>
          <w:bCs/>
          <w:sz w:val="21"/>
          <w:szCs w:val="21"/>
        </w:rPr>
        <w:t>检测服务总体要求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1．公平：实施方应遵循“面向应用、保证质量、客观公正、诚信守诺”的原则开展测评工作。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2.标准化：实施方应优先依据相关国家标准、行业标准开展测评工作。本测评要求所使用的标准和规范如与实施方所执行的标准不一致时，按照深圳市发布的相关标准规范为准。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3.优质服务：本测试要求实施方提供的是最低限度的要求，实施方应保证提供符合本测评要求和有关标准的优质服务，并确保测评报告符合项目最终验收的所有要求。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4.保密：对测评服务过程中接触到的各种信息，不得泄漏给任何单位和个人，未经允许不得利用这些信息从事与服务无关的活动。</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 w:val="21"/>
          <w:szCs w:val="21"/>
        </w:rPr>
      </w:pPr>
      <w:r>
        <w:rPr>
          <w:rFonts w:hint="eastAsia" w:ascii="宋体" w:hAnsi="宋体" w:cs="宋体"/>
          <w:b/>
          <w:bCs/>
          <w:sz w:val="21"/>
          <w:szCs w:val="21"/>
        </w:rPr>
        <w:t>检测服务要求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1.检测团队要求：检测团队相关人员必须具备评测的相关资质证书，同时必须安排一名项目经理作为团队负责人，负责本项目检测的全过程指导和管理工作。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2.进度要求：供应商应评估测评工作量，并在采购单位的认可情况下，对进度进行规划及管理，确保整体测评工作按照规划的方向执行，最终项目验收保证按照采购单位和供应商一致确认的进度</w:t>
      </w:r>
      <w:r>
        <w:rPr>
          <w:rFonts w:hint="eastAsia" w:ascii="宋体" w:hAnsi="宋体" w:cs="宋体"/>
          <w:sz w:val="21"/>
          <w:szCs w:val="21"/>
          <w:lang w:val="en-US" w:eastAsia="zh-CN"/>
        </w:rPr>
        <w:t>执行</w:t>
      </w:r>
      <w:r>
        <w:rPr>
          <w:rFonts w:hint="eastAsia" w:ascii="宋体" w:hAnsi="宋体" w:cs="宋体"/>
          <w:sz w:val="21"/>
          <w:szCs w:val="21"/>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3.保密要求：供应商承担本项目范围内的所有技术情报和资料的保密义务，不向第三方传泄，不论本项目是否变更、解除或终止，本条款均有效。</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4.公正性要求：为采购项目提供整体设计咨询或者项目管理、监理等服务的供应商，不得再参加本采购项目。</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验收要求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1、网络安全等级保护测评服务：</w:t>
      </w:r>
      <w:r>
        <w:rPr>
          <w:rFonts w:hint="eastAsia" w:ascii="宋体" w:hAnsi="宋体" w:cs="宋体"/>
          <w:sz w:val="21"/>
          <w:szCs w:val="21"/>
          <w:lang w:val="en-US" w:eastAsia="zh-CN"/>
        </w:rPr>
        <w:t>各</w:t>
      </w:r>
      <w:r>
        <w:rPr>
          <w:rFonts w:hint="eastAsia" w:ascii="宋体" w:hAnsi="宋体" w:cs="宋体"/>
          <w:sz w:val="21"/>
          <w:szCs w:val="21"/>
        </w:rPr>
        <w:t>项目通过三级等保测评，测评结果</w:t>
      </w:r>
      <w:r>
        <w:rPr>
          <w:rFonts w:hint="eastAsia" w:ascii="宋体" w:hAnsi="宋体" w:cs="宋体"/>
          <w:sz w:val="21"/>
          <w:szCs w:val="21"/>
          <w:lang w:val="en-US" w:eastAsia="zh-CN"/>
        </w:rPr>
        <w:t>基本符合</w:t>
      </w:r>
      <w:r>
        <w:rPr>
          <w:rFonts w:hint="eastAsia" w:ascii="宋体" w:hAnsi="宋体" w:cs="宋体"/>
          <w:sz w:val="21"/>
          <w:szCs w:val="21"/>
        </w:rPr>
        <w:t>及以上，项目取得测评结果</w:t>
      </w:r>
      <w:r>
        <w:rPr>
          <w:rFonts w:hint="eastAsia" w:ascii="宋体" w:hAnsi="宋体" w:cs="宋体"/>
          <w:sz w:val="21"/>
          <w:szCs w:val="21"/>
          <w:lang w:val="en-US" w:eastAsia="zh-CN"/>
        </w:rPr>
        <w:t>/报告</w:t>
      </w:r>
      <w:r>
        <w:rPr>
          <w:rFonts w:hint="eastAsia" w:ascii="宋体" w:hAnsi="宋体" w:cs="宋体"/>
          <w:sz w:val="21"/>
          <w:szCs w:val="21"/>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依据《深圳市密码应用推进工作协调小组办公室关于进一步加强政务信息系统密码应用与安全性评估工作的通知（深密局字【2020】15号）及深圳市密码管理局、深圳市发展和改革委员会、深圳市财政局、深圳市政务服务数据管理局联合发布的深密局字〔2022〕1号《关于进一步规范市级政务信息化项目建设密码应用有关工作的通知》等要求开展此次评估，交付</w:t>
      </w:r>
      <w:r>
        <w:rPr>
          <w:rFonts w:hint="eastAsia" w:ascii="宋体" w:hAnsi="宋体" w:cs="宋体"/>
          <w:sz w:val="21"/>
          <w:szCs w:val="21"/>
          <w:lang w:eastAsia="zh-CN"/>
        </w:rPr>
        <w:t>的</w:t>
      </w:r>
      <w:r>
        <w:rPr>
          <w:rFonts w:hint="eastAsia" w:ascii="宋体" w:hAnsi="宋体" w:cs="宋体"/>
          <w:sz w:val="21"/>
          <w:szCs w:val="21"/>
        </w:rPr>
        <w:t>报告</w:t>
      </w:r>
      <w:r>
        <w:rPr>
          <w:rFonts w:hint="eastAsia" w:ascii="宋体" w:hAnsi="宋体" w:cs="宋体"/>
          <w:sz w:val="21"/>
          <w:szCs w:val="21"/>
          <w:lang w:val="en-US" w:eastAsia="zh-CN"/>
        </w:rPr>
        <w:t>符合</w:t>
      </w:r>
      <w:r>
        <w:rPr>
          <w:rFonts w:hint="eastAsia" w:ascii="宋体" w:hAnsi="宋体" w:cs="宋体"/>
          <w:sz w:val="21"/>
          <w:szCs w:val="21"/>
        </w:rPr>
        <w:t>深圳市密码局</w:t>
      </w:r>
      <w:r>
        <w:rPr>
          <w:rFonts w:hint="eastAsia" w:ascii="宋体" w:hAnsi="宋体" w:cs="宋体"/>
          <w:sz w:val="21"/>
          <w:szCs w:val="21"/>
          <w:lang w:val="en-US" w:eastAsia="zh-CN"/>
        </w:rPr>
        <w:t>要求</w:t>
      </w:r>
      <w:r>
        <w:rPr>
          <w:rFonts w:hint="eastAsia" w:ascii="宋体" w:hAnsi="宋体" w:cs="宋体"/>
          <w:sz w:val="21"/>
          <w:szCs w:val="21"/>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sz w:val="21"/>
          <w:szCs w:val="21"/>
        </w:rPr>
      </w:pPr>
      <w:r>
        <w:rPr>
          <w:rFonts w:hint="eastAsia"/>
          <w:sz w:val="21"/>
          <w:szCs w:val="21"/>
          <w:lang w:eastAsia="zh-CN"/>
        </w:rPr>
        <w:t>（</w:t>
      </w:r>
      <w:r>
        <w:rPr>
          <w:rFonts w:hint="eastAsia"/>
          <w:sz w:val="21"/>
          <w:szCs w:val="21"/>
          <w:lang w:val="en-US" w:eastAsia="zh-CN"/>
        </w:rPr>
        <w:t>三</w:t>
      </w:r>
      <w:r>
        <w:rPr>
          <w:rFonts w:hint="eastAsia"/>
          <w:sz w:val="21"/>
          <w:szCs w:val="21"/>
          <w:lang w:eastAsia="zh-CN"/>
        </w:rPr>
        <w:t>）</w:t>
      </w:r>
      <w:r>
        <w:rPr>
          <w:rFonts w:hint="eastAsia"/>
          <w:sz w:val="21"/>
          <w:szCs w:val="21"/>
        </w:rPr>
        <w:t>保密要求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lang w:val="en-US" w:eastAsia="zh-CN"/>
        </w:rPr>
        <w:t>测评</w:t>
      </w:r>
      <w:r>
        <w:rPr>
          <w:rFonts w:hint="eastAsia" w:ascii="宋体" w:hAnsi="宋体" w:cs="宋体"/>
          <w:sz w:val="21"/>
          <w:szCs w:val="21"/>
        </w:rPr>
        <w:t>过程需要遵循有关保密要求，包括但不限于：数据不得私自备份、复制、转移、删除、变更，未经招标部门书面批准，不得提供给任何单位或个人；维护中做好数据备份工作，并且维护人员不得私自备份，只能使用该保密部门的备份介质进行完全备份，发生故障的存储硬件如U盘、硬件、光盘、移动设备等必须交回招标单位按照保密要求进行相关处理，不得私自带出或直接提交给设备供应商进行维护和更换；需妥善保存涉及保密信息的个人电脑、U盘等硬件设备及各类操作文档，禁止通过堡垒机及个人电脑向外传输、拷贝有关保密信息。</w:t>
      </w:r>
    </w:p>
    <w:p>
      <w:pPr>
        <w:pStyle w:val="3"/>
        <w:spacing w:before="120" w:beforeLines="50" w:after="120" w:afterLines="50"/>
        <w:rPr>
          <w:rFonts w:hint="eastAsia"/>
          <w:szCs w:val="24"/>
        </w:rPr>
      </w:pPr>
    </w:p>
    <w:p>
      <w:pPr>
        <w:pStyle w:val="3"/>
        <w:spacing w:before="120" w:beforeLines="50" w:after="120" w:afterLines="50"/>
        <w:rPr>
          <w:rFonts w:hint="eastAsia"/>
          <w:szCs w:val="24"/>
        </w:rPr>
      </w:pPr>
    </w:p>
    <w:p>
      <w:pPr>
        <w:pStyle w:val="3"/>
        <w:spacing w:before="120" w:beforeLines="50" w:after="120" w:afterLines="50"/>
        <w:jc w:val="center"/>
        <w:rPr>
          <w:szCs w:val="24"/>
        </w:rPr>
      </w:pPr>
      <w:r>
        <w:rPr>
          <w:rFonts w:hint="eastAsia"/>
          <w:szCs w:val="24"/>
        </w:rPr>
        <w:t>四、实质性条款</w:t>
      </w:r>
    </w:p>
    <w:tbl>
      <w:tblPr>
        <w:tblStyle w:val="2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3" w:type="dxa"/>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7987" w:type="dxa"/>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53" w:type="dxa"/>
          </w:tcPr>
          <w:p>
            <w:pPr>
              <w:adjustRightInd w:val="0"/>
              <w:snapToGrid w:val="0"/>
              <w:spacing w:line="360" w:lineRule="auto"/>
              <w:rPr>
                <w:rFonts w:ascii="宋体" w:hAnsi="宋体" w:cs="宋体"/>
                <w:kern w:val="0"/>
                <w:szCs w:val="21"/>
              </w:rPr>
            </w:pPr>
            <w:r>
              <w:rPr>
                <w:rFonts w:hint="eastAsia" w:ascii="宋体" w:hAnsi="宋体" w:cs="宋体"/>
                <w:kern w:val="0"/>
                <w:szCs w:val="21"/>
              </w:rPr>
              <w:t>1</w:t>
            </w:r>
          </w:p>
        </w:tc>
        <w:tc>
          <w:tcPr>
            <w:tcW w:w="7987" w:type="dxa"/>
          </w:tcPr>
          <w:p>
            <w:pPr>
              <w:spacing w:line="360" w:lineRule="auto"/>
              <w:rPr>
                <w:rFonts w:ascii="宋体" w:hAnsi="宋体" w:cs="宋体"/>
                <w:kern w:val="0"/>
                <w:szCs w:val="21"/>
              </w:rPr>
            </w:pPr>
            <w:r>
              <w:rPr>
                <w:rFonts w:hint="eastAsia" w:ascii="宋体" w:hAnsi="宋体" w:cs="宋体"/>
                <w:b/>
              </w:rPr>
              <w:t>本项目第三章用户需求书全部内容</w:t>
            </w:r>
          </w:p>
        </w:tc>
      </w:tr>
    </w:tbl>
    <w:p>
      <w:pPr>
        <w:pStyle w:val="5"/>
        <w:tabs>
          <w:tab w:val="left" w:pos="765"/>
        </w:tabs>
        <w:rPr>
          <w:b/>
          <w:bCs/>
          <w:sz w:val="24"/>
        </w:rPr>
      </w:pPr>
      <w:r>
        <w:rPr>
          <w:rFonts w:hint="eastAsia" w:ascii="黑体"/>
          <w:b w:val="0"/>
          <w:kern w:val="0"/>
          <w:sz w:val="24"/>
          <w:szCs w:val="24"/>
        </w:rPr>
        <w:t>注：上表所列内容为不可负偏离条款，负偏离将视为未实质性满足招标文件要求作投标无效处理。</w:t>
      </w:r>
    </w:p>
    <w:p>
      <w:pPr>
        <w:pStyle w:val="4"/>
        <w:bidi w:val="0"/>
        <w:jc w:val="center"/>
        <w:rPr>
          <w:sz w:val="28"/>
          <w:szCs w:val="28"/>
        </w:rPr>
      </w:pPr>
      <w:r>
        <w:rPr>
          <w:rFonts w:hint="eastAsia"/>
          <w:sz w:val="28"/>
          <w:szCs w:val="28"/>
        </w:rPr>
        <w:t>五、商务要求</w:t>
      </w:r>
    </w:p>
    <w:p>
      <w:pPr>
        <w:pStyle w:val="5"/>
        <w:pageBreakBefore w:val="0"/>
        <w:widowControl w:val="0"/>
        <w:kinsoku/>
        <w:wordWrap/>
        <w:overflowPunct/>
        <w:topLinePunct w:val="0"/>
        <w:autoSpaceDE/>
        <w:autoSpaceDN/>
        <w:bidi w:val="0"/>
        <w:adjustRightInd/>
        <w:snapToGrid/>
        <w:spacing w:before="0" w:after="0" w:line="360" w:lineRule="auto"/>
        <w:textAlignment w:val="auto"/>
        <w:rPr>
          <w:sz w:val="21"/>
          <w:szCs w:val="21"/>
        </w:rPr>
      </w:pPr>
      <w:r>
        <w:rPr>
          <w:rFonts w:hint="eastAsia"/>
          <w:sz w:val="21"/>
          <w:szCs w:val="21"/>
        </w:rPr>
        <w:t>（一）服务期限</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自合同签订之日起2年内完成项目测评工作</w:t>
      </w:r>
      <w:r>
        <w:rPr>
          <w:rFonts w:hint="eastAsia" w:ascii="宋体" w:hAnsi="宋体" w:cs="宋体"/>
          <w:sz w:val="21"/>
          <w:szCs w:val="21"/>
          <w:lang w:val="en-US" w:eastAsia="zh-CN"/>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sz w:val="21"/>
          <w:szCs w:val="21"/>
          <w:lang w:val="en-US" w:eastAsia="zh-CN"/>
        </w:rPr>
      </w:pPr>
      <w:r>
        <w:rPr>
          <w:rFonts w:hint="eastAsia"/>
          <w:sz w:val="21"/>
          <w:szCs w:val="21"/>
          <w:lang w:val="en-US" w:eastAsia="zh-CN"/>
        </w:rPr>
        <w:t>（二）服务地点</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深圳市龙华区</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sz w:val="21"/>
          <w:szCs w:val="21"/>
          <w:lang w:val="en-US" w:eastAsia="zh-CN"/>
        </w:rPr>
      </w:pPr>
      <w:r>
        <w:rPr>
          <w:rFonts w:hint="eastAsia"/>
          <w:sz w:val="21"/>
          <w:szCs w:val="21"/>
          <w:lang w:val="en-US" w:eastAsia="zh-CN"/>
        </w:rPr>
        <w:t>（三）报价要求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olor w:val="000000"/>
          <w:sz w:val="21"/>
          <w:szCs w:val="21"/>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pStyle w:val="5"/>
        <w:pageBreakBefore w:val="0"/>
        <w:widowControl w:val="0"/>
        <w:kinsoku/>
        <w:wordWrap/>
        <w:overflowPunct/>
        <w:topLinePunct w:val="0"/>
        <w:autoSpaceDE/>
        <w:autoSpaceDN/>
        <w:bidi w:val="0"/>
        <w:adjustRightInd/>
        <w:snapToGrid/>
        <w:spacing w:before="0" w:after="0" w:line="360" w:lineRule="auto"/>
        <w:textAlignment w:val="auto"/>
        <w:rPr>
          <w:sz w:val="21"/>
          <w:szCs w:val="21"/>
        </w:rPr>
      </w:pPr>
      <w:r>
        <w:rPr>
          <w:rFonts w:hint="eastAsia"/>
          <w:sz w:val="21"/>
          <w:szCs w:val="21"/>
        </w:rPr>
        <w:t>（</w:t>
      </w:r>
      <w:r>
        <w:rPr>
          <w:rFonts w:hint="eastAsia"/>
          <w:sz w:val="21"/>
          <w:szCs w:val="21"/>
          <w:lang w:val="en-US" w:eastAsia="zh-CN"/>
        </w:rPr>
        <w:t>四</w:t>
      </w:r>
      <w:r>
        <w:rPr>
          <w:rFonts w:hint="eastAsia"/>
          <w:sz w:val="21"/>
          <w:szCs w:val="21"/>
        </w:rPr>
        <w:t>）付款方式</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sz w:val="21"/>
          <w:szCs w:val="21"/>
        </w:rPr>
        <w:t>合同签订后，采购人向中标人支付合同总价款</w:t>
      </w:r>
      <w:r>
        <w:rPr>
          <w:rFonts w:hint="eastAsia" w:ascii="宋体" w:hAnsi="宋体" w:cs="宋体"/>
          <w:sz w:val="21"/>
          <w:szCs w:val="21"/>
          <w:lang w:val="en-US" w:eastAsia="zh-CN"/>
        </w:rPr>
        <w:t>5</w:t>
      </w:r>
      <w:r>
        <w:rPr>
          <w:rFonts w:hint="eastAsia" w:ascii="宋体" w:hAnsi="宋体" w:eastAsia="宋体" w:cs="宋体"/>
          <w:sz w:val="21"/>
          <w:szCs w:val="21"/>
        </w:rPr>
        <w:t>0%，其余</w:t>
      </w:r>
      <w:r>
        <w:rPr>
          <w:rFonts w:hint="eastAsia" w:ascii="宋体" w:hAnsi="宋体" w:cs="宋体"/>
          <w:sz w:val="21"/>
          <w:szCs w:val="21"/>
          <w:lang w:val="en-US" w:eastAsia="zh-CN"/>
        </w:rPr>
        <w:t>5</w:t>
      </w:r>
      <w:r>
        <w:rPr>
          <w:rFonts w:hint="eastAsia" w:ascii="宋体" w:hAnsi="宋体" w:eastAsia="宋体" w:cs="宋体"/>
          <w:sz w:val="21"/>
          <w:szCs w:val="21"/>
        </w:rPr>
        <w:t>0%在合同签订时约定方式支付。</w:t>
      </w:r>
    </w:p>
    <w:p>
      <w:pPr>
        <w:pStyle w:val="3"/>
        <w:spacing w:before="120" w:beforeLines="50" w:after="120" w:afterLines="50"/>
        <w:rPr>
          <w:szCs w:val="24"/>
        </w:rPr>
      </w:pPr>
      <w:r>
        <w:rPr>
          <w:rFonts w:hint="eastAsia"/>
          <w:szCs w:val="24"/>
          <w:lang w:val="en-US" w:eastAsia="zh-CN"/>
        </w:rPr>
        <w:t>六</w:t>
      </w:r>
      <w:r>
        <w:rPr>
          <w:rFonts w:hint="eastAsia"/>
          <w:szCs w:val="24"/>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pageBreakBefore w:val="0"/>
        <w:kinsoku/>
        <w:wordWrap/>
        <w:overflowPunct/>
        <w:topLinePunct w:val="0"/>
        <w:autoSpaceDE/>
        <w:autoSpaceDN/>
        <w:bidi w:val="0"/>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8"/>
        <w:rPr>
          <w:rFonts w:hint="eastAsia"/>
        </w:rPr>
      </w:pPr>
      <w:bookmarkStart w:id="18" w:name="_Hlk72257167"/>
    </w:p>
    <w:bookmarkEnd w:id="18"/>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2"/>
        <w:rPr>
          <w:rFonts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bookmarkStart w:id="19" w:name="_Hlk72257771"/>
      <w:r>
        <w:rPr>
          <w:rFonts w:hint="eastAsia" w:ascii="宋体" w:hAnsi="宋体"/>
          <w:sz w:val="24"/>
        </w:rPr>
        <w:t>1.投标文件正文，主要包括以下内容：</w:t>
      </w:r>
    </w:p>
    <w:p>
      <w:pPr>
        <w:keepNext w:val="0"/>
        <w:keepLines w:val="0"/>
        <w:pageBreakBefore w:val="0"/>
        <w:numPr>
          <w:ilvl w:val="0"/>
          <w:numId w:val="9"/>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0" w:name="_Hlk72070784"/>
      <w:r>
        <w:rPr>
          <w:rFonts w:hint="eastAsia" w:asciiTheme="minorEastAsia" w:hAnsiTheme="minorEastAsia" w:eastAsiaTheme="minorEastAsia" w:cstheme="minorEastAsia"/>
          <w:szCs w:val="21"/>
          <w:highlight w:val="none"/>
        </w:rPr>
        <w:t>投标函</w:t>
      </w:r>
      <w:bookmarkEnd w:id="20"/>
    </w:p>
    <w:p>
      <w:pPr>
        <w:keepNext w:val="0"/>
        <w:keepLines w:val="0"/>
        <w:pageBreakBefore w:val="0"/>
        <w:numPr>
          <w:ilvl w:val="0"/>
          <w:numId w:val="9"/>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1" w:name="_Hlk72062521"/>
      <w:r>
        <w:rPr>
          <w:rFonts w:hint="eastAsia" w:asciiTheme="minorEastAsia" w:hAnsiTheme="minorEastAsia" w:eastAsiaTheme="minorEastAsia" w:cstheme="minorEastAsia"/>
          <w:szCs w:val="21"/>
          <w:highlight w:val="none"/>
        </w:rPr>
        <w:t>政府采购投标及履约承诺函</w:t>
      </w:r>
      <w:bookmarkEnd w:id="21"/>
    </w:p>
    <w:p>
      <w:pPr>
        <w:keepNext w:val="0"/>
        <w:keepLines w:val="0"/>
        <w:pageBreakBefore w:val="0"/>
        <w:numPr>
          <w:ilvl w:val="0"/>
          <w:numId w:val="9"/>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投标人情况及资格证明文件</w:t>
      </w:r>
    </w:p>
    <w:p>
      <w:pPr>
        <w:keepNext w:val="0"/>
        <w:keepLines w:val="0"/>
        <w:pageBreakBefore w:val="0"/>
        <w:numPr>
          <w:ilvl w:val="0"/>
          <w:numId w:val="9"/>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2" w:name="_Hlk72257201"/>
      <w:r>
        <w:rPr>
          <w:rFonts w:hint="eastAsia" w:asciiTheme="minorEastAsia" w:hAnsiTheme="minorEastAsia" w:eastAsiaTheme="minorEastAsia" w:cstheme="minorEastAsia"/>
          <w:szCs w:val="21"/>
          <w:highlight w:val="none"/>
        </w:rPr>
        <w:t>项目详细报价</w:t>
      </w:r>
      <w:bookmarkEnd w:id="22"/>
    </w:p>
    <w:p>
      <w:pPr>
        <w:keepNext w:val="0"/>
        <w:keepLines w:val="0"/>
        <w:pageBreakBefore w:val="0"/>
        <w:numPr>
          <w:ilvl w:val="0"/>
          <w:numId w:val="9"/>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供应商基本情况表</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r>
        <w:rPr>
          <w:rFonts w:hint="eastAsia" w:ascii="宋体" w:hAnsi="宋体"/>
          <w:sz w:val="24"/>
        </w:rPr>
        <w:t>2.投标文件附件：主要包括以下内容：</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法定代表人（负责人）证明书</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投标文件签署授权委托书</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实质性条款响应情况表</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实施方案</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项目重点难点分析、应对措施及相关的合理化建议</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color w:val="000000"/>
          <w:kern w:val="0"/>
          <w:sz w:val="21"/>
          <w:szCs w:val="21"/>
        </w:rPr>
        <w:t>质量保障措施及方案</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项目完成（服务期满）后的服务承诺</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color w:val="000000"/>
          <w:kern w:val="0"/>
          <w:sz w:val="21"/>
          <w:szCs w:val="21"/>
        </w:rPr>
        <w:t>违约承诺</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3" w:name="OLE_LINK2"/>
      <w:r>
        <w:rPr>
          <w:rFonts w:hint="eastAsia" w:ascii="宋体" w:hAnsi="宋体" w:cs="宋体"/>
          <w:sz w:val="21"/>
          <w:szCs w:val="21"/>
        </w:rPr>
        <w:t>拟安排的项目负责人情况（仅限一人）</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拟安排的项目主要团队成员（主要技术人员）情况（项目负责人除外）</w:t>
      </w:r>
    </w:p>
    <w:bookmarkEnd w:id="23"/>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4" w:name="OLE_LINK4"/>
      <w:r>
        <w:rPr>
          <w:rFonts w:hint="eastAsia" w:ascii="宋体" w:hAnsi="宋体" w:cs="宋体"/>
          <w:color w:val="000000"/>
          <w:kern w:val="0"/>
          <w:sz w:val="21"/>
          <w:szCs w:val="21"/>
        </w:rPr>
        <w:t>同类项目业绩情况</w:t>
      </w:r>
    </w:p>
    <w:bookmarkEnd w:id="24"/>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 w:val="21"/>
          <w:szCs w:val="21"/>
        </w:rPr>
        <w:t>投标人自主知识产权产品（创新、设计）情况</w:t>
      </w:r>
    </w:p>
    <w:p>
      <w:pPr>
        <w:keepNext w:val="0"/>
        <w:keepLines w:val="0"/>
        <w:pageBreakBefore w:val="0"/>
        <w:numPr>
          <w:ilvl w:val="0"/>
          <w:numId w:val="10"/>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投标人认为需要加以说明的其他内容</w:t>
      </w:r>
    </w:p>
    <w:p>
      <w:pPr>
        <w:pageBreakBefore w:val="0"/>
        <w:kinsoku/>
        <w:wordWrap/>
        <w:overflowPunct/>
        <w:topLinePunct w:val="0"/>
        <w:autoSpaceDE/>
        <w:autoSpaceDN/>
        <w:bidi w:val="0"/>
        <w:spacing w:line="320" w:lineRule="atLeast"/>
        <w:rPr>
          <w:rFonts w:ascii="宋体" w:hAnsi="宋体"/>
          <w:b/>
          <w:sz w:val="24"/>
          <w:szCs w:val="24"/>
        </w:rPr>
      </w:pPr>
      <w:r>
        <w:rPr>
          <w:rFonts w:hint="eastAsia" w:ascii="宋体" w:hAnsi="宋体"/>
          <w:b/>
          <w:sz w:val="24"/>
          <w:szCs w:val="24"/>
        </w:rPr>
        <w:t>备注：</w:t>
      </w:r>
    </w:p>
    <w:p>
      <w:pPr>
        <w:pageBreakBefore w:val="0"/>
        <w:kinsoku/>
        <w:wordWrap/>
        <w:overflowPunct/>
        <w:topLinePunct w:val="0"/>
        <w:autoSpaceDE/>
        <w:autoSpaceDN/>
        <w:bidi w:val="0"/>
        <w:snapToGrid w:val="0"/>
        <w:spacing w:line="320" w:lineRule="atLeast"/>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pageBreakBefore w:val="0"/>
        <w:kinsoku/>
        <w:wordWrap/>
        <w:overflowPunct/>
        <w:topLinePunct w:val="0"/>
        <w:autoSpaceDE/>
        <w:autoSpaceDN/>
        <w:bidi w:val="0"/>
        <w:snapToGrid w:val="0"/>
        <w:spacing w:line="320" w:lineRule="atLeast"/>
        <w:ind w:firstLine="482" w:firstLineChars="200"/>
        <w:rPr>
          <w:rFonts w:ascii="宋体" w:hAnsi="宋体" w:eastAsia="黑体" w:cs="Times New Roman"/>
          <w:bCs/>
          <w:kern w:val="44"/>
          <w:sz w:val="32"/>
          <w:szCs w:val="32"/>
        </w:rPr>
      </w:pPr>
      <w:bookmarkStart w:id="25" w:name="_Hlk72263559"/>
      <w:r>
        <w:rPr>
          <w:rFonts w:hint="eastAsia" w:ascii="宋体" w:hAnsi="宋体"/>
          <w:b/>
          <w:sz w:val="24"/>
          <w:szCs w:val="24"/>
        </w:rPr>
        <w:t>2.关于填写“开标一览表”的说明：“开标一览表”中除“投标总价”外，其他信息不作评审依据。</w:t>
      </w:r>
      <w:bookmarkEnd w:id="19"/>
      <w:bookmarkEnd w:id="25"/>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4"/>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26"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27" w:name="_Hlk72263588"/>
      <w:r>
        <w:rPr>
          <w:rFonts w:hint="eastAsia"/>
          <w:szCs w:val="21"/>
        </w:rPr>
        <w:t>愿意按照招标文件要求承包上述项目并修补其任何缺陷。</w:t>
      </w:r>
      <w:bookmarkEnd w:id="27"/>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6"/>
    </w:p>
    <w:p>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开户银行账号：</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none"/>
        </w:rPr>
        <w:t>：</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rFonts w:hint="eastAsia"/>
          <w:szCs w:val="21"/>
          <w:u w:val="none"/>
        </w:rPr>
      </w:pP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pStyle w:val="4"/>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pStyle w:val="8"/>
        <w:ind w:firstLine="482"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
    <w:p>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pPr>
        <w:ind w:firstLine="482"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3"/>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28"/>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第四处，在“招标文件中明确的所属行业”下划线处填写采购标的对应的中小企业划分标准所属行业（所属行业可在招标文件第一册第二章“对通用条款的补充内容及其他关键信息”章节查看）；</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宋体" w:eastAsia="黑体"/>
          <w:bCs/>
          <w:color w:val="FF0000"/>
          <w:kern w:val="0"/>
          <w:szCs w:val="21"/>
          <w:lang w:val="en-US" w:eastAsia="zh-CN"/>
        </w:rPr>
        <w:t>供应商</w:t>
      </w:r>
      <w:r>
        <w:rPr>
          <w:rFonts w:hint="eastAsia" w:ascii="黑体" w:hAnsi="宋体" w:eastAsia="黑体"/>
          <w:bCs/>
          <w:color w:val="FF0000"/>
          <w:kern w:val="0"/>
          <w:szCs w:val="21"/>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p>
    <w:p>
      <w:pPr>
        <w:ind w:firstLine="420" w:firstLineChars="200"/>
      </w:pPr>
    </w:p>
    <w:p>
      <w:pPr>
        <w:numPr>
          <w:ilvl w:val="0"/>
          <w:numId w:val="11"/>
        </w:numPr>
        <w:jc w:val="center"/>
        <w:outlineLvl w:val="3"/>
        <w:rPr>
          <w:b/>
          <w:sz w:val="24"/>
        </w:rPr>
      </w:pPr>
      <w:r>
        <w:rPr>
          <w:b/>
          <w:sz w:val="24"/>
        </w:rPr>
        <w:t>中小企业声明函（</w:t>
      </w:r>
      <w:r>
        <w:rPr>
          <w:rFonts w:hint="eastAsia"/>
          <w:b/>
          <w:sz w:val="24"/>
        </w:rPr>
        <w:t>服务</w:t>
      </w:r>
      <w:r>
        <w:rPr>
          <w:b/>
          <w:sz w:val="24"/>
        </w:rPr>
        <w:t>）</w:t>
      </w:r>
    </w:p>
    <w:p>
      <w:pPr>
        <w:pStyle w:val="8"/>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本公司郑重声明，根据《政府采购促进中小企业发展管理办法》（财库﹝2020﹞46号）的规定，本公司参加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29"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9"/>
    </w:p>
    <w:p>
      <w:pPr>
        <w:ind w:firstLine="420" w:firstLineChars="200"/>
      </w:pPr>
    </w:p>
    <w:p>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rPr>
          <w:rFonts w:hint="eastAsia" w:ascii="宋体" w:hAnsi="宋体" w:eastAsia="宋体" w:cs="Times New Roman"/>
          <w:b/>
          <w:bCs/>
          <w:kern w:val="0"/>
          <w:sz w:val="24"/>
          <w:szCs w:val="20"/>
        </w:rPr>
      </w:pPr>
      <w:r>
        <w:rPr>
          <w:rFonts w:hint="eastAsia" w:ascii="宋体" w:hAnsi="宋体"/>
          <w:szCs w:val="21"/>
        </w:rPr>
        <w:t>附：省级以上监狱管理局、戒毒管理局（含新疆生产建设兵团）出具的监狱企业证明文件。</w:t>
      </w:r>
      <w:r>
        <w:rPr>
          <w:rFonts w:hint="eastAsia" w:ascii="宋体" w:hAnsi="宋体" w:eastAsia="宋体" w:cs="Times New Roman"/>
          <w:b/>
          <w:bCs/>
          <w:kern w:val="0"/>
          <w:sz w:val="24"/>
          <w:szCs w:val="20"/>
        </w:rPr>
        <w:br w:type="page"/>
      </w:r>
    </w:p>
    <w:p>
      <w:pPr>
        <w:pStyle w:val="4"/>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8"/>
        <w:gridCol w:w="2196"/>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9"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4258"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采购项目名称</w:t>
            </w:r>
          </w:p>
        </w:tc>
        <w:tc>
          <w:tcPr>
            <w:tcW w:w="2196"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default" w:asciiTheme="minorEastAsia" w:hAnsiTheme="minorEastAsia" w:eastAsiaTheme="minorEastAsia" w:cstheme="minorEastAsia"/>
                <w:b/>
                <w:bCs/>
                <w:color w:val="FF0000"/>
                <w:szCs w:val="21"/>
                <w:lang w:val="en-US" w:eastAsia="zh-CN"/>
              </w:rPr>
            </w:pPr>
            <w:r>
              <w:rPr>
                <w:rFonts w:hint="eastAsia" w:asciiTheme="minorEastAsia" w:hAnsiTheme="minorEastAsia" w:cstheme="minorEastAsia"/>
                <w:b/>
                <w:bCs/>
                <w:color w:val="FF0000"/>
                <w:szCs w:val="21"/>
                <w:lang w:val="en-US" w:eastAsia="zh-CN"/>
              </w:rPr>
              <w:t>投标报价（元）</w:t>
            </w:r>
          </w:p>
        </w:tc>
        <w:tc>
          <w:tcPr>
            <w:tcW w:w="1768"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09" w:type="dxa"/>
            <w:vAlign w:val="center"/>
          </w:tcPr>
          <w:p>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color w:val="FF0000"/>
                <w:szCs w:val="21"/>
              </w:rPr>
              <w:t>1</w:t>
            </w:r>
          </w:p>
        </w:tc>
        <w:tc>
          <w:tcPr>
            <w:tcW w:w="4258" w:type="dxa"/>
            <w:vAlign w:val="center"/>
          </w:tcPr>
          <w:p>
            <w:pPr>
              <w:spacing w:line="360" w:lineRule="auto"/>
              <w:jc w:val="center"/>
              <w:rPr>
                <w:rFonts w:hint="eastAsia" w:eastAsia="宋体" w:asciiTheme="minorEastAsia" w:hAnsiTheme="minorEastAsia" w:cstheme="minorEastAsia"/>
                <w:b/>
                <w:bCs/>
                <w:color w:val="FF0000"/>
                <w:szCs w:val="21"/>
                <w:lang w:val="en-US" w:eastAsia="zh-CN"/>
              </w:rPr>
            </w:pPr>
            <w:r>
              <w:rPr>
                <w:rFonts w:hint="eastAsia" w:ascii="宋体" w:hAnsi="宋体" w:cs="宋体"/>
                <w:b/>
                <w:bCs/>
                <w:color w:val="FF0000"/>
                <w:szCs w:val="21"/>
              </w:rPr>
              <w:t>智慧医疗“114工程”双活数据中心及区域医疗应用扩充建设项目-网络安全等级保护测评及商用密码应用安全性评估服务</w:t>
            </w:r>
          </w:p>
        </w:tc>
        <w:tc>
          <w:tcPr>
            <w:tcW w:w="2196" w:type="dxa"/>
            <w:vAlign w:val="center"/>
          </w:tcPr>
          <w:p>
            <w:pPr>
              <w:spacing w:line="360" w:lineRule="auto"/>
              <w:jc w:val="center"/>
              <w:rPr>
                <w:rFonts w:hint="eastAsia"/>
                <w:b/>
                <w:color w:val="FF0000"/>
                <w:szCs w:val="21"/>
                <w:lang w:val="en-US" w:eastAsia="zh-CN"/>
              </w:rPr>
            </w:pPr>
          </w:p>
        </w:tc>
        <w:tc>
          <w:tcPr>
            <w:tcW w:w="1768" w:type="dxa"/>
            <w:vAlign w:val="center"/>
          </w:tcPr>
          <w:p>
            <w:pPr>
              <w:spacing w:line="360" w:lineRule="auto"/>
              <w:jc w:val="center"/>
              <w:rPr>
                <w:rFonts w:hint="default" w:asciiTheme="minorEastAsia" w:hAnsiTheme="minorEastAsia" w:eastAsiaTheme="minorEastAsia" w:cstheme="minorEastAsia"/>
                <w:bCs/>
                <w:color w:val="FF0000"/>
                <w:szCs w:val="21"/>
                <w:lang w:val="en-US"/>
              </w:rPr>
            </w:pPr>
            <w:r>
              <w:rPr>
                <w:rFonts w:hint="eastAsia"/>
                <w:b/>
                <w:color w:val="FF0000"/>
                <w:szCs w:val="21"/>
                <w:lang w:val="en-US" w:eastAsia="zh-CN"/>
              </w:rPr>
              <w:t>580,000.00</w:t>
            </w:r>
          </w:p>
        </w:tc>
      </w:tr>
    </w:tbl>
    <w:p>
      <w:pPr>
        <w:pStyle w:val="8"/>
        <w:rPr>
          <w:rFonts w:hint="default"/>
          <w:lang w:val="en-US" w:eastAsia="zh-CN"/>
        </w:rPr>
      </w:pPr>
    </w:p>
    <w:p>
      <w:pPr>
        <w:tabs>
          <w:tab w:val="left" w:pos="720"/>
        </w:tabs>
        <w:jc w:val="center"/>
        <w:rPr>
          <w:rFonts w:ascii="Arial" w:hAnsi="Arial" w:eastAsia="宋体" w:cs="Times New Roman"/>
          <w:sz w:val="24"/>
          <w:szCs w:val="24"/>
        </w:rPr>
      </w:pPr>
      <w:r>
        <w:rPr>
          <w:rFonts w:hint="eastAsia"/>
          <w:b/>
          <w:sz w:val="24"/>
        </w:rPr>
        <w:t>（二）</w:t>
      </w:r>
      <w:bookmarkStart w:id="30" w:name="_Hlk72073235"/>
      <w:r>
        <w:rPr>
          <w:rFonts w:hint="eastAsia"/>
          <w:b/>
          <w:sz w:val="24"/>
        </w:rPr>
        <w:t>投标人认为需要涉及的其他内容报价清单</w:t>
      </w:r>
      <w:bookmarkEnd w:id="30"/>
    </w:p>
    <w:p>
      <w:pPr>
        <w:jc w:val="center"/>
        <w:rPr>
          <w:b/>
          <w:bCs/>
          <w:color w:val="FF0000"/>
          <w:sz w:val="24"/>
        </w:rPr>
      </w:pPr>
    </w:p>
    <w:p>
      <w:pPr>
        <w:pStyle w:val="4"/>
        <w:numPr>
          <w:ilvl w:val="0"/>
          <w:numId w:val="0"/>
        </w:numPr>
        <w:jc w:val="center"/>
        <w:rPr>
          <w:rFonts w:hint="eastAsia" w:ascii="黑体" w:eastAsia="黑体" w:hAnsiTheme="minorHAnsi" w:cstheme="minorBidi"/>
          <w:kern w:val="2"/>
          <w:sz w:val="24"/>
          <w:szCs w:val="24"/>
          <w:lang w:val="en-US" w:eastAsia="zh-CN" w:bidi="ar-SA"/>
        </w:rPr>
      </w:pPr>
      <w:r>
        <w:rPr>
          <w:rFonts w:hint="eastAsia" w:ascii="黑体" w:eastAsia="黑体" w:hAnsiTheme="minorHAnsi" w:cstheme="minorBidi"/>
          <w:kern w:val="2"/>
          <w:sz w:val="24"/>
          <w:szCs w:val="24"/>
          <w:lang w:val="en-US" w:eastAsia="zh-CN" w:bidi="ar-SA"/>
        </w:rPr>
        <w:t>五、供应商基本情况表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pStyle w:val="8"/>
        <w:rPr>
          <w:rFonts w:hint="eastAsia"/>
          <w:lang w:val="en-US" w:eastAsia="zh-CN"/>
        </w:rPr>
      </w:pPr>
    </w:p>
    <w:p>
      <w:pPr>
        <w:widowControl/>
        <w:jc w:val="left"/>
        <w:rPr>
          <w:rFonts w:ascii="Arial" w:hAnsi="Arial" w:eastAsia="宋体" w:cs="Times New Roman"/>
          <w:szCs w:val="24"/>
        </w:rPr>
      </w:pPr>
    </w:p>
    <w:p>
      <w:pPr>
        <w:rPr>
          <w:rFonts w:hint="eastAsia" w:ascii="Arial" w:hAnsi="Arial" w:eastAsia="宋体" w:cs="Times New Roman"/>
          <w:b/>
          <w:color w:val="FF0000"/>
          <w:sz w:val="32"/>
          <w:szCs w:val="32"/>
        </w:rPr>
      </w:pPr>
      <w:r>
        <w:rPr>
          <w:rFonts w:hint="eastAsia" w:ascii="Arial" w:hAnsi="Arial" w:eastAsia="宋体" w:cs="Times New Roman"/>
          <w:b/>
          <w:color w:val="FF0000"/>
          <w:sz w:val="32"/>
          <w:szCs w:val="32"/>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4"/>
        <w:jc w:val="center"/>
        <w:rPr>
          <w:rFonts w:ascii="黑体" w:eastAsia="黑体"/>
          <w:b w:val="0"/>
          <w:sz w:val="24"/>
        </w:rPr>
      </w:pPr>
      <w:r>
        <w:rPr>
          <w:rFonts w:hint="eastAsia" w:ascii="黑体" w:eastAsia="黑体"/>
          <w:b w:val="0"/>
          <w:sz w:val="24"/>
        </w:rPr>
        <w:t>一、</w:t>
      </w:r>
      <w:bookmarkStart w:id="31" w:name="_Hlk72092499"/>
      <w:r>
        <w:rPr>
          <w:rFonts w:hint="eastAsia" w:ascii="黑体" w:eastAsia="黑体"/>
          <w:b w:val="0"/>
          <w:sz w:val="24"/>
        </w:rPr>
        <w:t>法定代表人（负责人）证明书</w:t>
      </w:r>
      <w:bookmarkEnd w:id="31"/>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2"/>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2"/>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pPr>
        <w:numPr>
          <w:ilvl w:val="0"/>
          <w:numId w:val="12"/>
        </w:numPr>
        <w:spacing w:line="360" w:lineRule="auto"/>
        <w:ind w:firstLine="420" w:firstLineChars="200"/>
        <w:rPr>
          <w:szCs w:val="21"/>
        </w:rPr>
      </w:pPr>
      <w:r>
        <w:rPr>
          <w:rFonts w:hint="eastAsia"/>
          <w:szCs w:val="21"/>
        </w:rPr>
        <w:t>内容必须填写真实、清楚，涂改无效，不得转让、买卖。</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1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17"/>
              <w:jc w:val="center"/>
              <w:rPr>
                <w:rFonts w:hint="eastAsia"/>
                <w:sz w:val="24"/>
                <w:vertAlign w:val="baseline"/>
                <w:lang w:val="en-US" w:eastAsia="zh-CN"/>
              </w:rPr>
            </w:pPr>
          </w:p>
        </w:tc>
      </w:tr>
    </w:tbl>
    <w:p>
      <w:pPr>
        <w:rPr>
          <w:sz w:val="24"/>
        </w:rPr>
      </w:pPr>
    </w:p>
    <w:p>
      <w:pPr>
        <w:pStyle w:val="4"/>
        <w:spacing w:before="120" w:after="120"/>
        <w:jc w:val="center"/>
        <w:rPr>
          <w:rFonts w:ascii="黑体" w:eastAsia="黑体"/>
          <w:b w:val="0"/>
          <w:sz w:val="24"/>
        </w:rPr>
      </w:pPr>
      <w:r>
        <w:rPr>
          <w:rFonts w:hint="eastAsia" w:ascii="黑体" w:eastAsia="黑体"/>
          <w:b w:val="0"/>
          <w:sz w:val="24"/>
        </w:rPr>
        <w:t>二、投标文件签署授权委托书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1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17"/>
              <w:jc w:val="center"/>
              <w:rPr>
                <w:rFonts w:hint="eastAsia"/>
                <w:sz w:val="24"/>
                <w:vertAlign w:val="baseline"/>
                <w:lang w:val="en-US" w:eastAsia="zh-CN"/>
              </w:rPr>
            </w:pPr>
          </w:p>
        </w:tc>
      </w:tr>
    </w:tbl>
    <w:p>
      <w:pPr>
        <w:tabs>
          <w:tab w:val="left" w:pos="651"/>
        </w:tabs>
        <w:snapToGrid w:val="0"/>
        <w:jc w:val="both"/>
        <w:rPr>
          <w:rFonts w:ascii="宋体" w:hAnsi="宋体" w:eastAsia="宋体" w:cs="Times New Roman"/>
          <w:color w:val="FF0000"/>
          <w:sz w:val="28"/>
          <w:szCs w:val="28"/>
        </w:rPr>
      </w:pPr>
    </w:p>
    <w:p>
      <w:pPr>
        <w:pStyle w:val="4"/>
        <w:jc w:val="center"/>
        <w:rPr>
          <w:rFonts w:ascii="黑体" w:eastAsia="黑体"/>
          <w:b w:val="0"/>
          <w:kern w:val="0"/>
          <w:sz w:val="24"/>
          <w:szCs w:val="24"/>
        </w:rPr>
      </w:pPr>
      <w:r>
        <w:rPr>
          <w:rFonts w:hint="eastAsia" w:ascii="黑体" w:eastAsia="黑体"/>
          <w:b w:val="0"/>
          <w:kern w:val="0"/>
          <w:sz w:val="24"/>
          <w:szCs w:val="24"/>
        </w:rPr>
        <w:t>三、</w:t>
      </w:r>
      <w:bookmarkStart w:id="32" w:name="_Hlk72092634"/>
      <w:r>
        <w:rPr>
          <w:rFonts w:hint="eastAsia" w:ascii="黑体" w:eastAsia="黑体"/>
          <w:b w:val="0"/>
          <w:kern w:val="0"/>
          <w:sz w:val="24"/>
          <w:szCs w:val="24"/>
        </w:rPr>
        <w:t>实质性条款响应情况表</w:t>
      </w:r>
      <w:bookmarkEnd w:id="32"/>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33"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center"/>
              <w:rPr>
                <w:rFonts w:hAnsi="宋体"/>
                <w:kern w:val="0"/>
                <w:szCs w:val="21"/>
              </w:rPr>
            </w:pPr>
            <w:r>
              <w:rPr>
                <w:rFonts w:hint="eastAsia" w:ascii="宋体" w:hAnsi="宋体" w:cs="宋体"/>
                <w:b/>
              </w:rPr>
              <w:t>本项目第三章用户需求书全部内容</w:t>
            </w:r>
          </w:p>
        </w:tc>
        <w:tc>
          <w:tcPr>
            <w:tcW w:w="1588" w:type="dxa"/>
          </w:tcPr>
          <w:p>
            <w:pPr>
              <w:adjustRightInd w:val="0"/>
              <w:snapToGrid w:val="0"/>
              <w:spacing w:line="360" w:lineRule="auto"/>
              <w:rPr>
                <w:rFonts w:ascii="宋体" w:hAnsi="宋体"/>
                <w:kern w:val="0"/>
                <w:szCs w:val="21"/>
              </w:rPr>
            </w:pPr>
            <w:r>
              <w:rPr>
                <w:rFonts w:hint="eastAsia" w:ascii="宋体" w:hAnsi="宋体" w:cs="宋体"/>
                <w:b/>
              </w:rPr>
              <w:t>本项目第三章用户需求书全部内容</w:t>
            </w:r>
          </w:p>
        </w:tc>
        <w:tc>
          <w:tcPr>
            <w:tcW w:w="1842" w:type="dxa"/>
          </w:tcPr>
          <w:p>
            <w:pPr>
              <w:adjustRightInd w:val="0"/>
              <w:snapToGrid w:val="0"/>
              <w:spacing w:line="360" w:lineRule="auto"/>
              <w:rPr>
                <w:rFonts w:ascii="宋体" w:hAnsi="宋体"/>
                <w:kern w:val="0"/>
                <w:szCs w:val="21"/>
              </w:rPr>
            </w:pPr>
            <w:r>
              <w:rPr>
                <w:rFonts w:hint="eastAsia" w:ascii="宋体" w:hAnsi="宋体"/>
                <w:kern w:val="0"/>
                <w:szCs w:val="21"/>
              </w:rPr>
              <w:t>无偏离</w:t>
            </w:r>
          </w:p>
        </w:tc>
        <w:tc>
          <w:tcPr>
            <w:tcW w:w="1418" w:type="dxa"/>
          </w:tcPr>
          <w:p>
            <w:pPr>
              <w:adjustRightInd w:val="0"/>
              <w:snapToGrid w:val="0"/>
              <w:spacing w:line="360" w:lineRule="auto"/>
              <w:rPr>
                <w:rFonts w:ascii="宋体" w:hAnsi="宋体"/>
                <w:kern w:val="0"/>
                <w:szCs w:val="21"/>
              </w:rPr>
            </w:pPr>
          </w:p>
        </w:tc>
      </w:tr>
    </w:tbl>
    <w:p>
      <w:pPr>
        <w:ind w:firstLine="422" w:firstLineChars="200"/>
        <w:rPr>
          <w:b/>
          <w:sz w:val="21"/>
          <w:szCs w:val="21"/>
        </w:rPr>
      </w:pPr>
      <w:r>
        <w:rPr>
          <w:rFonts w:hint="eastAsia"/>
          <w:b/>
          <w:sz w:val="21"/>
          <w:szCs w:val="21"/>
        </w:rPr>
        <w:t>注：1.上表所列各项均为不可负偏离条款。</w:t>
      </w:r>
    </w:p>
    <w:p>
      <w:pPr>
        <w:ind w:firstLine="422" w:firstLineChars="200"/>
        <w:rPr>
          <w:b/>
          <w:sz w:val="21"/>
          <w:szCs w:val="21"/>
        </w:rPr>
      </w:pPr>
      <w:r>
        <w:rPr>
          <w:rFonts w:hint="eastAsia"/>
          <w:b/>
          <w:sz w:val="21"/>
          <w:szCs w:val="21"/>
        </w:rPr>
        <w:t>2.“投标响应”一栏应当详细填写投标人自身响应情况，而不能不合理照搬照抄招实质性条款具体内容。</w:t>
      </w:r>
    </w:p>
    <w:p>
      <w:pPr>
        <w:ind w:firstLine="422" w:firstLineChars="200"/>
        <w:rPr>
          <w:b/>
          <w:sz w:val="21"/>
          <w:szCs w:val="21"/>
        </w:rPr>
      </w:pPr>
      <w:r>
        <w:rPr>
          <w:rFonts w:hint="eastAsia"/>
          <w:b/>
          <w:sz w:val="21"/>
          <w:szCs w:val="21"/>
        </w:rPr>
        <w:t>3</w:t>
      </w:r>
      <w:r>
        <w:rPr>
          <w:b/>
          <w:sz w:val="21"/>
          <w:szCs w:val="21"/>
        </w:rPr>
        <w:t>.</w:t>
      </w:r>
      <w:r>
        <w:rPr>
          <w:rFonts w:hint="eastAsia"/>
          <w:b/>
          <w:sz w:val="21"/>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2" w:firstLineChars="200"/>
        <w:rPr>
          <w:b/>
          <w:sz w:val="21"/>
          <w:szCs w:val="21"/>
        </w:rPr>
      </w:pPr>
      <w:r>
        <w:rPr>
          <w:b/>
          <w:sz w:val="21"/>
          <w:szCs w:val="21"/>
        </w:rPr>
        <w:t>4.</w:t>
      </w:r>
      <w:r>
        <w:rPr>
          <w:rFonts w:hint="eastAsia"/>
          <w:b/>
          <w:sz w:val="21"/>
          <w:szCs w:val="21"/>
        </w:rPr>
        <w:t>评审委员会有权对投标响应情况作出判断（作出评审结论）。</w:t>
      </w:r>
    </w:p>
    <w:p>
      <w:pPr>
        <w:ind w:firstLine="422" w:firstLineChars="200"/>
        <w:rPr>
          <w:b/>
          <w:sz w:val="21"/>
          <w:szCs w:val="21"/>
        </w:rPr>
      </w:pPr>
      <w:r>
        <w:rPr>
          <w:b/>
          <w:sz w:val="21"/>
          <w:szCs w:val="21"/>
        </w:rPr>
        <w:t>5</w:t>
      </w:r>
      <w:r>
        <w:rPr>
          <w:rFonts w:hint="eastAsia"/>
          <w:b/>
          <w:sz w:val="21"/>
          <w:szCs w:val="21"/>
        </w:rPr>
        <w:t>.实质性响应条款“投标响应情况”与投标文件其它内容冲突的，以实质性响应条款“投标响应情况”为准。</w:t>
      </w:r>
    </w:p>
    <w:p>
      <w:pPr>
        <w:ind w:firstLine="422" w:firstLineChars="200"/>
        <w:rPr>
          <w:rFonts w:hint="eastAsia" w:ascii="宋体" w:hAnsi="宋体" w:eastAsia="宋体"/>
          <w:b/>
          <w:bCs/>
          <w:color w:val="FF0000"/>
          <w:szCs w:val="21"/>
          <w:highlight w:val="yellow"/>
          <w:lang w:val="en-US" w:eastAsia="zh-CN"/>
        </w:rPr>
      </w:pPr>
      <w:r>
        <w:rPr>
          <w:rFonts w:hint="eastAsia"/>
          <w:b/>
          <w:sz w:val="21"/>
          <w:szCs w:val="21"/>
        </w:rPr>
        <w:t>6.要求提供证明资料，在“说明”一栏中列明证明资料的位置,以便评审；未要求提供证明材料的，投标人可以不提供。</w:t>
      </w:r>
      <w:r>
        <w:rPr>
          <w:rFonts w:hint="eastAsia"/>
          <w:b/>
          <w:sz w:val="21"/>
          <w:szCs w:val="21"/>
        </w:rPr>
        <w:br w:type="textWrapping"/>
      </w: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实施方案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项目重难点分析、应对措施及相关的合理化建议</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质量保障措施及方案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项目完成（服务期满）后的服务承诺</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宋体" w:hAnsi="宋体" w:cs="宋体"/>
          <w:color w:val="000000"/>
          <w:kern w:val="0"/>
          <w:sz w:val="21"/>
          <w:szCs w:val="21"/>
        </w:rPr>
        <w:t>违约承诺</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拟安排项目负责人情况（仅限一人）</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拟安排的项目主要团队成员（主要技术人员）情况（项目负责人除外）</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宋体" w:hAnsi="宋体" w:cs="宋体"/>
          <w:color w:val="000000"/>
          <w:kern w:val="0"/>
          <w:sz w:val="21"/>
          <w:szCs w:val="21"/>
        </w:rPr>
        <w:t>同类项目业绩情况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投标人自主知识产权产品（创新、设计）情况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4"/>
        <w:numPr>
          <w:ilvl w:val="0"/>
          <w:numId w:val="13"/>
        </w:numPr>
        <w:jc w:val="center"/>
        <w:rPr>
          <w:rFonts w:hint="eastAsia" w:ascii="黑体" w:hAnsi="宋体" w:eastAsia="黑体"/>
          <w:b w:val="0"/>
          <w:bCs w:val="0"/>
          <w:sz w:val="24"/>
          <w:szCs w:val="20"/>
        </w:rPr>
      </w:pPr>
      <w:r>
        <w:rPr>
          <w:rFonts w:hint="eastAsia" w:ascii="黑体" w:hAnsi="宋体" w:eastAsia="黑体"/>
          <w:b w:val="0"/>
          <w:bCs w:val="0"/>
          <w:sz w:val="24"/>
          <w:szCs w:val="20"/>
        </w:rPr>
        <w:t>投标人认为需要加以说明的其他内容服务方案</w:t>
      </w: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（三）对于涉及安全生产、特种作业、抢险救灾、防疫等政府采购项目，供应商实施提供虚假资料、串通投标等违法行为的，主管部门将依法从严处理。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5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pPr>
        <w:widowControl/>
        <w:autoSpaceDE w:val="0"/>
        <w:autoSpaceDN w:val="0"/>
        <w:spacing w:line="400" w:lineRule="exact"/>
        <w:ind w:right="1414" w:firstLine="480" w:firstLineChars="200"/>
        <w:jc w:val="right"/>
        <w:rPr>
          <w:rFonts w:eastAsiaTheme="minorEastAsia"/>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pPr>
        <w:pStyle w:val="8"/>
        <w:sectPr>
          <w:footerReference r:id="rId6" w:type="default"/>
          <w:pgSz w:w="11907" w:h="16840"/>
          <w:pgMar w:top="1440" w:right="1797" w:bottom="1440" w:left="1797" w:header="851" w:footer="992" w:gutter="0"/>
          <w:cols w:space="425" w:num="1"/>
          <w:titlePg/>
          <w:docGrid w:linePitch="462" w:charSpace="0"/>
        </w:sect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34" w:name="_Hlk72574405"/>
      <w:r>
        <w:rPr>
          <w:rFonts w:hint="eastAsia"/>
          <w:b/>
          <w:sz w:val="24"/>
        </w:rPr>
        <w:t>（仅供参考，具体以项目需求及采购结果为准）</w:t>
      </w:r>
      <w:bookmarkEnd w:id="34"/>
    </w:p>
    <w:p>
      <w:pPr>
        <w:snapToGrid w:val="0"/>
        <w:spacing w:line="300" w:lineRule="auto"/>
        <w:jc w:val="center"/>
        <w:rPr>
          <w:rFonts w:ascii="仿宋" w:hAnsi="仿宋" w:eastAsia="仿宋" w:cs="Times New Roman"/>
          <w:sz w:val="28"/>
          <w:szCs w:val="28"/>
        </w:rPr>
      </w:pPr>
    </w:p>
    <w:p>
      <w:pPr>
        <w:rPr>
          <w:rFonts w:ascii="宋体" w:hAnsi="宋体" w:eastAsia="宋体" w:cs="Times New Roman"/>
          <w:b/>
          <w:bCs/>
          <w:sz w:val="24"/>
          <w:szCs w:val="24"/>
        </w:rPr>
      </w:pPr>
      <w:r>
        <w:rPr>
          <w:rFonts w:hint="eastAsia" w:ascii="宋体" w:hAnsi="宋体" w:eastAsia="宋体" w:cs="Times New Roman"/>
          <w:b/>
          <w:bCs/>
          <w:sz w:val="24"/>
          <w:szCs w:val="24"/>
        </w:rPr>
        <w:t>甲方：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b/>
          <w:bCs/>
          <w:sz w:val="24"/>
          <w:szCs w:val="24"/>
        </w:rPr>
      </w:pPr>
    </w:p>
    <w:p>
      <w:pPr>
        <w:rPr>
          <w:rFonts w:ascii="宋体" w:hAnsi="宋体" w:eastAsia="宋体" w:cs="Times New Roman"/>
          <w:b/>
          <w:bCs/>
          <w:sz w:val="24"/>
          <w:szCs w:val="24"/>
        </w:rPr>
      </w:pPr>
      <w:r>
        <w:rPr>
          <w:rFonts w:hint="eastAsia" w:ascii="宋体" w:hAnsi="宋体" w:eastAsia="宋体" w:cs="Times New Roman"/>
          <w:b/>
          <w:bCs/>
          <w:sz w:val="24"/>
          <w:szCs w:val="24"/>
        </w:rPr>
        <w:t>乙方：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sz w:val="24"/>
          <w:szCs w:val="24"/>
        </w:rPr>
      </w:pPr>
    </w:p>
    <w:p>
      <w:pPr>
        <w:rPr>
          <w:rFonts w:ascii="宋体" w:hAnsi="宋体" w:eastAsia="宋体" w:cs="Times New Roman"/>
          <w:sz w:val="24"/>
          <w:szCs w:val="24"/>
        </w:rPr>
      </w:pP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１、应按照招标文件、投标文件要求按期完成本项目咨询服务工作。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参加本项目的试验人员的配置必须与投标文件中的服务承诺书和试验服务组织实施方案一致。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1、乙方应配备中标项目所需的足够数量的仪器、仪表以及工具等设备。用户不需向乙方提供施工工具和仪器、仪表。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3、验收依据为招标文件、投标文件，国家和行业有关规范、规程和标准。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１、乙方应完全地按照招标文件的要求和乙方投标文件的承诺完成本项目，出于自身财务、技术、人力等原因导致项目失败的，应承担全部责任。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（5）投标（响应）文件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pPr>
        <w:ind w:firstLine="480" w:firstLineChars="200"/>
        <w:rPr>
          <w:rFonts w:ascii="宋体" w:hAnsi="宋体" w:eastAsia="宋体" w:cs="Times New Roman"/>
          <w:sz w:val="24"/>
          <w:szCs w:val="24"/>
        </w:rPr>
      </w:pPr>
    </w:p>
    <w:p>
      <w:pPr>
        <w:ind w:firstLine="480" w:firstLineChars="200"/>
        <w:rPr>
          <w:rFonts w:ascii="宋体" w:hAnsi="宋体" w:eastAsia="宋体" w:cs="Times New Roman"/>
          <w:sz w:val="24"/>
          <w:szCs w:val="24"/>
        </w:rPr>
      </w:pP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pPr>
        <w:snapToGrid w:val="0"/>
        <w:spacing w:line="300" w:lineRule="auto"/>
        <w:rPr>
          <w:rFonts w:ascii="仿宋_GB2312" w:hAnsi="华文仿宋" w:eastAsia="仿宋_GB2312" w:cs="Times New Roman"/>
          <w:sz w:val="28"/>
        </w:rPr>
      </w:pPr>
    </w:p>
    <w:p>
      <w:pPr>
        <w:widowControl/>
        <w:jc w:val="left"/>
        <w:rPr>
          <w:rFonts w:ascii="Arial" w:hAnsi="Arial" w:eastAsia="宋体" w:cs="Times New Roman"/>
          <w:color w:val="FF0000"/>
          <w:szCs w:val="24"/>
        </w:rPr>
      </w:pPr>
    </w:p>
    <w:p>
      <w:pPr>
        <w:widowControl/>
        <w:jc w:val="left"/>
        <w:rPr>
          <w:b/>
          <w:color w:val="FF0000"/>
          <w:sz w:val="52"/>
          <w:szCs w:val="52"/>
        </w:rPr>
      </w:pPr>
      <w:r>
        <w:rPr>
          <w:b/>
          <w:color w:val="FF0000"/>
          <w:sz w:val="52"/>
          <w:szCs w:val="52"/>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45"/>
        <w:keepNext/>
        <w:keepLines/>
        <w:numPr>
          <w:ilvl w:val="0"/>
          <w:numId w:val="14"/>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sz w:val="28"/>
          <w:szCs w:val="28"/>
        </w:rPr>
      </w:pPr>
      <w:bookmarkStart w:id="35" w:name="_Hlk72399513"/>
      <w:r>
        <w:rPr>
          <w:rFonts w:hint="eastAsia" w:asciiTheme="majorHAnsi" w:hAnsiTheme="majorHAnsi" w:eastAsiaTheme="majorEastAsia" w:cstheme="majorBidi"/>
          <w:b/>
          <w:bCs/>
          <w:sz w:val="28"/>
          <w:szCs w:val="28"/>
        </w:rPr>
        <w:t>总则</w:t>
      </w:r>
    </w:p>
    <w:bookmarkEnd w:id="35"/>
    <w:p>
      <w:pPr>
        <w:rPr>
          <w:rFonts w:ascii="黑体" w:hAnsi="宋体" w:eastAsia="黑体"/>
          <w:sz w:val="24"/>
        </w:rPr>
      </w:pPr>
      <w:bookmarkStart w:id="36"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37" w:name="_Hlk72399729"/>
      <w:r>
        <w:rPr>
          <w:rFonts w:hint="eastAsia" w:ascii="宋体" w:hAnsi="宋体"/>
          <w:szCs w:val="21"/>
        </w:rPr>
        <w:t>如有需要，政府集中采购机构可以对通用条款的内容进行补充。</w:t>
      </w:r>
      <w:bookmarkEnd w:id="37"/>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w:t>
      </w:r>
      <w:r>
        <w:rPr>
          <w:rFonts w:hint="eastAsia" w:ascii="宋体" w:hAnsi="宋体"/>
          <w:szCs w:val="21"/>
          <w:lang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38"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hint="default" w:eastAsia="宋体"/>
          <w:lang w:val="en-US" w:eastAsia="zh-CN"/>
        </w:rPr>
      </w:pPr>
      <w:r>
        <w:rPr>
          <w:rFonts w:hint="eastAsia" w:ascii="宋体" w:hAnsi="宋体"/>
          <w:lang w:val="en-US" w:eastAsia="zh-CN"/>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3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9"/>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38"/>
    <w:p>
      <w:pPr>
        <w:ind w:firstLine="411" w:firstLineChars="196"/>
        <w:rPr>
          <w:rFonts w:ascii="宋体" w:hAnsi="宋体"/>
        </w:rPr>
      </w:pPr>
    </w:p>
    <w:p>
      <w:pPr>
        <w:pStyle w:val="3"/>
        <w:numPr>
          <w:ilvl w:val="0"/>
          <w:numId w:val="15"/>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0"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0"/>
    </w:p>
    <w:p>
      <w:pPr>
        <w:rPr>
          <w:rFonts w:ascii="宋体" w:hAnsi="宋体"/>
          <w:szCs w:val="21"/>
        </w:rPr>
      </w:pPr>
    </w:p>
    <w:p>
      <w:pPr>
        <w:pStyle w:val="3"/>
        <w:numPr>
          <w:ilvl w:val="0"/>
          <w:numId w:val="15"/>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41"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1"/>
    <w:p>
      <w:pPr>
        <w:rPr>
          <w:rFonts w:ascii="黑体" w:hAnsi="宋体" w:eastAsia="黑体"/>
          <w:sz w:val="24"/>
        </w:rPr>
      </w:pPr>
      <w:r>
        <w:rPr>
          <w:rFonts w:hint="eastAsia" w:ascii="黑体" w:hAnsi="宋体" w:eastAsia="黑体"/>
          <w:sz w:val="24"/>
        </w:rPr>
        <w:t>15．</w:t>
      </w:r>
      <w:bookmarkStart w:id="42"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42"/>
    <w:p>
      <w:pPr>
        <w:rPr>
          <w:rFonts w:ascii="黑体" w:hAnsi="宋体" w:eastAsia="黑体"/>
          <w:sz w:val="24"/>
        </w:rPr>
      </w:pPr>
      <w:r>
        <w:rPr>
          <w:rFonts w:hint="eastAsia" w:ascii="黑体" w:hAnsi="宋体" w:eastAsia="黑体"/>
          <w:sz w:val="24"/>
        </w:rPr>
        <w:t>18．</w:t>
      </w:r>
      <w:bookmarkStart w:id="43"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43"/>
    <w:p>
      <w:pPr>
        <w:rPr>
          <w:rFonts w:ascii="黑体" w:hAnsi="宋体" w:eastAsia="黑体"/>
          <w:sz w:val="24"/>
        </w:rPr>
      </w:pPr>
      <w:r>
        <w:rPr>
          <w:rFonts w:hint="eastAsia" w:ascii="黑体" w:hAnsi="宋体" w:eastAsia="黑体"/>
          <w:sz w:val="24"/>
        </w:rPr>
        <w:t>19．</w:t>
      </w:r>
      <w:bookmarkStart w:id="44"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5"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5"/>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44"/>
    <w:p>
      <w:pPr>
        <w:ind w:firstLine="411" w:firstLineChars="196"/>
        <w:rPr>
          <w:rFonts w:ascii="宋体" w:hAnsi="宋体"/>
          <w:szCs w:val="21"/>
        </w:rPr>
      </w:pPr>
      <w:bookmarkStart w:id="4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6"/>
    <w:p>
      <w:pPr>
        <w:rPr>
          <w:rFonts w:ascii="黑体" w:hAnsi="宋体" w:eastAsia="黑体"/>
          <w:sz w:val="24"/>
        </w:rPr>
      </w:pPr>
      <w:r>
        <w:rPr>
          <w:rFonts w:hint="eastAsia" w:ascii="黑体" w:hAnsi="宋体" w:eastAsia="黑体"/>
          <w:sz w:val="24"/>
        </w:rPr>
        <w:t>21．</w:t>
      </w:r>
      <w:bookmarkStart w:id="47"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7"/>
    <w:p>
      <w:pPr>
        <w:rPr>
          <w:rFonts w:ascii="黑体" w:hAnsi="宋体" w:eastAsia="黑体"/>
          <w:sz w:val="24"/>
        </w:rPr>
      </w:pPr>
      <w:r>
        <w:rPr>
          <w:rFonts w:hint="eastAsia" w:ascii="黑体" w:hAnsi="宋体" w:eastAsia="黑体"/>
          <w:sz w:val="24"/>
        </w:rPr>
        <w:t>23．</w:t>
      </w:r>
      <w:bookmarkStart w:id="48"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48"/>
    </w:p>
    <w:p>
      <w:pPr>
        <w:ind w:firstLine="411" w:firstLineChars="196"/>
        <w:rPr>
          <w:rFonts w:ascii="宋体" w:hAnsi="宋体"/>
          <w:szCs w:val="21"/>
        </w:rPr>
      </w:pPr>
    </w:p>
    <w:p>
      <w:pPr>
        <w:pStyle w:val="3"/>
        <w:numPr>
          <w:ilvl w:val="0"/>
          <w:numId w:val="15"/>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49" w:name="_Hlk72405459"/>
      <w:r>
        <w:rPr>
          <w:rFonts w:hint="eastAsia" w:ascii="黑体" w:hAnsi="宋体" w:eastAsia="黑体"/>
          <w:sz w:val="24"/>
        </w:rPr>
        <w:t>24．投标文件的保密</w:t>
      </w:r>
    </w:p>
    <w:p>
      <w:pPr>
        <w:ind w:firstLine="411" w:firstLineChars="196"/>
        <w:rPr>
          <w:rFonts w:hint="eastAsia" w:ascii="宋体" w:hAnsi="宋体" w:eastAsiaTheme="minorEastAsia"/>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pPr>
        <w:rPr>
          <w:rFonts w:ascii="宋体" w:hAnsi="宋体"/>
          <w:b/>
        </w:rPr>
      </w:pPr>
      <w:r>
        <w:rPr>
          <w:rFonts w:hint="eastAsia" w:ascii="宋体" w:hAnsi="宋体"/>
          <w:b/>
        </w:rPr>
        <w:t>24.2若采购项目出现延期情况：</w:t>
      </w:r>
    </w:p>
    <w:p>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w:t>
      </w:r>
      <w:r>
        <w:rPr>
          <w:rFonts w:hint="eastAsia" w:ascii="宋体" w:hAnsi="宋体"/>
          <w:lang w:eastAsia="zh-CN"/>
        </w:rPr>
        <w:t>政府采购</w:t>
      </w:r>
      <w:r>
        <w:rPr>
          <w:rFonts w:hint="eastAsia" w:ascii="宋体" w:hAnsi="宋体"/>
        </w:rPr>
        <w:t>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p>
    <w:p>
      <w:pPr>
        <w:ind w:firstLine="411" w:firstLineChars="196"/>
        <w:rPr>
          <w:rFonts w:ascii="宋体" w:hAnsi="宋体"/>
        </w:rPr>
      </w:pPr>
    </w:p>
    <w:bookmarkEnd w:id="49"/>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50"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0"/>
    <w:p>
      <w:pPr>
        <w:pStyle w:val="3"/>
        <w:numPr>
          <w:ilvl w:val="0"/>
          <w:numId w:val="15"/>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3"/>
        <w:numPr>
          <w:ilvl w:val="0"/>
          <w:numId w:val="15"/>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51"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1"/>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3"/>
        <w:numPr>
          <w:ilvl w:val="0"/>
          <w:numId w:val="15"/>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52"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2"/>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53" w:name="_Toc73521669"/>
      <w:bookmarkStart w:id="54" w:name="_Toc73518151"/>
      <w:bookmarkStart w:id="55" w:name="_Toc100052400"/>
      <w:bookmarkStart w:id="56" w:name="_Toc73521581"/>
      <w:bookmarkStart w:id="57" w:name="_Toc73517673"/>
      <w:r>
        <w:rPr>
          <w:rFonts w:hint="eastAsia" w:ascii="黑体" w:hAnsi="宋体" w:eastAsia="黑体"/>
          <w:sz w:val="24"/>
        </w:rPr>
        <w:t>34．错误的修正</w:t>
      </w:r>
      <w:bookmarkEnd w:id="53"/>
      <w:bookmarkEnd w:id="54"/>
      <w:bookmarkEnd w:id="55"/>
      <w:bookmarkEnd w:id="56"/>
      <w:bookmarkEnd w:id="57"/>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bookmarkStart w:id="58" w:name="_Hlk72438142"/>
      <w:r>
        <w:rPr>
          <w:rFonts w:hint="eastAsia" w:ascii="宋体" w:hAnsi="宋体"/>
          <w:b/>
          <w:bCs/>
          <w:szCs w:val="21"/>
        </w:rPr>
        <w:t>37.1.1最低价法</w:t>
      </w:r>
    </w:p>
    <w:p>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w:t>
      </w:r>
      <w:r>
        <w:rPr>
          <w:rFonts w:hint="eastAsia" w:ascii="ˎ̥" w:hAnsi="ˎ̥"/>
        </w:rPr>
        <w:t>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pPr>
        <w:ind w:firstLine="411" w:firstLineChars="196"/>
        <w:rPr>
          <w:rFonts w:ascii="ˎ̥" w:hAnsi="ˎ̥"/>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ˎ̥" w:hAnsi="ˎ̥"/>
        </w:rPr>
        <w:t>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8"/>
    </w:p>
    <w:p>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3"/>
        <w:numPr>
          <w:ilvl w:val="0"/>
          <w:numId w:val="15"/>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59"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eastAsiaTheme="minorEastAsia"/>
          <w:lang w:eastAsia="zh-CN"/>
        </w:rPr>
      </w:pPr>
      <w:r>
        <w:rPr>
          <w:rFonts w:hint="eastAsia" w:ascii="ˎ̥" w:hAnsi="ˎ̥" w:eastAsiaTheme="minorEastAsia"/>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eastAsiaTheme="minorEastAsia"/>
          <w:lang w:eastAsia="zh-CN"/>
        </w:rPr>
      </w:pPr>
      <w:r>
        <w:rPr>
          <w:rFonts w:hint="eastAsia" w:ascii="ˎ̥" w:hAnsi="ˎ̥" w:eastAsiaTheme="minorEastAsia"/>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60"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61"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0"/>
      <w:bookmarkEnd w:id="61"/>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59"/>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62"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w:t>
      </w:r>
      <w:r>
        <w:rPr>
          <w:rFonts w:hint="eastAsia" w:ascii="宋体" w:hAnsi="宋体"/>
          <w:b/>
          <w:bCs/>
          <w:lang w:eastAsia="zh-CN"/>
        </w:rPr>
        <w:t>政府采购</w:t>
      </w:r>
      <w:r>
        <w:rPr>
          <w:rFonts w:hint="eastAsia" w:ascii="宋体" w:hAnsi="宋体"/>
          <w:b/>
          <w:bCs/>
        </w:rPr>
        <w:t>自行采购系统</w:t>
      </w:r>
      <w:r>
        <w:rPr>
          <w:rFonts w:hint="eastAsia" w:ascii="宋体" w:hAnsi="宋体"/>
          <w:b/>
          <w:bCs/>
          <w:szCs w:val="21"/>
        </w:rPr>
        <w:t>（https://zxcg.szggzy.com/home/index.html）</w:t>
      </w:r>
      <w:r>
        <w:rPr>
          <w:rFonts w:hint="eastAsia" w:ascii="宋体" w:hAnsi="宋体"/>
          <w:szCs w:val="21"/>
        </w:rPr>
        <w:t>上发布中标结果公告。</w:t>
      </w:r>
      <w:bookmarkEnd w:id="62"/>
      <w:bookmarkStart w:id="6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3"/>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4" w:name="_Hlk72438863"/>
      <w:r>
        <w:rPr>
          <w:rFonts w:hint="eastAsia" w:ascii="宋体" w:hAnsi="宋体"/>
          <w:szCs w:val="21"/>
        </w:rPr>
        <w:t>中标公告公布以后无异常的情况下,中标供应商和采购人可自行</w:t>
      </w:r>
      <w:r>
        <w:rPr>
          <w:rFonts w:hint="eastAsia" w:ascii="宋体" w:hAnsi="宋体"/>
          <w:szCs w:val="21"/>
          <w:lang w:eastAsia="zh-CN"/>
        </w:rPr>
        <w:t>登录</w:t>
      </w:r>
      <w:r>
        <w:rPr>
          <w:rFonts w:hint="eastAsia" w:ascii="宋体" w:hAnsi="宋体"/>
          <w:b/>
          <w:bCs/>
          <w:szCs w:val="21"/>
        </w:rPr>
        <w:t>“</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4"/>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65" w:name="_Hlk71407340"/>
      <w:r>
        <w:rPr>
          <w:rFonts w:hint="eastAsia" w:ascii="宋体" w:hAnsi="宋体"/>
          <w:szCs w:val="21"/>
        </w:rPr>
        <w:t>41.3因质疑投诉或其它原因导致项目结果变更或采购终止的，政府集中采购机构有权吊销中标通知书。</w:t>
      </w:r>
    </w:p>
    <w:bookmarkEnd w:id="65"/>
    <w:p>
      <w:pPr>
        <w:ind w:firstLine="411" w:firstLineChars="196"/>
        <w:rPr>
          <w:rFonts w:ascii="宋体" w:hAnsi="宋体"/>
          <w:szCs w:val="21"/>
        </w:rPr>
      </w:pPr>
    </w:p>
    <w:p>
      <w:pPr>
        <w:pStyle w:val="3"/>
        <w:numPr>
          <w:ilvl w:val="0"/>
          <w:numId w:val="15"/>
        </w:numPr>
        <w:spacing w:before="120" w:beforeLines="50" w:after="120" w:afterLines="50"/>
        <w:ind w:left="562" w:hanging="562"/>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ascii="黑体" w:hAnsi="宋体" w:eastAsia="黑体"/>
          <w:sz w:val="24"/>
        </w:rPr>
      </w:pPr>
    </w:p>
    <w:p>
      <w:pPr>
        <w:pStyle w:val="3"/>
        <w:numPr>
          <w:ilvl w:val="0"/>
          <w:numId w:val="15"/>
        </w:numPr>
        <w:spacing w:before="120" w:beforeLines="50" w:after="120" w:afterLines="50"/>
        <w:ind w:left="562" w:hanging="562"/>
        <w:rPr>
          <w:sz w:val="28"/>
          <w:szCs w:val="28"/>
        </w:rPr>
      </w:pPr>
      <w:bookmarkStart w:id="66" w:name="_Hlk72439043"/>
      <w:r>
        <w:rPr>
          <w:rFonts w:hint="eastAsia"/>
          <w:sz w:val="28"/>
          <w:szCs w:val="28"/>
        </w:rPr>
        <w:t>合同的授予与备案</w:t>
      </w:r>
      <w:bookmarkEnd w:id="66"/>
    </w:p>
    <w:p>
      <w:pPr>
        <w:rPr>
          <w:rFonts w:ascii="黑体" w:hAnsi="宋体" w:eastAsia="黑体"/>
          <w:sz w:val="24"/>
        </w:rPr>
      </w:pPr>
      <w:bookmarkStart w:id="67" w:name="_Toc100052408"/>
      <w:bookmarkStart w:id="68" w:name="_Toc73517679"/>
      <w:bookmarkStart w:id="69" w:name="_Toc73521674"/>
      <w:bookmarkStart w:id="70" w:name="_Toc73521586"/>
      <w:bookmarkStart w:id="71" w:name="_Toc73518157"/>
      <w:bookmarkStart w:id="72" w:name="_Hlk72439088"/>
      <w:r>
        <w:rPr>
          <w:rFonts w:hint="eastAsia" w:ascii="黑体" w:hAnsi="宋体" w:eastAsia="黑体"/>
          <w:sz w:val="24"/>
        </w:rPr>
        <w:t>43．合同授予标准</w:t>
      </w:r>
      <w:bookmarkEnd w:id="67"/>
      <w:bookmarkEnd w:id="68"/>
      <w:bookmarkEnd w:id="69"/>
      <w:bookmarkEnd w:id="70"/>
      <w:bookmarkEnd w:id="71"/>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73" w:name="_Toc73518158"/>
      <w:bookmarkStart w:id="74" w:name="_Toc73521675"/>
      <w:bookmarkStart w:id="75" w:name="_Toc73521587"/>
      <w:bookmarkStart w:id="76" w:name="_Toc100052409"/>
      <w:bookmarkStart w:id="77" w:name="_Toc73517680"/>
      <w:r>
        <w:rPr>
          <w:rFonts w:hint="eastAsia" w:ascii="黑体" w:hAnsi="宋体" w:eastAsia="黑体"/>
          <w:sz w:val="24"/>
        </w:rPr>
        <w:t>44．</w:t>
      </w:r>
      <w:bookmarkEnd w:id="73"/>
      <w:bookmarkEnd w:id="74"/>
      <w:bookmarkEnd w:id="75"/>
      <w:bookmarkEnd w:id="76"/>
      <w:bookmarkEnd w:id="77"/>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78" w:name="_Toc73521677"/>
      <w:bookmarkStart w:id="79" w:name="_Toc100052410"/>
      <w:bookmarkStart w:id="80" w:name="_Toc73517682"/>
      <w:bookmarkStart w:id="81" w:name="_Toc73518160"/>
      <w:bookmarkStart w:id="82" w:name="_Toc73521589"/>
      <w:r>
        <w:rPr>
          <w:rFonts w:hint="eastAsia" w:ascii="黑体" w:hAnsi="宋体" w:eastAsia="黑体"/>
          <w:sz w:val="24"/>
        </w:rPr>
        <w:t>45．合同的签订</w:t>
      </w:r>
      <w:bookmarkEnd w:id="78"/>
      <w:bookmarkEnd w:id="79"/>
      <w:bookmarkEnd w:id="80"/>
      <w:bookmarkEnd w:id="81"/>
      <w:bookmarkEnd w:id="82"/>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83" w:name="_Toc73517683"/>
      <w:bookmarkStart w:id="84" w:name="_Toc73521678"/>
      <w:bookmarkStart w:id="85" w:name="_Toc100052411"/>
      <w:bookmarkStart w:id="86" w:name="_Toc73518161"/>
      <w:bookmarkStart w:id="87" w:name="_Toc73521590"/>
      <w:r>
        <w:rPr>
          <w:rFonts w:hint="eastAsia" w:ascii="黑体" w:hAnsi="宋体" w:eastAsia="黑体"/>
          <w:sz w:val="24"/>
        </w:rPr>
        <w:t>46．履约担保</w:t>
      </w:r>
      <w:bookmarkEnd w:id="83"/>
      <w:bookmarkEnd w:id="84"/>
      <w:bookmarkEnd w:id="85"/>
      <w:bookmarkEnd w:id="86"/>
      <w:bookmarkEnd w:id="87"/>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ascii="黑体" w:hAnsi="宋体" w:eastAsia="黑体"/>
          <w:sz w:val="24"/>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88" w:name="_Hlk72440769"/>
      <w:r>
        <w:rPr>
          <w:rFonts w:hint="eastAsia" w:ascii="宋体" w:hAnsi="宋体"/>
          <w:szCs w:val="21"/>
        </w:rPr>
        <w:t>政府集中采购机构或采购人不予退还其交纳的谈判保证金，情节严重的，并由主管部门</w:t>
      </w:r>
      <w:bookmarkEnd w:id="88"/>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2"/>
    <w:p>
      <w:pPr>
        <w:pStyle w:val="3"/>
        <w:numPr>
          <w:ilvl w:val="0"/>
          <w:numId w:val="15"/>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89" w:name="_Hlk75374941"/>
      <w:r>
        <w:rPr>
          <w:rFonts w:hint="eastAsia" w:ascii="宋体" w:hAnsi="宋体"/>
          <w:szCs w:val="21"/>
        </w:rPr>
        <w:t>以联合体形式参与的，质疑应当由组成联合体的所有成员共同提出</w:t>
      </w:r>
      <w:bookmarkEnd w:id="89"/>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36"/>
    </w:p>
    <w:p>
      <w:pPr>
        <w:rPr>
          <w:b/>
          <w:color w:val="FF0000"/>
          <w:sz w:val="52"/>
          <w:szCs w:val="52"/>
        </w:rPr>
      </w:pPr>
    </w:p>
    <w:p>
      <w:pPr>
        <w:rPr>
          <w:b/>
          <w:color w:val="FF0000"/>
          <w:sz w:val="52"/>
          <w:szCs w:val="52"/>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t xml:space="preserve">- </w:t>
    </w:r>
    <w:r>
      <w:fldChar w:fldCharType="begin"/>
    </w:r>
    <w:r>
      <w:instrText xml:space="preserve"> PAGE </w:instrText>
    </w:r>
    <w:r>
      <w:fldChar w:fldCharType="separate"/>
    </w:r>
    <w:r>
      <w:t>29</w:t>
    </w:r>
    <w:r>
      <w:fldChar w:fldCharType="end"/>
    </w:r>
    <w: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- 63 -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5"/>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13D5C"/>
    <w:multiLevelType w:val="singleLevel"/>
    <w:tmpl w:val="99613D5C"/>
    <w:lvl w:ilvl="0" w:tentative="0">
      <w:start w:val="1"/>
      <w:numFmt w:val="decimal"/>
      <w:suff w:val="nothing"/>
      <w:lvlText w:val="%1、"/>
      <w:lvlJc w:val="left"/>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C3C4A55E"/>
    <w:multiLevelType w:val="singleLevel"/>
    <w:tmpl w:val="C3C4A55E"/>
    <w:lvl w:ilvl="0" w:tentative="0">
      <w:start w:val="4"/>
      <w:numFmt w:val="chineseCounting"/>
      <w:suff w:val="nothing"/>
      <w:lvlText w:val="%1、"/>
      <w:lvlJc w:val="left"/>
      <w:rPr>
        <w:rFonts w:hint="eastAsia"/>
      </w:rPr>
    </w:lvl>
  </w:abstractNum>
  <w:abstractNum w:abstractNumId="5">
    <w:nsid w:val="D6847938"/>
    <w:multiLevelType w:val="singleLevel"/>
    <w:tmpl w:val="D6847938"/>
    <w:lvl w:ilvl="0" w:tentative="0">
      <w:start w:val="1"/>
      <w:numFmt w:val="decimal"/>
      <w:suff w:val="nothing"/>
      <w:lvlText w:val="（%1）"/>
      <w:lvlJc w:val="left"/>
    </w:lvl>
  </w:abstractNum>
  <w:abstractNum w:abstractNumId="6">
    <w:nsid w:val="ECA7219B"/>
    <w:multiLevelType w:val="singleLevel"/>
    <w:tmpl w:val="ECA7219B"/>
    <w:lvl w:ilvl="0" w:tentative="0">
      <w:start w:val="1"/>
      <w:numFmt w:val="decimal"/>
      <w:suff w:val="nothing"/>
      <w:lvlText w:val="%1、"/>
      <w:lvlJc w:val="left"/>
    </w:lvl>
  </w:abstractNum>
  <w:abstractNum w:abstractNumId="7">
    <w:nsid w:val="03CEC076"/>
    <w:multiLevelType w:val="singleLevel"/>
    <w:tmpl w:val="03CEC076"/>
    <w:lvl w:ilvl="0" w:tentative="0">
      <w:start w:val="3"/>
      <w:numFmt w:val="chineseCounting"/>
      <w:suff w:val="nothing"/>
      <w:lvlText w:val="%1、"/>
      <w:lvlJc w:val="left"/>
      <w:rPr>
        <w:rFonts w:hint="eastAsia"/>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06ABD5E"/>
    <w:multiLevelType w:val="singleLevel"/>
    <w:tmpl w:val="106ABD5E"/>
    <w:lvl w:ilvl="0" w:tentative="0">
      <w:start w:val="1"/>
      <w:numFmt w:val="decimal"/>
      <w:suff w:val="nothing"/>
      <w:lvlText w:val="（%1）"/>
      <w:lvlJc w:val="left"/>
    </w:lvl>
  </w:abstractNum>
  <w:abstractNum w:abstractNumId="10">
    <w:nsid w:val="229A4B02"/>
    <w:multiLevelType w:val="singleLevel"/>
    <w:tmpl w:val="229A4B02"/>
    <w:lvl w:ilvl="0" w:tentative="0">
      <w:start w:val="1"/>
      <w:numFmt w:val="decimal"/>
      <w:lvlText w:val="(%1)"/>
      <w:lvlJc w:val="left"/>
      <w:pPr>
        <w:ind w:left="425" w:hanging="425"/>
      </w:pPr>
      <w:rPr>
        <w:rFonts w:hint="default"/>
      </w:rPr>
    </w:lvl>
  </w:abstractNum>
  <w:abstractNum w:abstractNumId="11">
    <w:nsid w:val="327FD9E3"/>
    <w:multiLevelType w:val="singleLevel"/>
    <w:tmpl w:val="327FD9E3"/>
    <w:lvl w:ilvl="0" w:tentative="0">
      <w:start w:val="1"/>
      <w:numFmt w:val="decimal"/>
      <w:suff w:val="nothing"/>
      <w:lvlText w:val="%1、"/>
      <w:lvlJc w:val="left"/>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DE98230"/>
    <w:multiLevelType w:val="singleLevel"/>
    <w:tmpl w:val="3DE98230"/>
    <w:lvl w:ilvl="0" w:tentative="0">
      <w:start w:val="1"/>
      <w:numFmt w:val="decimal"/>
      <w:lvlText w:val="(%1)"/>
      <w:lvlJc w:val="left"/>
      <w:pPr>
        <w:ind w:left="425" w:hanging="425"/>
      </w:pPr>
      <w:rPr>
        <w:rFonts w:hint="default"/>
      </w:rPr>
    </w:lvl>
  </w:abstractNum>
  <w:abstractNum w:abstractNumId="14">
    <w:nsid w:val="4BA868E2"/>
    <w:multiLevelType w:val="singleLevel"/>
    <w:tmpl w:val="4BA868E2"/>
    <w:lvl w:ilvl="0" w:tentative="0">
      <w:start w:val="1"/>
      <w:numFmt w:val="decimal"/>
      <w:suff w:val="nothing"/>
      <w:lvlText w:val="%1、"/>
      <w:lvlJc w:val="left"/>
    </w:lvl>
  </w:abstractNum>
  <w:num w:numId="1">
    <w:abstractNumId w:val="14"/>
  </w:num>
  <w:num w:numId="2">
    <w:abstractNumId w:val="6"/>
  </w:num>
  <w:num w:numId="3">
    <w:abstractNumId w:val="0"/>
  </w:num>
  <w:num w:numId="4">
    <w:abstractNumId w:val="11"/>
  </w:num>
  <w:num w:numId="5">
    <w:abstractNumId w:val="9"/>
  </w:num>
  <w:num w:numId="6">
    <w:abstractNumId w:val="2"/>
  </w:num>
  <w:num w:numId="7">
    <w:abstractNumId w:val="7"/>
  </w:num>
  <w:num w:numId="8">
    <w:abstractNumId w:val="5"/>
  </w:num>
  <w:num w:numId="9">
    <w:abstractNumId w:val="10"/>
  </w:num>
  <w:num w:numId="10">
    <w:abstractNumId w:val="13"/>
  </w:num>
  <w:num w:numId="11">
    <w:abstractNumId w:val="1"/>
  </w:num>
  <w:num w:numId="12">
    <w:abstractNumId w:val="3"/>
  </w:num>
  <w:num w:numId="13">
    <w:abstractNumId w:val="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NjNTZhNGM0YTE3ZjgzOTRkNDEyYTU2ZDNiMWQifQ=="/>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2102"/>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38DE"/>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2335"/>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858"/>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242"/>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2B031D"/>
    <w:rsid w:val="01415CD2"/>
    <w:rsid w:val="01705095"/>
    <w:rsid w:val="01B61553"/>
    <w:rsid w:val="01D21086"/>
    <w:rsid w:val="01D5740A"/>
    <w:rsid w:val="01DA23AF"/>
    <w:rsid w:val="01FD5441"/>
    <w:rsid w:val="02003F90"/>
    <w:rsid w:val="020516AA"/>
    <w:rsid w:val="02562864"/>
    <w:rsid w:val="025739FF"/>
    <w:rsid w:val="02581525"/>
    <w:rsid w:val="02971D9B"/>
    <w:rsid w:val="02AD34F4"/>
    <w:rsid w:val="02B30143"/>
    <w:rsid w:val="02B811DD"/>
    <w:rsid w:val="02BF1210"/>
    <w:rsid w:val="02BF3353"/>
    <w:rsid w:val="02D51CBE"/>
    <w:rsid w:val="02DA6F37"/>
    <w:rsid w:val="032853BC"/>
    <w:rsid w:val="036563C8"/>
    <w:rsid w:val="037B5E49"/>
    <w:rsid w:val="038E2066"/>
    <w:rsid w:val="03E879F8"/>
    <w:rsid w:val="040F20B8"/>
    <w:rsid w:val="041537C6"/>
    <w:rsid w:val="042278BF"/>
    <w:rsid w:val="04477D53"/>
    <w:rsid w:val="04A120E1"/>
    <w:rsid w:val="04BF11F3"/>
    <w:rsid w:val="04DB3C4D"/>
    <w:rsid w:val="04F719AE"/>
    <w:rsid w:val="050314EB"/>
    <w:rsid w:val="05354B29"/>
    <w:rsid w:val="055408A9"/>
    <w:rsid w:val="056B77C2"/>
    <w:rsid w:val="05BC0BF8"/>
    <w:rsid w:val="05BE10A0"/>
    <w:rsid w:val="05CF5FA2"/>
    <w:rsid w:val="05D15A76"/>
    <w:rsid w:val="060C467C"/>
    <w:rsid w:val="062A31D9"/>
    <w:rsid w:val="062F259D"/>
    <w:rsid w:val="063063B7"/>
    <w:rsid w:val="063A028F"/>
    <w:rsid w:val="06565574"/>
    <w:rsid w:val="06654211"/>
    <w:rsid w:val="068160C3"/>
    <w:rsid w:val="068C25DB"/>
    <w:rsid w:val="069074E0"/>
    <w:rsid w:val="06AE79A3"/>
    <w:rsid w:val="06AF394D"/>
    <w:rsid w:val="06B47C7B"/>
    <w:rsid w:val="06D2750E"/>
    <w:rsid w:val="06D575E9"/>
    <w:rsid w:val="06EB2968"/>
    <w:rsid w:val="06ED4932"/>
    <w:rsid w:val="06F04C85"/>
    <w:rsid w:val="06F75D79"/>
    <w:rsid w:val="07106873"/>
    <w:rsid w:val="071C0D73"/>
    <w:rsid w:val="07504EC1"/>
    <w:rsid w:val="07643926"/>
    <w:rsid w:val="07832BA1"/>
    <w:rsid w:val="07835317"/>
    <w:rsid w:val="07856926"/>
    <w:rsid w:val="07CF735F"/>
    <w:rsid w:val="07EE41F1"/>
    <w:rsid w:val="080324F7"/>
    <w:rsid w:val="0805367D"/>
    <w:rsid w:val="082F13F4"/>
    <w:rsid w:val="08373B10"/>
    <w:rsid w:val="08381BDD"/>
    <w:rsid w:val="083C7992"/>
    <w:rsid w:val="083D1CD8"/>
    <w:rsid w:val="085E6480"/>
    <w:rsid w:val="08610ACC"/>
    <w:rsid w:val="087516B5"/>
    <w:rsid w:val="08C0183F"/>
    <w:rsid w:val="08C274F9"/>
    <w:rsid w:val="08E16B89"/>
    <w:rsid w:val="08FE41CD"/>
    <w:rsid w:val="093478C1"/>
    <w:rsid w:val="0960270A"/>
    <w:rsid w:val="099C1BC3"/>
    <w:rsid w:val="09A10A0F"/>
    <w:rsid w:val="0A1B2824"/>
    <w:rsid w:val="0A1C2427"/>
    <w:rsid w:val="0A1C72DC"/>
    <w:rsid w:val="0A2C04CF"/>
    <w:rsid w:val="0A5B1F0B"/>
    <w:rsid w:val="0A947A52"/>
    <w:rsid w:val="0AA46B35"/>
    <w:rsid w:val="0AB60A3E"/>
    <w:rsid w:val="0AC076B1"/>
    <w:rsid w:val="0AC37758"/>
    <w:rsid w:val="0ADE0443"/>
    <w:rsid w:val="0AF43971"/>
    <w:rsid w:val="0B0F299D"/>
    <w:rsid w:val="0B154457"/>
    <w:rsid w:val="0B212DFC"/>
    <w:rsid w:val="0B3E2722"/>
    <w:rsid w:val="0B507A97"/>
    <w:rsid w:val="0B91507D"/>
    <w:rsid w:val="0BBA6DAD"/>
    <w:rsid w:val="0C27455C"/>
    <w:rsid w:val="0C5F718D"/>
    <w:rsid w:val="0C610D37"/>
    <w:rsid w:val="0C8278CB"/>
    <w:rsid w:val="0CB642E9"/>
    <w:rsid w:val="0D0F2768"/>
    <w:rsid w:val="0D166E01"/>
    <w:rsid w:val="0D335780"/>
    <w:rsid w:val="0D3E78DC"/>
    <w:rsid w:val="0D82095F"/>
    <w:rsid w:val="0D8458C4"/>
    <w:rsid w:val="0DAD4E1B"/>
    <w:rsid w:val="0E1704E7"/>
    <w:rsid w:val="0E7B310A"/>
    <w:rsid w:val="0E85096E"/>
    <w:rsid w:val="0E8F2559"/>
    <w:rsid w:val="0EB628D0"/>
    <w:rsid w:val="0F030445"/>
    <w:rsid w:val="0F1D44D7"/>
    <w:rsid w:val="0F3F7D14"/>
    <w:rsid w:val="0F6D0EB4"/>
    <w:rsid w:val="0F751969"/>
    <w:rsid w:val="0F79652F"/>
    <w:rsid w:val="0FC075B0"/>
    <w:rsid w:val="0FC65268"/>
    <w:rsid w:val="0FCA40CB"/>
    <w:rsid w:val="0FDD1D3C"/>
    <w:rsid w:val="0FEC44A8"/>
    <w:rsid w:val="10221F9F"/>
    <w:rsid w:val="102B5847"/>
    <w:rsid w:val="1033098C"/>
    <w:rsid w:val="103E1D5B"/>
    <w:rsid w:val="10964BDC"/>
    <w:rsid w:val="10B169D0"/>
    <w:rsid w:val="10B72ECD"/>
    <w:rsid w:val="10B90864"/>
    <w:rsid w:val="10F90F82"/>
    <w:rsid w:val="11063C09"/>
    <w:rsid w:val="111019FE"/>
    <w:rsid w:val="11627CCB"/>
    <w:rsid w:val="118353EB"/>
    <w:rsid w:val="11B16B06"/>
    <w:rsid w:val="11B86D77"/>
    <w:rsid w:val="11D4341E"/>
    <w:rsid w:val="11D94517"/>
    <w:rsid w:val="11DC4E5E"/>
    <w:rsid w:val="1236731D"/>
    <w:rsid w:val="12686B4B"/>
    <w:rsid w:val="1279351E"/>
    <w:rsid w:val="1283393D"/>
    <w:rsid w:val="12A13FAF"/>
    <w:rsid w:val="12DF5697"/>
    <w:rsid w:val="130D3C66"/>
    <w:rsid w:val="130E2D12"/>
    <w:rsid w:val="132B7C1A"/>
    <w:rsid w:val="133B4F81"/>
    <w:rsid w:val="134358DA"/>
    <w:rsid w:val="134C478E"/>
    <w:rsid w:val="13533D6F"/>
    <w:rsid w:val="13534C16"/>
    <w:rsid w:val="139C701B"/>
    <w:rsid w:val="13A9398F"/>
    <w:rsid w:val="13B36D17"/>
    <w:rsid w:val="13BF03CA"/>
    <w:rsid w:val="13CA7BB7"/>
    <w:rsid w:val="13D61A1C"/>
    <w:rsid w:val="13F1162C"/>
    <w:rsid w:val="143851FF"/>
    <w:rsid w:val="145A3691"/>
    <w:rsid w:val="14717A98"/>
    <w:rsid w:val="148B578A"/>
    <w:rsid w:val="14943E0F"/>
    <w:rsid w:val="14AF530F"/>
    <w:rsid w:val="14EC73E1"/>
    <w:rsid w:val="14F86A77"/>
    <w:rsid w:val="14FA380C"/>
    <w:rsid w:val="15097824"/>
    <w:rsid w:val="1510485B"/>
    <w:rsid w:val="151E215B"/>
    <w:rsid w:val="15853F88"/>
    <w:rsid w:val="15C15E6E"/>
    <w:rsid w:val="15D47CFF"/>
    <w:rsid w:val="15FF197D"/>
    <w:rsid w:val="16157E2D"/>
    <w:rsid w:val="16393F65"/>
    <w:rsid w:val="16435794"/>
    <w:rsid w:val="16822ED3"/>
    <w:rsid w:val="16866209"/>
    <w:rsid w:val="16E021B0"/>
    <w:rsid w:val="17106BEC"/>
    <w:rsid w:val="174727ED"/>
    <w:rsid w:val="175D29A3"/>
    <w:rsid w:val="17680B0C"/>
    <w:rsid w:val="179C6F02"/>
    <w:rsid w:val="17A65666"/>
    <w:rsid w:val="17B13397"/>
    <w:rsid w:val="17D66D1D"/>
    <w:rsid w:val="17DD31E4"/>
    <w:rsid w:val="18294330"/>
    <w:rsid w:val="18312189"/>
    <w:rsid w:val="18517A73"/>
    <w:rsid w:val="187E1DA7"/>
    <w:rsid w:val="18975082"/>
    <w:rsid w:val="189E3A6D"/>
    <w:rsid w:val="18B0330F"/>
    <w:rsid w:val="18E05DA8"/>
    <w:rsid w:val="18E31223"/>
    <w:rsid w:val="18F25DD8"/>
    <w:rsid w:val="1945415A"/>
    <w:rsid w:val="196C5B8A"/>
    <w:rsid w:val="199F50F2"/>
    <w:rsid w:val="19AC5F87"/>
    <w:rsid w:val="19B14345"/>
    <w:rsid w:val="19BA5A77"/>
    <w:rsid w:val="19CF7EC7"/>
    <w:rsid w:val="19D5786F"/>
    <w:rsid w:val="1A0911F3"/>
    <w:rsid w:val="1A134258"/>
    <w:rsid w:val="1A27385F"/>
    <w:rsid w:val="1A364939"/>
    <w:rsid w:val="1A386D0E"/>
    <w:rsid w:val="1A396A26"/>
    <w:rsid w:val="1A3D3083"/>
    <w:rsid w:val="1A4D4035"/>
    <w:rsid w:val="1A890B80"/>
    <w:rsid w:val="1A8E2BB2"/>
    <w:rsid w:val="1A9D2818"/>
    <w:rsid w:val="1AB34CB6"/>
    <w:rsid w:val="1AB75623"/>
    <w:rsid w:val="1ABE298D"/>
    <w:rsid w:val="1ADA4D76"/>
    <w:rsid w:val="1B0659E2"/>
    <w:rsid w:val="1B1C538E"/>
    <w:rsid w:val="1B1E276D"/>
    <w:rsid w:val="1B297ECA"/>
    <w:rsid w:val="1B754C1C"/>
    <w:rsid w:val="1B8C6F40"/>
    <w:rsid w:val="1BA91321"/>
    <w:rsid w:val="1BDB0271"/>
    <w:rsid w:val="1BE1780C"/>
    <w:rsid w:val="1C0B54AE"/>
    <w:rsid w:val="1C140FA2"/>
    <w:rsid w:val="1C1B3576"/>
    <w:rsid w:val="1C422BD3"/>
    <w:rsid w:val="1C4C57FF"/>
    <w:rsid w:val="1C502501"/>
    <w:rsid w:val="1C56667E"/>
    <w:rsid w:val="1C607754"/>
    <w:rsid w:val="1CA266AD"/>
    <w:rsid w:val="1CCD1E36"/>
    <w:rsid w:val="1CE27F12"/>
    <w:rsid w:val="1CE662EA"/>
    <w:rsid w:val="1CF75746"/>
    <w:rsid w:val="1D2A1524"/>
    <w:rsid w:val="1D3973F5"/>
    <w:rsid w:val="1D686669"/>
    <w:rsid w:val="1D780C07"/>
    <w:rsid w:val="1D7D134A"/>
    <w:rsid w:val="1DAC1F34"/>
    <w:rsid w:val="1DD82FFB"/>
    <w:rsid w:val="1DE901F8"/>
    <w:rsid w:val="1DEF0E37"/>
    <w:rsid w:val="1E1116D0"/>
    <w:rsid w:val="1E1C04F3"/>
    <w:rsid w:val="1E432C51"/>
    <w:rsid w:val="1E4A325E"/>
    <w:rsid w:val="1E4F15D7"/>
    <w:rsid w:val="1E571888"/>
    <w:rsid w:val="1E601F8F"/>
    <w:rsid w:val="1E693EC0"/>
    <w:rsid w:val="1E6E72C6"/>
    <w:rsid w:val="1E7E1F44"/>
    <w:rsid w:val="1E9623BB"/>
    <w:rsid w:val="1EAB5F5C"/>
    <w:rsid w:val="1EAD1FE0"/>
    <w:rsid w:val="1ECC7CDD"/>
    <w:rsid w:val="1EEF4A61"/>
    <w:rsid w:val="1EFA59E6"/>
    <w:rsid w:val="1F0506DA"/>
    <w:rsid w:val="1F15650D"/>
    <w:rsid w:val="1F7B3932"/>
    <w:rsid w:val="1FD565CD"/>
    <w:rsid w:val="1FDD703A"/>
    <w:rsid w:val="1FE60615"/>
    <w:rsid w:val="1FE7406C"/>
    <w:rsid w:val="1FF34C2D"/>
    <w:rsid w:val="1FFB5111"/>
    <w:rsid w:val="200A7F1B"/>
    <w:rsid w:val="201758B3"/>
    <w:rsid w:val="2056239C"/>
    <w:rsid w:val="20665E37"/>
    <w:rsid w:val="20DB53A4"/>
    <w:rsid w:val="20E650B5"/>
    <w:rsid w:val="210A78C1"/>
    <w:rsid w:val="211D0AE0"/>
    <w:rsid w:val="2144119B"/>
    <w:rsid w:val="214D3DFF"/>
    <w:rsid w:val="215E2E47"/>
    <w:rsid w:val="217B429F"/>
    <w:rsid w:val="218277E0"/>
    <w:rsid w:val="2186530F"/>
    <w:rsid w:val="219F4623"/>
    <w:rsid w:val="21A53343"/>
    <w:rsid w:val="21AB2FC8"/>
    <w:rsid w:val="21E140A1"/>
    <w:rsid w:val="21EF55AB"/>
    <w:rsid w:val="21F06CDE"/>
    <w:rsid w:val="21F104B3"/>
    <w:rsid w:val="224662E1"/>
    <w:rsid w:val="22552F34"/>
    <w:rsid w:val="22715F0F"/>
    <w:rsid w:val="22843E91"/>
    <w:rsid w:val="22A53FD5"/>
    <w:rsid w:val="23256E5B"/>
    <w:rsid w:val="23971A56"/>
    <w:rsid w:val="23995543"/>
    <w:rsid w:val="239A734A"/>
    <w:rsid w:val="239B51FF"/>
    <w:rsid w:val="23A943F2"/>
    <w:rsid w:val="23BF77F9"/>
    <w:rsid w:val="23F16472"/>
    <w:rsid w:val="241C052D"/>
    <w:rsid w:val="242F7EE0"/>
    <w:rsid w:val="243B244C"/>
    <w:rsid w:val="24416AE1"/>
    <w:rsid w:val="24443B67"/>
    <w:rsid w:val="2493445B"/>
    <w:rsid w:val="24A02B8C"/>
    <w:rsid w:val="24BD4AEE"/>
    <w:rsid w:val="24CC7BE9"/>
    <w:rsid w:val="24DD793C"/>
    <w:rsid w:val="255F0A88"/>
    <w:rsid w:val="2589043C"/>
    <w:rsid w:val="25AE12D9"/>
    <w:rsid w:val="25BF7042"/>
    <w:rsid w:val="25C26B32"/>
    <w:rsid w:val="25D02118"/>
    <w:rsid w:val="25D76ACA"/>
    <w:rsid w:val="25E8116C"/>
    <w:rsid w:val="25E95241"/>
    <w:rsid w:val="26046FC6"/>
    <w:rsid w:val="261868A0"/>
    <w:rsid w:val="262B0B7B"/>
    <w:rsid w:val="26372DC2"/>
    <w:rsid w:val="263E1924"/>
    <w:rsid w:val="26582864"/>
    <w:rsid w:val="26760F0A"/>
    <w:rsid w:val="2678415D"/>
    <w:rsid w:val="269D2766"/>
    <w:rsid w:val="26EB02E7"/>
    <w:rsid w:val="26EC6045"/>
    <w:rsid w:val="27006A84"/>
    <w:rsid w:val="27081C70"/>
    <w:rsid w:val="270D0281"/>
    <w:rsid w:val="270F2907"/>
    <w:rsid w:val="27296724"/>
    <w:rsid w:val="27430095"/>
    <w:rsid w:val="27677991"/>
    <w:rsid w:val="278A5749"/>
    <w:rsid w:val="279063A2"/>
    <w:rsid w:val="27CE635B"/>
    <w:rsid w:val="27E53D82"/>
    <w:rsid w:val="27EC23B7"/>
    <w:rsid w:val="280D2781"/>
    <w:rsid w:val="281F6039"/>
    <w:rsid w:val="2867720B"/>
    <w:rsid w:val="28680AD8"/>
    <w:rsid w:val="28715905"/>
    <w:rsid w:val="28807FA6"/>
    <w:rsid w:val="288E55CB"/>
    <w:rsid w:val="28BE14E7"/>
    <w:rsid w:val="28C721A7"/>
    <w:rsid w:val="28CD68E9"/>
    <w:rsid w:val="28D831ED"/>
    <w:rsid w:val="28F263D7"/>
    <w:rsid w:val="292D1901"/>
    <w:rsid w:val="296F38D4"/>
    <w:rsid w:val="29804E7F"/>
    <w:rsid w:val="29826EE0"/>
    <w:rsid w:val="29D82785"/>
    <w:rsid w:val="29DD03DE"/>
    <w:rsid w:val="29F141A9"/>
    <w:rsid w:val="29F91705"/>
    <w:rsid w:val="2A23469B"/>
    <w:rsid w:val="2A31057A"/>
    <w:rsid w:val="2A4F475C"/>
    <w:rsid w:val="2A641437"/>
    <w:rsid w:val="2A7B2E88"/>
    <w:rsid w:val="2A9314C9"/>
    <w:rsid w:val="2AAC55EE"/>
    <w:rsid w:val="2ADA2ADB"/>
    <w:rsid w:val="2AF15F83"/>
    <w:rsid w:val="2B1241D5"/>
    <w:rsid w:val="2B140671"/>
    <w:rsid w:val="2B1E480B"/>
    <w:rsid w:val="2B21644C"/>
    <w:rsid w:val="2B3D1DC1"/>
    <w:rsid w:val="2B421FE8"/>
    <w:rsid w:val="2B886128"/>
    <w:rsid w:val="2BC618C3"/>
    <w:rsid w:val="2BEE541D"/>
    <w:rsid w:val="2BF96284"/>
    <w:rsid w:val="2C023A0C"/>
    <w:rsid w:val="2C115FA8"/>
    <w:rsid w:val="2C1207E2"/>
    <w:rsid w:val="2C300C99"/>
    <w:rsid w:val="2C463031"/>
    <w:rsid w:val="2C475F3C"/>
    <w:rsid w:val="2CBF45DD"/>
    <w:rsid w:val="2CD85155"/>
    <w:rsid w:val="2CE553C8"/>
    <w:rsid w:val="2CEB4BC0"/>
    <w:rsid w:val="2CFD2848"/>
    <w:rsid w:val="2D0E31F8"/>
    <w:rsid w:val="2D170DFB"/>
    <w:rsid w:val="2D392923"/>
    <w:rsid w:val="2D474412"/>
    <w:rsid w:val="2D4F3A52"/>
    <w:rsid w:val="2D586C64"/>
    <w:rsid w:val="2D6B72D5"/>
    <w:rsid w:val="2D88240F"/>
    <w:rsid w:val="2DA51213"/>
    <w:rsid w:val="2DA67392"/>
    <w:rsid w:val="2DB02B94"/>
    <w:rsid w:val="2DB815CA"/>
    <w:rsid w:val="2DC076E4"/>
    <w:rsid w:val="2DCF1E6F"/>
    <w:rsid w:val="2DDD65CB"/>
    <w:rsid w:val="2DE966BF"/>
    <w:rsid w:val="2DF85AF4"/>
    <w:rsid w:val="2E150147"/>
    <w:rsid w:val="2E470EFF"/>
    <w:rsid w:val="2E4F4001"/>
    <w:rsid w:val="2E6F5F36"/>
    <w:rsid w:val="2E7E06D0"/>
    <w:rsid w:val="2EC857DA"/>
    <w:rsid w:val="2EF36F14"/>
    <w:rsid w:val="2F367197"/>
    <w:rsid w:val="2F6057DD"/>
    <w:rsid w:val="2F616747"/>
    <w:rsid w:val="2F980EA6"/>
    <w:rsid w:val="2FA17BFB"/>
    <w:rsid w:val="2FB91FBF"/>
    <w:rsid w:val="2FC841E5"/>
    <w:rsid w:val="2FCE38E1"/>
    <w:rsid w:val="2FE47AEF"/>
    <w:rsid w:val="2FFA56D7"/>
    <w:rsid w:val="300852DE"/>
    <w:rsid w:val="301B3177"/>
    <w:rsid w:val="303F76FD"/>
    <w:rsid w:val="30586CDF"/>
    <w:rsid w:val="30937A49"/>
    <w:rsid w:val="309651D7"/>
    <w:rsid w:val="30AC5EB0"/>
    <w:rsid w:val="318D794D"/>
    <w:rsid w:val="31910F3B"/>
    <w:rsid w:val="31992E3D"/>
    <w:rsid w:val="319B502B"/>
    <w:rsid w:val="31CE6D7A"/>
    <w:rsid w:val="31D82653"/>
    <w:rsid w:val="31E06CBE"/>
    <w:rsid w:val="32236BAB"/>
    <w:rsid w:val="3244289A"/>
    <w:rsid w:val="328651F9"/>
    <w:rsid w:val="32B97377"/>
    <w:rsid w:val="32BC21C9"/>
    <w:rsid w:val="32D17F26"/>
    <w:rsid w:val="333328AB"/>
    <w:rsid w:val="33781BD8"/>
    <w:rsid w:val="33941B0E"/>
    <w:rsid w:val="33C91D38"/>
    <w:rsid w:val="33D576D7"/>
    <w:rsid w:val="33D96FC2"/>
    <w:rsid w:val="33F21BA4"/>
    <w:rsid w:val="34291934"/>
    <w:rsid w:val="3485231F"/>
    <w:rsid w:val="348D06FD"/>
    <w:rsid w:val="34B34216"/>
    <w:rsid w:val="34CC177B"/>
    <w:rsid w:val="34DF325D"/>
    <w:rsid w:val="34FB3D88"/>
    <w:rsid w:val="352B6235"/>
    <w:rsid w:val="35370DDB"/>
    <w:rsid w:val="35392987"/>
    <w:rsid w:val="354E6723"/>
    <w:rsid w:val="354F72C2"/>
    <w:rsid w:val="355A7397"/>
    <w:rsid w:val="3603404C"/>
    <w:rsid w:val="360B46DA"/>
    <w:rsid w:val="362E697F"/>
    <w:rsid w:val="362F1FC2"/>
    <w:rsid w:val="368E2FD6"/>
    <w:rsid w:val="36AD0447"/>
    <w:rsid w:val="36C672F9"/>
    <w:rsid w:val="36CF4B1B"/>
    <w:rsid w:val="36D87B42"/>
    <w:rsid w:val="36F33C0B"/>
    <w:rsid w:val="37144761"/>
    <w:rsid w:val="37206FD8"/>
    <w:rsid w:val="375A6BCB"/>
    <w:rsid w:val="37813E56"/>
    <w:rsid w:val="37AB5678"/>
    <w:rsid w:val="37B91FCD"/>
    <w:rsid w:val="37BB3520"/>
    <w:rsid w:val="37C24F6B"/>
    <w:rsid w:val="37D7173E"/>
    <w:rsid w:val="37F17D73"/>
    <w:rsid w:val="37FA3F1D"/>
    <w:rsid w:val="382F48C6"/>
    <w:rsid w:val="38312021"/>
    <w:rsid w:val="385541FB"/>
    <w:rsid w:val="38735592"/>
    <w:rsid w:val="38897ECE"/>
    <w:rsid w:val="389A2BC9"/>
    <w:rsid w:val="38B40A33"/>
    <w:rsid w:val="38B817B4"/>
    <w:rsid w:val="38C05153"/>
    <w:rsid w:val="3926222B"/>
    <w:rsid w:val="393B4A71"/>
    <w:rsid w:val="395872A2"/>
    <w:rsid w:val="397E71CF"/>
    <w:rsid w:val="39874F18"/>
    <w:rsid w:val="398E34A3"/>
    <w:rsid w:val="39E249FB"/>
    <w:rsid w:val="3A604F91"/>
    <w:rsid w:val="3A6D7F59"/>
    <w:rsid w:val="3A7E52C6"/>
    <w:rsid w:val="3A8F1281"/>
    <w:rsid w:val="3A9B5E78"/>
    <w:rsid w:val="3AAC1E33"/>
    <w:rsid w:val="3AB17F7A"/>
    <w:rsid w:val="3ACA22B9"/>
    <w:rsid w:val="3B06174E"/>
    <w:rsid w:val="3B0E58C7"/>
    <w:rsid w:val="3B304812"/>
    <w:rsid w:val="3B4E1CDB"/>
    <w:rsid w:val="3B5210CF"/>
    <w:rsid w:val="3BBE7A10"/>
    <w:rsid w:val="3BCE7B87"/>
    <w:rsid w:val="3BD8175F"/>
    <w:rsid w:val="3C033730"/>
    <w:rsid w:val="3C045F86"/>
    <w:rsid w:val="3C2E4FEE"/>
    <w:rsid w:val="3C4D41CF"/>
    <w:rsid w:val="3C536A3E"/>
    <w:rsid w:val="3C6A63D3"/>
    <w:rsid w:val="3C707965"/>
    <w:rsid w:val="3C746980"/>
    <w:rsid w:val="3C7C0533"/>
    <w:rsid w:val="3C7E7E4E"/>
    <w:rsid w:val="3CD11E57"/>
    <w:rsid w:val="3CEC2B6C"/>
    <w:rsid w:val="3D2C7078"/>
    <w:rsid w:val="3D406863"/>
    <w:rsid w:val="3D4634DB"/>
    <w:rsid w:val="3D5C3A0F"/>
    <w:rsid w:val="3D632FF9"/>
    <w:rsid w:val="3D693E50"/>
    <w:rsid w:val="3DB05568"/>
    <w:rsid w:val="3DC761A6"/>
    <w:rsid w:val="3DDF607B"/>
    <w:rsid w:val="3DEC32B6"/>
    <w:rsid w:val="3DFD3021"/>
    <w:rsid w:val="3E260CC7"/>
    <w:rsid w:val="3E28140B"/>
    <w:rsid w:val="3EB968CD"/>
    <w:rsid w:val="3EC4393F"/>
    <w:rsid w:val="3EF8229A"/>
    <w:rsid w:val="3F045042"/>
    <w:rsid w:val="3F0F109B"/>
    <w:rsid w:val="3F3917BB"/>
    <w:rsid w:val="3F4435BF"/>
    <w:rsid w:val="3F446ADE"/>
    <w:rsid w:val="3F4563B2"/>
    <w:rsid w:val="3F577E93"/>
    <w:rsid w:val="3FB55092"/>
    <w:rsid w:val="3FC7116E"/>
    <w:rsid w:val="3FFD0994"/>
    <w:rsid w:val="402F6CDA"/>
    <w:rsid w:val="40356427"/>
    <w:rsid w:val="403A00F4"/>
    <w:rsid w:val="40526902"/>
    <w:rsid w:val="40A35A86"/>
    <w:rsid w:val="40D93256"/>
    <w:rsid w:val="40E32281"/>
    <w:rsid w:val="40FF373C"/>
    <w:rsid w:val="41190548"/>
    <w:rsid w:val="41281AE7"/>
    <w:rsid w:val="4130459C"/>
    <w:rsid w:val="41356808"/>
    <w:rsid w:val="41427B40"/>
    <w:rsid w:val="415B7967"/>
    <w:rsid w:val="416B33E0"/>
    <w:rsid w:val="41792C41"/>
    <w:rsid w:val="418961FE"/>
    <w:rsid w:val="41A435C3"/>
    <w:rsid w:val="41C2018E"/>
    <w:rsid w:val="420228D9"/>
    <w:rsid w:val="4208660A"/>
    <w:rsid w:val="42103A4A"/>
    <w:rsid w:val="421E141A"/>
    <w:rsid w:val="4239207E"/>
    <w:rsid w:val="42764E69"/>
    <w:rsid w:val="427D5E63"/>
    <w:rsid w:val="42805951"/>
    <w:rsid w:val="42AC50F0"/>
    <w:rsid w:val="42CD2946"/>
    <w:rsid w:val="42D55C9F"/>
    <w:rsid w:val="42E67134"/>
    <w:rsid w:val="43290586"/>
    <w:rsid w:val="434370AD"/>
    <w:rsid w:val="435B772B"/>
    <w:rsid w:val="4367618F"/>
    <w:rsid w:val="43702137"/>
    <w:rsid w:val="43851473"/>
    <w:rsid w:val="438F3163"/>
    <w:rsid w:val="43BD17FC"/>
    <w:rsid w:val="43FC5D17"/>
    <w:rsid w:val="4416031D"/>
    <w:rsid w:val="44315157"/>
    <w:rsid w:val="44437D4C"/>
    <w:rsid w:val="446B516E"/>
    <w:rsid w:val="447C67B9"/>
    <w:rsid w:val="447E374E"/>
    <w:rsid w:val="448564A3"/>
    <w:rsid w:val="44904CF7"/>
    <w:rsid w:val="4497626D"/>
    <w:rsid w:val="44B10046"/>
    <w:rsid w:val="44C04B5B"/>
    <w:rsid w:val="450714FC"/>
    <w:rsid w:val="450811BF"/>
    <w:rsid w:val="45224346"/>
    <w:rsid w:val="452614AD"/>
    <w:rsid w:val="45284329"/>
    <w:rsid w:val="4542602E"/>
    <w:rsid w:val="45664A2A"/>
    <w:rsid w:val="45785DEB"/>
    <w:rsid w:val="45823E47"/>
    <w:rsid w:val="45A60CC7"/>
    <w:rsid w:val="45C7169F"/>
    <w:rsid w:val="46081DC4"/>
    <w:rsid w:val="46084B6A"/>
    <w:rsid w:val="4613530C"/>
    <w:rsid w:val="46443D84"/>
    <w:rsid w:val="468635AE"/>
    <w:rsid w:val="468D39EA"/>
    <w:rsid w:val="46B17C96"/>
    <w:rsid w:val="46B300A5"/>
    <w:rsid w:val="46B8390E"/>
    <w:rsid w:val="46E86AC5"/>
    <w:rsid w:val="47077A45"/>
    <w:rsid w:val="47120827"/>
    <w:rsid w:val="47193A36"/>
    <w:rsid w:val="471E5E67"/>
    <w:rsid w:val="472E5C1A"/>
    <w:rsid w:val="47721D0E"/>
    <w:rsid w:val="47C754C6"/>
    <w:rsid w:val="47D71C0C"/>
    <w:rsid w:val="47E260CB"/>
    <w:rsid w:val="484B35CD"/>
    <w:rsid w:val="485E136A"/>
    <w:rsid w:val="48647785"/>
    <w:rsid w:val="486E0FF2"/>
    <w:rsid w:val="486E2881"/>
    <w:rsid w:val="486F44A0"/>
    <w:rsid w:val="48C32359"/>
    <w:rsid w:val="48C447EC"/>
    <w:rsid w:val="48FB0953"/>
    <w:rsid w:val="491446BA"/>
    <w:rsid w:val="491B667E"/>
    <w:rsid w:val="49212CBE"/>
    <w:rsid w:val="4932465D"/>
    <w:rsid w:val="49534995"/>
    <w:rsid w:val="496127C3"/>
    <w:rsid w:val="49680B13"/>
    <w:rsid w:val="496A2F12"/>
    <w:rsid w:val="498270B3"/>
    <w:rsid w:val="49D7054F"/>
    <w:rsid w:val="49E62540"/>
    <w:rsid w:val="49F619EE"/>
    <w:rsid w:val="49F94251"/>
    <w:rsid w:val="4A030F31"/>
    <w:rsid w:val="4A1A7EB8"/>
    <w:rsid w:val="4A1E4FAF"/>
    <w:rsid w:val="4A5D3FD7"/>
    <w:rsid w:val="4A6D3511"/>
    <w:rsid w:val="4A757163"/>
    <w:rsid w:val="4AB07B57"/>
    <w:rsid w:val="4ABE3F95"/>
    <w:rsid w:val="4AEC002A"/>
    <w:rsid w:val="4B1074FD"/>
    <w:rsid w:val="4B25410D"/>
    <w:rsid w:val="4B2B7311"/>
    <w:rsid w:val="4B5B69E7"/>
    <w:rsid w:val="4B5D11DD"/>
    <w:rsid w:val="4B8176C6"/>
    <w:rsid w:val="4B91290A"/>
    <w:rsid w:val="4B9422CC"/>
    <w:rsid w:val="4B990EC1"/>
    <w:rsid w:val="4BA12BC2"/>
    <w:rsid w:val="4BB275BC"/>
    <w:rsid w:val="4BCC38B3"/>
    <w:rsid w:val="4BEC649C"/>
    <w:rsid w:val="4BF06C84"/>
    <w:rsid w:val="4BF838F0"/>
    <w:rsid w:val="4BF9422A"/>
    <w:rsid w:val="4C0F7955"/>
    <w:rsid w:val="4C15710C"/>
    <w:rsid w:val="4C555E2F"/>
    <w:rsid w:val="4C6308B9"/>
    <w:rsid w:val="4C6C1422"/>
    <w:rsid w:val="4C710824"/>
    <w:rsid w:val="4C7812B7"/>
    <w:rsid w:val="4C8B693C"/>
    <w:rsid w:val="4C970BF9"/>
    <w:rsid w:val="4CB60691"/>
    <w:rsid w:val="4CE2651F"/>
    <w:rsid w:val="4CEE068F"/>
    <w:rsid w:val="4D0553D3"/>
    <w:rsid w:val="4D203016"/>
    <w:rsid w:val="4D2B0EDD"/>
    <w:rsid w:val="4D346757"/>
    <w:rsid w:val="4D3B1D7F"/>
    <w:rsid w:val="4DA841F4"/>
    <w:rsid w:val="4DD05976"/>
    <w:rsid w:val="4DE82A5F"/>
    <w:rsid w:val="4DEE4FE0"/>
    <w:rsid w:val="4E045131"/>
    <w:rsid w:val="4E1B5D9B"/>
    <w:rsid w:val="4E2E5752"/>
    <w:rsid w:val="4E402DC8"/>
    <w:rsid w:val="4E662EBF"/>
    <w:rsid w:val="4E6942B2"/>
    <w:rsid w:val="4E896D6E"/>
    <w:rsid w:val="4E8E66C6"/>
    <w:rsid w:val="4E9C50B5"/>
    <w:rsid w:val="4EB35158"/>
    <w:rsid w:val="4ED70169"/>
    <w:rsid w:val="4EDD03B5"/>
    <w:rsid w:val="4EE144FE"/>
    <w:rsid w:val="4EE15308"/>
    <w:rsid w:val="4EEB4F44"/>
    <w:rsid w:val="4F511FB2"/>
    <w:rsid w:val="4F7E2311"/>
    <w:rsid w:val="4F955F9D"/>
    <w:rsid w:val="4F9A2425"/>
    <w:rsid w:val="4FA93BA7"/>
    <w:rsid w:val="4FAC52CF"/>
    <w:rsid w:val="4FBC3E1E"/>
    <w:rsid w:val="50170AF5"/>
    <w:rsid w:val="501A1903"/>
    <w:rsid w:val="50487D45"/>
    <w:rsid w:val="508E5E59"/>
    <w:rsid w:val="50C30FDE"/>
    <w:rsid w:val="50C431DE"/>
    <w:rsid w:val="50F639B0"/>
    <w:rsid w:val="51121E6C"/>
    <w:rsid w:val="51262417"/>
    <w:rsid w:val="513733A0"/>
    <w:rsid w:val="514C35D0"/>
    <w:rsid w:val="51741E4D"/>
    <w:rsid w:val="5176064D"/>
    <w:rsid w:val="51887260"/>
    <w:rsid w:val="51935A63"/>
    <w:rsid w:val="523850DD"/>
    <w:rsid w:val="52533F75"/>
    <w:rsid w:val="526613C5"/>
    <w:rsid w:val="52C84ED8"/>
    <w:rsid w:val="52CA126A"/>
    <w:rsid w:val="52DB2E5E"/>
    <w:rsid w:val="52F13DE7"/>
    <w:rsid w:val="530103EA"/>
    <w:rsid w:val="530F5C2C"/>
    <w:rsid w:val="531445C2"/>
    <w:rsid w:val="53650979"/>
    <w:rsid w:val="536E73CE"/>
    <w:rsid w:val="53A07C03"/>
    <w:rsid w:val="53A13790"/>
    <w:rsid w:val="53A235C5"/>
    <w:rsid w:val="53D81581"/>
    <w:rsid w:val="54006EBD"/>
    <w:rsid w:val="540208BE"/>
    <w:rsid w:val="54024149"/>
    <w:rsid w:val="540D4E72"/>
    <w:rsid w:val="542425E2"/>
    <w:rsid w:val="545F71FB"/>
    <w:rsid w:val="547D09A9"/>
    <w:rsid w:val="54CF56D2"/>
    <w:rsid w:val="54CF6866"/>
    <w:rsid w:val="54D44BD5"/>
    <w:rsid w:val="54D45DB6"/>
    <w:rsid w:val="54FC69E8"/>
    <w:rsid w:val="550E3F9A"/>
    <w:rsid w:val="55542CB9"/>
    <w:rsid w:val="55766E6E"/>
    <w:rsid w:val="557A24CC"/>
    <w:rsid w:val="558F7F2F"/>
    <w:rsid w:val="559B2D78"/>
    <w:rsid w:val="559B53B0"/>
    <w:rsid w:val="55B81234"/>
    <w:rsid w:val="55C135BF"/>
    <w:rsid w:val="55C261D3"/>
    <w:rsid w:val="55CD4B1F"/>
    <w:rsid w:val="55F1544B"/>
    <w:rsid w:val="55FE01DE"/>
    <w:rsid w:val="563D7B91"/>
    <w:rsid w:val="563F1955"/>
    <w:rsid w:val="565F3711"/>
    <w:rsid w:val="567339EE"/>
    <w:rsid w:val="567E4E28"/>
    <w:rsid w:val="567F7FA4"/>
    <w:rsid w:val="568252A1"/>
    <w:rsid w:val="56951575"/>
    <w:rsid w:val="56B17AF5"/>
    <w:rsid w:val="56D7393C"/>
    <w:rsid w:val="56F96B3F"/>
    <w:rsid w:val="574A409F"/>
    <w:rsid w:val="57590062"/>
    <w:rsid w:val="575F1D66"/>
    <w:rsid w:val="57636FB4"/>
    <w:rsid w:val="57641F8B"/>
    <w:rsid w:val="57656331"/>
    <w:rsid w:val="57672F12"/>
    <w:rsid w:val="576A3715"/>
    <w:rsid w:val="57892BAB"/>
    <w:rsid w:val="57F16C7F"/>
    <w:rsid w:val="57F95B34"/>
    <w:rsid w:val="58143E47"/>
    <w:rsid w:val="5823223F"/>
    <w:rsid w:val="58BB67A0"/>
    <w:rsid w:val="58C10041"/>
    <w:rsid w:val="58D805A2"/>
    <w:rsid w:val="58E10F36"/>
    <w:rsid w:val="58E37FE6"/>
    <w:rsid w:val="591075D9"/>
    <w:rsid w:val="59130438"/>
    <w:rsid w:val="59166BCC"/>
    <w:rsid w:val="592E180D"/>
    <w:rsid w:val="59361538"/>
    <w:rsid w:val="595C6329"/>
    <w:rsid w:val="59B94BE9"/>
    <w:rsid w:val="59BA5EBD"/>
    <w:rsid w:val="59CA6C37"/>
    <w:rsid w:val="59DD51A2"/>
    <w:rsid w:val="5A021A12"/>
    <w:rsid w:val="5A08118E"/>
    <w:rsid w:val="5A241C82"/>
    <w:rsid w:val="5A3452CB"/>
    <w:rsid w:val="5A376192"/>
    <w:rsid w:val="5A4D4E8F"/>
    <w:rsid w:val="5A655703"/>
    <w:rsid w:val="5A6B0F9A"/>
    <w:rsid w:val="5AA721BA"/>
    <w:rsid w:val="5AB92CB4"/>
    <w:rsid w:val="5AC8016B"/>
    <w:rsid w:val="5ACD1DFE"/>
    <w:rsid w:val="5AD07020"/>
    <w:rsid w:val="5AE605F2"/>
    <w:rsid w:val="5AF1641D"/>
    <w:rsid w:val="5AFF1E2C"/>
    <w:rsid w:val="5B0A0784"/>
    <w:rsid w:val="5B204D10"/>
    <w:rsid w:val="5B2D7FCE"/>
    <w:rsid w:val="5B5F2276"/>
    <w:rsid w:val="5B655A75"/>
    <w:rsid w:val="5B76581E"/>
    <w:rsid w:val="5B887C70"/>
    <w:rsid w:val="5BD13381"/>
    <w:rsid w:val="5BE243E9"/>
    <w:rsid w:val="5C041C20"/>
    <w:rsid w:val="5C0D72C2"/>
    <w:rsid w:val="5C4D667C"/>
    <w:rsid w:val="5CA93FCD"/>
    <w:rsid w:val="5CC06D89"/>
    <w:rsid w:val="5D0631CD"/>
    <w:rsid w:val="5D0F4A80"/>
    <w:rsid w:val="5D213CF4"/>
    <w:rsid w:val="5D3236B8"/>
    <w:rsid w:val="5D3445F3"/>
    <w:rsid w:val="5D787085"/>
    <w:rsid w:val="5DE81D79"/>
    <w:rsid w:val="5E1160C2"/>
    <w:rsid w:val="5E4717A2"/>
    <w:rsid w:val="5E487850"/>
    <w:rsid w:val="5E4A70E9"/>
    <w:rsid w:val="5E4B2AFB"/>
    <w:rsid w:val="5E4C6141"/>
    <w:rsid w:val="5E6A778C"/>
    <w:rsid w:val="5E8310B6"/>
    <w:rsid w:val="5E900467"/>
    <w:rsid w:val="5EA842DD"/>
    <w:rsid w:val="5EBD74DA"/>
    <w:rsid w:val="5EC310D2"/>
    <w:rsid w:val="5ED0639A"/>
    <w:rsid w:val="5ED821DF"/>
    <w:rsid w:val="5EDB41E5"/>
    <w:rsid w:val="5EDE0F33"/>
    <w:rsid w:val="5F18074E"/>
    <w:rsid w:val="5F2B2A77"/>
    <w:rsid w:val="5F456359"/>
    <w:rsid w:val="5F7F1E06"/>
    <w:rsid w:val="5FD35B6B"/>
    <w:rsid w:val="5FDE3F8D"/>
    <w:rsid w:val="5FE33D96"/>
    <w:rsid w:val="5FF13CC0"/>
    <w:rsid w:val="601F4D6B"/>
    <w:rsid w:val="6023524B"/>
    <w:rsid w:val="60344CB6"/>
    <w:rsid w:val="60345679"/>
    <w:rsid w:val="60502D88"/>
    <w:rsid w:val="605C13A4"/>
    <w:rsid w:val="60675D31"/>
    <w:rsid w:val="608F41B1"/>
    <w:rsid w:val="609A4358"/>
    <w:rsid w:val="612756CF"/>
    <w:rsid w:val="61281730"/>
    <w:rsid w:val="612A23A8"/>
    <w:rsid w:val="61447FA1"/>
    <w:rsid w:val="61665FE8"/>
    <w:rsid w:val="61776699"/>
    <w:rsid w:val="617D2B01"/>
    <w:rsid w:val="61826F89"/>
    <w:rsid w:val="61AD7FEE"/>
    <w:rsid w:val="61B07C17"/>
    <w:rsid w:val="61BC56D7"/>
    <w:rsid w:val="620C10EB"/>
    <w:rsid w:val="622E7DF0"/>
    <w:rsid w:val="623E0D13"/>
    <w:rsid w:val="625E5246"/>
    <w:rsid w:val="62694EE6"/>
    <w:rsid w:val="62747816"/>
    <w:rsid w:val="62A3501A"/>
    <w:rsid w:val="62C21949"/>
    <w:rsid w:val="62C52A98"/>
    <w:rsid w:val="62D32CDD"/>
    <w:rsid w:val="62DA71BA"/>
    <w:rsid w:val="632308B3"/>
    <w:rsid w:val="63280BAA"/>
    <w:rsid w:val="63382DD7"/>
    <w:rsid w:val="6390296B"/>
    <w:rsid w:val="63A47935"/>
    <w:rsid w:val="63C05E4E"/>
    <w:rsid w:val="63DB6033"/>
    <w:rsid w:val="63F37531"/>
    <w:rsid w:val="63FC0596"/>
    <w:rsid w:val="640F47E2"/>
    <w:rsid w:val="64135D66"/>
    <w:rsid w:val="64294B00"/>
    <w:rsid w:val="6431254B"/>
    <w:rsid w:val="643D4406"/>
    <w:rsid w:val="6445282D"/>
    <w:rsid w:val="645442A7"/>
    <w:rsid w:val="64C0071B"/>
    <w:rsid w:val="64D56443"/>
    <w:rsid w:val="64DA7491"/>
    <w:rsid w:val="64F127A8"/>
    <w:rsid w:val="652D4363"/>
    <w:rsid w:val="656A1E1F"/>
    <w:rsid w:val="65B045D2"/>
    <w:rsid w:val="65B06EDB"/>
    <w:rsid w:val="65BE5407"/>
    <w:rsid w:val="65CB6AD7"/>
    <w:rsid w:val="65E505B2"/>
    <w:rsid w:val="65F135CD"/>
    <w:rsid w:val="66080415"/>
    <w:rsid w:val="6644490B"/>
    <w:rsid w:val="66444FD8"/>
    <w:rsid w:val="665A2DBF"/>
    <w:rsid w:val="665F7EA6"/>
    <w:rsid w:val="66780157"/>
    <w:rsid w:val="66821B34"/>
    <w:rsid w:val="66BC0585"/>
    <w:rsid w:val="66C128BD"/>
    <w:rsid w:val="66CA36E1"/>
    <w:rsid w:val="66CF3135"/>
    <w:rsid w:val="67065B78"/>
    <w:rsid w:val="67310E46"/>
    <w:rsid w:val="67336DE3"/>
    <w:rsid w:val="67336E5F"/>
    <w:rsid w:val="673D77EB"/>
    <w:rsid w:val="67402D70"/>
    <w:rsid w:val="67413BF6"/>
    <w:rsid w:val="674F751F"/>
    <w:rsid w:val="675D6C23"/>
    <w:rsid w:val="676927E5"/>
    <w:rsid w:val="677243C5"/>
    <w:rsid w:val="67770DF9"/>
    <w:rsid w:val="677D63AA"/>
    <w:rsid w:val="67D77C40"/>
    <w:rsid w:val="67DA328C"/>
    <w:rsid w:val="681D46DD"/>
    <w:rsid w:val="6835267B"/>
    <w:rsid w:val="68487E73"/>
    <w:rsid w:val="686B2F0B"/>
    <w:rsid w:val="6881130A"/>
    <w:rsid w:val="68B80B9D"/>
    <w:rsid w:val="68C06BF6"/>
    <w:rsid w:val="68E32614"/>
    <w:rsid w:val="68F75F3C"/>
    <w:rsid w:val="69651231"/>
    <w:rsid w:val="696B1E57"/>
    <w:rsid w:val="698A2836"/>
    <w:rsid w:val="69913E34"/>
    <w:rsid w:val="69E0280F"/>
    <w:rsid w:val="69F56662"/>
    <w:rsid w:val="6A097175"/>
    <w:rsid w:val="6A19339F"/>
    <w:rsid w:val="6A207A55"/>
    <w:rsid w:val="6A5B5712"/>
    <w:rsid w:val="6A6E2AA9"/>
    <w:rsid w:val="6A8674D8"/>
    <w:rsid w:val="6A99742E"/>
    <w:rsid w:val="6AE54F74"/>
    <w:rsid w:val="6AF405C0"/>
    <w:rsid w:val="6B297338"/>
    <w:rsid w:val="6B555802"/>
    <w:rsid w:val="6BA34CC4"/>
    <w:rsid w:val="6BCE3108"/>
    <w:rsid w:val="6C03258C"/>
    <w:rsid w:val="6C153350"/>
    <w:rsid w:val="6C5374D3"/>
    <w:rsid w:val="6C5555D7"/>
    <w:rsid w:val="6C9E7BF7"/>
    <w:rsid w:val="6CD24864"/>
    <w:rsid w:val="6CD4726A"/>
    <w:rsid w:val="6CE013DA"/>
    <w:rsid w:val="6CE83AA0"/>
    <w:rsid w:val="6CF5724A"/>
    <w:rsid w:val="6D033D14"/>
    <w:rsid w:val="6D3F0921"/>
    <w:rsid w:val="6D4270CF"/>
    <w:rsid w:val="6DD2313B"/>
    <w:rsid w:val="6DD87957"/>
    <w:rsid w:val="6DE852DE"/>
    <w:rsid w:val="6DF75047"/>
    <w:rsid w:val="6E14501E"/>
    <w:rsid w:val="6E344D81"/>
    <w:rsid w:val="6E9652C0"/>
    <w:rsid w:val="6E971ED7"/>
    <w:rsid w:val="6EA27F90"/>
    <w:rsid w:val="6EB15DD3"/>
    <w:rsid w:val="6EC91D52"/>
    <w:rsid w:val="6ED07E1A"/>
    <w:rsid w:val="6EE85353"/>
    <w:rsid w:val="6EF32E85"/>
    <w:rsid w:val="6F417E36"/>
    <w:rsid w:val="6F614EAB"/>
    <w:rsid w:val="6F6417C4"/>
    <w:rsid w:val="6F7A7850"/>
    <w:rsid w:val="6F886322"/>
    <w:rsid w:val="6F933F90"/>
    <w:rsid w:val="6FCC795E"/>
    <w:rsid w:val="6FD111A8"/>
    <w:rsid w:val="70375E2A"/>
    <w:rsid w:val="703D7D6C"/>
    <w:rsid w:val="704C2999"/>
    <w:rsid w:val="70800D73"/>
    <w:rsid w:val="70AD75A8"/>
    <w:rsid w:val="70C87915"/>
    <w:rsid w:val="70CE05A3"/>
    <w:rsid w:val="70D95706"/>
    <w:rsid w:val="70FA27BD"/>
    <w:rsid w:val="71107D1F"/>
    <w:rsid w:val="711D5CF9"/>
    <w:rsid w:val="71213CDA"/>
    <w:rsid w:val="7130512A"/>
    <w:rsid w:val="713459E2"/>
    <w:rsid w:val="714A3FD1"/>
    <w:rsid w:val="71A50ADE"/>
    <w:rsid w:val="7204188A"/>
    <w:rsid w:val="72276BA3"/>
    <w:rsid w:val="726454F7"/>
    <w:rsid w:val="7265261F"/>
    <w:rsid w:val="72983867"/>
    <w:rsid w:val="729B4FAB"/>
    <w:rsid w:val="72FA7BBE"/>
    <w:rsid w:val="733002EE"/>
    <w:rsid w:val="73407987"/>
    <w:rsid w:val="73812F0E"/>
    <w:rsid w:val="73830759"/>
    <w:rsid w:val="739A1C2A"/>
    <w:rsid w:val="739A5FC5"/>
    <w:rsid w:val="73B3102F"/>
    <w:rsid w:val="73DD5247"/>
    <w:rsid w:val="73EF2A80"/>
    <w:rsid w:val="73FE47A6"/>
    <w:rsid w:val="7406325D"/>
    <w:rsid w:val="742064CB"/>
    <w:rsid w:val="7459689C"/>
    <w:rsid w:val="74623C1E"/>
    <w:rsid w:val="7476258E"/>
    <w:rsid w:val="748F01F5"/>
    <w:rsid w:val="74AB46FD"/>
    <w:rsid w:val="74D4757B"/>
    <w:rsid w:val="75042ACC"/>
    <w:rsid w:val="75080F48"/>
    <w:rsid w:val="752B7ECA"/>
    <w:rsid w:val="75357D54"/>
    <w:rsid w:val="755A5A0C"/>
    <w:rsid w:val="75AF2758"/>
    <w:rsid w:val="75C80BC8"/>
    <w:rsid w:val="75CD2D28"/>
    <w:rsid w:val="75E2374B"/>
    <w:rsid w:val="75E44CC4"/>
    <w:rsid w:val="76084F90"/>
    <w:rsid w:val="76286AE8"/>
    <w:rsid w:val="762A72B5"/>
    <w:rsid w:val="762B1157"/>
    <w:rsid w:val="764F64BE"/>
    <w:rsid w:val="766C6899"/>
    <w:rsid w:val="768F16E6"/>
    <w:rsid w:val="76AD7DBE"/>
    <w:rsid w:val="76B15747"/>
    <w:rsid w:val="76E91124"/>
    <w:rsid w:val="76EE4427"/>
    <w:rsid w:val="770B6281"/>
    <w:rsid w:val="77183DD1"/>
    <w:rsid w:val="77737259"/>
    <w:rsid w:val="77F27D15"/>
    <w:rsid w:val="77F71C38"/>
    <w:rsid w:val="78003D06"/>
    <w:rsid w:val="785E13E8"/>
    <w:rsid w:val="78631C7C"/>
    <w:rsid w:val="78825E3B"/>
    <w:rsid w:val="789B6A68"/>
    <w:rsid w:val="78AA314A"/>
    <w:rsid w:val="78C25DA2"/>
    <w:rsid w:val="78C3642C"/>
    <w:rsid w:val="78CD0CE6"/>
    <w:rsid w:val="78E2192F"/>
    <w:rsid w:val="78F00113"/>
    <w:rsid w:val="78FD6F1C"/>
    <w:rsid w:val="791B1ADC"/>
    <w:rsid w:val="792A3948"/>
    <w:rsid w:val="793242EA"/>
    <w:rsid w:val="795F53B0"/>
    <w:rsid w:val="797A42C2"/>
    <w:rsid w:val="79CE624A"/>
    <w:rsid w:val="79D07A75"/>
    <w:rsid w:val="79FB4704"/>
    <w:rsid w:val="7A170370"/>
    <w:rsid w:val="7A1F0A71"/>
    <w:rsid w:val="7A3A5E0C"/>
    <w:rsid w:val="7A71379F"/>
    <w:rsid w:val="7AD141A1"/>
    <w:rsid w:val="7AD31EBB"/>
    <w:rsid w:val="7AFD59CA"/>
    <w:rsid w:val="7B011855"/>
    <w:rsid w:val="7B470029"/>
    <w:rsid w:val="7BAA6FAF"/>
    <w:rsid w:val="7BC4481A"/>
    <w:rsid w:val="7BC566B5"/>
    <w:rsid w:val="7BCA41A5"/>
    <w:rsid w:val="7BCE22CB"/>
    <w:rsid w:val="7C1D0877"/>
    <w:rsid w:val="7C292462"/>
    <w:rsid w:val="7C446AE2"/>
    <w:rsid w:val="7C462A9E"/>
    <w:rsid w:val="7C696E11"/>
    <w:rsid w:val="7C6A112F"/>
    <w:rsid w:val="7C930A71"/>
    <w:rsid w:val="7D2D0569"/>
    <w:rsid w:val="7D325B4F"/>
    <w:rsid w:val="7D5F203D"/>
    <w:rsid w:val="7DAB1833"/>
    <w:rsid w:val="7DCB394B"/>
    <w:rsid w:val="7DCC1471"/>
    <w:rsid w:val="7DDB2C8C"/>
    <w:rsid w:val="7DE75238"/>
    <w:rsid w:val="7DEC1610"/>
    <w:rsid w:val="7DF10D8E"/>
    <w:rsid w:val="7E0C27C2"/>
    <w:rsid w:val="7E141A72"/>
    <w:rsid w:val="7E283653"/>
    <w:rsid w:val="7E70572F"/>
    <w:rsid w:val="7E7A031E"/>
    <w:rsid w:val="7EC55059"/>
    <w:rsid w:val="7ECF5717"/>
    <w:rsid w:val="7ED95BF4"/>
    <w:rsid w:val="7EF40783"/>
    <w:rsid w:val="7EF42699"/>
    <w:rsid w:val="7EF42EA2"/>
    <w:rsid w:val="7F0E7BC0"/>
    <w:rsid w:val="7F482D79"/>
    <w:rsid w:val="7F7B71B8"/>
    <w:rsid w:val="7F820039"/>
    <w:rsid w:val="7FCA6DEF"/>
    <w:rsid w:val="7FE677A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47"/>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8"/>
    <w:qFormat/>
    <w:uiPriority w:val="0"/>
    <w:pPr>
      <w:ind w:firstLine="420"/>
    </w:pPr>
    <w:rPr>
      <w:szCs w:val="20"/>
    </w:rPr>
  </w:style>
  <w:style w:type="paragraph" w:styleId="8">
    <w:name w:val="Body Text"/>
    <w:basedOn w:val="1"/>
    <w:next w:val="1"/>
    <w:qFormat/>
    <w:uiPriority w:val="0"/>
    <w:pPr>
      <w:spacing w:line="360" w:lineRule="auto"/>
    </w:pPr>
    <w:rPr>
      <w:b/>
      <w:bCs/>
      <w:sz w:val="24"/>
    </w:rPr>
  </w:style>
  <w:style w:type="paragraph" w:styleId="9">
    <w:name w:val="Document Map"/>
    <w:basedOn w:val="1"/>
    <w:link w:val="46"/>
    <w:semiHidden/>
    <w:unhideWhenUsed/>
    <w:qFormat/>
    <w:uiPriority w:val="99"/>
    <w:rPr>
      <w:rFonts w:ascii="宋体" w:eastAsia="宋体"/>
      <w:sz w:val="18"/>
      <w:szCs w:val="18"/>
    </w:rPr>
  </w:style>
  <w:style w:type="paragraph" w:styleId="10">
    <w:name w:val="annotation text"/>
    <w:basedOn w:val="1"/>
    <w:link w:val="48"/>
    <w:semiHidden/>
    <w:unhideWhenUsed/>
    <w:qFormat/>
    <w:uiPriority w:val="99"/>
    <w:pPr>
      <w:jc w:val="left"/>
    </w:p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0"/>
    <w:pPr>
      <w:spacing w:line="500" w:lineRule="exact"/>
      <w:ind w:left="397" w:firstLine="539"/>
    </w:pPr>
    <w:rPr>
      <w:rFonts w:ascii="宋体" w:hAnsi="华文中宋"/>
      <w:sz w:val="26"/>
      <w:szCs w:val="20"/>
    </w:rPr>
  </w:style>
  <w:style w:type="paragraph" w:styleId="14">
    <w:name w:val="Balloon Text"/>
    <w:basedOn w:val="1"/>
    <w:link w:val="42"/>
    <w:semiHidden/>
    <w:unhideWhenUsed/>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line="360" w:lineRule="auto"/>
    </w:pPr>
    <w:rPr>
      <w:sz w:val="24"/>
    </w:rPr>
  </w:style>
  <w:style w:type="paragraph" w:styleId="18">
    <w:name w:val="Normal (Web)"/>
    <w:basedOn w:val="1"/>
    <w:link w:val="43"/>
    <w:qFormat/>
    <w:uiPriority w:val="99"/>
    <w:pPr>
      <w:widowControl/>
      <w:spacing w:before="100" w:beforeAutospacing="1" w:afterAutospacing="1"/>
      <w:jc w:val="left"/>
    </w:pPr>
    <w:rPr>
      <w:rFonts w:ascii="宋体" w:hAnsi="宋体"/>
      <w:sz w:val="24"/>
      <w:szCs w:val="24"/>
    </w:rPr>
  </w:style>
  <w:style w:type="paragraph" w:styleId="19">
    <w:name w:val="Title"/>
    <w:basedOn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50"/>
    <w:semiHidden/>
    <w:unhideWhenUsed/>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7">
    <w:name w:val="Emphasis"/>
    <w:basedOn w:val="23"/>
    <w:qFormat/>
    <w:uiPriority w:val="20"/>
    <w:rPr>
      <w:b/>
      <w:bCs/>
    </w:rPr>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vanish/>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unhideWhenUsed/>
    <w:qFormat/>
    <w:uiPriority w:val="99"/>
    <w:rPr>
      <w:color w:val="0000FF" w:themeColor="hyperlink"/>
      <w:u w:val="single"/>
      <w14:textFill>
        <w14:solidFill>
          <w14:schemeClr w14:val="hlink"/>
        </w14:solidFill>
      </w14:textFill>
    </w:rPr>
  </w:style>
  <w:style w:type="character" w:styleId="33">
    <w:name w:val="HTML Code"/>
    <w:basedOn w:val="23"/>
    <w:semiHidden/>
    <w:unhideWhenUsed/>
    <w:qFormat/>
    <w:uiPriority w:val="99"/>
    <w:rPr>
      <w:rFonts w:ascii="monospace" w:hAnsi="monospace" w:eastAsia="monospace" w:cs="monospace"/>
      <w:sz w:val="20"/>
    </w:rPr>
  </w:style>
  <w:style w:type="character" w:styleId="34">
    <w:name w:val="annotation reference"/>
    <w:basedOn w:val="23"/>
    <w:semiHidden/>
    <w:unhideWhenUsed/>
    <w:qFormat/>
    <w:uiPriority w:val="99"/>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hint="default" w:ascii="monospace" w:hAnsi="monospace" w:eastAsia="monospace" w:cs="monospace"/>
    </w:rPr>
  </w:style>
  <w:style w:type="paragraph" w:styleId="3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9">
    <w:name w:val="正文+缩进"/>
    <w:basedOn w:val="1"/>
    <w:qFormat/>
    <w:uiPriority w:val="0"/>
    <w:pPr>
      <w:wordWrap w:val="0"/>
      <w:spacing w:line="360" w:lineRule="auto"/>
      <w:ind w:firstLine="482"/>
    </w:pPr>
    <w:rPr>
      <w:rFonts w:ascii="宋体" w:hAnsi="宋体" w:eastAsia="宋体"/>
      <w:color w:val="000000" w:themeColor="text1"/>
      <w:sz w:val="24"/>
      <w14:textFill>
        <w14:solidFill>
          <w14:schemeClr w14:val="tx1"/>
        </w14:solidFill>
      </w14:textFill>
    </w:rPr>
  </w:style>
  <w:style w:type="character" w:customStyle="1" w:styleId="40">
    <w:name w:val="页眉 Char"/>
    <w:basedOn w:val="23"/>
    <w:link w:val="16"/>
    <w:semiHidden/>
    <w:qFormat/>
    <w:uiPriority w:val="99"/>
    <w:rPr>
      <w:sz w:val="18"/>
      <w:szCs w:val="18"/>
    </w:rPr>
  </w:style>
  <w:style w:type="character" w:customStyle="1" w:styleId="41">
    <w:name w:val="页脚 Char"/>
    <w:basedOn w:val="23"/>
    <w:link w:val="15"/>
    <w:qFormat/>
    <w:uiPriority w:val="99"/>
    <w:rPr>
      <w:sz w:val="18"/>
      <w:szCs w:val="18"/>
    </w:rPr>
  </w:style>
  <w:style w:type="character" w:customStyle="1" w:styleId="42">
    <w:name w:val="批注框文本 Char"/>
    <w:basedOn w:val="23"/>
    <w:link w:val="14"/>
    <w:semiHidden/>
    <w:qFormat/>
    <w:uiPriority w:val="99"/>
    <w:rPr>
      <w:sz w:val="18"/>
      <w:szCs w:val="18"/>
    </w:rPr>
  </w:style>
  <w:style w:type="character" w:customStyle="1" w:styleId="43">
    <w:name w:val="普通(网站) Char"/>
    <w:link w:val="18"/>
    <w:qFormat/>
    <w:uiPriority w:val="99"/>
    <w:rPr>
      <w:rFonts w:ascii="宋体" w:hAnsi="宋体"/>
      <w:sz w:val="24"/>
      <w:szCs w:val="24"/>
    </w:rPr>
  </w:style>
  <w:style w:type="character" w:customStyle="1" w:styleId="44">
    <w:name w:val="标题 1 Char"/>
    <w:basedOn w:val="23"/>
    <w:link w:val="2"/>
    <w:qFormat/>
    <w:uiPriority w:val="0"/>
    <w:rPr>
      <w:rFonts w:ascii="Arial" w:hAnsi="Arial" w:eastAsia="宋体" w:cs="Times New Roman"/>
      <w:b/>
      <w:bCs/>
      <w:kern w:val="44"/>
      <w:sz w:val="44"/>
      <w:szCs w:val="44"/>
    </w:rPr>
  </w:style>
  <w:style w:type="paragraph" w:styleId="45">
    <w:name w:val="List Paragraph"/>
    <w:basedOn w:val="1"/>
    <w:qFormat/>
    <w:uiPriority w:val="34"/>
    <w:pPr>
      <w:ind w:firstLine="420" w:firstLineChars="200"/>
    </w:pPr>
  </w:style>
  <w:style w:type="character" w:customStyle="1" w:styleId="46">
    <w:name w:val="文档结构图 Char"/>
    <w:basedOn w:val="23"/>
    <w:link w:val="9"/>
    <w:semiHidden/>
    <w:qFormat/>
    <w:uiPriority w:val="99"/>
    <w:rPr>
      <w:rFonts w:ascii="宋体" w:eastAsia="宋体"/>
      <w:sz w:val="18"/>
      <w:szCs w:val="18"/>
    </w:rPr>
  </w:style>
  <w:style w:type="character" w:customStyle="1" w:styleId="47">
    <w:name w:val="标题 2 Char"/>
    <w:basedOn w:val="23"/>
    <w:link w:val="3"/>
    <w:semiHidden/>
    <w:qFormat/>
    <w:uiPriority w:val="9"/>
    <w:rPr>
      <w:rFonts w:asciiTheme="majorHAnsi" w:hAnsiTheme="majorHAnsi" w:eastAsiaTheme="majorEastAsia" w:cstheme="majorBidi"/>
      <w:b/>
      <w:bCs/>
      <w:sz w:val="32"/>
      <w:szCs w:val="32"/>
    </w:rPr>
  </w:style>
  <w:style w:type="character" w:customStyle="1" w:styleId="48">
    <w:name w:val="批注文字 Char"/>
    <w:basedOn w:val="23"/>
    <w:link w:val="10"/>
    <w:semiHidden/>
    <w:qFormat/>
    <w:uiPriority w:val="99"/>
  </w:style>
  <w:style w:type="character" w:customStyle="1" w:styleId="49">
    <w:name w:val="标题 3 Char"/>
    <w:qFormat/>
    <w:uiPriority w:val="0"/>
    <w:rPr>
      <w:rFonts w:ascii="黑体" w:eastAsia="黑体"/>
      <w:bCs/>
      <w:sz w:val="30"/>
    </w:rPr>
  </w:style>
  <w:style w:type="character" w:customStyle="1" w:styleId="50">
    <w:name w:val="批注主题 Char"/>
    <w:basedOn w:val="48"/>
    <w:link w:val="20"/>
    <w:semiHidden/>
    <w:qFormat/>
    <w:uiPriority w:val="99"/>
    <w:rPr>
      <w:b/>
      <w:bCs/>
      <w:kern w:val="2"/>
      <w:sz w:val="21"/>
      <w:szCs w:val="22"/>
    </w:rPr>
  </w:style>
  <w:style w:type="table" w:customStyle="1" w:styleId="51">
    <w:name w:val="网格型1"/>
    <w:basedOn w:val="21"/>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hover"/>
    <w:basedOn w:val="23"/>
    <w:qFormat/>
    <w:uiPriority w:val="0"/>
    <w:rPr>
      <w:color w:val="2590EB"/>
    </w:rPr>
  </w:style>
  <w:style w:type="character" w:customStyle="1" w:styleId="53">
    <w:name w:val="hover1"/>
    <w:basedOn w:val="23"/>
    <w:qFormat/>
    <w:uiPriority w:val="0"/>
    <w:rPr>
      <w:color w:val="2590EB"/>
      <w:shd w:val="clear" w:fill="E9F4FD"/>
    </w:rPr>
  </w:style>
  <w:style w:type="character" w:customStyle="1" w:styleId="54">
    <w:name w:val="hover2"/>
    <w:basedOn w:val="23"/>
    <w:qFormat/>
    <w:uiPriority w:val="0"/>
    <w:rPr>
      <w:color w:val="2590EB"/>
    </w:rPr>
  </w:style>
  <w:style w:type="character" w:customStyle="1" w:styleId="55">
    <w:name w:val="hover3"/>
    <w:basedOn w:val="23"/>
    <w:qFormat/>
    <w:uiPriority w:val="0"/>
  </w:style>
  <w:style w:type="paragraph" w:styleId="5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
    <w:name w:val="Table Paragraph"/>
    <w:basedOn w:val="1"/>
    <w:qFormat/>
    <w:uiPriority w:val="1"/>
    <w:rPr>
      <w:rFonts w:ascii="仿宋" w:hAnsi="仿宋" w:eastAsia="仿宋" w:cs="仿宋"/>
      <w:lang w:val="zh-CN" w:bidi="zh-CN"/>
    </w:rPr>
  </w:style>
  <w:style w:type="paragraph" w:customStyle="1" w:styleId="58">
    <w:name w:val="文档正文"/>
    <w:basedOn w:val="1"/>
    <w:qFormat/>
    <w:uiPriority w:val="0"/>
    <w:pPr>
      <w:spacing w:line="360" w:lineRule="auto"/>
    </w:pPr>
    <w:rPr>
      <w:bCs/>
    </w:rPr>
  </w:style>
  <w:style w:type="paragraph" w:customStyle="1" w:styleId="59">
    <w:name w:val="*正文"/>
    <w:basedOn w:val="1"/>
    <w:qFormat/>
    <w:uiPriority w:val="0"/>
    <w:pPr>
      <w:spacing w:line="360" w:lineRule="auto"/>
      <w:ind w:firstLine="200" w:firstLineChars="200"/>
    </w:pPr>
    <w:rPr>
      <w:rFonts w:ascii="仿宋_GB2312" w:hAnsi="Calibri"/>
      <w:szCs w:val="28"/>
    </w:rPr>
  </w:style>
  <w:style w:type="paragraph" w:customStyle="1" w:styleId="60">
    <w:name w:val="表格文字"/>
    <w:basedOn w:val="1"/>
    <w:next w:val="8"/>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6306</Words>
  <Characters>6475</Characters>
  <Lines>316</Lines>
  <Paragraphs>89</Paragraphs>
  <TotalTime>20</TotalTime>
  <ScaleCrop>false</ScaleCrop>
  <LinksUpToDate>false</LinksUpToDate>
  <CharactersWithSpaces>6489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admin</cp:lastModifiedBy>
  <cp:lastPrinted>2021-01-15T01:17:00Z</cp:lastPrinted>
  <dcterms:modified xsi:type="dcterms:W3CDTF">2025-11-17T09:20:10Z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12202D175F384E97B6BE66AA27580BA9_13</vt:lpwstr>
  </property>
  <property fmtid="{D5CDD505-2E9C-101B-9397-08002B2CF9AE}" pid="4" name="KSOTemplateDocerSaveRecord">
    <vt:lpwstr>eyJoZGlkIjoiZjcyY2RkNmEyYjBjYTIzZTY0MGFlOTVmZjFmOTFlOTMiLCJ1c2VySWQiOiIzNjg4Mzk3MDAifQ==</vt:lpwstr>
  </property>
</Properties>
</file>