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D4CF1">
      <w:pPr>
        <w:widowControl/>
        <w:spacing w:beforeAutospacing="1" w:afterAutospacing="1"/>
        <w:jc w:val="center"/>
        <w:outlineLvl w:val="0"/>
        <w:rPr>
          <w:rFonts w:hint="eastAsia" w:ascii="黑体" w:hAnsi="宋体" w:eastAsia="黑体" w:cs="黑体"/>
          <w:kern w:val="0"/>
          <w:sz w:val="40"/>
          <w:szCs w:val="40"/>
        </w:rPr>
      </w:pPr>
      <w:r>
        <w:rPr>
          <w:rFonts w:hint="eastAsia" w:ascii="黑体" w:hAnsi="宋体" w:eastAsia="黑体" w:cs="黑体"/>
          <w:kern w:val="0"/>
          <w:sz w:val="40"/>
          <w:szCs w:val="40"/>
        </w:rPr>
        <w:t>招标文件信息</w:t>
      </w:r>
    </w:p>
    <w:tbl>
      <w:tblPr>
        <w:tblStyle w:val="16"/>
        <w:tblW w:w="6828" w:type="dxa"/>
        <w:jc w:val="center"/>
        <w:tblCellSpacing w:w="0" w:type="dxa"/>
        <w:tblLayout w:type="autofit"/>
        <w:tblCellMar>
          <w:top w:w="36" w:type="dxa"/>
          <w:left w:w="36" w:type="dxa"/>
          <w:bottom w:w="36" w:type="dxa"/>
          <w:right w:w="36" w:type="dxa"/>
        </w:tblCellMar>
      </w:tblPr>
      <w:tblGrid>
        <w:gridCol w:w="1612"/>
        <w:gridCol w:w="5216"/>
      </w:tblGrid>
      <w:tr w14:paraId="27BF4BF2">
        <w:tblPrEx>
          <w:tblCellMar>
            <w:top w:w="36" w:type="dxa"/>
            <w:left w:w="36" w:type="dxa"/>
            <w:bottom w:w="36" w:type="dxa"/>
            <w:right w:w="36" w:type="dxa"/>
          </w:tblCellMar>
        </w:tblPrEx>
        <w:trPr>
          <w:trHeight w:val="737" w:hRule="atLeast"/>
          <w:tblCellSpacing w:w="0" w:type="dxa"/>
          <w:jc w:val="center"/>
        </w:trPr>
        <w:tc>
          <w:tcPr>
            <w:tcW w:w="1612" w:type="dxa"/>
            <w:vAlign w:val="center"/>
          </w:tcPr>
          <w:p w14:paraId="2B5DB689">
            <w:pPr>
              <w:rPr>
                <w:rFonts w:hint="eastAsia" w:ascii="宋体" w:hAnsi="宋体" w:eastAsia="宋体" w:cs="宋体"/>
                <w:sz w:val="30"/>
                <w:szCs w:val="30"/>
              </w:rPr>
            </w:pPr>
            <w:r>
              <w:rPr>
                <w:rFonts w:hint="eastAsia" w:ascii="宋体" w:hAnsi="宋体" w:eastAsia="宋体" w:cs="宋体"/>
                <w:sz w:val="30"/>
                <w:szCs w:val="30"/>
              </w:rPr>
              <w:t>项目编号：</w:t>
            </w:r>
          </w:p>
        </w:tc>
        <w:tc>
          <w:tcPr>
            <w:tcW w:w="5216" w:type="dxa"/>
            <w:vAlign w:val="center"/>
          </w:tcPr>
          <w:p w14:paraId="14A61F5F">
            <w:pPr>
              <w:jc w:val="left"/>
              <w:rPr>
                <w:rFonts w:hint="eastAsia" w:ascii="宋体" w:hAnsi="宋体" w:eastAsia="宋体" w:cs="宋体"/>
                <w:sz w:val="30"/>
                <w:szCs w:val="30"/>
              </w:rPr>
            </w:pPr>
            <w:r>
              <w:rPr>
                <w:rFonts w:hint="eastAsia" w:ascii="宋体" w:hAnsi="宋体" w:eastAsia="宋体" w:cs="宋体"/>
                <w:sz w:val="30"/>
                <w:szCs w:val="30"/>
              </w:rPr>
              <w:t>LHAZXCG-2024-00040</w:t>
            </w:r>
          </w:p>
        </w:tc>
      </w:tr>
      <w:tr w14:paraId="5F3D5994">
        <w:tblPrEx>
          <w:tblCellMar>
            <w:top w:w="36" w:type="dxa"/>
            <w:left w:w="36" w:type="dxa"/>
            <w:bottom w:w="36" w:type="dxa"/>
            <w:right w:w="36" w:type="dxa"/>
          </w:tblCellMar>
        </w:tblPrEx>
        <w:trPr>
          <w:trHeight w:val="737" w:hRule="atLeast"/>
          <w:tblCellSpacing w:w="0" w:type="dxa"/>
          <w:jc w:val="center"/>
        </w:trPr>
        <w:tc>
          <w:tcPr>
            <w:tcW w:w="1612" w:type="dxa"/>
            <w:vAlign w:val="center"/>
          </w:tcPr>
          <w:p w14:paraId="1CB63266">
            <w:pPr>
              <w:rPr>
                <w:rFonts w:hint="eastAsia" w:ascii="宋体" w:hAnsi="宋体" w:eastAsia="宋体" w:cs="宋体"/>
                <w:sz w:val="30"/>
                <w:szCs w:val="30"/>
              </w:rPr>
            </w:pPr>
            <w:r>
              <w:rPr>
                <w:rFonts w:hint="eastAsia" w:ascii="宋体" w:hAnsi="宋体" w:eastAsia="宋体" w:cs="宋体"/>
                <w:sz w:val="30"/>
                <w:szCs w:val="30"/>
              </w:rPr>
              <w:t>项目名称：</w:t>
            </w:r>
          </w:p>
        </w:tc>
        <w:tc>
          <w:tcPr>
            <w:tcW w:w="5216" w:type="dxa"/>
            <w:vAlign w:val="center"/>
          </w:tcPr>
          <w:p w14:paraId="75022ADE">
            <w:pPr>
              <w:jc w:val="left"/>
              <w:rPr>
                <w:rFonts w:hint="eastAsia" w:ascii="宋体" w:hAnsi="宋体" w:eastAsia="宋体" w:cs="宋体"/>
                <w:sz w:val="30"/>
                <w:szCs w:val="30"/>
              </w:rPr>
            </w:pPr>
            <w:r>
              <w:rPr>
                <w:rFonts w:hint="eastAsia" w:ascii="宋体" w:hAnsi="宋体" w:eastAsia="宋体" w:cs="宋体"/>
                <w:sz w:val="30"/>
                <w:szCs w:val="30"/>
              </w:rPr>
              <w:t>心理咨询室及教师阅览室设施设备采购</w:t>
            </w:r>
          </w:p>
        </w:tc>
      </w:tr>
      <w:tr w14:paraId="072D86C0">
        <w:tblPrEx>
          <w:tblCellMar>
            <w:top w:w="36" w:type="dxa"/>
            <w:left w:w="36" w:type="dxa"/>
            <w:bottom w:w="36" w:type="dxa"/>
            <w:right w:w="36" w:type="dxa"/>
          </w:tblCellMar>
        </w:tblPrEx>
        <w:trPr>
          <w:trHeight w:val="737" w:hRule="atLeast"/>
          <w:tblCellSpacing w:w="0" w:type="dxa"/>
          <w:jc w:val="center"/>
        </w:trPr>
        <w:tc>
          <w:tcPr>
            <w:tcW w:w="1612" w:type="dxa"/>
            <w:vAlign w:val="center"/>
          </w:tcPr>
          <w:p w14:paraId="38F296A1">
            <w:pPr>
              <w:rPr>
                <w:rFonts w:hint="eastAsia" w:ascii="宋体" w:hAnsi="宋体" w:eastAsia="宋体" w:cs="宋体"/>
                <w:sz w:val="30"/>
                <w:szCs w:val="30"/>
              </w:rPr>
            </w:pPr>
            <w:r>
              <w:rPr>
                <w:rFonts w:hint="eastAsia" w:ascii="宋体" w:hAnsi="宋体" w:eastAsia="宋体" w:cs="宋体"/>
                <w:sz w:val="30"/>
                <w:szCs w:val="30"/>
              </w:rPr>
              <w:t>包    号：</w:t>
            </w:r>
          </w:p>
        </w:tc>
        <w:tc>
          <w:tcPr>
            <w:tcW w:w="5216" w:type="dxa"/>
            <w:vAlign w:val="center"/>
          </w:tcPr>
          <w:p w14:paraId="09EE560C">
            <w:pPr>
              <w:jc w:val="left"/>
              <w:rPr>
                <w:rFonts w:hint="eastAsia" w:ascii="宋体" w:hAnsi="宋体" w:eastAsia="宋体" w:cs="宋体"/>
                <w:sz w:val="30"/>
                <w:szCs w:val="30"/>
              </w:rPr>
            </w:pPr>
            <w:r>
              <w:rPr>
                <w:rFonts w:hint="eastAsia" w:ascii="宋体" w:hAnsi="宋体" w:eastAsia="宋体" w:cs="宋体"/>
                <w:sz w:val="30"/>
                <w:szCs w:val="30"/>
              </w:rPr>
              <w:t>A</w:t>
            </w:r>
          </w:p>
        </w:tc>
      </w:tr>
      <w:tr w14:paraId="64CFB890">
        <w:tblPrEx>
          <w:tblCellMar>
            <w:top w:w="36" w:type="dxa"/>
            <w:left w:w="36" w:type="dxa"/>
            <w:bottom w:w="36" w:type="dxa"/>
            <w:right w:w="36" w:type="dxa"/>
          </w:tblCellMar>
        </w:tblPrEx>
        <w:trPr>
          <w:trHeight w:val="737" w:hRule="atLeast"/>
          <w:tblCellSpacing w:w="0" w:type="dxa"/>
          <w:jc w:val="center"/>
        </w:trPr>
        <w:tc>
          <w:tcPr>
            <w:tcW w:w="1612" w:type="dxa"/>
            <w:vAlign w:val="center"/>
          </w:tcPr>
          <w:p w14:paraId="0AC33295">
            <w:pPr>
              <w:rPr>
                <w:rFonts w:hint="eastAsia" w:ascii="宋体" w:hAnsi="宋体" w:eastAsia="宋体" w:cs="宋体"/>
                <w:sz w:val="30"/>
                <w:szCs w:val="30"/>
              </w:rPr>
            </w:pPr>
            <w:r>
              <w:rPr>
                <w:rFonts w:hint="eastAsia" w:ascii="宋体" w:hAnsi="宋体" w:eastAsia="宋体" w:cs="宋体"/>
                <w:sz w:val="30"/>
                <w:szCs w:val="30"/>
              </w:rPr>
              <w:t>项目类型：</w:t>
            </w:r>
          </w:p>
        </w:tc>
        <w:tc>
          <w:tcPr>
            <w:tcW w:w="5216" w:type="dxa"/>
            <w:vAlign w:val="center"/>
          </w:tcPr>
          <w:p w14:paraId="232FE15F">
            <w:pPr>
              <w:jc w:val="left"/>
              <w:rPr>
                <w:rFonts w:hint="eastAsia" w:ascii="宋体" w:hAnsi="宋体" w:eastAsia="宋体" w:cs="宋体"/>
                <w:sz w:val="30"/>
                <w:szCs w:val="30"/>
              </w:rPr>
            </w:pPr>
            <w:r>
              <w:rPr>
                <w:rFonts w:hint="eastAsia" w:ascii="宋体" w:hAnsi="宋体" w:eastAsia="宋体" w:cs="宋体"/>
                <w:sz w:val="30"/>
                <w:szCs w:val="30"/>
              </w:rPr>
              <w:t>货物类</w:t>
            </w:r>
          </w:p>
        </w:tc>
      </w:tr>
      <w:tr w14:paraId="3568077F">
        <w:tblPrEx>
          <w:tblCellMar>
            <w:top w:w="36" w:type="dxa"/>
            <w:left w:w="36" w:type="dxa"/>
            <w:bottom w:w="36" w:type="dxa"/>
            <w:right w:w="36" w:type="dxa"/>
          </w:tblCellMar>
        </w:tblPrEx>
        <w:trPr>
          <w:trHeight w:val="737" w:hRule="atLeast"/>
          <w:tblCellSpacing w:w="0" w:type="dxa"/>
          <w:jc w:val="center"/>
        </w:trPr>
        <w:tc>
          <w:tcPr>
            <w:tcW w:w="1612" w:type="dxa"/>
            <w:vAlign w:val="center"/>
          </w:tcPr>
          <w:p w14:paraId="05A4FA0E">
            <w:pPr>
              <w:rPr>
                <w:rFonts w:hint="eastAsia" w:ascii="宋体" w:hAnsi="宋体" w:eastAsia="宋体" w:cs="宋体"/>
                <w:sz w:val="30"/>
                <w:szCs w:val="30"/>
              </w:rPr>
            </w:pPr>
            <w:r>
              <w:rPr>
                <w:rFonts w:hint="eastAsia" w:ascii="宋体" w:hAnsi="宋体" w:eastAsia="宋体" w:cs="宋体"/>
                <w:sz w:val="30"/>
                <w:szCs w:val="30"/>
              </w:rPr>
              <w:t>采购方式：</w:t>
            </w:r>
          </w:p>
        </w:tc>
        <w:tc>
          <w:tcPr>
            <w:tcW w:w="5216" w:type="dxa"/>
            <w:vAlign w:val="center"/>
          </w:tcPr>
          <w:p w14:paraId="67A9524C">
            <w:pPr>
              <w:jc w:val="left"/>
              <w:rPr>
                <w:rFonts w:hint="eastAsia" w:ascii="宋体" w:hAnsi="宋体" w:eastAsia="宋体" w:cs="宋体"/>
                <w:sz w:val="30"/>
                <w:szCs w:val="30"/>
              </w:rPr>
            </w:pPr>
            <w:r>
              <w:rPr>
                <w:rFonts w:hint="eastAsia" w:ascii="宋体" w:hAnsi="宋体" w:eastAsia="宋体" w:cs="宋体"/>
                <w:sz w:val="30"/>
                <w:szCs w:val="30"/>
              </w:rPr>
              <w:t>公开招标</w:t>
            </w:r>
          </w:p>
        </w:tc>
      </w:tr>
      <w:tr w14:paraId="5CB16DD3">
        <w:tblPrEx>
          <w:tblCellMar>
            <w:top w:w="36" w:type="dxa"/>
            <w:left w:w="36" w:type="dxa"/>
            <w:bottom w:w="36" w:type="dxa"/>
            <w:right w:w="36" w:type="dxa"/>
          </w:tblCellMar>
        </w:tblPrEx>
        <w:trPr>
          <w:trHeight w:val="737" w:hRule="atLeast"/>
          <w:tblCellSpacing w:w="0" w:type="dxa"/>
          <w:jc w:val="center"/>
        </w:trPr>
        <w:tc>
          <w:tcPr>
            <w:tcW w:w="1612" w:type="dxa"/>
            <w:vAlign w:val="center"/>
          </w:tcPr>
          <w:p w14:paraId="7988A934">
            <w:pPr>
              <w:rPr>
                <w:rFonts w:hint="eastAsia" w:ascii="宋体" w:hAnsi="宋体" w:eastAsia="宋体" w:cs="宋体"/>
                <w:sz w:val="30"/>
                <w:szCs w:val="30"/>
              </w:rPr>
            </w:pPr>
            <w:r>
              <w:rPr>
                <w:rFonts w:hint="eastAsia" w:ascii="宋体" w:hAnsi="宋体" w:eastAsia="宋体" w:cs="宋体"/>
                <w:sz w:val="30"/>
                <w:szCs w:val="30"/>
              </w:rPr>
              <w:t>货币类型：</w:t>
            </w:r>
          </w:p>
        </w:tc>
        <w:tc>
          <w:tcPr>
            <w:tcW w:w="5216" w:type="dxa"/>
            <w:vAlign w:val="center"/>
          </w:tcPr>
          <w:p w14:paraId="27FDB484">
            <w:pPr>
              <w:jc w:val="left"/>
              <w:rPr>
                <w:rFonts w:hint="eastAsia" w:ascii="宋体" w:hAnsi="宋体" w:eastAsia="宋体" w:cs="宋体"/>
                <w:sz w:val="30"/>
                <w:szCs w:val="30"/>
              </w:rPr>
            </w:pPr>
            <w:r>
              <w:rPr>
                <w:rFonts w:hint="eastAsia" w:ascii="宋体" w:hAnsi="宋体" w:eastAsia="宋体" w:cs="宋体"/>
                <w:sz w:val="30"/>
                <w:szCs w:val="30"/>
              </w:rPr>
              <w:t>人民币</w:t>
            </w:r>
          </w:p>
        </w:tc>
      </w:tr>
      <w:tr w14:paraId="5AE326CB">
        <w:tblPrEx>
          <w:tblCellMar>
            <w:top w:w="36" w:type="dxa"/>
            <w:left w:w="36" w:type="dxa"/>
            <w:bottom w:w="36" w:type="dxa"/>
            <w:right w:w="36" w:type="dxa"/>
          </w:tblCellMar>
        </w:tblPrEx>
        <w:trPr>
          <w:trHeight w:val="737" w:hRule="atLeast"/>
          <w:tblCellSpacing w:w="0" w:type="dxa"/>
          <w:jc w:val="center"/>
        </w:trPr>
        <w:tc>
          <w:tcPr>
            <w:tcW w:w="1612" w:type="dxa"/>
            <w:vAlign w:val="center"/>
          </w:tcPr>
          <w:p w14:paraId="084544AA">
            <w:pPr>
              <w:rPr>
                <w:rFonts w:hint="eastAsia" w:ascii="宋体" w:hAnsi="宋体" w:eastAsia="宋体" w:cs="宋体"/>
                <w:sz w:val="30"/>
                <w:szCs w:val="30"/>
              </w:rPr>
            </w:pPr>
            <w:r>
              <w:rPr>
                <w:rFonts w:hint="eastAsia" w:ascii="宋体" w:hAnsi="宋体" w:eastAsia="宋体" w:cs="宋体"/>
                <w:sz w:val="30"/>
                <w:szCs w:val="30"/>
              </w:rPr>
              <w:t>评标方法：</w:t>
            </w:r>
          </w:p>
        </w:tc>
        <w:tc>
          <w:tcPr>
            <w:tcW w:w="5216" w:type="dxa"/>
            <w:vAlign w:val="center"/>
          </w:tcPr>
          <w:p w14:paraId="05660212">
            <w:pPr>
              <w:jc w:val="left"/>
              <w:rPr>
                <w:rFonts w:hint="eastAsia" w:ascii="宋体" w:hAnsi="宋体" w:eastAsia="宋体" w:cs="宋体"/>
                <w:sz w:val="30"/>
                <w:szCs w:val="30"/>
              </w:rPr>
            </w:pPr>
            <w:r>
              <w:rPr>
                <w:rFonts w:hint="eastAsia" w:ascii="宋体" w:hAnsi="宋体" w:eastAsia="宋体" w:cs="宋体"/>
                <w:kern w:val="0"/>
                <w:sz w:val="30"/>
                <w:szCs w:val="30"/>
                <w:lang w:bidi="ar"/>
              </w:rPr>
              <w:t>综合评分法</w:t>
            </w:r>
          </w:p>
        </w:tc>
      </w:tr>
    </w:tbl>
    <w:p w14:paraId="5A756C55">
      <w:pPr>
        <w:tabs>
          <w:tab w:val="left" w:pos="2790"/>
        </w:tabs>
        <w:snapToGrid w:val="0"/>
        <w:spacing w:line="440" w:lineRule="exact"/>
        <w:jc w:val="left"/>
        <w:rPr>
          <w:rFonts w:hint="eastAsia" w:asciiTheme="minorEastAsia" w:hAnsiTheme="minorEastAsia"/>
          <w:sz w:val="30"/>
          <w:szCs w:val="30"/>
        </w:rPr>
      </w:pPr>
    </w:p>
    <w:p w14:paraId="463CBAB6">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资格性审查表</w:t>
      </w:r>
    </w:p>
    <w:tbl>
      <w:tblPr>
        <w:tblStyle w:val="16"/>
        <w:tblW w:w="85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24"/>
        <w:gridCol w:w="7837"/>
      </w:tblGrid>
      <w:tr w14:paraId="20F0E4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2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B0A6A4F">
            <w:pPr>
              <w:spacing w:line="290" w:lineRule="exact"/>
              <w:jc w:val="center"/>
              <w:rPr>
                <w:rFonts w:hint="eastAsia" w:ascii="宋体" w:hAnsi="宋体" w:eastAsia="宋体" w:cs="宋体"/>
                <w:szCs w:val="21"/>
              </w:rPr>
            </w:pPr>
            <w:r>
              <w:rPr>
                <w:rFonts w:ascii="宋体" w:hAnsi="宋体" w:eastAsia="宋体" w:cs="Times New Roman"/>
                <w:szCs w:val="21"/>
              </w:rPr>
              <w:t>序号</w:t>
            </w:r>
          </w:p>
        </w:tc>
        <w:tc>
          <w:tcPr>
            <w:tcW w:w="7837"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985C267">
            <w:pPr>
              <w:spacing w:line="290" w:lineRule="exact"/>
              <w:jc w:val="center"/>
              <w:rPr>
                <w:rFonts w:hint="eastAsia" w:ascii="宋体" w:hAnsi="宋体" w:eastAsia="宋体" w:cs="宋体"/>
                <w:szCs w:val="21"/>
              </w:rPr>
            </w:pPr>
            <w:r>
              <w:rPr>
                <w:rFonts w:ascii="宋体" w:hAnsi="宋体" w:eastAsia="宋体" w:cs="Times New Roman"/>
                <w:szCs w:val="21"/>
              </w:rPr>
              <w:t>内容</w:t>
            </w:r>
          </w:p>
        </w:tc>
      </w:tr>
      <w:tr w14:paraId="038630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24" w:type="dxa"/>
            <w:tcBorders>
              <w:top w:val="single" w:color="000000" w:sz="8" w:space="0"/>
              <w:left w:val="single" w:color="000000" w:sz="8" w:space="0"/>
              <w:bottom w:val="single" w:color="000000" w:sz="8" w:space="0"/>
              <w:right w:val="single" w:color="000000" w:sz="8" w:space="0"/>
            </w:tcBorders>
          </w:tcPr>
          <w:p w14:paraId="06A08DB3">
            <w:pPr>
              <w:spacing w:line="290" w:lineRule="exact"/>
              <w:jc w:val="center"/>
              <w:rPr>
                <w:rFonts w:hint="eastAsia" w:ascii="宋体" w:hAnsi="宋体" w:eastAsia="宋体" w:cs="宋体"/>
                <w:szCs w:val="21"/>
              </w:rPr>
            </w:pPr>
            <w:r>
              <w:rPr>
                <w:rFonts w:ascii="宋体" w:hAnsi="宋体" w:eastAsia="宋体" w:cs="Times New Roman"/>
                <w:szCs w:val="21"/>
              </w:rPr>
              <w:t>1</w:t>
            </w:r>
          </w:p>
        </w:tc>
        <w:tc>
          <w:tcPr>
            <w:tcW w:w="7837" w:type="dxa"/>
            <w:tcBorders>
              <w:top w:val="single" w:color="000000" w:sz="8" w:space="0"/>
              <w:left w:val="single" w:color="000000" w:sz="8" w:space="0"/>
              <w:bottom w:val="single" w:color="000000" w:sz="8" w:space="0"/>
              <w:right w:val="single" w:color="000000" w:sz="8" w:space="0"/>
            </w:tcBorders>
          </w:tcPr>
          <w:p w14:paraId="4EF3FDCE">
            <w:pPr>
              <w:spacing w:line="290" w:lineRule="exact"/>
              <w:rPr>
                <w:rFonts w:hint="eastAsia" w:ascii="宋体" w:hAnsi="宋体" w:eastAsia="宋体" w:cs="宋体"/>
                <w:szCs w:val="21"/>
              </w:rPr>
            </w:pPr>
            <w:r>
              <w:rPr>
                <w:rFonts w:ascii="宋体" w:hAnsi="宋体" w:eastAsia="宋体" w:cs="宋体"/>
                <w:kern w:val="0"/>
                <w:szCs w:val="21"/>
              </w:rPr>
              <w:t>投标人不</w:t>
            </w:r>
            <w:r>
              <w:rPr>
                <w:rFonts w:hint="eastAsia" w:ascii="宋体" w:hAnsi="宋体" w:eastAsia="宋体" w:cs="宋体"/>
                <w:kern w:val="0"/>
                <w:szCs w:val="21"/>
              </w:rPr>
              <w:t>符合</w:t>
            </w:r>
            <w:r>
              <w:rPr>
                <w:rFonts w:ascii="宋体" w:hAnsi="宋体" w:eastAsia="宋体" w:cs="宋体"/>
                <w:kern w:val="0"/>
                <w:szCs w:val="21"/>
              </w:rPr>
              <w:t>资格要求，或未提交相应的资格证明资料（详见招标公告</w:t>
            </w:r>
            <w:r>
              <w:rPr>
                <w:rFonts w:hint="eastAsia" w:ascii="宋体" w:hAnsi="宋体" w:eastAsia="宋体" w:cs="Times New Roman"/>
                <w:szCs w:val="21"/>
              </w:rPr>
              <w:t>投标人资格要求，即申请人的资格要求</w:t>
            </w:r>
            <w:r>
              <w:rPr>
                <w:rFonts w:ascii="宋体" w:hAnsi="宋体" w:eastAsia="宋体" w:cs="宋体"/>
                <w:kern w:val="0"/>
                <w:szCs w:val="21"/>
              </w:rPr>
              <w:t>）。</w:t>
            </w:r>
          </w:p>
        </w:tc>
      </w:tr>
    </w:tbl>
    <w:p w14:paraId="675F6AF7">
      <w:pPr>
        <w:tabs>
          <w:tab w:val="left" w:pos="2790"/>
        </w:tabs>
        <w:snapToGrid w:val="0"/>
        <w:jc w:val="center"/>
        <w:rPr>
          <w:rFonts w:hint="eastAsia" w:ascii="黑体" w:hAnsi="黑体" w:eastAsia="黑体" w:cs="Times New Roman"/>
          <w:sz w:val="40"/>
          <w:szCs w:val="40"/>
        </w:rPr>
      </w:pPr>
    </w:p>
    <w:p w14:paraId="24A6713D">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符合性审查表</w:t>
      </w:r>
    </w:p>
    <w:tbl>
      <w:tblPr>
        <w:tblStyle w:val="16"/>
        <w:tblW w:w="87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7928"/>
      </w:tblGrid>
      <w:tr w14:paraId="222320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4FF3932">
            <w:pPr>
              <w:widowControl/>
              <w:jc w:val="center"/>
              <w:rPr>
                <w:rFonts w:hint="eastAsia" w:ascii="宋体" w:hAnsi="宋体" w:eastAsia="宋体" w:cs="宋体"/>
                <w:szCs w:val="21"/>
              </w:rPr>
            </w:pPr>
            <w:r>
              <w:rPr>
                <w:rFonts w:hint="eastAsia" w:ascii="宋体" w:hAnsi="宋体" w:eastAsia="宋体" w:cs="宋体"/>
                <w:kern w:val="0"/>
                <w:szCs w:val="21"/>
                <w:lang w:bidi="ar"/>
              </w:rPr>
              <w:t>序号</w:t>
            </w:r>
          </w:p>
        </w:tc>
        <w:tc>
          <w:tcPr>
            <w:tcW w:w="792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110E04D">
            <w:pPr>
              <w:widowControl/>
              <w:jc w:val="center"/>
              <w:rPr>
                <w:rFonts w:hint="eastAsia" w:ascii="宋体" w:hAnsi="宋体" w:eastAsia="宋体" w:cs="宋体"/>
                <w:szCs w:val="21"/>
              </w:rPr>
            </w:pPr>
            <w:r>
              <w:rPr>
                <w:rFonts w:hint="eastAsia" w:ascii="宋体" w:hAnsi="宋体" w:eastAsia="宋体" w:cs="宋体"/>
                <w:kern w:val="0"/>
                <w:szCs w:val="21"/>
                <w:lang w:bidi="ar"/>
              </w:rPr>
              <w:t>内容</w:t>
            </w:r>
          </w:p>
        </w:tc>
      </w:tr>
      <w:tr w14:paraId="366A91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91793E">
            <w:pPr>
              <w:widowControl/>
              <w:jc w:val="center"/>
              <w:textAlignment w:val="top"/>
              <w:rPr>
                <w:rFonts w:hint="eastAsia" w:ascii="宋体" w:hAnsi="宋体" w:eastAsia="宋体" w:cs="宋体"/>
                <w:szCs w:val="21"/>
              </w:rPr>
            </w:pPr>
            <w:r>
              <w:rPr>
                <w:rFonts w:hint="eastAsia" w:ascii="宋体" w:hAnsi="宋体" w:eastAsia="宋体" w:cs="宋体"/>
                <w:kern w:val="0"/>
                <w:szCs w:val="21"/>
                <w:lang w:bidi="ar"/>
              </w:rPr>
              <w:t>1</w:t>
            </w:r>
          </w:p>
        </w:tc>
        <w:tc>
          <w:tcPr>
            <w:tcW w:w="7928" w:type="dxa"/>
            <w:tcBorders>
              <w:top w:val="single" w:color="000000" w:sz="8" w:space="0"/>
              <w:left w:val="single" w:color="000000" w:sz="8" w:space="0"/>
              <w:bottom w:val="single" w:color="000000" w:sz="8" w:space="0"/>
              <w:right w:val="single" w:color="000000" w:sz="8" w:space="0"/>
            </w:tcBorders>
            <w:shd w:val="clear" w:color="auto" w:fill="auto"/>
          </w:tcPr>
          <w:p w14:paraId="665EC90D">
            <w:pPr>
              <w:widowControl/>
              <w:jc w:val="left"/>
              <w:textAlignment w:val="top"/>
              <w:rPr>
                <w:rFonts w:hint="eastAsia" w:ascii="宋体" w:hAnsi="宋体" w:eastAsia="宋体" w:cs="宋体"/>
                <w:szCs w:val="21"/>
              </w:rPr>
            </w:pPr>
            <w:r>
              <w:rPr>
                <w:rFonts w:hint="eastAsia" w:ascii="宋体" w:hAnsi="宋体" w:eastAsia="宋体" w:cs="宋体"/>
                <w:szCs w:val="21"/>
              </w:rPr>
              <w:t>不得将一个包的内容拆开投标；</w:t>
            </w:r>
          </w:p>
        </w:tc>
      </w:tr>
      <w:tr w14:paraId="0F8195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FBE9B8">
            <w:pPr>
              <w:widowControl/>
              <w:jc w:val="center"/>
              <w:textAlignment w:val="top"/>
              <w:rPr>
                <w:rFonts w:hint="eastAsia" w:ascii="宋体" w:hAnsi="宋体" w:eastAsia="宋体" w:cs="宋体"/>
                <w:szCs w:val="21"/>
              </w:rPr>
            </w:pPr>
            <w:r>
              <w:rPr>
                <w:rFonts w:hint="eastAsia" w:ascii="宋体" w:hAnsi="宋体" w:eastAsia="宋体" w:cs="宋体"/>
                <w:kern w:val="0"/>
                <w:szCs w:val="21"/>
                <w:lang w:bidi="ar"/>
              </w:rPr>
              <w:t>2</w:t>
            </w:r>
          </w:p>
        </w:tc>
        <w:tc>
          <w:tcPr>
            <w:tcW w:w="7928" w:type="dxa"/>
            <w:tcBorders>
              <w:top w:val="single" w:color="000000" w:sz="8" w:space="0"/>
              <w:left w:val="single" w:color="000000" w:sz="8" w:space="0"/>
              <w:bottom w:val="single" w:color="000000" w:sz="8" w:space="0"/>
              <w:right w:val="single" w:color="000000" w:sz="8" w:space="0"/>
            </w:tcBorders>
            <w:shd w:val="clear" w:color="auto" w:fill="auto"/>
          </w:tcPr>
          <w:p w14:paraId="4961DB08">
            <w:pPr>
              <w:widowControl/>
              <w:jc w:val="left"/>
              <w:textAlignment w:val="top"/>
              <w:rPr>
                <w:rFonts w:hint="eastAsia" w:ascii="宋体" w:hAnsi="宋体" w:eastAsia="宋体" w:cs="宋体"/>
                <w:szCs w:val="21"/>
              </w:rPr>
            </w:pPr>
            <w:r>
              <w:rPr>
                <w:rFonts w:hint="eastAsia" w:ascii="宋体" w:hAnsi="宋体" w:eastAsia="宋体" w:cs="宋体"/>
                <w:szCs w:val="21"/>
              </w:rPr>
              <w:t>对同一项目投标时，不得提供两套以上的投标方案（招标文件另有规定的除外）；</w:t>
            </w:r>
          </w:p>
        </w:tc>
      </w:tr>
      <w:tr w14:paraId="6BA975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15FBB">
            <w:pPr>
              <w:widowControl/>
              <w:jc w:val="center"/>
              <w:textAlignment w:val="top"/>
              <w:rPr>
                <w:rFonts w:hint="eastAsia" w:ascii="宋体" w:hAnsi="宋体" w:eastAsia="宋体" w:cs="宋体"/>
                <w:szCs w:val="21"/>
              </w:rPr>
            </w:pPr>
            <w:r>
              <w:rPr>
                <w:rFonts w:hint="eastAsia" w:ascii="宋体" w:hAnsi="宋体" w:eastAsia="宋体" w:cs="宋体"/>
                <w:kern w:val="0"/>
                <w:szCs w:val="21"/>
                <w:lang w:bidi="ar"/>
              </w:rPr>
              <w:t>3</w:t>
            </w:r>
          </w:p>
        </w:tc>
        <w:tc>
          <w:tcPr>
            <w:tcW w:w="7928" w:type="dxa"/>
            <w:tcBorders>
              <w:top w:val="single" w:color="000000" w:sz="8" w:space="0"/>
              <w:left w:val="single" w:color="000000" w:sz="8" w:space="0"/>
              <w:bottom w:val="single" w:color="000000" w:sz="8" w:space="0"/>
              <w:right w:val="single" w:color="000000" w:sz="8" w:space="0"/>
            </w:tcBorders>
            <w:shd w:val="clear" w:color="auto" w:fill="auto"/>
          </w:tcPr>
          <w:p w14:paraId="540A1CA9">
            <w:pPr>
              <w:widowControl/>
              <w:jc w:val="left"/>
              <w:textAlignment w:val="top"/>
              <w:rPr>
                <w:rFonts w:hint="eastAsia" w:ascii="宋体" w:hAnsi="宋体" w:eastAsia="宋体" w:cs="宋体"/>
                <w:szCs w:val="21"/>
              </w:rPr>
            </w:pPr>
            <w:r>
              <w:rPr>
                <w:rFonts w:hint="eastAsia" w:ascii="宋体" w:hAnsi="宋体" w:eastAsia="宋体" w:cs="宋体"/>
                <w:szCs w:val="21"/>
              </w:rPr>
              <w:t>分项报价或投标总价不得高于</w:t>
            </w:r>
            <w:bookmarkStart w:id="0" w:name="_Hlk71832186"/>
            <w:r>
              <w:rPr>
                <w:rFonts w:hint="eastAsia" w:ascii="宋体" w:hAnsi="宋体" w:eastAsia="宋体" w:cs="宋体"/>
                <w:szCs w:val="21"/>
              </w:rPr>
              <w:t>相应预算金额（或设定的预算金额下的最高限价）</w:t>
            </w:r>
            <w:bookmarkEnd w:id="0"/>
            <w:r>
              <w:rPr>
                <w:rFonts w:hint="eastAsia" w:ascii="宋体" w:hAnsi="宋体" w:eastAsia="宋体" w:cs="宋体"/>
                <w:szCs w:val="21"/>
              </w:rPr>
              <w:t>；</w:t>
            </w:r>
          </w:p>
        </w:tc>
      </w:tr>
      <w:tr w14:paraId="7762EB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9FEBF6">
            <w:pPr>
              <w:widowControl/>
              <w:jc w:val="center"/>
              <w:textAlignment w:val="top"/>
              <w:rPr>
                <w:rFonts w:hint="eastAsia" w:ascii="宋体" w:hAnsi="宋体" w:eastAsia="宋体" w:cs="宋体"/>
                <w:szCs w:val="21"/>
              </w:rPr>
            </w:pPr>
            <w:r>
              <w:rPr>
                <w:rFonts w:hint="eastAsia" w:ascii="宋体" w:hAnsi="宋体" w:eastAsia="宋体" w:cs="宋体"/>
                <w:kern w:val="0"/>
                <w:szCs w:val="21"/>
                <w:lang w:bidi="ar"/>
              </w:rPr>
              <w:t>4</w:t>
            </w:r>
          </w:p>
        </w:tc>
        <w:tc>
          <w:tcPr>
            <w:tcW w:w="7928" w:type="dxa"/>
            <w:tcBorders>
              <w:top w:val="single" w:color="000000" w:sz="8" w:space="0"/>
              <w:left w:val="single" w:color="000000" w:sz="8" w:space="0"/>
              <w:bottom w:val="single" w:color="000000" w:sz="8" w:space="0"/>
              <w:right w:val="single" w:color="000000" w:sz="8" w:space="0"/>
            </w:tcBorders>
            <w:shd w:val="clear" w:color="auto" w:fill="auto"/>
          </w:tcPr>
          <w:p w14:paraId="70E85136">
            <w:pPr>
              <w:widowControl/>
              <w:jc w:val="left"/>
              <w:textAlignment w:val="top"/>
              <w:rPr>
                <w:rFonts w:hint="eastAsia" w:ascii="宋体" w:hAnsi="宋体" w:eastAsia="宋体" w:cs="宋体"/>
                <w:szCs w:val="21"/>
              </w:rPr>
            </w:pPr>
            <w:r>
              <w:rPr>
                <w:rFonts w:hint="eastAsia" w:ascii="宋体" w:hAnsi="宋体" w:eastAsia="宋体" w:cs="宋体"/>
                <w:szCs w:val="21"/>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57760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C03DAA">
            <w:pPr>
              <w:widowControl/>
              <w:jc w:val="center"/>
              <w:textAlignment w:val="top"/>
              <w:rPr>
                <w:rFonts w:hint="eastAsia" w:ascii="宋体" w:hAnsi="宋体" w:eastAsia="宋体" w:cs="宋体"/>
                <w:szCs w:val="21"/>
              </w:rPr>
            </w:pPr>
            <w:r>
              <w:rPr>
                <w:rFonts w:hint="eastAsia" w:ascii="宋体" w:hAnsi="宋体" w:eastAsia="宋体" w:cs="宋体"/>
                <w:kern w:val="0"/>
                <w:szCs w:val="21"/>
                <w:lang w:bidi="ar"/>
              </w:rPr>
              <w:t>5</w:t>
            </w:r>
          </w:p>
        </w:tc>
        <w:tc>
          <w:tcPr>
            <w:tcW w:w="7928" w:type="dxa"/>
            <w:tcBorders>
              <w:top w:val="single" w:color="000000" w:sz="8" w:space="0"/>
              <w:left w:val="single" w:color="000000" w:sz="8" w:space="0"/>
              <w:bottom w:val="single" w:color="000000" w:sz="8" w:space="0"/>
              <w:right w:val="single" w:color="000000" w:sz="8" w:space="0"/>
            </w:tcBorders>
            <w:shd w:val="clear" w:color="auto" w:fill="auto"/>
          </w:tcPr>
          <w:p w14:paraId="452D5171">
            <w:pPr>
              <w:widowControl/>
              <w:jc w:val="left"/>
              <w:textAlignment w:val="top"/>
              <w:rPr>
                <w:rFonts w:hint="eastAsia" w:ascii="宋体" w:hAnsi="宋体" w:eastAsia="宋体" w:cs="宋体"/>
                <w:szCs w:val="21"/>
              </w:rPr>
            </w:pPr>
            <w:r>
              <w:rPr>
                <w:rFonts w:hint="eastAsia" w:ascii="宋体" w:hAnsi="宋体" w:eastAsia="宋体" w:cs="宋体"/>
                <w:szCs w:val="21"/>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3457B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DC5CA8">
            <w:pPr>
              <w:widowControl/>
              <w:jc w:val="center"/>
              <w:textAlignment w:val="top"/>
              <w:rPr>
                <w:rFonts w:hint="eastAsia" w:ascii="宋体" w:hAnsi="宋体" w:eastAsia="宋体" w:cs="宋体"/>
                <w:szCs w:val="21"/>
              </w:rPr>
            </w:pPr>
            <w:r>
              <w:rPr>
                <w:rFonts w:hint="eastAsia" w:ascii="宋体" w:hAnsi="宋体" w:eastAsia="宋体" w:cs="宋体"/>
                <w:kern w:val="0"/>
                <w:szCs w:val="21"/>
                <w:lang w:bidi="ar"/>
              </w:rPr>
              <w:t>6</w:t>
            </w:r>
          </w:p>
        </w:tc>
        <w:tc>
          <w:tcPr>
            <w:tcW w:w="7928" w:type="dxa"/>
            <w:tcBorders>
              <w:top w:val="single" w:color="000000" w:sz="8" w:space="0"/>
              <w:left w:val="single" w:color="000000" w:sz="8" w:space="0"/>
              <w:bottom w:val="single" w:color="000000" w:sz="8" w:space="0"/>
              <w:right w:val="single" w:color="000000" w:sz="8" w:space="0"/>
            </w:tcBorders>
            <w:shd w:val="clear" w:color="auto" w:fill="auto"/>
          </w:tcPr>
          <w:p w14:paraId="331731C1">
            <w:pPr>
              <w:widowControl/>
              <w:jc w:val="left"/>
              <w:textAlignment w:val="top"/>
              <w:rPr>
                <w:rFonts w:hint="eastAsia" w:ascii="宋体" w:hAnsi="宋体" w:eastAsia="宋体" w:cs="宋体"/>
                <w:szCs w:val="21"/>
              </w:rPr>
            </w:pPr>
            <w:r>
              <w:rPr>
                <w:rFonts w:hint="eastAsia" w:ascii="宋体" w:hAnsi="宋体" w:eastAsia="宋体" w:cs="宋体"/>
                <w:szCs w:val="21"/>
              </w:rPr>
              <w:t>未按招标文件所提供的样式填写《投标函》；未按招标文件所提供的《政府采购投标及履约承诺函》进行承诺；未按招标文件对投标文件组成的要求提供投标文件；</w:t>
            </w:r>
          </w:p>
        </w:tc>
      </w:tr>
      <w:tr w14:paraId="09E8CE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2A29E2">
            <w:pPr>
              <w:widowControl/>
              <w:jc w:val="center"/>
              <w:textAlignment w:val="top"/>
              <w:rPr>
                <w:rFonts w:hint="eastAsia" w:ascii="宋体" w:hAnsi="宋体" w:eastAsia="宋体" w:cs="宋体"/>
                <w:szCs w:val="21"/>
              </w:rPr>
            </w:pPr>
            <w:r>
              <w:rPr>
                <w:rFonts w:hint="eastAsia" w:ascii="宋体" w:hAnsi="宋体" w:eastAsia="宋体" w:cs="宋体"/>
                <w:szCs w:val="21"/>
              </w:rPr>
              <w:t>7</w:t>
            </w:r>
          </w:p>
        </w:tc>
        <w:tc>
          <w:tcPr>
            <w:tcW w:w="7928" w:type="dxa"/>
            <w:tcBorders>
              <w:top w:val="single" w:color="000000" w:sz="8" w:space="0"/>
              <w:left w:val="single" w:color="000000" w:sz="8" w:space="0"/>
              <w:bottom w:val="single" w:color="000000" w:sz="8" w:space="0"/>
              <w:right w:val="single" w:color="000000" w:sz="8" w:space="0"/>
            </w:tcBorders>
            <w:shd w:val="clear" w:color="auto" w:fill="auto"/>
          </w:tcPr>
          <w:p w14:paraId="01251B81">
            <w:pPr>
              <w:widowControl/>
              <w:jc w:val="left"/>
              <w:textAlignment w:val="top"/>
              <w:rPr>
                <w:rFonts w:hint="eastAsia" w:ascii="宋体" w:hAnsi="宋体" w:eastAsia="宋体" w:cs="宋体"/>
                <w:szCs w:val="21"/>
              </w:rPr>
            </w:pPr>
            <w:r>
              <w:rPr>
                <w:rFonts w:hint="eastAsia" w:ascii="宋体" w:hAnsi="宋体" w:eastAsia="宋体" w:cs="宋体"/>
                <w:szCs w:val="21"/>
              </w:rPr>
              <w:t>采购标的/所投产品/货物清单/报价等任意一类有缺漏项或响应不全，或者对招标文件规定的项目需求内容或者需求数量进行修改，评审委员会判定投标响应不满足采购需求；</w:t>
            </w:r>
          </w:p>
        </w:tc>
      </w:tr>
      <w:tr w14:paraId="71ABB5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9A11C7">
            <w:pPr>
              <w:widowControl/>
              <w:jc w:val="center"/>
              <w:textAlignment w:val="top"/>
              <w:rPr>
                <w:rFonts w:hint="eastAsia" w:ascii="宋体" w:hAnsi="宋体" w:eastAsia="宋体" w:cs="宋体"/>
                <w:szCs w:val="21"/>
              </w:rPr>
            </w:pPr>
            <w:r>
              <w:rPr>
                <w:rFonts w:hint="eastAsia" w:ascii="宋体" w:hAnsi="宋体" w:eastAsia="宋体" w:cs="宋体"/>
                <w:kern w:val="0"/>
                <w:szCs w:val="21"/>
                <w:lang w:bidi="ar"/>
              </w:rPr>
              <w:t>8</w:t>
            </w:r>
          </w:p>
        </w:tc>
        <w:tc>
          <w:tcPr>
            <w:tcW w:w="7928" w:type="dxa"/>
            <w:tcBorders>
              <w:top w:val="single" w:color="000000" w:sz="8" w:space="0"/>
              <w:left w:val="single" w:color="000000" w:sz="8" w:space="0"/>
              <w:bottom w:val="single" w:color="000000" w:sz="8" w:space="0"/>
              <w:right w:val="single" w:color="000000" w:sz="8" w:space="0"/>
            </w:tcBorders>
            <w:shd w:val="clear" w:color="auto" w:fill="auto"/>
          </w:tcPr>
          <w:p w14:paraId="141EF8F8">
            <w:pPr>
              <w:widowControl/>
              <w:jc w:val="left"/>
              <w:textAlignment w:val="top"/>
              <w:rPr>
                <w:rFonts w:hint="eastAsia" w:ascii="宋体" w:hAnsi="宋体" w:eastAsia="宋体" w:cs="宋体"/>
                <w:szCs w:val="21"/>
              </w:rPr>
            </w:pPr>
            <w:r>
              <w:rPr>
                <w:rFonts w:hint="eastAsia" w:ascii="宋体" w:hAnsi="宋体" w:eastAsia="宋体" w:cs="宋体"/>
                <w:szCs w:val="21"/>
              </w:rPr>
              <w:t>投标文件存在列放位置错误，导致属于信息公开情形的没有被公开；</w:t>
            </w:r>
          </w:p>
        </w:tc>
      </w:tr>
      <w:tr w14:paraId="5A7A57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969020">
            <w:pPr>
              <w:widowControl/>
              <w:jc w:val="center"/>
              <w:textAlignment w:val="top"/>
              <w:rPr>
                <w:rFonts w:hint="eastAsia" w:ascii="宋体" w:hAnsi="宋体" w:eastAsia="宋体" w:cs="宋体"/>
                <w:szCs w:val="21"/>
              </w:rPr>
            </w:pPr>
            <w:r>
              <w:rPr>
                <w:rFonts w:hint="eastAsia" w:ascii="宋体" w:hAnsi="宋体" w:eastAsia="宋体" w:cs="宋体"/>
                <w:kern w:val="0"/>
                <w:szCs w:val="21"/>
                <w:lang w:bidi="ar"/>
              </w:rPr>
              <w:t>9</w:t>
            </w:r>
          </w:p>
        </w:tc>
        <w:tc>
          <w:tcPr>
            <w:tcW w:w="7928" w:type="dxa"/>
            <w:tcBorders>
              <w:top w:val="single" w:color="000000" w:sz="8" w:space="0"/>
              <w:left w:val="single" w:color="000000" w:sz="8" w:space="0"/>
              <w:bottom w:val="single" w:color="000000" w:sz="8" w:space="0"/>
              <w:right w:val="single" w:color="000000" w:sz="8" w:space="0"/>
            </w:tcBorders>
            <w:shd w:val="clear" w:color="auto" w:fill="auto"/>
          </w:tcPr>
          <w:p w14:paraId="1C9474F9">
            <w:pPr>
              <w:widowControl/>
              <w:jc w:val="left"/>
              <w:textAlignment w:val="top"/>
              <w:rPr>
                <w:rFonts w:hint="eastAsia" w:ascii="宋体" w:hAnsi="宋体" w:eastAsia="宋体" w:cs="宋体"/>
                <w:szCs w:val="21"/>
              </w:rPr>
            </w:pPr>
            <w:r>
              <w:rPr>
                <w:rFonts w:hint="eastAsia" w:ascii="宋体" w:hAnsi="宋体" w:eastAsia="宋体" w:cs="宋体"/>
                <w:szCs w:val="21"/>
              </w:rPr>
              <w:t>投标文件电子文档不得带病毒；</w:t>
            </w:r>
          </w:p>
        </w:tc>
      </w:tr>
      <w:tr w14:paraId="321DA4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5DCC92">
            <w:pPr>
              <w:widowControl/>
              <w:jc w:val="center"/>
              <w:textAlignment w:val="top"/>
              <w:rPr>
                <w:rFonts w:hint="eastAsia" w:ascii="宋体" w:hAnsi="宋体" w:eastAsia="宋体" w:cs="宋体"/>
                <w:szCs w:val="21"/>
              </w:rPr>
            </w:pPr>
            <w:r>
              <w:rPr>
                <w:rFonts w:hint="eastAsia" w:ascii="宋体" w:hAnsi="宋体" w:eastAsia="宋体" w:cs="宋体"/>
                <w:kern w:val="0"/>
                <w:szCs w:val="21"/>
                <w:lang w:bidi="ar"/>
              </w:rPr>
              <w:t>10</w:t>
            </w:r>
          </w:p>
        </w:tc>
        <w:tc>
          <w:tcPr>
            <w:tcW w:w="7928" w:type="dxa"/>
            <w:tcBorders>
              <w:top w:val="single" w:color="000000" w:sz="8" w:space="0"/>
              <w:left w:val="single" w:color="000000" w:sz="8" w:space="0"/>
              <w:bottom w:val="single" w:color="000000" w:sz="8" w:space="0"/>
              <w:right w:val="single" w:color="000000" w:sz="8" w:space="0"/>
            </w:tcBorders>
            <w:shd w:val="clear" w:color="auto" w:fill="auto"/>
          </w:tcPr>
          <w:p w14:paraId="69FC53F6">
            <w:pPr>
              <w:widowControl/>
              <w:jc w:val="left"/>
              <w:textAlignment w:val="top"/>
              <w:rPr>
                <w:rFonts w:hint="eastAsia" w:ascii="宋体" w:hAnsi="宋体" w:eastAsia="宋体" w:cs="宋体"/>
                <w:szCs w:val="21"/>
              </w:rPr>
            </w:pPr>
            <w:r>
              <w:rPr>
                <w:rFonts w:hint="eastAsia" w:ascii="宋体" w:hAnsi="宋体" w:eastAsia="宋体" w:cs="宋体"/>
                <w:szCs w:val="21"/>
              </w:rPr>
              <w:t>投标文件用不属于本公司的电子密钥或电子营业执照进行加密的；</w:t>
            </w:r>
          </w:p>
        </w:tc>
      </w:tr>
      <w:tr w14:paraId="08FD8E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880177">
            <w:pPr>
              <w:widowControl/>
              <w:jc w:val="center"/>
              <w:textAlignment w:val="top"/>
              <w:rPr>
                <w:rFonts w:hint="eastAsia" w:ascii="宋体" w:hAnsi="宋体" w:eastAsia="宋体" w:cs="宋体"/>
                <w:szCs w:val="21"/>
              </w:rPr>
            </w:pPr>
            <w:r>
              <w:rPr>
                <w:rFonts w:hint="eastAsia" w:ascii="宋体" w:hAnsi="宋体" w:eastAsia="宋体" w:cs="宋体"/>
                <w:szCs w:val="21"/>
              </w:rPr>
              <w:t>11</w:t>
            </w:r>
          </w:p>
        </w:tc>
        <w:tc>
          <w:tcPr>
            <w:tcW w:w="7928" w:type="dxa"/>
            <w:tcBorders>
              <w:top w:val="single" w:color="000000" w:sz="8" w:space="0"/>
              <w:left w:val="single" w:color="000000" w:sz="8" w:space="0"/>
              <w:bottom w:val="single" w:color="000000" w:sz="8" w:space="0"/>
              <w:right w:val="single" w:color="000000" w:sz="8" w:space="0"/>
            </w:tcBorders>
            <w:shd w:val="clear" w:color="auto" w:fill="auto"/>
          </w:tcPr>
          <w:p w14:paraId="5446D093">
            <w:pPr>
              <w:widowControl/>
              <w:jc w:val="left"/>
              <w:textAlignment w:val="top"/>
              <w:rPr>
                <w:rFonts w:hint="eastAsia" w:ascii="宋体" w:hAnsi="宋体" w:eastAsia="宋体" w:cs="宋体"/>
                <w:szCs w:val="21"/>
              </w:rPr>
            </w:pPr>
            <w:r>
              <w:rPr>
                <w:rFonts w:hint="eastAsia" w:ascii="宋体" w:hAnsi="宋体" w:eastAsia="宋体" w:cs="宋体"/>
                <w:szCs w:val="21"/>
              </w:rPr>
              <w:t>不同投标供应商投标文件“文件制作机器码”一致；</w:t>
            </w:r>
          </w:p>
        </w:tc>
      </w:tr>
      <w:tr w14:paraId="2F46E1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AB157A">
            <w:pPr>
              <w:widowControl/>
              <w:jc w:val="center"/>
              <w:textAlignment w:val="top"/>
              <w:rPr>
                <w:rFonts w:hint="eastAsia" w:ascii="宋体" w:hAnsi="宋体" w:eastAsia="宋体" w:cs="宋体"/>
                <w:szCs w:val="21"/>
              </w:rPr>
            </w:pPr>
            <w:r>
              <w:rPr>
                <w:rFonts w:hint="eastAsia" w:ascii="宋体" w:hAnsi="宋体" w:eastAsia="宋体" w:cs="宋体"/>
                <w:szCs w:val="21"/>
              </w:rPr>
              <w:t>12</w:t>
            </w:r>
          </w:p>
        </w:tc>
        <w:tc>
          <w:tcPr>
            <w:tcW w:w="7928" w:type="dxa"/>
            <w:tcBorders>
              <w:top w:val="single" w:color="000000" w:sz="8" w:space="0"/>
              <w:left w:val="single" w:color="000000" w:sz="8" w:space="0"/>
              <w:bottom w:val="single" w:color="000000" w:sz="8" w:space="0"/>
              <w:right w:val="single" w:color="000000" w:sz="8" w:space="0"/>
            </w:tcBorders>
            <w:shd w:val="clear" w:color="auto" w:fill="auto"/>
          </w:tcPr>
          <w:p w14:paraId="4B433305">
            <w:pPr>
              <w:widowControl/>
              <w:jc w:val="left"/>
              <w:textAlignment w:val="top"/>
              <w:rPr>
                <w:rFonts w:hint="eastAsia" w:ascii="宋体" w:hAnsi="宋体" w:eastAsia="宋体" w:cs="宋体"/>
                <w:szCs w:val="21"/>
              </w:rPr>
            </w:pPr>
            <w:r>
              <w:rPr>
                <w:rFonts w:hint="eastAsia" w:ascii="宋体" w:hAnsi="宋体" w:eastAsia="宋体" w:cs="宋体"/>
                <w:szCs w:val="21"/>
              </w:rPr>
              <w:t>不同投标供应商投标文件“文件创建标识码”一致；</w:t>
            </w:r>
          </w:p>
        </w:tc>
      </w:tr>
      <w:tr w14:paraId="796D5A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9E5E6B">
            <w:pPr>
              <w:widowControl/>
              <w:jc w:val="center"/>
              <w:textAlignment w:val="top"/>
              <w:rPr>
                <w:rFonts w:hint="eastAsia" w:ascii="宋体" w:hAnsi="宋体" w:eastAsia="宋体" w:cs="宋体"/>
                <w:szCs w:val="21"/>
              </w:rPr>
            </w:pPr>
            <w:r>
              <w:rPr>
                <w:rFonts w:hint="eastAsia" w:ascii="宋体" w:hAnsi="宋体" w:eastAsia="宋体" w:cs="宋体"/>
                <w:kern w:val="0"/>
                <w:szCs w:val="21"/>
                <w:lang w:bidi="ar"/>
              </w:rPr>
              <w:t>13</w:t>
            </w:r>
          </w:p>
        </w:tc>
        <w:tc>
          <w:tcPr>
            <w:tcW w:w="7928" w:type="dxa"/>
            <w:tcBorders>
              <w:top w:val="single" w:color="000000" w:sz="8" w:space="0"/>
              <w:left w:val="single" w:color="000000" w:sz="8" w:space="0"/>
              <w:bottom w:val="single" w:color="000000" w:sz="8" w:space="0"/>
              <w:right w:val="single" w:color="000000" w:sz="8" w:space="0"/>
            </w:tcBorders>
            <w:shd w:val="clear" w:color="auto" w:fill="auto"/>
          </w:tcPr>
          <w:p w14:paraId="03E30614">
            <w:pPr>
              <w:widowControl/>
              <w:jc w:val="left"/>
              <w:textAlignment w:val="top"/>
              <w:rPr>
                <w:rFonts w:hint="eastAsia" w:ascii="宋体" w:hAnsi="宋体" w:eastAsia="宋体" w:cs="宋体"/>
                <w:szCs w:val="21"/>
              </w:rPr>
            </w:pPr>
            <w:r>
              <w:rPr>
                <w:rFonts w:hint="eastAsia" w:ascii="宋体" w:hAnsi="宋体" w:eastAsia="宋体" w:cs="宋体"/>
                <w:szCs w:val="21"/>
              </w:rPr>
              <w:t>法律、法规、规章、规范性文件规定的其他情形。</w:t>
            </w:r>
          </w:p>
        </w:tc>
      </w:tr>
    </w:tbl>
    <w:p w14:paraId="462F06B9">
      <w:pPr>
        <w:pStyle w:val="14"/>
        <w:jc w:val="center"/>
        <w:outlineLvl w:val="0"/>
        <w:rPr>
          <w:rFonts w:hint="eastAsia" w:ascii="黑体" w:eastAsia="黑体"/>
          <w:sz w:val="40"/>
          <w:szCs w:val="40"/>
        </w:rPr>
      </w:pPr>
      <w:r>
        <w:rPr>
          <w:rFonts w:hint="eastAsia" w:ascii="黑体" w:hAnsi="黑体" w:eastAsia="黑体"/>
          <w:sz w:val="40"/>
          <w:szCs w:val="40"/>
        </w:rPr>
        <w:t>评标信息</w:t>
      </w:r>
    </w:p>
    <w:tbl>
      <w:tblPr>
        <w:tblStyle w:val="16"/>
        <w:tblW w:w="9141"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9141"/>
      </w:tblGrid>
      <w:tr w14:paraId="0653F9F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blCellSpacing w:w="0" w:type="dxa"/>
          <w:jc w:val="center"/>
        </w:trPr>
        <w:tc>
          <w:tcPr>
            <w:tcW w:w="9078" w:type="dxa"/>
            <w:shd w:val="clear" w:color="auto" w:fill="auto"/>
            <w:vAlign w:val="center"/>
          </w:tcPr>
          <w:p w14:paraId="0253E4BF">
            <w:pPr>
              <w:jc w:val="left"/>
              <w:rPr>
                <w:rFonts w:ascii="宋体"/>
                <w:b/>
                <w:bCs/>
                <w:sz w:val="24"/>
              </w:rPr>
            </w:pPr>
            <w:r>
              <w:rPr>
                <w:b/>
                <w:bCs/>
              </w:rPr>
              <w:t>评标方法：综合评分法</w:t>
            </w:r>
          </w:p>
        </w:tc>
      </w:tr>
      <w:tr w14:paraId="2060217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47A2E50C">
            <w:pPr>
              <w:ind w:firstLine="420"/>
              <w:rPr>
                <w:rFonts w:eastAsia="宋体"/>
                <w:szCs w:val="21"/>
              </w:rPr>
            </w:pPr>
            <w:r>
              <w:rPr>
                <w:szCs w:val="21"/>
              </w:rPr>
              <w:t>综合评分法，</w:t>
            </w:r>
            <w:r>
              <w:rPr>
                <w:rFonts w:hint="eastAsia"/>
                <w:szCs w:val="21"/>
              </w:rPr>
              <w:t>是指投标文件满足招标文件全部实质性要求，且按照评审因素的量化指标评审得分排名前列</w:t>
            </w:r>
            <w:r>
              <w:rPr>
                <w:szCs w:val="21"/>
              </w:rPr>
              <w:t>的投标人为中标候选人的评标方法。</w:t>
            </w:r>
          </w:p>
          <w:p w14:paraId="31DBEA05">
            <w:pPr>
              <w:ind w:firstLine="420"/>
            </w:pPr>
          </w:p>
          <w:p w14:paraId="53F10EB6">
            <w:pPr>
              <w:ind w:firstLine="420"/>
              <w:rPr>
                <w:szCs w:val="21"/>
              </w:rPr>
            </w:pPr>
            <w:r>
              <w:rPr>
                <w:szCs w:val="21"/>
              </w:rPr>
              <w:t>价格分计算方法：</w:t>
            </w:r>
          </w:p>
          <w:p w14:paraId="04C32D71">
            <w:pPr>
              <w:pStyle w:val="14"/>
              <w:spacing w:beforeAutospacing="0" w:afterAutospacing="0"/>
              <w:ind w:left="420"/>
              <w:rPr>
                <w:rFonts w:hint="eastAsia"/>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p>
          <w:p w14:paraId="5D671305">
            <w:pPr>
              <w:pStyle w:val="14"/>
              <w:spacing w:beforeAutospacing="0" w:afterAutospacing="0"/>
              <w:ind w:left="420"/>
              <w:rPr>
                <w:rFonts w:hint="eastAsia"/>
                <w:sz w:val="21"/>
                <w:szCs w:val="21"/>
              </w:rPr>
            </w:pPr>
            <w:r>
              <w:rPr>
                <w:sz w:val="21"/>
                <w:szCs w:val="21"/>
              </w:rPr>
              <w:t xml:space="preserve">投标报价得分=(评标基准价／投标报价)×100 </w:t>
            </w:r>
          </w:p>
          <w:p w14:paraId="263A2F27">
            <w:pPr>
              <w:pStyle w:val="14"/>
              <w:spacing w:beforeAutospacing="0" w:afterAutospacing="0"/>
              <w:ind w:left="420"/>
              <w:rPr>
                <w:rFonts w:hint="eastAsia"/>
                <w:sz w:val="21"/>
                <w:szCs w:val="21"/>
              </w:rPr>
            </w:pPr>
            <w:r>
              <w:rPr>
                <w:sz w:val="21"/>
                <w:szCs w:val="21"/>
              </w:rPr>
              <w:t xml:space="preserve">评标总得分＝F1×A1＋F2×A2＋……＋Fn×An </w:t>
            </w:r>
          </w:p>
          <w:p w14:paraId="4F5CB0B3">
            <w:pPr>
              <w:pStyle w:val="14"/>
              <w:spacing w:beforeAutospacing="0" w:afterAutospacing="0"/>
              <w:ind w:left="420"/>
              <w:rPr>
                <w:rFonts w:hint="eastAsia"/>
                <w:sz w:val="21"/>
                <w:szCs w:val="21"/>
              </w:rPr>
            </w:pPr>
            <w:r>
              <w:rPr>
                <w:sz w:val="21"/>
                <w:szCs w:val="21"/>
              </w:rPr>
              <w:t xml:space="preserve">F1、F2……Fn分别为各项评审因素的得分； </w:t>
            </w:r>
          </w:p>
          <w:p w14:paraId="7C1D073C">
            <w:pPr>
              <w:pStyle w:val="14"/>
              <w:spacing w:beforeAutospacing="0" w:afterAutospacing="0"/>
              <w:ind w:left="420"/>
              <w:rPr>
                <w:rFonts w:hint="eastAsia"/>
                <w:sz w:val="21"/>
                <w:szCs w:val="21"/>
              </w:rPr>
            </w:pPr>
            <w:r>
              <w:rPr>
                <w:sz w:val="21"/>
                <w:szCs w:val="21"/>
              </w:rPr>
              <w:t>A1、A2、……An 分别为各项评审因素所占的权重</w:t>
            </w:r>
            <w:r>
              <w:rPr>
                <w:rFonts w:hint="eastAsia"/>
                <w:sz w:val="21"/>
                <w:szCs w:val="21"/>
              </w:rPr>
              <w:t>（</w:t>
            </w:r>
            <w:r>
              <w:rPr>
                <w:sz w:val="21"/>
                <w:szCs w:val="21"/>
              </w:rPr>
              <w:t xml:space="preserve">A1＋A2＋……＋An＝1)。 </w:t>
            </w:r>
          </w:p>
          <w:p w14:paraId="7C48BA37">
            <w:pPr>
              <w:pStyle w:val="14"/>
              <w:spacing w:beforeAutospacing="0" w:afterAutospacing="0"/>
              <w:ind w:left="420"/>
              <w:rPr>
                <w:rFonts w:hint="eastAsia"/>
                <w:sz w:val="21"/>
                <w:szCs w:val="21"/>
              </w:rPr>
            </w:pPr>
            <w:r>
              <w:rPr>
                <w:sz w:val="21"/>
                <w:szCs w:val="21"/>
              </w:rPr>
              <w:t>评标过程中，不得去掉报价中的最高报价和最低报价。</w:t>
            </w:r>
          </w:p>
          <w:p w14:paraId="4994232C">
            <w:pPr>
              <w:pStyle w:val="14"/>
              <w:spacing w:beforeAutospacing="0" w:afterAutospacing="0"/>
              <w:ind w:left="420"/>
              <w:rPr>
                <w:rFonts w:hint="eastAsia"/>
              </w:rPr>
            </w:pPr>
            <w:r>
              <w:rPr>
                <w:rFonts w:hint="eastAsia"/>
                <w:sz w:val="21"/>
                <w:szCs w:val="21"/>
              </w:rPr>
              <w:t>因落实政府采购政策进行价格调整的，以调整后的价格计算评标基准价和投标报价。</w:t>
            </w:r>
          </w:p>
        </w:tc>
      </w:tr>
    </w:tbl>
    <w:p w14:paraId="761C58BA"/>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20" w:type="dxa"/>
          <w:left w:w="108" w:type="dxa"/>
          <w:bottom w:w="20" w:type="dxa"/>
          <w:right w:w="108" w:type="dxa"/>
        </w:tblCellMar>
      </w:tblPr>
      <w:tblGrid>
        <w:gridCol w:w="599"/>
        <w:gridCol w:w="643"/>
        <w:gridCol w:w="1488"/>
        <w:gridCol w:w="981"/>
        <w:gridCol w:w="5361"/>
      </w:tblGrid>
      <w:tr w14:paraId="7047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20" w:type="dxa"/>
            <w:left w:w="108" w:type="dxa"/>
            <w:bottom w:w="20" w:type="dxa"/>
            <w:right w:w="108" w:type="dxa"/>
          </w:tblCellMar>
        </w:tblPrEx>
        <w:trPr>
          <w:jc w:val="center"/>
        </w:trPr>
        <w:tc>
          <w:tcPr>
            <w:tcW w:w="599" w:type="dxa"/>
            <w:shd w:val="clear" w:color="auto" w:fill="FFFFFF" w:themeFill="background1"/>
            <w:vAlign w:val="center"/>
          </w:tcPr>
          <w:p w14:paraId="6A466CAB">
            <w:pPr>
              <w:snapToGrid w:val="0"/>
              <w:jc w:val="center"/>
              <w:rPr>
                <w:rFonts w:hint="eastAsia" w:ascii="宋体" w:hAnsi="宋体" w:eastAsia="宋体" w:cs="宋体"/>
                <w:b/>
                <w:bCs/>
                <w:szCs w:val="21"/>
              </w:rPr>
            </w:pPr>
            <w:r>
              <w:rPr>
                <w:rFonts w:hint="eastAsia" w:ascii="宋体" w:hAnsi="宋体" w:eastAsia="宋体" w:cs="宋体"/>
                <w:b/>
                <w:bCs/>
                <w:szCs w:val="21"/>
              </w:rPr>
              <w:t>序号</w:t>
            </w:r>
          </w:p>
        </w:tc>
        <w:tc>
          <w:tcPr>
            <w:tcW w:w="3112" w:type="dxa"/>
            <w:gridSpan w:val="3"/>
            <w:shd w:val="clear" w:color="auto" w:fill="FFFFFF" w:themeFill="background1"/>
            <w:vAlign w:val="center"/>
          </w:tcPr>
          <w:p w14:paraId="131F067B">
            <w:pPr>
              <w:snapToGrid w:val="0"/>
              <w:jc w:val="center"/>
              <w:rPr>
                <w:rFonts w:hint="eastAsia" w:ascii="宋体" w:hAnsi="宋体" w:eastAsia="宋体" w:cs="宋体"/>
                <w:b/>
                <w:bCs/>
                <w:szCs w:val="21"/>
              </w:rPr>
            </w:pPr>
            <w:r>
              <w:rPr>
                <w:rFonts w:hint="eastAsia" w:ascii="宋体" w:hAnsi="宋体" w:eastAsia="宋体" w:cs="宋体"/>
                <w:b/>
                <w:bCs/>
                <w:szCs w:val="21"/>
              </w:rPr>
              <w:t>评分项</w:t>
            </w:r>
          </w:p>
        </w:tc>
        <w:tc>
          <w:tcPr>
            <w:tcW w:w="5361" w:type="dxa"/>
            <w:shd w:val="clear" w:color="auto" w:fill="FFFFFF" w:themeFill="background1"/>
            <w:vAlign w:val="center"/>
          </w:tcPr>
          <w:p w14:paraId="3051E343">
            <w:pPr>
              <w:snapToGrid w:val="0"/>
              <w:jc w:val="center"/>
              <w:rPr>
                <w:rFonts w:hint="eastAsia" w:ascii="宋体" w:hAnsi="宋体" w:eastAsia="宋体" w:cs="宋体"/>
                <w:b/>
                <w:bCs/>
                <w:szCs w:val="21"/>
              </w:rPr>
            </w:pPr>
            <w:r>
              <w:rPr>
                <w:rFonts w:hint="eastAsia" w:ascii="宋体" w:hAnsi="宋体" w:eastAsia="宋体" w:cs="宋体"/>
                <w:b/>
                <w:bCs/>
                <w:szCs w:val="21"/>
              </w:rPr>
              <w:t>权重（%）</w:t>
            </w:r>
          </w:p>
        </w:tc>
      </w:tr>
      <w:tr w14:paraId="3F7C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20" w:type="dxa"/>
            <w:left w:w="108" w:type="dxa"/>
            <w:bottom w:w="20" w:type="dxa"/>
            <w:right w:w="108" w:type="dxa"/>
          </w:tblCellMar>
        </w:tblPrEx>
        <w:trPr>
          <w:jc w:val="center"/>
        </w:trPr>
        <w:tc>
          <w:tcPr>
            <w:tcW w:w="599" w:type="dxa"/>
            <w:shd w:val="clear" w:color="auto" w:fill="FFFFFF" w:themeFill="background1"/>
          </w:tcPr>
          <w:p w14:paraId="0DE7A69F">
            <w:pPr>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3112" w:type="dxa"/>
            <w:gridSpan w:val="3"/>
            <w:shd w:val="clear" w:color="auto" w:fill="FFFFFF" w:themeFill="background1"/>
          </w:tcPr>
          <w:p w14:paraId="37525CFE">
            <w:pPr>
              <w:snapToGrid w:val="0"/>
              <w:jc w:val="center"/>
              <w:rPr>
                <w:rFonts w:hint="eastAsia" w:ascii="宋体" w:hAnsi="宋体" w:eastAsia="宋体" w:cs="宋体"/>
                <w:b/>
                <w:bCs/>
                <w:szCs w:val="21"/>
              </w:rPr>
            </w:pPr>
            <w:r>
              <w:rPr>
                <w:rFonts w:hint="eastAsia" w:ascii="宋体" w:hAnsi="宋体" w:eastAsia="宋体" w:cs="宋体"/>
                <w:b/>
                <w:bCs/>
                <w:szCs w:val="21"/>
              </w:rPr>
              <w:t>价格</w:t>
            </w:r>
          </w:p>
        </w:tc>
        <w:tc>
          <w:tcPr>
            <w:tcW w:w="5361" w:type="dxa"/>
            <w:shd w:val="clear" w:color="auto" w:fill="FFFFFF" w:themeFill="background1"/>
          </w:tcPr>
          <w:p w14:paraId="7F9B7C1A">
            <w:pPr>
              <w:snapToGrid w:val="0"/>
              <w:jc w:val="center"/>
              <w:rPr>
                <w:rFonts w:hint="eastAsia" w:ascii="宋体" w:hAnsi="宋体" w:eastAsia="宋体" w:cs="宋体"/>
                <w:b/>
                <w:bCs/>
                <w:szCs w:val="21"/>
              </w:rPr>
            </w:pPr>
            <w:r>
              <w:rPr>
                <w:rFonts w:hint="eastAsia" w:ascii="宋体" w:hAnsi="宋体" w:eastAsia="宋体" w:cs="宋体"/>
                <w:b/>
                <w:bCs/>
                <w:szCs w:val="21"/>
              </w:rPr>
              <w:t>30</w:t>
            </w:r>
          </w:p>
        </w:tc>
      </w:tr>
      <w:tr w14:paraId="2EE9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20" w:type="dxa"/>
            <w:left w:w="108" w:type="dxa"/>
            <w:bottom w:w="20" w:type="dxa"/>
            <w:right w:w="108" w:type="dxa"/>
          </w:tblCellMar>
        </w:tblPrEx>
        <w:trPr>
          <w:jc w:val="center"/>
        </w:trPr>
        <w:tc>
          <w:tcPr>
            <w:tcW w:w="599" w:type="dxa"/>
            <w:vMerge w:val="restart"/>
            <w:shd w:val="clear" w:color="auto" w:fill="FFFFFF" w:themeFill="background1"/>
          </w:tcPr>
          <w:p w14:paraId="0E3B394D">
            <w:pPr>
              <w:snapToGrid w:val="0"/>
              <w:jc w:val="center"/>
              <w:rPr>
                <w:rFonts w:hint="eastAsia" w:ascii="宋体" w:hAnsi="宋体" w:eastAsia="宋体" w:cs="宋体"/>
                <w:b/>
                <w:bCs/>
                <w:szCs w:val="21"/>
              </w:rPr>
            </w:pPr>
            <w:r>
              <w:rPr>
                <w:rFonts w:hint="eastAsia" w:ascii="宋体" w:hAnsi="宋体" w:eastAsia="宋体" w:cs="宋体"/>
                <w:b/>
                <w:bCs/>
                <w:szCs w:val="21"/>
              </w:rPr>
              <w:t>2</w:t>
            </w:r>
          </w:p>
        </w:tc>
        <w:tc>
          <w:tcPr>
            <w:tcW w:w="3112" w:type="dxa"/>
            <w:gridSpan w:val="3"/>
            <w:shd w:val="clear" w:color="auto" w:fill="FFFFFF" w:themeFill="background1"/>
          </w:tcPr>
          <w:p w14:paraId="3759F799">
            <w:pPr>
              <w:snapToGrid w:val="0"/>
              <w:jc w:val="center"/>
              <w:rPr>
                <w:rFonts w:hint="eastAsia" w:ascii="宋体" w:hAnsi="宋体" w:eastAsia="宋体" w:cs="宋体"/>
                <w:b/>
                <w:bCs/>
                <w:szCs w:val="21"/>
              </w:rPr>
            </w:pPr>
            <w:r>
              <w:rPr>
                <w:rFonts w:hint="eastAsia" w:ascii="宋体" w:hAnsi="宋体" w:eastAsia="宋体" w:cs="宋体"/>
                <w:b/>
                <w:bCs/>
                <w:szCs w:val="21"/>
              </w:rPr>
              <w:t>综合实力部分</w:t>
            </w:r>
          </w:p>
        </w:tc>
        <w:tc>
          <w:tcPr>
            <w:tcW w:w="5361" w:type="dxa"/>
            <w:shd w:val="clear" w:color="auto" w:fill="FFFFFF" w:themeFill="background1"/>
          </w:tcPr>
          <w:p w14:paraId="0F98BB9B">
            <w:pPr>
              <w:snapToGrid w:val="0"/>
              <w:jc w:val="center"/>
              <w:rPr>
                <w:rFonts w:hint="eastAsia" w:ascii="宋体" w:hAnsi="宋体" w:eastAsia="宋体" w:cs="宋体"/>
                <w:b/>
                <w:bCs/>
                <w:szCs w:val="21"/>
              </w:rPr>
            </w:pPr>
            <w:r>
              <w:rPr>
                <w:rFonts w:hint="eastAsia" w:ascii="宋体" w:hAnsi="宋体" w:eastAsia="宋体" w:cs="宋体"/>
                <w:b/>
                <w:bCs/>
                <w:szCs w:val="21"/>
              </w:rPr>
              <w:t>7</w:t>
            </w:r>
          </w:p>
        </w:tc>
      </w:tr>
      <w:tr w14:paraId="2BB0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599" w:type="dxa"/>
            <w:vMerge w:val="continue"/>
            <w:shd w:val="clear" w:color="auto" w:fill="FFFFFF" w:themeFill="background1"/>
            <w:vAlign w:val="center"/>
          </w:tcPr>
          <w:p w14:paraId="592539E5">
            <w:pPr>
              <w:snapToGrid w:val="0"/>
              <w:rPr>
                <w:rFonts w:hint="eastAsia" w:ascii="宋体" w:hAnsi="宋体" w:eastAsia="宋体" w:cs="宋体"/>
                <w:b/>
                <w:bCs/>
                <w:szCs w:val="21"/>
              </w:rPr>
            </w:pPr>
          </w:p>
        </w:tc>
        <w:tc>
          <w:tcPr>
            <w:tcW w:w="643" w:type="dxa"/>
            <w:shd w:val="clear" w:color="auto" w:fill="FFFFFF" w:themeFill="background1"/>
            <w:vAlign w:val="center"/>
          </w:tcPr>
          <w:p w14:paraId="5969812C">
            <w:pPr>
              <w:snapToGrid w:val="0"/>
              <w:jc w:val="center"/>
              <w:rPr>
                <w:rFonts w:hint="eastAsia" w:ascii="宋体" w:hAnsi="宋体" w:eastAsia="宋体" w:cs="宋体"/>
                <w:szCs w:val="21"/>
              </w:rPr>
            </w:pPr>
            <w:r>
              <w:rPr>
                <w:rFonts w:hint="eastAsia" w:ascii="宋体" w:hAnsi="宋体" w:eastAsia="宋体" w:cs="宋体"/>
                <w:szCs w:val="21"/>
              </w:rPr>
              <w:t>序号</w:t>
            </w:r>
          </w:p>
        </w:tc>
        <w:tc>
          <w:tcPr>
            <w:tcW w:w="1488" w:type="dxa"/>
            <w:shd w:val="clear" w:color="auto" w:fill="FFFFFF" w:themeFill="background1"/>
            <w:vAlign w:val="center"/>
          </w:tcPr>
          <w:p w14:paraId="25D572B1">
            <w:pPr>
              <w:snapToGrid w:val="0"/>
              <w:jc w:val="center"/>
              <w:rPr>
                <w:rFonts w:hint="eastAsia" w:ascii="宋体" w:hAnsi="宋体" w:eastAsia="宋体" w:cs="宋体"/>
                <w:szCs w:val="21"/>
              </w:rPr>
            </w:pPr>
            <w:r>
              <w:rPr>
                <w:rFonts w:hint="eastAsia" w:ascii="宋体" w:hAnsi="宋体" w:eastAsia="宋体" w:cs="宋体"/>
                <w:szCs w:val="21"/>
              </w:rPr>
              <w:t>评分因素</w:t>
            </w:r>
          </w:p>
        </w:tc>
        <w:tc>
          <w:tcPr>
            <w:tcW w:w="981" w:type="dxa"/>
            <w:shd w:val="clear" w:color="auto" w:fill="FFFFFF" w:themeFill="background1"/>
            <w:vAlign w:val="center"/>
          </w:tcPr>
          <w:p w14:paraId="753D701E">
            <w:pPr>
              <w:snapToGrid w:val="0"/>
              <w:jc w:val="center"/>
              <w:rPr>
                <w:rFonts w:hint="eastAsia" w:ascii="宋体" w:hAnsi="宋体" w:eastAsia="宋体" w:cs="宋体"/>
                <w:szCs w:val="21"/>
              </w:rPr>
            </w:pPr>
            <w:r>
              <w:rPr>
                <w:rFonts w:hint="eastAsia" w:ascii="宋体" w:hAnsi="宋体" w:eastAsia="宋体" w:cs="宋体"/>
                <w:szCs w:val="21"/>
              </w:rPr>
              <w:t>权重</w:t>
            </w:r>
            <w:r>
              <w:rPr>
                <w:rFonts w:hint="eastAsia" w:ascii="宋体" w:hAnsi="宋体" w:eastAsia="宋体" w:cs="宋体"/>
                <w:bCs/>
                <w:szCs w:val="21"/>
              </w:rPr>
              <w:t>（%）</w:t>
            </w:r>
          </w:p>
        </w:tc>
        <w:tc>
          <w:tcPr>
            <w:tcW w:w="5361" w:type="dxa"/>
            <w:shd w:val="clear" w:color="auto" w:fill="FFFFFF" w:themeFill="background1"/>
            <w:vAlign w:val="center"/>
          </w:tcPr>
          <w:p w14:paraId="3933F17D">
            <w:pPr>
              <w:snapToGrid w:val="0"/>
              <w:jc w:val="center"/>
              <w:rPr>
                <w:rFonts w:hint="eastAsia" w:ascii="宋体" w:hAnsi="宋体" w:eastAsia="宋体" w:cs="宋体"/>
                <w:szCs w:val="21"/>
              </w:rPr>
            </w:pPr>
            <w:r>
              <w:rPr>
                <w:rFonts w:hint="eastAsia" w:ascii="宋体" w:hAnsi="宋体" w:eastAsia="宋体" w:cs="宋体"/>
                <w:szCs w:val="21"/>
              </w:rPr>
              <w:t>评分准则</w:t>
            </w:r>
          </w:p>
        </w:tc>
      </w:tr>
      <w:tr w14:paraId="16D8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20" w:type="dxa"/>
            <w:left w:w="108" w:type="dxa"/>
            <w:bottom w:w="20" w:type="dxa"/>
            <w:right w:w="108" w:type="dxa"/>
          </w:tblCellMar>
        </w:tblPrEx>
        <w:trPr>
          <w:jc w:val="center"/>
        </w:trPr>
        <w:tc>
          <w:tcPr>
            <w:tcW w:w="599" w:type="dxa"/>
            <w:vMerge w:val="continue"/>
            <w:shd w:val="clear" w:color="auto" w:fill="FFFFFF" w:themeFill="background1"/>
            <w:vAlign w:val="center"/>
          </w:tcPr>
          <w:p w14:paraId="75411A43">
            <w:pPr>
              <w:snapToGrid w:val="0"/>
              <w:rPr>
                <w:rFonts w:hint="eastAsia" w:ascii="宋体" w:hAnsi="宋体" w:eastAsia="宋体" w:cs="宋体"/>
                <w:b/>
                <w:bCs/>
                <w:szCs w:val="21"/>
              </w:rPr>
            </w:pPr>
          </w:p>
        </w:tc>
        <w:tc>
          <w:tcPr>
            <w:tcW w:w="643" w:type="dxa"/>
            <w:shd w:val="clear" w:color="auto" w:fill="FFFFFF" w:themeFill="background1"/>
          </w:tcPr>
          <w:p w14:paraId="046DFAC0">
            <w:pPr>
              <w:snapToGrid w:val="0"/>
              <w:jc w:val="center"/>
              <w:rPr>
                <w:rFonts w:hint="eastAsia" w:ascii="宋体" w:hAnsi="宋体" w:eastAsia="宋体" w:cs="宋体"/>
                <w:szCs w:val="21"/>
              </w:rPr>
            </w:pPr>
            <w:r>
              <w:rPr>
                <w:rFonts w:hint="eastAsia" w:ascii="宋体" w:hAnsi="宋体" w:eastAsia="宋体" w:cs="宋体"/>
                <w:szCs w:val="21"/>
              </w:rPr>
              <w:t>1</w:t>
            </w:r>
          </w:p>
        </w:tc>
        <w:tc>
          <w:tcPr>
            <w:tcW w:w="1488" w:type="dxa"/>
            <w:shd w:val="clear" w:color="auto" w:fill="FFFFFF" w:themeFill="background1"/>
          </w:tcPr>
          <w:p w14:paraId="75D38217">
            <w:pPr>
              <w:snapToGrid w:val="0"/>
              <w:jc w:val="center"/>
              <w:rPr>
                <w:rFonts w:hint="eastAsia" w:ascii="宋体" w:hAnsi="宋体" w:eastAsia="宋体" w:cs="宋体"/>
                <w:szCs w:val="21"/>
              </w:rPr>
            </w:pPr>
            <w:r>
              <w:rPr>
                <w:rFonts w:hint="eastAsia" w:ascii="宋体" w:hAnsi="宋体" w:eastAsia="宋体" w:cs="宋体"/>
                <w:szCs w:val="21"/>
              </w:rPr>
              <w:t>同类项目业绩</w:t>
            </w:r>
          </w:p>
        </w:tc>
        <w:tc>
          <w:tcPr>
            <w:tcW w:w="981" w:type="dxa"/>
            <w:shd w:val="clear" w:color="auto" w:fill="FFFFFF" w:themeFill="background1"/>
          </w:tcPr>
          <w:p w14:paraId="03241F52">
            <w:pPr>
              <w:snapToGrid w:val="0"/>
              <w:jc w:val="center"/>
              <w:rPr>
                <w:rFonts w:hint="eastAsia" w:ascii="宋体" w:hAnsi="宋体" w:eastAsia="宋体" w:cs="宋体"/>
                <w:szCs w:val="21"/>
              </w:rPr>
            </w:pPr>
            <w:r>
              <w:rPr>
                <w:rFonts w:hint="eastAsia" w:ascii="宋体" w:hAnsi="宋体" w:eastAsia="宋体" w:cs="宋体"/>
                <w:szCs w:val="21"/>
              </w:rPr>
              <w:t>2</w:t>
            </w:r>
          </w:p>
        </w:tc>
        <w:tc>
          <w:tcPr>
            <w:tcW w:w="5361" w:type="dxa"/>
            <w:shd w:val="clear" w:color="auto" w:fill="FFFFFF" w:themeFill="background1"/>
            <w:vAlign w:val="center"/>
          </w:tcPr>
          <w:p w14:paraId="02E59418">
            <w:pPr>
              <w:snapToGrid w:val="0"/>
              <w:jc w:val="left"/>
              <w:rPr>
                <w:rFonts w:ascii="宋体" w:hAnsi="宋体" w:eastAsia="宋体" w:cs="宋体"/>
                <w:szCs w:val="21"/>
              </w:rPr>
            </w:pPr>
            <w:r>
              <w:rPr>
                <w:rFonts w:hint="eastAsia" w:ascii="宋体" w:hAnsi="宋体" w:eastAsia="宋体" w:cs="宋体"/>
                <w:szCs w:val="21"/>
              </w:rPr>
              <w:t>2020年1月1日至本项目投标截止之日，具有家具类项目经验，每提供1个家具类项目经验的得50分，最高得100分。</w:t>
            </w:r>
          </w:p>
          <w:p w14:paraId="7E40DF65">
            <w:pPr>
              <w:snapToGrid w:val="0"/>
              <w:jc w:val="left"/>
              <w:rPr>
                <w:rFonts w:hint="eastAsia" w:ascii="宋体" w:hAnsi="宋体" w:eastAsia="宋体" w:cs="宋体"/>
                <w:szCs w:val="21"/>
              </w:rPr>
            </w:pPr>
            <w:r>
              <w:rPr>
                <w:rFonts w:hint="eastAsia" w:ascii="宋体" w:hAnsi="宋体" w:eastAsia="宋体" w:cs="宋体"/>
                <w:szCs w:val="21"/>
              </w:rPr>
              <w:t>证明文件：提供中标通知书、合同关键页及验收报告扫描件，需要</w:t>
            </w:r>
            <w:r>
              <w:rPr>
                <w:rFonts w:hint="eastAsia" w:ascii="宋体" w:hAnsi="宋体" w:eastAsia="宋体" w:cs="宋体"/>
                <w:kern w:val="0"/>
                <w:szCs w:val="21"/>
                <w:lang w:bidi="ar"/>
              </w:rPr>
              <w:t>加盖甲方公章（或甲方业务章）</w:t>
            </w:r>
            <w:r>
              <w:rPr>
                <w:rFonts w:hint="eastAsia" w:ascii="宋体" w:hAnsi="宋体" w:eastAsia="宋体" w:cs="宋体"/>
                <w:szCs w:val="21"/>
              </w:rPr>
              <w:t>，原件备查。未提供或未按要求提供或提供的不清晰导致专家无法判断的，不得分。</w:t>
            </w:r>
          </w:p>
        </w:tc>
      </w:tr>
      <w:tr w14:paraId="2EA7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599" w:type="dxa"/>
            <w:vMerge w:val="continue"/>
            <w:shd w:val="clear" w:color="auto" w:fill="FFFFFF" w:themeFill="background1"/>
            <w:vAlign w:val="center"/>
          </w:tcPr>
          <w:p w14:paraId="56B01CCA">
            <w:pPr>
              <w:snapToGrid w:val="0"/>
              <w:rPr>
                <w:rFonts w:hint="eastAsia" w:ascii="宋体" w:hAnsi="宋体" w:eastAsia="宋体" w:cs="宋体"/>
                <w:b/>
                <w:bCs/>
                <w:szCs w:val="21"/>
              </w:rPr>
            </w:pPr>
          </w:p>
        </w:tc>
        <w:tc>
          <w:tcPr>
            <w:tcW w:w="643" w:type="dxa"/>
            <w:shd w:val="clear" w:color="auto" w:fill="FFFFFF" w:themeFill="background1"/>
          </w:tcPr>
          <w:p w14:paraId="470C2F33">
            <w:pPr>
              <w:snapToGrid w:val="0"/>
              <w:jc w:val="center"/>
              <w:rPr>
                <w:rFonts w:hint="eastAsia" w:ascii="宋体" w:hAnsi="宋体" w:eastAsia="宋体" w:cs="宋体"/>
                <w:szCs w:val="21"/>
              </w:rPr>
            </w:pPr>
            <w:r>
              <w:rPr>
                <w:rFonts w:hint="eastAsia" w:ascii="宋体" w:hAnsi="宋体" w:eastAsia="宋体" w:cs="宋体"/>
                <w:szCs w:val="21"/>
              </w:rPr>
              <w:t>2</w:t>
            </w:r>
          </w:p>
        </w:tc>
        <w:tc>
          <w:tcPr>
            <w:tcW w:w="1488" w:type="dxa"/>
            <w:shd w:val="clear" w:color="auto" w:fill="FFFFFF" w:themeFill="background1"/>
          </w:tcPr>
          <w:p w14:paraId="4B398CCA">
            <w:pPr>
              <w:jc w:val="center"/>
              <w:rPr>
                <w:rFonts w:hint="eastAsia" w:ascii="宋体" w:hAnsi="宋体" w:eastAsia="宋体" w:cs="宋体"/>
                <w:b/>
                <w:szCs w:val="21"/>
              </w:rPr>
            </w:pPr>
            <w:r>
              <w:rPr>
                <w:rFonts w:hint="eastAsia" w:ascii="宋体" w:hAnsi="宋体" w:eastAsia="宋体" w:cs="宋体"/>
                <w:szCs w:val="21"/>
              </w:rPr>
              <w:t>履约评价情况</w:t>
            </w:r>
          </w:p>
        </w:tc>
        <w:tc>
          <w:tcPr>
            <w:tcW w:w="981" w:type="dxa"/>
            <w:shd w:val="clear" w:color="auto" w:fill="FFFFFF" w:themeFill="background1"/>
          </w:tcPr>
          <w:p w14:paraId="4A1F0160">
            <w:pPr>
              <w:jc w:val="center"/>
              <w:rPr>
                <w:rFonts w:hint="eastAsia" w:ascii="宋体" w:hAnsi="宋体" w:eastAsia="宋体" w:cs="宋体"/>
                <w:szCs w:val="21"/>
              </w:rPr>
            </w:pPr>
            <w:r>
              <w:rPr>
                <w:rFonts w:hint="eastAsia" w:ascii="宋体" w:hAnsi="宋体" w:eastAsia="宋体" w:cs="宋体"/>
                <w:szCs w:val="21"/>
              </w:rPr>
              <w:t>1</w:t>
            </w:r>
          </w:p>
        </w:tc>
        <w:tc>
          <w:tcPr>
            <w:tcW w:w="5361" w:type="dxa"/>
            <w:shd w:val="clear" w:color="auto" w:fill="FFFFFF" w:themeFill="background1"/>
          </w:tcPr>
          <w:p w14:paraId="15C63D19">
            <w:pPr>
              <w:jc w:val="left"/>
              <w:rPr>
                <w:rFonts w:ascii="宋体" w:hAnsi="宋体" w:eastAsia="宋体" w:cs="宋体"/>
                <w:szCs w:val="21"/>
              </w:rPr>
            </w:pPr>
            <w:r>
              <w:rPr>
                <w:rFonts w:hint="eastAsia" w:ascii="宋体" w:hAnsi="宋体" w:eastAsia="宋体" w:cs="宋体"/>
                <w:szCs w:val="21"/>
              </w:rPr>
              <w:t>2020年1月1日至本项目投标截止之日，具有上述家具类项目经验并经用户单位考核评价为优或满意的每提供1项得</w:t>
            </w:r>
            <w:r>
              <w:rPr>
                <w:rFonts w:hint="eastAsia" w:ascii="宋体" w:hAnsi="宋体" w:eastAsia="宋体" w:cs="宋体"/>
                <w:color w:val="000000"/>
                <w:szCs w:val="21"/>
              </w:rPr>
              <w:t>50分</w:t>
            </w:r>
            <w:r>
              <w:rPr>
                <w:rFonts w:hint="eastAsia" w:ascii="宋体" w:hAnsi="宋体" w:eastAsia="宋体" w:cs="宋体"/>
                <w:szCs w:val="21"/>
              </w:rPr>
              <w:t>，满分</w:t>
            </w:r>
            <w:r>
              <w:rPr>
                <w:rFonts w:hint="eastAsia" w:ascii="宋体" w:hAnsi="宋体" w:eastAsia="宋体" w:cs="宋体"/>
                <w:color w:val="000000"/>
                <w:szCs w:val="21"/>
              </w:rPr>
              <w:t>100</w:t>
            </w:r>
            <w:r>
              <w:rPr>
                <w:rFonts w:hint="eastAsia" w:ascii="宋体" w:hAnsi="宋体" w:eastAsia="宋体" w:cs="宋体"/>
                <w:szCs w:val="21"/>
              </w:rPr>
              <w:t>分。</w:t>
            </w:r>
          </w:p>
          <w:p w14:paraId="27745557">
            <w:pPr>
              <w:jc w:val="left"/>
              <w:rPr>
                <w:rFonts w:hint="eastAsia" w:ascii="宋体" w:hAnsi="宋体" w:eastAsia="宋体" w:cs="宋体"/>
                <w:szCs w:val="21"/>
              </w:rPr>
            </w:pPr>
            <w:r>
              <w:rPr>
                <w:rFonts w:hint="eastAsia" w:ascii="宋体" w:hAnsi="宋体" w:eastAsia="宋体" w:cs="宋体"/>
                <w:szCs w:val="21"/>
              </w:rPr>
              <w:t>证明文件：提供以上盖有用户单位公章的履约评价扫描件，原件备查。未提供或未按要求提供或提供的不清晰导致专家无法判断的，不得分。</w:t>
            </w:r>
          </w:p>
        </w:tc>
      </w:tr>
      <w:tr w14:paraId="6636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599" w:type="dxa"/>
            <w:vMerge w:val="continue"/>
            <w:shd w:val="clear" w:color="auto" w:fill="FFFFFF" w:themeFill="background1"/>
            <w:vAlign w:val="center"/>
          </w:tcPr>
          <w:p w14:paraId="0E183C2A">
            <w:pPr>
              <w:snapToGrid w:val="0"/>
              <w:rPr>
                <w:rFonts w:hint="eastAsia" w:ascii="宋体" w:hAnsi="宋体" w:eastAsia="宋体" w:cs="宋体"/>
                <w:b/>
                <w:bCs/>
                <w:szCs w:val="21"/>
              </w:rPr>
            </w:pPr>
          </w:p>
        </w:tc>
        <w:tc>
          <w:tcPr>
            <w:tcW w:w="643" w:type="dxa"/>
            <w:shd w:val="clear" w:color="auto" w:fill="FFFFFF" w:themeFill="background1"/>
          </w:tcPr>
          <w:p w14:paraId="42459BCE">
            <w:pPr>
              <w:snapToGrid w:val="0"/>
              <w:jc w:val="center"/>
              <w:rPr>
                <w:rFonts w:hint="eastAsia" w:ascii="宋体" w:hAnsi="宋体" w:eastAsia="宋体" w:cs="宋体"/>
                <w:szCs w:val="21"/>
              </w:rPr>
            </w:pPr>
            <w:r>
              <w:rPr>
                <w:rFonts w:hint="eastAsia" w:ascii="宋体" w:hAnsi="宋体" w:eastAsia="宋体" w:cs="宋体"/>
                <w:szCs w:val="21"/>
              </w:rPr>
              <w:t>3</w:t>
            </w:r>
          </w:p>
        </w:tc>
        <w:tc>
          <w:tcPr>
            <w:tcW w:w="1488" w:type="dxa"/>
            <w:shd w:val="clear" w:color="auto" w:fill="FFFFFF" w:themeFill="background1"/>
          </w:tcPr>
          <w:p w14:paraId="17AEDA5B">
            <w:pPr>
              <w:jc w:val="center"/>
              <w:rPr>
                <w:rFonts w:hint="eastAsia" w:ascii="宋体" w:hAnsi="宋体" w:eastAsia="宋体" w:cs="宋体"/>
                <w:szCs w:val="21"/>
              </w:rPr>
            </w:pPr>
            <w:r>
              <w:rPr>
                <w:rFonts w:hint="eastAsia" w:ascii="宋体" w:hAnsi="宋体" w:eastAsia="宋体" w:cs="宋体"/>
                <w:spacing w:val="-1"/>
                <w:szCs w:val="21"/>
              </w:rPr>
              <w:t>认证证书</w:t>
            </w:r>
          </w:p>
        </w:tc>
        <w:tc>
          <w:tcPr>
            <w:tcW w:w="981" w:type="dxa"/>
            <w:shd w:val="clear" w:color="auto" w:fill="FFFFFF" w:themeFill="background1"/>
          </w:tcPr>
          <w:p w14:paraId="456EB37D">
            <w:pPr>
              <w:jc w:val="center"/>
              <w:rPr>
                <w:rFonts w:hint="eastAsia" w:ascii="宋体" w:hAnsi="宋体" w:eastAsia="宋体" w:cs="宋体"/>
                <w:szCs w:val="21"/>
              </w:rPr>
            </w:pPr>
            <w:r>
              <w:rPr>
                <w:rFonts w:hint="eastAsia" w:ascii="宋体" w:hAnsi="宋体" w:eastAsia="宋体" w:cs="宋体"/>
                <w:szCs w:val="21"/>
              </w:rPr>
              <w:t>4</w:t>
            </w:r>
          </w:p>
        </w:tc>
        <w:tc>
          <w:tcPr>
            <w:tcW w:w="5361" w:type="dxa"/>
            <w:shd w:val="clear" w:color="auto" w:fill="FFFFFF" w:themeFill="background1"/>
            <w:vAlign w:val="center"/>
          </w:tcPr>
          <w:p w14:paraId="34930FA9">
            <w:pPr>
              <w:rPr>
                <w:rFonts w:hint="eastAsia" w:ascii="宋体" w:hAnsi="宋体" w:eastAsia="宋体" w:cs="宋体"/>
                <w:szCs w:val="21"/>
              </w:rPr>
            </w:pPr>
            <w:r>
              <w:rPr>
                <w:rFonts w:hint="eastAsia" w:ascii="宋体" w:hAnsi="宋体" w:eastAsia="宋体" w:cs="宋体"/>
                <w:szCs w:val="21"/>
              </w:rPr>
              <w:t>投标人或所投家具类产品制造商提供：</w:t>
            </w:r>
          </w:p>
          <w:p w14:paraId="16F206A4">
            <w:pPr>
              <w:rPr>
                <w:rFonts w:hint="eastAsia" w:ascii="宋体" w:hAnsi="宋体" w:eastAsia="宋体" w:cs="宋体"/>
                <w:szCs w:val="21"/>
              </w:rPr>
            </w:pPr>
            <w:r>
              <w:rPr>
                <w:rFonts w:hint="eastAsia" w:ascii="宋体" w:hAnsi="宋体" w:eastAsia="宋体" w:cs="宋体"/>
                <w:szCs w:val="21"/>
              </w:rPr>
              <w:t>1、具有有效期内的绿色供应链管理体系认证证书，且绿色供应链管理体系认证符合《绿色制造--企业绿色供应链管理导则》《绿色供应链等级评价认证规范》标准的要求，认证所覆盖的范围需包含办公家具或教学家具或学生家具的销售所涉及的绿色供应链管理活动类，得50分；</w:t>
            </w:r>
          </w:p>
          <w:p w14:paraId="636C9CAF">
            <w:pPr>
              <w:rPr>
                <w:rFonts w:ascii="宋体" w:hAnsi="宋体" w:eastAsia="宋体" w:cs="宋体"/>
                <w:szCs w:val="21"/>
              </w:rPr>
            </w:pPr>
            <w:r>
              <w:rPr>
                <w:rFonts w:hint="eastAsia" w:ascii="宋体" w:hAnsi="宋体" w:eastAsia="宋体" w:cs="宋体"/>
                <w:szCs w:val="21"/>
              </w:rPr>
              <w:t>2、具有有效期内的家具中有害物质限量认证证书，证书产品认证单元涵盖：木家具和金属家具类，产品标准和技术要求：《绿色产品评价家具》《家具中有害物质限量认证实施规则》要求，得50分。</w:t>
            </w:r>
          </w:p>
          <w:p w14:paraId="7A219A59">
            <w:pPr>
              <w:rPr>
                <w:rFonts w:hint="eastAsia" w:ascii="宋体" w:hAnsi="宋体" w:eastAsia="宋体" w:cs="宋体"/>
                <w:szCs w:val="21"/>
              </w:rPr>
            </w:pPr>
            <w:r>
              <w:rPr>
                <w:rFonts w:hint="eastAsia" w:ascii="宋体" w:hAnsi="宋体" w:eastAsia="宋体" w:cs="宋体"/>
                <w:szCs w:val="21"/>
              </w:rPr>
              <w:t>以上两项累计最高得100分。</w:t>
            </w:r>
          </w:p>
          <w:p w14:paraId="4094A9DE">
            <w:pPr>
              <w:widowControl/>
              <w:jc w:val="left"/>
              <w:rPr>
                <w:rFonts w:hint="eastAsia" w:ascii="宋体" w:hAnsi="宋体" w:eastAsia="宋体" w:cs="宋体"/>
                <w:color w:val="000000"/>
                <w:kern w:val="0"/>
                <w:szCs w:val="21"/>
                <w:lang w:bidi="ar"/>
              </w:rPr>
            </w:pPr>
            <w:r>
              <w:rPr>
                <w:rFonts w:hint="eastAsia" w:ascii="宋体" w:hAnsi="宋体" w:eastAsia="宋体" w:cs="宋体"/>
                <w:szCs w:val="21"/>
              </w:rPr>
              <w:t>证明文件：提供有效期内的体系认证证书扫描件及在全国认证认可信息公共服务平台（认e云）（http://cx.cnca.cn/CertECloud/index/index/page）查询“有效”的截图，原件备查。未提供或未按要求提供或提供的不清晰导致专家无法判断的，不得分。</w:t>
            </w:r>
          </w:p>
        </w:tc>
      </w:tr>
      <w:tr w14:paraId="1643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20" w:type="dxa"/>
            <w:left w:w="108" w:type="dxa"/>
            <w:bottom w:w="20" w:type="dxa"/>
            <w:right w:w="108" w:type="dxa"/>
          </w:tblCellMar>
        </w:tblPrEx>
        <w:trPr>
          <w:trHeight w:val="238" w:hRule="atLeast"/>
          <w:jc w:val="center"/>
        </w:trPr>
        <w:tc>
          <w:tcPr>
            <w:tcW w:w="599" w:type="dxa"/>
            <w:vMerge w:val="restart"/>
            <w:shd w:val="clear" w:color="auto" w:fill="FFFFFF" w:themeFill="background1"/>
          </w:tcPr>
          <w:p w14:paraId="455C680F">
            <w:pPr>
              <w:snapToGrid w:val="0"/>
              <w:jc w:val="center"/>
              <w:rPr>
                <w:rFonts w:hint="eastAsia" w:ascii="宋体" w:hAnsi="宋体" w:eastAsia="宋体" w:cs="宋体"/>
                <w:b/>
                <w:bCs/>
                <w:szCs w:val="21"/>
              </w:rPr>
            </w:pPr>
            <w:r>
              <w:rPr>
                <w:rFonts w:hint="eastAsia" w:ascii="宋体" w:hAnsi="宋体" w:eastAsia="宋体" w:cs="宋体"/>
                <w:b/>
                <w:bCs/>
                <w:szCs w:val="21"/>
              </w:rPr>
              <w:t>3</w:t>
            </w:r>
          </w:p>
        </w:tc>
        <w:tc>
          <w:tcPr>
            <w:tcW w:w="3112" w:type="dxa"/>
            <w:gridSpan w:val="3"/>
            <w:shd w:val="clear" w:color="auto" w:fill="FFFFFF" w:themeFill="background1"/>
          </w:tcPr>
          <w:p w14:paraId="7DD3ABD8">
            <w:pPr>
              <w:snapToGrid w:val="0"/>
              <w:jc w:val="center"/>
              <w:rPr>
                <w:rFonts w:hint="eastAsia" w:ascii="宋体" w:hAnsi="宋体" w:eastAsia="宋体" w:cs="宋体"/>
                <w:b/>
                <w:bCs/>
                <w:szCs w:val="21"/>
              </w:rPr>
            </w:pPr>
            <w:r>
              <w:rPr>
                <w:rFonts w:hint="eastAsia" w:ascii="宋体" w:hAnsi="宋体" w:eastAsia="宋体" w:cs="宋体"/>
                <w:b/>
                <w:bCs/>
                <w:szCs w:val="21"/>
              </w:rPr>
              <w:t>商务技术部分</w:t>
            </w:r>
          </w:p>
        </w:tc>
        <w:tc>
          <w:tcPr>
            <w:tcW w:w="5361" w:type="dxa"/>
            <w:shd w:val="clear" w:color="auto" w:fill="FFFFFF" w:themeFill="background1"/>
          </w:tcPr>
          <w:p w14:paraId="42E88978">
            <w:pPr>
              <w:snapToGrid w:val="0"/>
              <w:jc w:val="center"/>
              <w:rPr>
                <w:rFonts w:hint="eastAsia" w:ascii="宋体" w:hAnsi="宋体" w:eastAsia="宋体" w:cs="宋体"/>
                <w:b/>
                <w:bCs/>
                <w:szCs w:val="21"/>
              </w:rPr>
            </w:pPr>
            <w:r>
              <w:rPr>
                <w:rFonts w:hint="eastAsia" w:ascii="宋体" w:hAnsi="宋体" w:eastAsia="宋体" w:cs="宋体"/>
                <w:b/>
                <w:bCs/>
                <w:szCs w:val="21"/>
              </w:rPr>
              <w:t>58</w:t>
            </w:r>
          </w:p>
        </w:tc>
      </w:tr>
      <w:tr w14:paraId="400B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599" w:type="dxa"/>
            <w:vMerge w:val="continue"/>
            <w:shd w:val="clear" w:color="auto" w:fill="FFFFFF" w:themeFill="background1"/>
            <w:vAlign w:val="center"/>
          </w:tcPr>
          <w:p w14:paraId="024A3993">
            <w:pPr>
              <w:snapToGrid w:val="0"/>
              <w:rPr>
                <w:rFonts w:hint="eastAsia" w:ascii="宋体" w:hAnsi="宋体" w:eastAsia="宋体" w:cs="宋体"/>
                <w:b/>
                <w:bCs/>
                <w:szCs w:val="21"/>
              </w:rPr>
            </w:pPr>
          </w:p>
        </w:tc>
        <w:tc>
          <w:tcPr>
            <w:tcW w:w="643" w:type="dxa"/>
            <w:shd w:val="clear" w:color="auto" w:fill="FFFFFF" w:themeFill="background1"/>
            <w:vAlign w:val="center"/>
          </w:tcPr>
          <w:p w14:paraId="79E2E0FF">
            <w:pPr>
              <w:snapToGrid w:val="0"/>
              <w:jc w:val="center"/>
              <w:rPr>
                <w:rFonts w:hint="eastAsia" w:ascii="宋体" w:hAnsi="宋体" w:eastAsia="宋体" w:cs="宋体"/>
                <w:szCs w:val="21"/>
              </w:rPr>
            </w:pPr>
            <w:r>
              <w:rPr>
                <w:rFonts w:hint="eastAsia" w:ascii="宋体" w:hAnsi="宋体" w:eastAsia="宋体" w:cs="宋体"/>
                <w:szCs w:val="21"/>
              </w:rPr>
              <w:t>序号</w:t>
            </w:r>
          </w:p>
        </w:tc>
        <w:tc>
          <w:tcPr>
            <w:tcW w:w="1488" w:type="dxa"/>
            <w:shd w:val="clear" w:color="auto" w:fill="FFFFFF" w:themeFill="background1"/>
            <w:vAlign w:val="center"/>
          </w:tcPr>
          <w:p w14:paraId="7F9639DF">
            <w:pPr>
              <w:snapToGrid w:val="0"/>
              <w:jc w:val="center"/>
              <w:rPr>
                <w:rFonts w:hint="eastAsia" w:ascii="宋体" w:hAnsi="宋体" w:eastAsia="宋体" w:cs="宋体"/>
                <w:szCs w:val="21"/>
              </w:rPr>
            </w:pPr>
            <w:r>
              <w:rPr>
                <w:rFonts w:hint="eastAsia" w:ascii="宋体" w:hAnsi="宋体" w:eastAsia="宋体" w:cs="宋体"/>
                <w:szCs w:val="21"/>
              </w:rPr>
              <w:t>评分因素</w:t>
            </w:r>
          </w:p>
        </w:tc>
        <w:tc>
          <w:tcPr>
            <w:tcW w:w="981" w:type="dxa"/>
            <w:shd w:val="clear" w:color="auto" w:fill="FFFFFF" w:themeFill="background1"/>
            <w:vAlign w:val="center"/>
          </w:tcPr>
          <w:p w14:paraId="53B90D61">
            <w:pPr>
              <w:snapToGrid w:val="0"/>
              <w:jc w:val="center"/>
              <w:rPr>
                <w:rFonts w:hint="eastAsia" w:ascii="宋体" w:hAnsi="宋体" w:eastAsia="宋体" w:cs="宋体"/>
                <w:szCs w:val="21"/>
              </w:rPr>
            </w:pPr>
            <w:r>
              <w:rPr>
                <w:rFonts w:hint="eastAsia" w:ascii="宋体" w:hAnsi="宋体" w:eastAsia="宋体" w:cs="宋体"/>
                <w:szCs w:val="21"/>
              </w:rPr>
              <w:t>权重</w:t>
            </w:r>
            <w:r>
              <w:rPr>
                <w:rFonts w:hint="eastAsia" w:ascii="宋体" w:hAnsi="宋体" w:eastAsia="宋体" w:cs="宋体"/>
                <w:bCs/>
                <w:szCs w:val="21"/>
              </w:rPr>
              <w:t>（%）</w:t>
            </w:r>
          </w:p>
        </w:tc>
        <w:tc>
          <w:tcPr>
            <w:tcW w:w="5361" w:type="dxa"/>
            <w:shd w:val="clear" w:color="auto" w:fill="FFFFFF" w:themeFill="background1"/>
            <w:vAlign w:val="center"/>
          </w:tcPr>
          <w:p w14:paraId="1717D97E">
            <w:pPr>
              <w:snapToGrid w:val="0"/>
              <w:jc w:val="center"/>
              <w:rPr>
                <w:rFonts w:hint="eastAsia" w:ascii="宋体" w:hAnsi="宋体" w:eastAsia="宋体" w:cs="宋体"/>
                <w:szCs w:val="21"/>
              </w:rPr>
            </w:pPr>
            <w:r>
              <w:rPr>
                <w:rFonts w:hint="eastAsia" w:ascii="宋体" w:hAnsi="宋体" w:eastAsia="宋体" w:cs="宋体"/>
                <w:szCs w:val="21"/>
              </w:rPr>
              <w:t>评分准则</w:t>
            </w:r>
          </w:p>
        </w:tc>
      </w:tr>
      <w:tr w14:paraId="326D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599" w:type="dxa"/>
            <w:vMerge w:val="continue"/>
            <w:shd w:val="clear" w:color="auto" w:fill="FFFFFF" w:themeFill="background1"/>
            <w:vAlign w:val="center"/>
          </w:tcPr>
          <w:p w14:paraId="0B2EEDE5">
            <w:pPr>
              <w:snapToGrid w:val="0"/>
              <w:rPr>
                <w:rFonts w:hint="eastAsia" w:ascii="宋体" w:hAnsi="宋体" w:eastAsia="宋体" w:cs="宋体"/>
                <w:b/>
                <w:bCs/>
                <w:szCs w:val="21"/>
              </w:rPr>
            </w:pPr>
          </w:p>
        </w:tc>
        <w:tc>
          <w:tcPr>
            <w:tcW w:w="643" w:type="dxa"/>
            <w:shd w:val="clear" w:color="auto" w:fill="FFFFFF" w:themeFill="background1"/>
          </w:tcPr>
          <w:p w14:paraId="155FDCE7">
            <w:pPr>
              <w:snapToGrid w:val="0"/>
              <w:jc w:val="center"/>
              <w:rPr>
                <w:rFonts w:hint="eastAsia" w:ascii="宋体" w:hAnsi="宋体" w:eastAsia="宋体" w:cs="宋体"/>
                <w:szCs w:val="21"/>
              </w:rPr>
            </w:pPr>
            <w:r>
              <w:rPr>
                <w:rFonts w:hint="eastAsia" w:ascii="宋体" w:hAnsi="宋体" w:eastAsia="宋体" w:cs="宋体"/>
                <w:szCs w:val="21"/>
              </w:rPr>
              <w:t>1</w:t>
            </w:r>
          </w:p>
        </w:tc>
        <w:tc>
          <w:tcPr>
            <w:tcW w:w="1488" w:type="dxa"/>
            <w:shd w:val="clear" w:color="auto" w:fill="FFFFFF" w:themeFill="background1"/>
          </w:tcPr>
          <w:p w14:paraId="767344E0">
            <w:pPr>
              <w:jc w:val="center"/>
              <w:rPr>
                <w:rFonts w:hint="eastAsia" w:ascii="宋体" w:hAnsi="宋体" w:eastAsia="宋体" w:cs="宋体"/>
                <w:szCs w:val="21"/>
              </w:rPr>
            </w:pPr>
            <w:r>
              <w:rPr>
                <w:rFonts w:hint="eastAsia" w:ascii="宋体" w:hAnsi="宋体" w:eastAsia="宋体" w:cs="宋体"/>
                <w:szCs w:val="21"/>
              </w:rPr>
              <w:t>技术保障措施</w:t>
            </w:r>
          </w:p>
        </w:tc>
        <w:tc>
          <w:tcPr>
            <w:tcW w:w="981" w:type="dxa"/>
            <w:shd w:val="clear" w:color="auto" w:fill="FFFFFF" w:themeFill="background1"/>
          </w:tcPr>
          <w:p w14:paraId="07C92EE3">
            <w:pPr>
              <w:jc w:val="center"/>
              <w:rPr>
                <w:rFonts w:hint="eastAsia" w:ascii="宋体" w:hAnsi="宋体" w:eastAsia="宋体" w:cs="宋体"/>
                <w:szCs w:val="21"/>
              </w:rPr>
            </w:pPr>
            <w:r>
              <w:rPr>
                <w:rFonts w:hint="eastAsia" w:ascii="宋体" w:hAnsi="宋体" w:eastAsia="宋体" w:cs="宋体"/>
                <w:szCs w:val="21"/>
              </w:rPr>
              <w:t>3</w:t>
            </w:r>
          </w:p>
        </w:tc>
        <w:tc>
          <w:tcPr>
            <w:tcW w:w="5361" w:type="dxa"/>
            <w:shd w:val="clear" w:color="auto" w:fill="FFFFFF" w:themeFill="background1"/>
            <w:vAlign w:val="center"/>
          </w:tcPr>
          <w:p w14:paraId="0749A22B">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 xml:space="preserve">投标人需针对本项目提供技术保障措施方案，方案内容需包括： 1、技术团队； 2、技术方案； 3、技术人员等。 </w:t>
            </w:r>
          </w:p>
          <w:p w14:paraId="7E512B16">
            <w:pPr>
              <w:widowControl/>
              <w:jc w:val="left"/>
              <w:rPr>
                <w:rFonts w:hint="eastAsia" w:ascii="宋体" w:hAnsi="宋体" w:eastAsia="宋体" w:cs="宋体"/>
                <w:szCs w:val="21"/>
              </w:rPr>
            </w:pPr>
            <w:r>
              <w:rPr>
                <w:rFonts w:hint="eastAsia" w:ascii="宋体" w:hAnsi="宋体" w:eastAsia="宋体" w:cs="宋体"/>
                <w:b/>
                <w:bCs/>
                <w:color w:val="000000"/>
                <w:kern w:val="0"/>
                <w:szCs w:val="21"/>
                <w:lang w:bidi="ar"/>
              </w:rPr>
              <w:t xml:space="preserve">评审标准： </w:t>
            </w:r>
          </w:p>
          <w:p w14:paraId="37201952">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 xml:space="preserve">1、评审委员会根据投标文件的内容响应情况进行评分： </w:t>
            </w:r>
          </w:p>
          <w:p w14:paraId="2997E4C3">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 xml:space="preserve">内容满足以上 3 项要求的，得 40 分； </w:t>
            </w:r>
          </w:p>
          <w:p w14:paraId="6AB81F47">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 xml:space="preserve">内容满足以上任意 2 项要求的，得 20 分； </w:t>
            </w:r>
          </w:p>
          <w:p w14:paraId="253B2A70">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 xml:space="preserve">内容满足以上任意 1 项要求的，得 10分； </w:t>
            </w:r>
          </w:p>
          <w:p w14:paraId="3A59AECD">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内容不满足不得分。以上累计最高得40分。</w:t>
            </w:r>
          </w:p>
          <w:p w14:paraId="0DFF23A2">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 xml:space="preserve">2、在此基础上，评审委员会根据各投标人的具体响应情况按照以下评审标准进一步评审： </w:t>
            </w:r>
          </w:p>
          <w:p w14:paraId="5B2BCD6F">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 xml:space="preserve">评审为优（方案整体科学合理、针对性强、可操作性强、条理非常清晰的）的加 60 分； </w:t>
            </w:r>
          </w:p>
          <w:p w14:paraId="6EA7FDC0">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 xml:space="preserve">评审为良（方案整体比较科学合理、 有较强针对性、有较强可操作性、比较条理清晰的）的加 40 分； </w:t>
            </w:r>
          </w:p>
          <w:p w14:paraId="2A9D06C6">
            <w:pPr>
              <w:widowControl/>
              <w:jc w:val="left"/>
              <w:rPr>
                <w:rFonts w:hint="eastAsia" w:ascii="宋体" w:hAnsi="宋体" w:eastAsia="宋体" w:cs="宋体"/>
                <w:szCs w:val="21"/>
              </w:rPr>
            </w:pPr>
            <w:r>
              <w:rPr>
                <w:rFonts w:hint="eastAsia" w:ascii="宋体" w:hAnsi="宋体" w:eastAsia="宋体" w:cs="宋体"/>
                <w:color w:val="000000"/>
                <w:kern w:val="0"/>
                <w:szCs w:val="21"/>
                <w:lang w:bidi="ar"/>
              </w:rPr>
              <w:t xml:space="preserve">评审为中（方案整体科学合理性一般、针对性一般、可操作性一般，条理清晰度一般的）的加 20 分； </w:t>
            </w:r>
          </w:p>
          <w:p w14:paraId="688F9119">
            <w:pPr>
              <w:pStyle w:val="8"/>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评审为差（如不满足项目要求的）的不加分。</w:t>
            </w:r>
          </w:p>
          <w:p w14:paraId="644CDD26">
            <w:pPr>
              <w:snapToGrid w:val="0"/>
              <w:rPr>
                <w:rFonts w:hint="eastAsia" w:ascii="宋体" w:hAnsi="宋体" w:eastAsia="宋体" w:cs="宋体"/>
                <w:szCs w:val="21"/>
              </w:rPr>
            </w:pPr>
            <w:r>
              <w:rPr>
                <w:rFonts w:hint="eastAsia" w:ascii="宋体" w:hAnsi="宋体" w:eastAsia="宋体" w:cs="宋体"/>
                <w:color w:val="000000"/>
                <w:kern w:val="0"/>
                <w:szCs w:val="21"/>
                <w:lang w:bidi="ar"/>
              </w:rPr>
              <w:t>以上最高得100分。</w:t>
            </w:r>
          </w:p>
        </w:tc>
      </w:tr>
      <w:tr w14:paraId="6147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37" w:hRule="atLeast"/>
          <w:jc w:val="center"/>
        </w:trPr>
        <w:tc>
          <w:tcPr>
            <w:tcW w:w="599" w:type="dxa"/>
            <w:vMerge w:val="continue"/>
            <w:shd w:val="clear" w:color="auto" w:fill="FFFFFF" w:themeFill="background1"/>
            <w:vAlign w:val="center"/>
          </w:tcPr>
          <w:p w14:paraId="00F14D32">
            <w:pPr>
              <w:snapToGrid w:val="0"/>
              <w:rPr>
                <w:rFonts w:hint="eastAsia" w:ascii="宋体" w:hAnsi="宋体" w:eastAsia="宋体" w:cs="宋体"/>
                <w:b/>
                <w:bCs/>
                <w:szCs w:val="21"/>
              </w:rPr>
            </w:pPr>
          </w:p>
        </w:tc>
        <w:tc>
          <w:tcPr>
            <w:tcW w:w="643" w:type="dxa"/>
            <w:shd w:val="clear" w:color="auto" w:fill="FFFFFF" w:themeFill="background1"/>
          </w:tcPr>
          <w:p w14:paraId="0CF44472">
            <w:pPr>
              <w:snapToGrid w:val="0"/>
              <w:jc w:val="center"/>
              <w:rPr>
                <w:rFonts w:hint="eastAsia" w:ascii="宋体" w:hAnsi="宋体" w:eastAsia="宋体" w:cs="宋体"/>
                <w:szCs w:val="21"/>
              </w:rPr>
            </w:pPr>
            <w:r>
              <w:rPr>
                <w:rFonts w:hint="eastAsia" w:ascii="宋体" w:hAnsi="宋体" w:eastAsia="宋体" w:cs="宋体"/>
                <w:szCs w:val="21"/>
              </w:rPr>
              <w:t>2</w:t>
            </w:r>
          </w:p>
        </w:tc>
        <w:tc>
          <w:tcPr>
            <w:tcW w:w="1488" w:type="dxa"/>
            <w:shd w:val="clear" w:color="auto" w:fill="FFFFFF" w:themeFill="background1"/>
          </w:tcPr>
          <w:p w14:paraId="469EA241">
            <w:pPr>
              <w:jc w:val="center"/>
              <w:rPr>
                <w:rFonts w:hint="eastAsia" w:ascii="宋体" w:hAnsi="宋体" w:eastAsia="宋体" w:cs="宋体"/>
                <w:szCs w:val="21"/>
              </w:rPr>
            </w:pPr>
            <w:r>
              <w:rPr>
                <w:rFonts w:hint="eastAsia" w:ascii="宋体" w:hAnsi="宋体" w:eastAsia="宋体" w:cs="宋体"/>
                <w:kern w:val="0"/>
                <w:szCs w:val="21"/>
              </w:rPr>
              <w:t>技术规格偏离情况</w:t>
            </w:r>
          </w:p>
        </w:tc>
        <w:tc>
          <w:tcPr>
            <w:tcW w:w="981" w:type="dxa"/>
            <w:shd w:val="clear" w:color="auto" w:fill="FFFFFF" w:themeFill="background1"/>
          </w:tcPr>
          <w:p w14:paraId="6CD2BF1E">
            <w:pPr>
              <w:jc w:val="center"/>
              <w:rPr>
                <w:rFonts w:hint="eastAsia" w:ascii="宋体" w:hAnsi="宋体" w:eastAsia="宋体" w:cs="宋体"/>
                <w:szCs w:val="21"/>
              </w:rPr>
            </w:pPr>
            <w:r>
              <w:rPr>
                <w:rFonts w:hint="eastAsia" w:ascii="宋体" w:hAnsi="宋体" w:eastAsia="宋体" w:cs="宋体"/>
                <w:szCs w:val="21"/>
              </w:rPr>
              <w:t>43</w:t>
            </w:r>
          </w:p>
        </w:tc>
        <w:tc>
          <w:tcPr>
            <w:tcW w:w="5361" w:type="dxa"/>
            <w:shd w:val="clear" w:color="auto" w:fill="FFFFFF" w:themeFill="background1"/>
            <w:vAlign w:val="center"/>
          </w:tcPr>
          <w:p w14:paraId="01859D0D">
            <w:pPr>
              <w:snapToGrid w:val="0"/>
              <w:rPr>
                <w:rFonts w:hint="eastAsia" w:ascii="宋体" w:hAnsi="宋体" w:eastAsia="宋体" w:cs="宋体"/>
                <w:szCs w:val="21"/>
              </w:rPr>
            </w:pPr>
            <w:r>
              <w:rPr>
                <w:rFonts w:hint="eastAsia" w:ascii="宋体" w:hAnsi="宋体" w:eastAsia="宋体" w:cs="宋体"/>
                <w:szCs w:val="21"/>
              </w:rPr>
              <w:t>评审委员会根据《技术规格偏离表》响应情况进行打分，全部满足的得100分，重点技术参数▲项每负偏离一项扣8分，一般技术参数每负偏离一项扣0.1分。扣完为止。</w:t>
            </w:r>
            <w:r>
              <w:rPr>
                <w:rFonts w:hint="eastAsia" w:ascii="宋体" w:hAnsi="宋体" w:eastAsia="宋体" w:cs="宋体"/>
                <w:szCs w:val="21"/>
              </w:rPr>
              <w:br w:type="textWrapping"/>
            </w:r>
            <w:r>
              <w:rPr>
                <w:rFonts w:hint="eastAsia" w:ascii="宋体" w:hAnsi="宋体" w:eastAsia="宋体" w:cs="宋体"/>
                <w:szCs w:val="21"/>
              </w:rPr>
              <w:t>证明文件：《技术规格偏离表》应如实对应填写所投产品的具体参数。如要求提供“厂家网站截图/说明书/厂家出具的参数文件/检验报告”等证明资料的，需按要求提供相关证明资料；提供的证明资料与所填写内容不一致的，以证明资料为准，原件备查。证明材料不能满足招标要求的，该项按负偏离处理。（未提供或未按要求提供或提供的不清晰导致专家无法判断的，不得分）</w:t>
            </w:r>
          </w:p>
        </w:tc>
      </w:tr>
      <w:tr w14:paraId="3A31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20" w:type="dxa"/>
            <w:left w:w="108" w:type="dxa"/>
            <w:bottom w:w="20" w:type="dxa"/>
            <w:right w:w="108" w:type="dxa"/>
          </w:tblCellMar>
        </w:tblPrEx>
        <w:trPr>
          <w:trHeight w:val="337" w:hRule="atLeast"/>
          <w:jc w:val="center"/>
        </w:trPr>
        <w:tc>
          <w:tcPr>
            <w:tcW w:w="599" w:type="dxa"/>
            <w:vMerge w:val="continue"/>
            <w:shd w:val="clear" w:color="auto" w:fill="FFFFFF" w:themeFill="background1"/>
            <w:vAlign w:val="center"/>
          </w:tcPr>
          <w:p w14:paraId="6E50B6D2">
            <w:pPr>
              <w:snapToGrid w:val="0"/>
              <w:rPr>
                <w:rFonts w:hint="eastAsia" w:ascii="宋体" w:hAnsi="宋体" w:eastAsia="宋体" w:cs="宋体"/>
                <w:b/>
                <w:bCs/>
                <w:szCs w:val="21"/>
              </w:rPr>
            </w:pPr>
          </w:p>
        </w:tc>
        <w:tc>
          <w:tcPr>
            <w:tcW w:w="643" w:type="dxa"/>
            <w:shd w:val="clear" w:color="auto" w:fill="FFFFFF" w:themeFill="background1"/>
          </w:tcPr>
          <w:p w14:paraId="1BE469A6">
            <w:pPr>
              <w:snapToGrid w:val="0"/>
              <w:jc w:val="center"/>
              <w:rPr>
                <w:rFonts w:hint="eastAsia" w:ascii="宋体" w:hAnsi="宋体" w:eastAsia="宋体" w:cs="宋体"/>
                <w:szCs w:val="21"/>
              </w:rPr>
            </w:pPr>
            <w:r>
              <w:rPr>
                <w:rFonts w:hint="eastAsia" w:ascii="宋体" w:hAnsi="宋体" w:eastAsia="宋体" w:cs="宋体"/>
                <w:szCs w:val="21"/>
              </w:rPr>
              <w:t>3</w:t>
            </w:r>
          </w:p>
        </w:tc>
        <w:tc>
          <w:tcPr>
            <w:tcW w:w="1488" w:type="dxa"/>
            <w:shd w:val="clear" w:color="auto" w:fill="FFFFFF" w:themeFill="background1"/>
          </w:tcPr>
          <w:p w14:paraId="4C0D42DE">
            <w:pPr>
              <w:jc w:val="center"/>
              <w:rPr>
                <w:rFonts w:hint="eastAsia" w:ascii="宋体" w:hAnsi="宋体" w:eastAsia="宋体" w:cs="宋体"/>
                <w:szCs w:val="21"/>
              </w:rPr>
            </w:pPr>
            <w:r>
              <w:rPr>
                <w:rFonts w:hint="eastAsia" w:ascii="宋体" w:hAnsi="宋体" w:eastAsia="宋体" w:cs="宋体"/>
                <w:szCs w:val="21"/>
              </w:rPr>
              <w:t>检测报告</w:t>
            </w:r>
          </w:p>
        </w:tc>
        <w:tc>
          <w:tcPr>
            <w:tcW w:w="981" w:type="dxa"/>
            <w:shd w:val="clear" w:color="auto" w:fill="FFFFFF" w:themeFill="background1"/>
          </w:tcPr>
          <w:p w14:paraId="4E2B58B1">
            <w:pPr>
              <w:jc w:val="center"/>
              <w:rPr>
                <w:rFonts w:hint="eastAsia" w:ascii="宋体" w:hAnsi="宋体" w:eastAsia="宋体" w:cs="宋体"/>
                <w:szCs w:val="21"/>
              </w:rPr>
            </w:pPr>
            <w:r>
              <w:rPr>
                <w:rFonts w:hint="eastAsia" w:ascii="宋体" w:hAnsi="宋体" w:eastAsia="宋体" w:cs="宋体"/>
                <w:szCs w:val="21"/>
              </w:rPr>
              <w:t>3</w:t>
            </w:r>
          </w:p>
        </w:tc>
        <w:tc>
          <w:tcPr>
            <w:tcW w:w="5361" w:type="dxa"/>
            <w:shd w:val="clear" w:color="auto" w:fill="FFFFFF" w:themeFill="background1"/>
            <w:vAlign w:val="center"/>
          </w:tcPr>
          <w:p w14:paraId="267C7C66">
            <w:pPr>
              <w:wordWrap w:val="0"/>
              <w:rPr>
                <w:rFonts w:ascii="宋体" w:hAnsi="宋体" w:eastAsia="宋体" w:cs="宋体"/>
                <w:kern w:val="0"/>
                <w:szCs w:val="21"/>
                <w:lang w:bidi="ar"/>
              </w:rPr>
            </w:pPr>
            <w:r>
              <w:rPr>
                <w:rFonts w:hint="eastAsia" w:ascii="宋体" w:hAnsi="宋体" w:eastAsia="宋体" w:cs="宋体"/>
                <w:kern w:val="0"/>
                <w:szCs w:val="21"/>
                <w:lang w:bidi="ar"/>
              </w:rPr>
              <w:t>投标人提供</w:t>
            </w:r>
            <w:r>
              <w:rPr>
                <w:rFonts w:hint="eastAsia" w:ascii="宋体" w:hAnsi="宋体" w:eastAsia="宋体" w:cs="宋体"/>
                <w:spacing w:val="4"/>
                <w:szCs w:val="21"/>
              </w:rPr>
              <w:t>2021年1月1日以来至投标</w:t>
            </w:r>
            <w:r>
              <w:rPr>
                <w:rFonts w:hint="eastAsia" w:ascii="宋体" w:hAnsi="宋体" w:eastAsia="宋体" w:cs="宋体"/>
                <w:spacing w:val="3"/>
                <w:szCs w:val="21"/>
              </w:rPr>
              <w:t>截止日前的</w:t>
            </w:r>
            <w:r>
              <w:rPr>
                <w:rFonts w:hint="eastAsia" w:ascii="宋体" w:hAnsi="宋体" w:eastAsia="宋体" w:cs="宋体"/>
                <w:kern w:val="0"/>
                <w:szCs w:val="21"/>
                <w:lang w:bidi="ar"/>
              </w:rPr>
              <w:t>“水性漆”检测报告，检验报告符合：GB18581-2020《木器涂料中有害物质限量》，HJ 2537-2014（或更新标准）《环境标志产品技术要求 水性涂料》。检测结果：VOC含量、甲醛含量、乙二醇醚及醚酯总和含量、苯系物总和含量、烷基酚聚氧乙烯醚总和含量、可溶性铅、可溶性镉、可溶性铬、可溶性汞、卤代烃（以二氯甲烷计）等均符合标准要求。</w:t>
            </w:r>
          </w:p>
          <w:p w14:paraId="63268110">
            <w:pPr>
              <w:snapToGrid w:val="0"/>
              <w:rPr>
                <w:rFonts w:hint="eastAsia" w:ascii="宋体" w:hAnsi="宋体" w:eastAsia="宋体" w:cs="宋体"/>
                <w:szCs w:val="21"/>
              </w:rPr>
            </w:pPr>
            <w:r>
              <w:rPr>
                <w:rFonts w:hint="eastAsia" w:ascii="宋体" w:hAnsi="宋体" w:eastAsia="宋体" w:cs="宋体"/>
                <w:kern w:val="0"/>
                <w:szCs w:val="21"/>
                <w:lang w:bidi="ar"/>
              </w:rPr>
              <w:t>投标人同时提供检测机构体现产品检测能力的“检验检测机构资质证书”、标注CMA或CNAS标识的检测报告及检测报告在全国认证认可信息公共服务平台网站（http://cx.cnca.cn/CertECloud/qts/qts/qtsPage）查询截图作为得分依据。满足以上全部要求得100分，原件备查。</w:t>
            </w:r>
            <w:r>
              <w:rPr>
                <w:rFonts w:hint="eastAsia" w:ascii="宋体" w:hAnsi="宋体" w:eastAsia="宋体" w:cs="宋体"/>
                <w:szCs w:val="21"/>
              </w:rPr>
              <w:t>（未提供或未按要求提供或提供的不清晰导致专家无法判断的，不得分）</w:t>
            </w:r>
          </w:p>
        </w:tc>
      </w:tr>
      <w:tr w14:paraId="2C51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37" w:hRule="atLeast"/>
          <w:jc w:val="center"/>
        </w:trPr>
        <w:tc>
          <w:tcPr>
            <w:tcW w:w="599" w:type="dxa"/>
            <w:vMerge w:val="continue"/>
            <w:shd w:val="clear" w:color="auto" w:fill="FFFFFF" w:themeFill="background1"/>
            <w:vAlign w:val="center"/>
          </w:tcPr>
          <w:p w14:paraId="77C8E410">
            <w:pPr>
              <w:snapToGrid w:val="0"/>
              <w:rPr>
                <w:rFonts w:hint="eastAsia" w:ascii="宋体" w:hAnsi="宋体" w:eastAsia="宋体" w:cs="宋体"/>
                <w:b/>
                <w:bCs/>
                <w:szCs w:val="21"/>
              </w:rPr>
            </w:pPr>
          </w:p>
        </w:tc>
        <w:tc>
          <w:tcPr>
            <w:tcW w:w="643" w:type="dxa"/>
            <w:shd w:val="clear" w:color="auto" w:fill="FFFFFF" w:themeFill="background1"/>
          </w:tcPr>
          <w:p w14:paraId="7F9E1954">
            <w:pPr>
              <w:snapToGrid w:val="0"/>
              <w:jc w:val="center"/>
              <w:rPr>
                <w:rFonts w:hint="eastAsia" w:ascii="宋体" w:hAnsi="宋体" w:eastAsia="宋体" w:cs="宋体"/>
                <w:szCs w:val="21"/>
              </w:rPr>
            </w:pPr>
            <w:r>
              <w:rPr>
                <w:rFonts w:hint="eastAsia" w:ascii="宋体" w:hAnsi="宋体" w:eastAsia="宋体" w:cs="宋体"/>
                <w:szCs w:val="21"/>
              </w:rPr>
              <w:t>4</w:t>
            </w:r>
          </w:p>
        </w:tc>
        <w:tc>
          <w:tcPr>
            <w:tcW w:w="1488" w:type="dxa"/>
            <w:shd w:val="clear" w:color="auto" w:fill="FFFFFF" w:themeFill="background1"/>
          </w:tcPr>
          <w:p w14:paraId="2F1B8F39">
            <w:pPr>
              <w:jc w:val="center"/>
              <w:rPr>
                <w:rFonts w:hint="eastAsia" w:ascii="宋体" w:hAnsi="宋体" w:eastAsia="宋体" w:cs="宋体"/>
                <w:szCs w:val="21"/>
              </w:rPr>
            </w:pPr>
            <w:r>
              <w:rPr>
                <w:rFonts w:hint="eastAsia" w:ascii="宋体" w:hAnsi="宋体" w:eastAsia="宋体" w:cs="宋体"/>
                <w:kern w:val="0"/>
                <w:szCs w:val="21"/>
                <w:lang w:bidi="ar"/>
              </w:rPr>
              <w:t>免费保修期内售后服务条款偏离情况</w:t>
            </w:r>
          </w:p>
        </w:tc>
        <w:tc>
          <w:tcPr>
            <w:tcW w:w="981" w:type="dxa"/>
            <w:shd w:val="clear" w:color="auto" w:fill="FFFFFF" w:themeFill="background1"/>
          </w:tcPr>
          <w:p w14:paraId="2BE66846">
            <w:pPr>
              <w:jc w:val="center"/>
              <w:rPr>
                <w:rFonts w:hint="eastAsia" w:ascii="宋体" w:hAnsi="宋体" w:eastAsia="宋体" w:cs="宋体"/>
                <w:szCs w:val="21"/>
              </w:rPr>
            </w:pPr>
            <w:r>
              <w:rPr>
                <w:rFonts w:hint="eastAsia" w:ascii="宋体" w:hAnsi="宋体" w:eastAsia="宋体" w:cs="宋体"/>
                <w:kern w:val="0"/>
                <w:szCs w:val="21"/>
                <w:lang w:bidi="ar"/>
              </w:rPr>
              <w:t>3</w:t>
            </w:r>
          </w:p>
        </w:tc>
        <w:tc>
          <w:tcPr>
            <w:tcW w:w="5361" w:type="dxa"/>
            <w:shd w:val="clear" w:color="auto" w:fill="FFFFFF" w:themeFill="background1"/>
            <w:vAlign w:val="center"/>
          </w:tcPr>
          <w:p w14:paraId="3656A1E6">
            <w:pPr>
              <w:snapToGrid w:val="0"/>
              <w:rPr>
                <w:rFonts w:hint="eastAsia" w:ascii="宋体" w:hAnsi="宋体" w:eastAsia="宋体" w:cs="宋体"/>
                <w:szCs w:val="21"/>
              </w:rPr>
            </w:pPr>
            <w:r>
              <w:rPr>
                <w:rFonts w:hint="eastAsia" w:ascii="宋体" w:hAnsi="宋体" w:eastAsia="宋体" w:cs="宋体"/>
                <w:kern w:val="0"/>
                <w:szCs w:val="21"/>
                <w:lang w:bidi="ar"/>
              </w:rPr>
              <w:t>投标人应如实填写《免费保修期内售后服务条款偏离表》，评审委员会根据响应情况进行打分，全部满足要求的得满分，</w:t>
            </w:r>
            <w:r>
              <w:rPr>
                <w:rFonts w:hint="eastAsia" w:ascii="宋体" w:hAnsi="宋体" w:eastAsia="宋体" w:cs="宋体"/>
                <w:szCs w:val="21"/>
              </w:rPr>
              <w:t>除实质性条款外</w:t>
            </w:r>
            <w:r>
              <w:rPr>
                <w:rFonts w:hint="eastAsia" w:ascii="宋体" w:hAnsi="宋体" w:eastAsia="宋体" w:cs="宋体"/>
                <w:kern w:val="0"/>
                <w:szCs w:val="21"/>
                <w:lang w:bidi="ar"/>
              </w:rPr>
              <w:t>每负偏离一项扣50分，扣完为止。</w:t>
            </w:r>
          </w:p>
        </w:tc>
      </w:tr>
      <w:tr w14:paraId="4EF6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20" w:type="dxa"/>
            <w:left w:w="108" w:type="dxa"/>
            <w:bottom w:w="20" w:type="dxa"/>
            <w:right w:w="108" w:type="dxa"/>
          </w:tblCellMar>
        </w:tblPrEx>
        <w:trPr>
          <w:trHeight w:val="337" w:hRule="atLeast"/>
          <w:jc w:val="center"/>
        </w:trPr>
        <w:tc>
          <w:tcPr>
            <w:tcW w:w="599" w:type="dxa"/>
            <w:vMerge w:val="continue"/>
            <w:shd w:val="clear" w:color="auto" w:fill="FFFFFF" w:themeFill="background1"/>
            <w:vAlign w:val="center"/>
          </w:tcPr>
          <w:p w14:paraId="0A7C2000">
            <w:pPr>
              <w:snapToGrid w:val="0"/>
              <w:rPr>
                <w:rFonts w:hint="eastAsia" w:ascii="宋体" w:hAnsi="宋体" w:eastAsia="宋体" w:cs="宋体"/>
                <w:b/>
                <w:bCs/>
                <w:szCs w:val="21"/>
              </w:rPr>
            </w:pPr>
          </w:p>
        </w:tc>
        <w:tc>
          <w:tcPr>
            <w:tcW w:w="643" w:type="dxa"/>
            <w:shd w:val="clear" w:color="auto" w:fill="FFFFFF" w:themeFill="background1"/>
          </w:tcPr>
          <w:p w14:paraId="0401A81D">
            <w:pPr>
              <w:snapToGrid w:val="0"/>
              <w:jc w:val="center"/>
              <w:rPr>
                <w:rFonts w:hint="eastAsia" w:ascii="宋体" w:hAnsi="宋体" w:eastAsia="宋体" w:cs="宋体"/>
                <w:szCs w:val="21"/>
              </w:rPr>
            </w:pPr>
            <w:r>
              <w:rPr>
                <w:rFonts w:hint="eastAsia" w:ascii="宋体" w:hAnsi="宋体" w:eastAsia="宋体" w:cs="宋体"/>
                <w:szCs w:val="21"/>
              </w:rPr>
              <w:t>5</w:t>
            </w:r>
          </w:p>
        </w:tc>
        <w:tc>
          <w:tcPr>
            <w:tcW w:w="1488" w:type="dxa"/>
            <w:shd w:val="clear" w:color="auto" w:fill="FFFFFF" w:themeFill="background1"/>
          </w:tcPr>
          <w:p w14:paraId="4C7DA651">
            <w:pPr>
              <w:jc w:val="center"/>
              <w:rPr>
                <w:rFonts w:hint="eastAsia" w:ascii="宋体" w:hAnsi="宋体" w:eastAsia="宋体" w:cs="宋体"/>
                <w:szCs w:val="21"/>
              </w:rPr>
            </w:pPr>
            <w:r>
              <w:rPr>
                <w:rFonts w:hint="eastAsia" w:ascii="宋体" w:hAnsi="宋体" w:eastAsia="宋体" w:cs="宋体"/>
                <w:kern w:val="0"/>
                <w:szCs w:val="21"/>
                <w:lang w:bidi="ar"/>
              </w:rPr>
              <w:t>其他商务条款偏离情况</w:t>
            </w:r>
          </w:p>
        </w:tc>
        <w:tc>
          <w:tcPr>
            <w:tcW w:w="981" w:type="dxa"/>
            <w:shd w:val="clear" w:color="auto" w:fill="FFFFFF" w:themeFill="background1"/>
          </w:tcPr>
          <w:p w14:paraId="121E9CAB">
            <w:pPr>
              <w:jc w:val="center"/>
              <w:rPr>
                <w:rFonts w:hint="eastAsia" w:ascii="宋体" w:hAnsi="宋体" w:eastAsia="宋体" w:cs="宋体"/>
                <w:szCs w:val="21"/>
              </w:rPr>
            </w:pPr>
            <w:r>
              <w:rPr>
                <w:rFonts w:hint="eastAsia" w:ascii="宋体" w:hAnsi="宋体" w:eastAsia="宋体" w:cs="宋体"/>
                <w:kern w:val="0"/>
                <w:szCs w:val="21"/>
                <w:lang w:bidi="ar"/>
              </w:rPr>
              <w:t>3</w:t>
            </w:r>
          </w:p>
        </w:tc>
        <w:tc>
          <w:tcPr>
            <w:tcW w:w="5361" w:type="dxa"/>
            <w:shd w:val="clear" w:color="auto" w:fill="FFFFFF" w:themeFill="background1"/>
            <w:vAlign w:val="center"/>
          </w:tcPr>
          <w:p w14:paraId="36C40BF6">
            <w:pPr>
              <w:snapToGrid w:val="0"/>
              <w:rPr>
                <w:rFonts w:hint="eastAsia" w:ascii="宋体" w:hAnsi="宋体" w:eastAsia="宋体" w:cs="宋体"/>
                <w:szCs w:val="21"/>
              </w:rPr>
            </w:pPr>
            <w:r>
              <w:rPr>
                <w:rFonts w:hint="eastAsia" w:ascii="宋体" w:hAnsi="宋体" w:eastAsia="宋体" w:cs="宋体"/>
                <w:kern w:val="0"/>
                <w:szCs w:val="21"/>
                <w:lang w:bidi="ar"/>
              </w:rPr>
              <w:t>投标人应如实填写《其他商务条款偏离表》，评审委员会根据响应情况进行打分，全部满足要求的得满分，</w:t>
            </w:r>
            <w:r>
              <w:rPr>
                <w:rFonts w:hint="eastAsia" w:ascii="宋体" w:hAnsi="宋体" w:eastAsia="宋体" w:cs="宋体"/>
                <w:szCs w:val="21"/>
              </w:rPr>
              <w:t>除实质性条款外</w:t>
            </w:r>
            <w:r>
              <w:rPr>
                <w:rFonts w:hint="eastAsia" w:ascii="宋体" w:hAnsi="宋体" w:eastAsia="宋体" w:cs="宋体"/>
                <w:kern w:val="0"/>
                <w:szCs w:val="21"/>
                <w:lang w:bidi="ar"/>
              </w:rPr>
              <w:t>每负偏离一项扣10分，扣完为止。</w:t>
            </w:r>
          </w:p>
        </w:tc>
      </w:tr>
      <w:tr w14:paraId="04B7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20" w:type="dxa"/>
            <w:left w:w="108" w:type="dxa"/>
            <w:bottom w:w="20" w:type="dxa"/>
            <w:right w:w="108" w:type="dxa"/>
          </w:tblCellMar>
        </w:tblPrEx>
        <w:trPr>
          <w:jc w:val="center"/>
        </w:trPr>
        <w:tc>
          <w:tcPr>
            <w:tcW w:w="599" w:type="dxa"/>
            <w:vMerge w:val="continue"/>
            <w:shd w:val="clear" w:color="auto" w:fill="FFFFFF" w:themeFill="background1"/>
            <w:vAlign w:val="center"/>
          </w:tcPr>
          <w:p w14:paraId="06CEF0CD">
            <w:pPr>
              <w:snapToGrid w:val="0"/>
              <w:rPr>
                <w:rFonts w:hint="eastAsia" w:ascii="宋体" w:hAnsi="宋体" w:eastAsia="宋体" w:cs="宋体"/>
                <w:b/>
                <w:bCs/>
                <w:szCs w:val="21"/>
              </w:rPr>
            </w:pPr>
          </w:p>
        </w:tc>
        <w:tc>
          <w:tcPr>
            <w:tcW w:w="643" w:type="dxa"/>
            <w:shd w:val="clear" w:color="auto" w:fill="FFFFFF" w:themeFill="background1"/>
          </w:tcPr>
          <w:p w14:paraId="5D649BBF">
            <w:pPr>
              <w:snapToGrid w:val="0"/>
              <w:jc w:val="center"/>
              <w:rPr>
                <w:rFonts w:hint="eastAsia" w:ascii="宋体" w:hAnsi="宋体" w:eastAsia="宋体" w:cs="宋体"/>
                <w:szCs w:val="21"/>
              </w:rPr>
            </w:pPr>
            <w:r>
              <w:rPr>
                <w:rFonts w:hint="eastAsia" w:ascii="宋体" w:hAnsi="宋体" w:eastAsia="宋体" w:cs="宋体"/>
                <w:szCs w:val="21"/>
              </w:rPr>
              <w:t>6</w:t>
            </w:r>
          </w:p>
        </w:tc>
        <w:tc>
          <w:tcPr>
            <w:tcW w:w="1488" w:type="dxa"/>
            <w:shd w:val="clear" w:color="auto" w:fill="FFFFFF" w:themeFill="background1"/>
          </w:tcPr>
          <w:p w14:paraId="021AA3CB">
            <w:pPr>
              <w:jc w:val="center"/>
              <w:rPr>
                <w:rFonts w:hint="eastAsia" w:ascii="宋体" w:hAnsi="宋体" w:eastAsia="宋体" w:cs="宋体"/>
                <w:szCs w:val="21"/>
              </w:rPr>
            </w:pPr>
            <w:r>
              <w:rPr>
                <w:rFonts w:hint="eastAsia" w:ascii="宋体" w:hAnsi="宋体" w:eastAsia="宋体" w:cs="宋体"/>
                <w:szCs w:val="21"/>
              </w:rPr>
              <w:t>设计图</w:t>
            </w:r>
          </w:p>
        </w:tc>
        <w:tc>
          <w:tcPr>
            <w:tcW w:w="981" w:type="dxa"/>
            <w:shd w:val="clear" w:color="auto" w:fill="FFFFFF" w:themeFill="background1"/>
          </w:tcPr>
          <w:p w14:paraId="05AAAFA9">
            <w:pPr>
              <w:jc w:val="center"/>
              <w:rPr>
                <w:rFonts w:hint="eastAsia" w:ascii="宋体" w:hAnsi="宋体" w:eastAsia="宋体" w:cs="宋体"/>
                <w:szCs w:val="21"/>
              </w:rPr>
            </w:pPr>
            <w:r>
              <w:rPr>
                <w:rFonts w:hint="eastAsia" w:ascii="宋体" w:hAnsi="宋体" w:eastAsia="宋体" w:cs="宋体"/>
                <w:szCs w:val="21"/>
              </w:rPr>
              <w:t>3</w:t>
            </w:r>
          </w:p>
        </w:tc>
        <w:tc>
          <w:tcPr>
            <w:tcW w:w="5361" w:type="dxa"/>
            <w:shd w:val="clear" w:color="auto" w:fill="FFFFFF" w:themeFill="background1"/>
            <w:vAlign w:val="center"/>
          </w:tcPr>
          <w:p w14:paraId="0E9E5057">
            <w:pPr>
              <w:widowControl/>
              <w:wordWrap w:val="0"/>
              <w:jc w:val="left"/>
              <w:textAlignment w:val="top"/>
              <w:rPr>
                <w:rFonts w:hint="eastAsia" w:ascii="宋体" w:hAnsi="宋体" w:eastAsia="宋体" w:cs="宋体"/>
                <w:szCs w:val="21"/>
              </w:rPr>
            </w:pPr>
            <w:r>
              <w:rPr>
                <w:rFonts w:hint="eastAsia" w:ascii="宋体" w:hAnsi="宋体" w:eastAsia="宋体" w:cs="宋体"/>
                <w:szCs w:val="21"/>
              </w:rPr>
              <w:t>投标人应根据学校文化提供符合要求的心理咨询室、教师阅览室的效果图和平面布局图（现场平面图及照片详见图纸）。要求：</w:t>
            </w:r>
          </w:p>
          <w:p w14:paraId="3483D506">
            <w:pPr>
              <w:widowControl/>
              <w:wordWrap w:val="0"/>
              <w:jc w:val="left"/>
              <w:textAlignment w:val="top"/>
              <w:rPr>
                <w:rFonts w:hint="eastAsia" w:ascii="宋体" w:hAnsi="宋体" w:eastAsia="宋体" w:cs="宋体"/>
                <w:szCs w:val="21"/>
              </w:rPr>
            </w:pPr>
            <w:r>
              <w:rPr>
                <w:rFonts w:hint="eastAsia" w:ascii="宋体" w:hAnsi="宋体" w:eastAsia="宋体" w:cs="宋体"/>
                <w:szCs w:val="21"/>
              </w:rPr>
              <w:t>1、各提供四个角度的三维立体效果图；</w:t>
            </w:r>
          </w:p>
          <w:p w14:paraId="0FC3304B">
            <w:pPr>
              <w:widowControl/>
              <w:wordWrap w:val="0"/>
              <w:jc w:val="left"/>
              <w:textAlignment w:val="top"/>
              <w:rPr>
                <w:rFonts w:hint="eastAsia" w:ascii="宋体" w:hAnsi="宋体" w:eastAsia="宋体" w:cs="宋体"/>
                <w:szCs w:val="21"/>
              </w:rPr>
            </w:pPr>
            <w:r>
              <w:rPr>
                <w:rFonts w:hint="eastAsia" w:ascii="宋体" w:hAnsi="宋体" w:eastAsia="宋体" w:cs="宋体"/>
                <w:szCs w:val="21"/>
              </w:rPr>
              <w:t>2、各提供符合空间尺寸的布局图；</w:t>
            </w:r>
          </w:p>
          <w:p w14:paraId="3EE2945D">
            <w:pPr>
              <w:widowControl/>
              <w:wordWrap w:val="0"/>
              <w:jc w:val="left"/>
              <w:textAlignment w:val="top"/>
              <w:rPr>
                <w:rFonts w:hint="eastAsia" w:ascii="宋体" w:hAnsi="宋体" w:eastAsia="宋体" w:cs="宋体"/>
                <w:szCs w:val="21"/>
              </w:rPr>
            </w:pPr>
            <w:r>
              <w:rPr>
                <w:rFonts w:hint="eastAsia" w:ascii="宋体" w:hAnsi="宋体" w:eastAsia="宋体" w:cs="宋体"/>
                <w:szCs w:val="21"/>
              </w:rPr>
              <w:t>3、要体现区域功能区分。</w:t>
            </w:r>
          </w:p>
          <w:p w14:paraId="7C4560F7">
            <w:pPr>
              <w:widowControl/>
              <w:wordWrap w:val="0"/>
              <w:jc w:val="left"/>
              <w:textAlignment w:val="top"/>
              <w:rPr>
                <w:rFonts w:hint="eastAsia" w:ascii="宋体" w:hAnsi="宋体" w:eastAsia="宋体" w:cs="宋体"/>
                <w:szCs w:val="21"/>
              </w:rPr>
            </w:pPr>
            <w:r>
              <w:rPr>
                <w:rFonts w:hint="eastAsia" w:ascii="宋体" w:hAnsi="宋体" w:eastAsia="宋体" w:cs="宋体"/>
                <w:szCs w:val="21"/>
              </w:rPr>
              <w:t>评审委员会根据投标人提供符合要求的效果图进行分档评分：</w:t>
            </w:r>
          </w:p>
          <w:p w14:paraId="4B3E833D">
            <w:pPr>
              <w:widowControl/>
              <w:wordWrap w:val="0"/>
              <w:jc w:val="left"/>
              <w:textAlignment w:val="top"/>
              <w:rPr>
                <w:rFonts w:hint="eastAsia" w:ascii="宋体" w:hAnsi="宋体" w:eastAsia="宋体" w:cs="宋体"/>
                <w:szCs w:val="21"/>
              </w:rPr>
            </w:pPr>
            <w:r>
              <w:rPr>
                <w:rFonts w:hint="eastAsia" w:ascii="宋体" w:hAnsi="宋体" w:eastAsia="宋体" w:cs="宋体"/>
                <w:szCs w:val="21"/>
              </w:rPr>
              <w:t>1、投标人提供符合以上三个要求的三维立体效果图和布局图，且效果图和布局图契合校园文化的评审为优，得100分；</w:t>
            </w:r>
          </w:p>
          <w:p w14:paraId="25FF2D5C">
            <w:pPr>
              <w:widowControl/>
              <w:wordWrap w:val="0"/>
              <w:jc w:val="left"/>
              <w:textAlignment w:val="top"/>
              <w:rPr>
                <w:rFonts w:hint="eastAsia" w:ascii="宋体" w:hAnsi="宋体" w:eastAsia="宋体" w:cs="宋体"/>
                <w:szCs w:val="21"/>
              </w:rPr>
            </w:pPr>
            <w:r>
              <w:rPr>
                <w:rFonts w:hint="eastAsia" w:ascii="宋体" w:hAnsi="宋体" w:eastAsia="宋体" w:cs="宋体"/>
                <w:szCs w:val="21"/>
              </w:rPr>
              <w:t>2、投标人提供符合以上两个要求的三维立体效果图和布局图，且效果图和布局图较为契合校园文化的评审为良，得60分；</w:t>
            </w:r>
          </w:p>
          <w:p w14:paraId="422042CE">
            <w:pPr>
              <w:widowControl/>
              <w:wordWrap w:val="0"/>
              <w:jc w:val="left"/>
              <w:textAlignment w:val="top"/>
              <w:rPr>
                <w:rFonts w:hint="eastAsia" w:ascii="宋体" w:hAnsi="宋体" w:eastAsia="宋体" w:cs="宋体"/>
                <w:szCs w:val="21"/>
              </w:rPr>
            </w:pPr>
            <w:r>
              <w:rPr>
                <w:rFonts w:hint="eastAsia" w:ascii="宋体" w:hAnsi="宋体" w:eastAsia="宋体" w:cs="宋体"/>
                <w:szCs w:val="21"/>
              </w:rPr>
              <w:t>3、投标人提供符合以上任意一个要求的三维立体效果图和布局图，且效果图和布局图与校园文化契合度一般评审为中，得20分；</w:t>
            </w:r>
          </w:p>
          <w:p w14:paraId="76ADAFE3">
            <w:pPr>
              <w:rPr>
                <w:rFonts w:hint="eastAsia" w:ascii="宋体" w:hAnsi="宋体" w:eastAsia="宋体" w:cs="宋体"/>
                <w:szCs w:val="21"/>
              </w:rPr>
            </w:pPr>
            <w:r>
              <w:rPr>
                <w:rFonts w:hint="eastAsia" w:ascii="宋体" w:hAnsi="宋体" w:eastAsia="宋体" w:cs="宋体"/>
                <w:szCs w:val="21"/>
              </w:rPr>
              <w:t>4、投标人未提供材料或未按要求提供或提供的材料不能证明相关情况的或提供不清晰导致专家无法判断的，评审为差，得0分。</w:t>
            </w:r>
          </w:p>
        </w:tc>
      </w:tr>
      <w:tr w14:paraId="3AA6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20" w:type="dxa"/>
            <w:left w:w="108" w:type="dxa"/>
            <w:bottom w:w="20" w:type="dxa"/>
            <w:right w:w="108" w:type="dxa"/>
          </w:tblCellMar>
        </w:tblPrEx>
        <w:trPr>
          <w:jc w:val="center"/>
        </w:trPr>
        <w:tc>
          <w:tcPr>
            <w:tcW w:w="599" w:type="dxa"/>
            <w:vMerge w:val="restart"/>
            <w:shd w:val="clear" w:color="auto" w:fill="FFFFFF" w:themeFill="background1"/>
          </w:tcPr>
          <w:p w14:paraId="4C120086">
            <w:pPr>
              <w:snapToGrid w:val="0"/>
              <w:jc w:val="center"/>
              <w:rPr>
                <w:rFonts w:hint="eastAsia" w:ascii="宋体" w:hAnsi="宋体" w:eastAsia="宋体" w:cs="宋体"/>
                <w:b/>
                <w:bCs/>
                <w:szCs w:val="21"/>
              </w:rPr>
            </w:pPr>
            <w:r>
              <w:rPr>
                <w:rFonts w:hint="eastAsia" w:ascii="宋体" w:hAnsi="宋体" w:eastAsia="宋体" w:cs="宋体"/>
                <w:b/>
                <w:bCs/>
                <w:szCs w:val="21"/>
              </w:rPr>
              <w:t>4</w:t>
            </w:r>
          </w:p>
        </w:tc>
        <w:tc>
          <w:tcPr>
            <w:tcW w:w="3112" w:type="dxa"/>
            <w:gridSpan w:val="3"/>
            <w:shd w:val="clear" w:color="auto" w:fill="FFFFFF" w:themeFill="background1"/>
          </w:tcPr>
          <w:p w14:paraId="40994EBE">
            <w:pPr>
              <w:snapToGrid w:val="0"/>
              <w:jc w:val="center"/>
              <w:rPr>
                <w:rFonts w:hint="eastAsia" w:ascii="宋体" w:hAnsi="宋体" w:eastAsia="宋体" w:cs="宋体"/>
                <w:b/>
                <w:bCs/>
                <w:szCs w:val="21"/>
              </w:rPr>
            </w:pPr>
            <w:r>
              <w:rPr>
                <w:rFonts w:hint="eastAsia" w:ascii="宋体" w:hAnsi="宋体" w:eastAsia="宋体" w:cs="宋体"/>
                <w:b/>
                <w:bCs/>
                <w:szCs w:val="21"/>
              </w:rPr>
              <w:t>其他部分</w:t>
            </w:r>
          </w:p>
        </w:tc>
        <w:tc>
          <w:tcPr>
            <w:tcW w:w="5361" w:type="dxa"/>
            <w:shd w:val="clear" w:color="auto" w:fill="FFFFFF" w:themeFill="background1"/>
          </w:tcPr>
          <w:p w14:paraId="63D94E34">
            <w:pPr>
              <w:snapToGrid w:val="0"/>
              <w:jc w:val="center"/>
              <w:rPr>
                <w:rFonts w:hint="eastAsia" w:ascii="宋体" w:hAnsi="宋体" w:eastAsia="宋体" w:cs="宋体"/>
                <w:b/>
                <w:bCs/>
                <w:szCs w:val="21"/>
              </w:rPr>
            </w:pPr>
            <w:r>
              <w:rPr>
                <w:rFonts w:hint="eastAsia" w:ascii="宋体" w:hAnsi="宋体" w:eastAsia="宋体" w:cs="宋体"/>
                <w:b/>
                <w:bCs/>
                <w:szCs w:val="21"/>
              </w:rPr>
              <w:t>5</w:t>
            </w:r>
          </w:p>
        </w:tc>
      </w:tr>
      <w:tr w14:paraId="5071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20" w:type="dxa"/>
            <w:left w:w="108" w:type="dxa"/>
            <w:bottom w:w="20" w:type="dxa"/>
            <w:right w:w="108" w:type="dxa"/>
          </w:tblCellMar>
        </w:tblPrEx>
        <w:trPr>
          <w:jc w:val="center"/>
        </w:trPr>
        <w:tc>
          <w:tcPr>
            <w:tcW w:w="599" w:type="dxa"/>
            <w:vMerge w:val="continue"/>
            <w:shd w:val="clear" w:color="auto" w:fill="FFFFFF" w:themeFill="background1"/>
            <w:vAlign w:val="center"/>
          </w:tcPr>
          <w:p w14:paraId="6E8AE1D9">
            <w:pPr>
              <w:snapToGrid w:val="0"/>
              <w:rPr>
                <w:rFonts w:hint="eastAsia" w:ascii="宋体" w:hAnsi="宋体" w:eastAsia="宋体" w:cs="宋体"/>
                <w:b/>
                <w:bCs/>
                <w:szCs w:val="21"/>
              </w:rPr>
            </w:pPr>
          </w:p>
        </w:tc>
        <w:tc>
          <w:tcPr>
            <w:tcW w:w="643" w:type="dxa"/>
            <w:shd w:val="clear" w:color="auto" w:fill="FFFFFF" w:themeFill="background1"/>
            <w:vAlign w:val="center"/>
          </w:tcPr>
          <w:p w14:paraId="66C24682">
            <w:pPr>
              <w:snapToGrid w:val="0"/>
              <w:jc w:val="center"/>
              <w:rPr>
                <w:rFonts w:hint="eastAsia" w:ascii="宋体" w:hAnsi="宋体" w:eastAsia="宋体" w:cs="宋体"/>
                <w:szCs w:val="21"/>
              </w:rPr>
            </w:pPr>
            <w:r>
              <w:rPr>
                <w:rFonts w:hint="eastAsia" w:ascii="宋体" w:hAnsi="宋体" w:eastAsia="宋体" w:cs="宋体"/>
                <w:szCs w:val="21"/>
              </w:rPr>
              <w:t>序号</w:t>
            </w:r>
          </w:p>
        </w:tc>
        <w:tc>
          <w:tcPr>
            <w:tcW w:w="1488" w:type="dxa"/>
            <w:shd w:val="clear" w:color="auto" w:fill="FFFFFF" w:themeFill="background1"/>
            <w:vAlign w:val="center"/>
          </w:tcPr>
          <w:p w14:paraId="7C8198F3">
            <w:pPr>
              <w:snapToGrid w:val="0"/>
              <w:jc w:val="center"/>
              <w:rPr>
                <w:rFonts w:hint="eastAsia" w:ascii="宋体" w:hAnsi="宋体" w:eastAsia="宋体" w:cs="宋体"/>
                <w:szCs w:val="21"/>
              </w:rPr>
            </w:pPr>
            <w:r>
              <w:rPr>
                <w:rFonts w:hint="eastAsia" w:ascii="宋体" w:hAnsi="宋体" w:eastAsia="宋体" w:cs="宋体"/>
                <w:szCs w:val="21"/>
              </w:rPr>
              <w:t>评分因素</w:t>
            </w:r>
          </w:p>
        </w:tc>
        <w:tc>
          <w:tcPr>
            <w:tcW w:w="981" w:type="dxa"/>
            <w:shd w:val="clear" w:color="auto" w:fill="FFFFFF" w:themeFill="background1"/>
            <w:vAlign w:val="center"/>
          </w:tcPr>
          <w:p w14:paraId="19CE08A1">
            <w:pPr>
              <w:snapToGrid w:val="0"/>
              <w:jc w:val="center"/>
              <w:rPr>
                <w:rFonts w:hint="eastAsia" w:ascii="宋体" w:hAnsi="宋体" w:eastAsia="宋体" w:cs="宋体"/>
                <w:szCs w:val="21"/>
              </w:rPr>
            </w:pPr>
            <w:r>
              <w:rPr>
                <w:rFonts w:hint="eastAsia" w:ascii="宋体" w:hAnsi="宋体" w:eastAsia="宋体" w:cs="宋体"/>
                <w:szCs w:val="21"/>
              </w:rPr>
              <w:t>权重</w:t>
            </w:r>
            <w:r>
              <w:rPr>
                <w:rFonts w:hint="eastAsia" w:ascii="宋体" w:hAnsi="宋体" w:eastAsia="宋体" w:cs="宋体"/>
                <w:bCs/>
                <w:szCs w:val="21"/>
              </w:rPr>
              <w:t>（%）</w:t>
            </w:r>
          </w:p>
        </w:tc>
        <w:tc>
          <w:tcPr>
            <w:tcW w:w="5361" w:type="dxa"/>
            <w:shd w:val="clear" w:color="auto" w:fill="FFFFFF" w:themeFill="background1"/>
            <w:vAlign w:val="center"/>
          </w:tcPr>
          <w:p w14:paraId="4F5170A8">
            <w:pPr>
              <w:snapToGrid w:val="0"/>
              <w:jc w:val="center"/>
              <w:rPr>
                <w:rFonts w:hint="eastAsia" w:ascii="宋体" w:hAnsi="宋体" w:eastAsia="宋体" w:cs="宋体"/>
                <w:szCs w:val="21"/>
              </w:rPr>
            </w:pPr>
            <w:r>
              <w:rPr>
                <w:rFonts w:hint="eastAsia" w:ascii="宋体" w:hAnsi="宋体" w:eastAsia="宋体" w:cs="宋体"/>
                <w:szCs w:val="21"/>
              </w:rPr>
              <w:t>评分准则</w:t>
            </w:r>
          </w:p>
        </w:tc>
      </w:tr>
      <w:tr w14:paraId="711A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20" w:type="dxa"/>
            <w:left w:w="108" w:type="dxa"/>
            <w:bottom w:w="20" w:type="dxa"/>
            <w:right w:w="108" w:type="dxa"/>
          </w:tblCellMar>
        </w:tblPrEx>
        <w:trPr>
          <w:jc w:val="center"/>
        </w:trPr>
        <w:tc>
          <w:tcPr>
            <w:tcW w:w="599" w:type="dxa"/>
            <w:vMerge w:val="continue"/>
            <w:shd w:val="clear" w:color="auto" w:fill="FFFFFF" w:themeFill="background1"/>
            <w:vAlign w:val="center"/>
          </w:tcPr>
          <w:p w14:paraId="2FCF3CCC">
            <w:pPr>
              <w:snapToGrid w:val="0"/>
              <w:rPr>
                <w:rFonts w:hint="eastAsia" w:ascii="宋体" w:hAnsi="宋体" w:eastAsia="宋体" w:cs="宋体"/>
                <w:b/>
                <w:bCs/>
                <w:szCs w:val="21"/>
              </w:rPr>
            </w:pPr>
          </w:p>
        </w:tc>
        <w:tc>
          <w:tcPr>
            <w:tcW w:w="643" w:type="dxa"/>
            <w:shd w:val="clear" w:color="auto" w:fill="FFFFFF" w:themeFill="background1"/>
            <w:vAlign w:val="center"/>
          </w:tcPr>
          <w:p w14:paraId="54CBA7B9">
            <w:pPr>
              <w:snapToGrid w:val="0"/>
              <w:jc w:val="center"/>
              <w:rPr>
                <w:rFonts w:hint="eastAsia" w:ascii="宋体" w:hAnsi="宋体" w:eastAsia="宋体" w:cs="宋体"/>
                <w:szCs w:val="21"/>
              </w:rPr>
            </w:pPr>
            <w:r>
              <w:rPr>
                <w:rFonts w:hint="eastAsia" w:ascii="宋体" w:hAnsi="宋体" w:eastAsia="宋体" w:cs="宋体"/>
                <w:szCs w:val="21"/>
              </w:rPr>
              <w:t>1</w:t>
            </w:r>
          </w:p>
        </w:tc>
        <w:tc>
          <w:tcPr>
            <w:tcW w:w="1488" w:type="dxa"/>
            <w:shd w:val="clear" w:color="auto" w:fill="FFFFFF" w:themeFill="background1"/>
            <w:vAlign w:val="center"/>
          </w:tcPr>
          <w:p w14:paraId="078E0918">
            <w:pPr>
              <w:snapToGrid w:val="0"/>
              <w:jc w:val="center"/>
              <w:rPr>
                <w:rFonts w:hint="eastAsia" w:ascii="宋体" w:hAnsi="宋体" w:eastAsia="宋体" w:cs="宋体"/>
                <w:szCs w:val="21"/>
              </w:rPr>
            </w:pPr>
            <w:r>
              <w:rPr>
                <w:rFonts w:hint="eastAsia" w:ascii="宋体" w:hAnsi="宋体" w:eastAsia="宋体" w:cs="宋体"/>
                <w:szCs w:val="21"/>
              </w:rPr>
              <w:t>诚信情况</w:t>
            </w:r>
          </w:p>
        </w:tc>
        <w:tc>
          <w:tcPr>
            <w:tcW w:w="981" w:type="dxa"/>
            <w:shd w:val="clear" w:color="auto" w:fill="FFFFFF" w:themeFill="background1"/>
            <w:vAlign w:val="center"/>
          </w:tcPr>
          <w:p w14:paraId="481CADF8">
            <w:pPr>
              <w:snapToGrid w:val="0"/>
              <w:jc w:val="center"/>
              <w:rPr>
                <w:rFonts w:hint="eastAsia" w:ascii="宋体" w:hAnsi="宋体" w:eastAsia="宋体" w:cs="宋体"/>
                <w:szCs w:val="21"/>
              </w:rPr>
            </w:pPr>
            <w:r>
              <w:rPr>
                <w:rFonts w:hint="eastAsia" w:ascii="宋体" w:hAnsi="宋体" w:eastAsia="宋体" w:cs="宋体"/>
                <w:szCs w:val="21"/>
              </w:rPr>
              <w:t>5</w:t>
            </w:r>
          </w:p>
        </w:tc>
        <w:tc>
          <w:tcPr>
            <w:tcW w:w="5361" w:type="dxa"/>
            <w:shd w:val="clear" w:color="auto" w:fill="FFFFFF" w:themeFill="background1"/>
          </w:tcPr>
          <w:p w14:paraId="7E542FC8">
            <w:pPr>
              <w:pStyle w:val="9"/>
              <w:wordWrap w:val="0"/>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投标人存在《深圳市财政局政府采购供应商信用信息管理办法》（深财规〔2023〕3号）列明的一般行政处罚信息、一般违法失信记录信息的，本项不得分，不存在上述情形的本项得100分。</w:t>
            </w:r>
          </w:p>
          <w:p w14:paraId="49D30A0C">
            <w:pPr>
              <w:pStyle w:val="9"/>
              <w:wordWrap w:val="0"/>
              <w:spacing w:line="240" w:lineRule="auto"/>
              <w:rPr>
                <w:rFonts w:hint="eastAsia" w:ascii="宋体" w:hAnsi="宋体" w:eastAsia="宋体" w:cs="宋体"/>
                <w:sz w:val="21"/>
                <w:szCs w:val="21"/>
              </w:rPr>
            </w:pPr>
            <w:r>
              <w:rPr>
                <w:rFonts w:hint="eastAsia" w:ascii="宋体" w:hAnsi="宋体" w:eastAsia="宋体" w:cs="宋体"/>
                <w:b w:val="0"/>
                <w:bCs w:val="0"/>
                <w:sz w:val="21"/>
                <w:szCs w:val="21"/>
              </w:rPr>
              <w:t>投标人无需提供任何证明材料，评标过程中由工作人员向评审委员会提供有关供应商诚信查询结果。查询渠道：通过“信用中国”（www.creditchina.gov.cn，下载信用信息报告）、“中国政府采购网”（www.ccgp.gov.cn）以及“深圳市政府采购监管网”（http://zfcg.sz.gov.cn）查询供应商信用信息，信用信息以开标当日的查询结果为准。</w:t>
            </w:r>
          </w:p>
        </w:tc>
      </w:tr>
    </w:tbl>
    <w:p w14:paraId="734FD8B4"/>
    <w:p w14:paraId="61AA4FD2">
      <w:pPr>
        <w:rPr>
          <w:b/>
          <w:sz w:val="120"/>
          <w:szCs w:val="120"/>
        </w:rPr>
      </w:pPr>
      <w:r>
        <w:rPr>
          <w:rFonts w:hint="eastAsia"/>
          <w:b/>
          <w:sz w:val="120"/>
          <w:szCs w:val="120"/>
        </w:rPr>
        <w:br w:type="page"/>
      </w:r>
    </w:p>
    <w:p w14:paraId="787002DF">
      <w:pPr>
        <w:jc w:val="center"/>
        <w:rPr>
          <w:b/>
          <w:sz w:val="120"/>
          <w:szCs w:val="120"/>
        </w:rPr>
      </w:pPr>
    </w:p>
    <w:p w14:paraId="51F1AD5F">
      <w:pPr>
        <w:jc w:val="center"/>
        <w:rPr>
          <w:b/>
          <w:sz w:val="120"/>
          <w:szCs w:val="120"/>
        </w:rPr>
      </w:pPr>
      <w:r>
        <w:rPr>
          <w:rFonts w:hint="eastAsia"/>
          <w:b/>
          <w:sz w:val="120"/>
          <w:szCs w:val="120"/>
        </w:rPr>
        <w:t>自行采购</w:t>
      </w:r>
    </w:p>
    <w:p w14:paraId="1037F17D">
      <w:pPr>
        <w:jc w:val="center"/>
        <w:rPr>
          <w:b/>
          <w:sz w:val="120"/>
          <w:szCs w:val="120"/>
        </w:rPr>
      </w:pPr>
      <w:r>
        <w:rPr>
          <w:rFonts w:hint="eastAsia"/>
          <w:b/>
          <w:sz w:val="120"/>
          <w:szCs w:val="120"/>
        </w:rPr>
        <w:t>招标文件</w:t>
      </w:r>
    </w:p>
    <w:p w14:paraId="5A1F545D">
      <w:pPr>
        <w:jc w:val="center"/>
        <w:rPr>
          <w:b/>
          <w:sz w:val="52"/>
          <w:szCs w:val="52"/>
        </w:rPr>
      </w:pPr>
      <w:r>
        <w:rPr>
          <w:rFonts w:hint="eastAsia"/>
          <w:b/>
          <w:sz w:val="52"/>
          <w:szCs w:val="52"/>
        </w:rPr>
        <w:t>（货物类）</w:t>
      </w:r>
    </w:p>
    <w:p w14:paraId="4CC05940"/>
    <w:p w14:paraId="75BEEC25"/>
    <w:p w14:paraId="580A0326"/>
    <w:p w14:paraId="1B3DCDF0"/>
    <w:p w14:paraId="2AD7BB71"/>
    <w:p w14:paraId="66E1CC5F"/>
    <w:p w14:paraId="5BDFECE8"/>
    <w:p w14:paraId="1AD9E869"/>
    <w:p w14:paraId="03E03D58"/>
    <w:p w14:paraId="69D46EF2"/>
    <w:p w14:paraId="55DBFC9C"/>
    <w:p w14:paraId="3D590F77"/>
    <w:p w14:paraId="4579EB23">
      <w:pPr>
        <w:jc w:val="center"/>
        <w:rPr>
          <w:b/>
          <w:sz w:val="44"/>
          <w:szCs w:val="44"/>
        </w:rPr>
      </w:pPr>
      <w:r>
        <w:rPr>
          <w:rFonts w:hint="eastAsia" w:ascii="宋体" w:hAnsi="宋体"/>
          <w:b/>
          <w:sz w:val="44"/>
          <w:szCs w:val="44"/>
        </w:rPr>
        <w:t>深圳公共资源交易中心</w:t>
      </w:r>
    </w:p>
    <w:p w14:paraId="29AF76C3">
      <w:pPr>
        <w:jc w:val="center"/>
        <w:rPr>
          <w:b/>
          <w:sz w:val="44"/>
          <w:szCs w:val="44"/>
        </w:rPr>
      </w:pPr>
      <w:r>
        <w:rPr>
          <w:rFonts w:hint="eastAsia" w:ascii="宋体" w:hAnsi="宋体"/>
          <w:b/>
          <w:sz w:val="44"/>
          <w:szCs w:val="44"/>
        </w:rPr>
        <w:t>（</w:t>
      </w:r>
      <w:r>
        <w:rPr>
          <w:b/>
          <w:sz w:val="44"/>
          <w:szCs w:val="44"/>
        </w:rPr>
        <w:t>20</w:t>
      </w:r>
      <w:r>
        <w:rPr>
          <w:rFonts w:hint="eastAsia"/>
          <w:b/>
          <w:sz w:val="44"/>
          <w:szCs w:val="44"/>
        </w:rPr>
        <w:t>24</w:t>
      </w:r>
      <w:r>
        <w:rPr>
          <w:rFonts w:hint="eastAsia" w:ascii="宋体" w:hAnsi="宋体"/>
          <w:b/>
          <w:sz w:val="44"/>
          <w:szCs w:val="44"/>
        </w:rPr>
        <w:t>）</w:t>
      </w:r>
    </w:p>
    <w:p w14:paraId="7B838428">
      <w:pPr>
        <w:ind w:firstLine="6786" w:firstLineChars="1300"/>
        <w:jc w:val="center"/>
        <w:rPr>
          <w:bCs/>
          <w:color w:val="FF0000"/>
        </w:rPr>
      </w:pPr>
      <w:r>
        <w:rPr>
          <w:rFonts w:hint="eastAsia"/>
          <w:b/>
          <w:color w:val="FF0000"/>
          <w:sz w:val="52"/>
          <w:szCs w:val="52"/>
        </w:rPr>
        <w:br w:type="page"/>
      </w:r>
    </w:p>
    <w:p w14:paraId="1B045E8D">
      <w:pPr>
        <w:spacing w:line="276" w:lineRule="auto"/>
        <w:ind w:firstLine="3654" w:firstLineChars="1300"/>
        <w:rPr>
          <w:rFonts w:hint="eastAsia" w:ascii="宋体" w:hAnsi="宋体"/>
          <w:color w:val="FF0000"/>
          <w:szCs w:val="21"/>
        </w:rPr>
      </w:pPr>
      <w:bookmarkStart w:id="1" w:name="_Hlk73564573"/>
      <w:r>
        <w:rPr>
          <w:rFonts w:hint="eastAsia" w:ascii="宋体" w:hAnsi="宋体" w:eastAsia="黑体"/>
          <w:b/>
          <w:bCs/>
          <w:color w:val="FF0000"/>
          <w:kern w:val="44"/>
          <w:sz w:val="28"/>
          <w:szCs w:val="44"/>
        </w:rPr>
        <w:t>警示条款</w:t>
      </w:r>
    </w:p>
    <w:p w14:paraId="0D8C2893">
      <w:pPr>
        <w:spacing w:line="276" w:lineRule="auto"/>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50173EE4">
      <w:pPr>
        <w:spacing w:line="276" w:lineRule="auto"/>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14:paraId="69189D65">
      <w:pPr>
        <w:spacing w:line="276" w:lineRule="auto"/>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14:paraId="42C6814C">
      <w:pPr>
        <w:spacing w:line="276" w:lineRule="auto"/>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14:paraId="60AC7729">
      <w:pPr>
        <w:spacing w:line="276" w:lineRule="auto"/>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14:paraId="448577F8">
      <w:pPr>
        <w:spacing w:line="276" w:lineRule="auto"/>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14:paraId="48BC8763">
      <w:pPr>
        <w:spacing w:line="276" w:lineRule="auto"/>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14:paraId="26028672">
      <w:pPr>
        <w:spacing w:line="276" w:lineRule="auto"/>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14:paraId="5A881B8D">
      <w:pPr>
        <w:spacing w:line="276" w:lineRule="auto"/>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14:paraId="64802484">
      <w:pPr>
        <w:spacing w:line="276" w:lineRule="auto"/>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5E8777B4">
      <w:pPr>
        <w:spacing w:line="276" w:lineRule="auto"/>
        <w:ind w:firstLine="402" w:firstLineChars="200"/>
        <w:rPr>
          <w:rFonts w:hint="eastAsia"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6B291E46">
      <w:pPr>
        <w:spacing w:line="276" w:lineRule="auto"/>
        <w:ind w:firstLine="402" w:firstLineChars="200"/>
        <w:rPr>
          <w:rFonts w:hint="eastAsia"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74D7782C">
      <w:pPr>
        <w:spacing w:line="276" w:lineRule="auto"/>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bookmarkEnd w:id="1"/>
    <w:p w14:paraId="6E061327">
      <w:pPr>
        <w:spacing w:line="276" w:lineRule="auto"/>
        <w:ind w:firstLine="402" w:firstLineChars="200"/>
        <w:jc w:val="left"/>
        <w:rPr>
          <w:rFonts w:hint="eastAsia" w:ascii="宋体" w:hAnsi="宋体"/>
          <w:color w:val="FF0000"/>
          <w:sz w:val="20"/>
          <w:szCs w:val="20"/>
        </w:rPr>
      </w:pPr>
      <w:r>
        <w:rPr>
          <w:rFonts w:hint="eastAsia" w:ascii="宋体" w:hAnsi="宋体"/>
          <w:b/>
          <w:bCs/>
          <w:color w:val="FF0000"/>
          <w:sz w:val="20"/>
          <w:szCs w:val="20"/>
        </w:rPr>
        <w:t>四、请投标供应商阅读《政府采购违法行为风险知悉确认书》（内容详见“投标文件附件”），并经各投标供应商负责人或投标授权代表签字并加盖单位公章后，扫描上传至投标文件一并提交。注：该风险知悉确认书用于对供应商违法行为的警示，不作为供应商资格性审查及符合性审查条件。</w:t>
      </w:r>
    </w:p>
    <w:p w14:paraId="7727A58D">
      <w:pPr>
        <w:snapToGrid w:val="0"/>
        <w:spacing w:line="360" w:lineRule="exact"/>
        <w:jc w:val="left"/>
        <w:rPr>
          <w:rFonts w:hint="eastAsia" w:ascii="宋体" w:hAnsi="宋体" w:eastAsia="宋体" w:cs="宋体"/>
          <w:color w:val="000000"/>
          <w:kern w:val="0"/>
          <w:sz w:val="24"/>
          <w:szCs w:val="24"/>
        </w:rPr>
      </w:pPr>
    </w:p>
    <w:p w14:paraId="3C326020">
      <w:pPr>
        <w:snapToGrid w:val="0"/>
        <w:spacing w:line="360" w:lineRule="exact"/>
        <w:jc w:val="left"/>
        <w:rPr>
          <w:rFonts w:hint="eastAsia" w:ascii="宋体" w:hAnsi="宋体" w:eastAsia="宋体" w:cs="宋体"/>
          <w:color w:val="000000"/>
          <w:kern w:val="0"/>
          <w:sz w:val="24"/>
          <w:szCs w:val="24"/>
        </w:rPr>
      </w:pPr>
    </w:p>
    <w:p w14:paraId="460FB3F4">
      <w:pPr>
        <w:snapToGrid w:val="0"/>
        <w:spacing w:line="360" w:lineRule="exact"/>
        <w:jc w:val="left"/>
        <w:rPr>
          <w:rFonts w:ascii="宋体" w:hAnsi="宋体" w:eastAsia="宋体" w:cs="宋体"/>
          <w:color w:val="000000"/>
          <w:kern w:val="0"/>
          <w:sz w:val="24"/>
          <w:szCs w:val="24"/>
        </w:rPr>
      </w:pPr>
    </w:p>
    <w:p w14:paraId="663EC382">
      <w:pPr>
        <w:snapToGrid w:val="0"/>
        <w:spacing w:line="360" w:lineRule="exact"/>
        <w:jc w:val="left"/>
        <w:rPr>
          <w:rFonts w:ascii="宋体" w:hAnsi="宋体" w:eastAsia="宋体" w:cs="宋体"/>
          <w:color w:val="000000"/>
          <w:kern w:val="0"/>
          <w:sz w:val="24"/>
          <w:szCs w:val="24"/>
        </w:rPr>
      </w:pPr>
    </w:p>
    <w:p w14:paraId="456A56B6">
      <w:pPr>
        <w:snapToGrid w:val="0"/>
        <w:spacing w:line="360" w:lineRule="exact"/>
        <w:jc w:val="left"/>
        <w:rPr>
          <w:rFonts w:hint="eastAsia" w:ascii="宋体" w:hAnsi="宋体" w:eastAsia="宋体" w:cs="宋体"/>
          <w:color w:val="000000"/>
          <w:kern w:val="0"/>
          <w:sz w:val="24"/>
          <w:szCs w:val="24"/>
        </w:rPr>
      </w:pPr>
    </w:p>
    <w:p w14:paraId="6941E27E">
      <w:pPr>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14:paraId="06D35363">
      <w:pPr>
        <w:rPr>
          <w:b/>
          <w:sz w:val="24"/>
          <w:szCs w:val="24"/>
        </w:rPr>
      </w:pPr>
      <w:r>
        <w:rPr>
          <w:rFonts w:hint="eastAsia"/>
          <w:b/>
          <w:sz w:val="24"/>
          <w:szCs w:val="24"/>
        </w:rPr>
        <w:t>第一册  专用条款</w:t>
      </w:r>
    </w:p>
    <w:p w14:paraId="239D5058">
      <w:pPr>
        <w:ind w:left="630" w:leftChars="300" w:firstLine="411" w:firstLineChars="196"/>
        <w:rPr>
          <w:rFonts w:hint="eastAsia" w:ascii="宋体" w:hAnsi="宋体"/>
          <w:szCs w:val="21"/>
        </w:rPr>
      </w:pPr>
      <w:r>
        <w:rPr>
          <w:rFonts w:hint="eastAsia" w:ascii="宋体" w:hAnsi="宋体"/>
          <w:szCs w:val="21"/>
        </w:rPr>
        <w:tab/>
      </w:r>
      <w:r>
        <w:rPr>
          <w:rFonts w:hint="eastAsia" w:ascii="宋体" w:hAnsi="宋体"/>
          <w:szCs w:val="21"/>
        </w:rPr>
        <w:t>关键信息</w:t>
      </w:r>
    </w:p>
    <w:p w14:paraId="473DCA18">
      <w:pPr>
        <w:ind w:left="630" w:leftChars="300" w:firstLine="411" w:firstLineChars="196"/>
        <w:rPr>
          <w:rFonts w:hint="eastAsia" w:ascii="宋体" w:hAnsi="宋体"/>
          <w:szCs w:val="21"/>
        </w:rPr>
      </w:pPr>
      <w:r>
        <w:rPr>
          <w:rFonts w:hint="eastAsia" w:ascii="宋体" w:hAnsi="宋体"/>
          <w:szCs w:val="21"/>
        </w:rPr>
        <w:t>第一章  招标公告</w:t>
      </w:r>
    </w:p>
    <w:p w14:paraId="436CE36D">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412C00B5">
      <w:pPr>
        <w:ind w:left="630" w:leftChars="300" w:firstLine="411" w:firstLineChars="196"/>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2DD25640">
      <w:pPr>
        <w:ind w:left="630" w:leftChars="300" w:firstLine="411" w:firstLineChars="196"/>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3EEDAD17">
      <w:pPr>
        <w:ind w:left="630" w:leftChars="300" w:firstLine="411" w:firstLineChars="196"/>
        <w:rPr>
          <w:rFonts w:hint="eastAsia" w:ascii="宋体" w:hAnsi="宋体"/>
          <w:szCs w:val="21"/>
        </w:rPr>
      </w:pPr>
      <w:r>
        <w:rPr>
          <w:rFonts w:hint="eastAsia" w:ascii="宋体" w:hAnsi="宋体"/>
          <w:szCs w:val="21"/>
        </w:rPr>
        <w:t>第五章  合同条款及格式</w:t>
      </w:r>
    </w:p>
    <w:p w14:paraId="1CEAAE97">
      <w:pPr>
        <w:rPr>
          <w:b/>
          <w:sz w:val="24"/>
        </w:rPr>
      </w:pPr>
    </w:p>
    <w:p w14:paraId="1B159F5B">
      <w:pPr>
        <w:rPr>
          <w:b/>
          <w:sz w:val="24"/>
          <w:szCs w:val="24"/>
        </w:rPr>
      </w:pPr>
      <w:r>
        <w:rPr>
          <w:rFonts w:hint="eastAsia"/>
          <w:b/>
          <w:sz w:val="24"/>
          <w:szCs w:val="24"/>
        </w:rPr>
        <w:t>第二册  通用条款</w:t>
      </w:r>
    </w:p>
    <w:p w14:paraId="2F5CD5EF">
      <w:pPr>
        <w:ind w:left="630" w:leftChars="300" w:firstLine="411" w:firstLineChars="196"/>
        <w:rPr>
          <w:rFonts w:hint="eastAsia" w:ascii="宋体" w:hAnsi="宋体"/>
          <w:szCs w:val="21"/>
        </w:rPr>
      </w:pPr>
      <w:r>
        <w:rPr>
          <w:rFonts w:hint="eastAsia" w:ascii="宋体" w:hAnsi="宋体"/>
          <w:szCs w:val="21"/>
        </w:rPr>
        <w:t>第一章  总则</w:t>
      </w:r>
    </w:p>
    <w:p w14:paraId="64F7A29D">
      <w:pPr>
        <w:ind w:left="630" w:leftChars="300" w:firstLine="411" w:firstLineChars="196"/>
        <w:rPr>
          <w:rFonts w:hint="eastAsia" w:ascii="宋体" w:hAnsi="宋体"/>
          <w:szCs w:val="21"/>
        </w:rPr>
      </w:pPr>
      <w:r>
        <w:rPr>
          <w:rFonts w:hint="eastAsia" w:ascii="宋体" w:hAnsi="宋体"/>
          <w:szCs w:val="21"/>
        </w:rPr>
        <w:t>第二章  招标文件</w:t>
      </w:r>
    </w:p>
    <w:p w14:paraId="5E1C636C">
      <w:pPr>
        <w:ind w:left="630" w:leftChars="300" w:firstLine="411" w:firstLineChars="196"/>
        <w:rPr>
          <w:rFonts w:hint="eastAsia" w:ascii="宋体" w:hAnsi="宋体"/>
          <w:szCs w:val="21"/>
        </w:rPr>
      </w:pPr>
      <w:r>
        <w:rPr>
          <w:rFonts w:hint="eastAsia" w:ascii="宋体" w:hAnsi="宋体"/>
          <w:szCs w:val="21"/>
        </w:rPr>
        <w:t>第三章  投标文件的编制</w:t>
      </w:r>
    </w:p>
    <w:p w14:paraId="65387673">
      <w:pPr>
        <w:ind w:left="630" w:leftChars="300" w:firstLine="411" w:firstLineChars="196"/>
        <w:rPr>
          <w:rFonts w:hint="eastAsia" w:ascii="宋体" w:hAnsi="宋体"/>
          <w:szCs w:val="21"/>
        </w:rPr>
      </w:pPr>
      <w:r>
        <w:rPr>
          <w:rFonts w:hint="eastAsia" w:ascii="宋体" w:hAnsi="宋体"/>
          <w:szCs w:val="21"/>
        </w:rPr>
        <w:t>第四章  投标文件的递交</w:t>
      </w:r>
    </w:p>
    <w:p w14:paraId="30B5890B">
      <w:pPr>
        <w:ind w:left="630" w:leftChars="300" w:firstLine="411" w:firstLineChars="196"/>
        <w:rPr>
          <w:rFonts w:hint="eastAsia" w:ascii="宋体" w:hAnsi="宋体"/>
          <w:szCs w:val="21"/>
        </w:rPr>
      </w:pPr>
      <w:r>
        <w:rPr>
          <w:rFonts w:hint="eastAsia" w:ascii="宋体" w:hAnsi="宋体"/>
          <w:szCs w:val="21"/>
        </w:rPr>
        <w:t>第五章  开标</w:t>
      </w:r>
    </w:p>
    <w:p w14:paraId="52DDCBAF">
      <w:pPr>
        <w:ind w:left="630" w:leftChars="300" w:firstLine="411" w:firstLineChars="196"/>
        <w:rPr>
          <w:rFonts w:hint="eastAsia" w:ascii="宋体" w:hAnsi="宋体"/>
          <w:szCs w:val="21"/>
        </w:rPr>
      </w:pPr>
      <w:r>
        <w:rPr>
          <w:rFonts w:hint="eastAsia" w:ascii="宋体" w:hAnsi="宋体"/>
          <w:szCs w:val="21"/>
        </w:rPr>
        <w:t>第六章  评审要求</w:t>
      </w:r>
    </w:p>
    <w:p w14:paraId="089F1AB3">
      <w:pPr>
        <w:ind w:left="630" w:leftChars="300" w:firstLine="411" w:firstLineChars="196"/>
        <w:rPr>
          <w:rFonts w:hint="eastAsia" w:ascii="宋体" w:hAnsi="宋体"/>
          <w:szCs w:val="21"/>
        </w:rPr>
      </w:pPr>
      <w:r>
        <w:rPr>
          <w:rFonts w:hint="eastAsia" w:ascii="宋体" w:hAnsi="宋体"/>
          <w:szCs w:val="21"/>
        </w:rPr>
        <w:t>第七章  评审程序及评审方法</w:t>
      </w:r>
    </w:p>
    <w:p w14:paraId="6F36F2A4">
      <w:pPr>
        <w:ind w:left="630" w:leftChars="300" w:firstLine="411" w:firstLineChars="196"/>
        <w:rPr>
          <w:rFonts w:hint="eastAsia" w:ascii="宋体" w:hAnsi="宋体"/>
          <w:szCs w:val="21"/>
        </w:rPr>
      </w:pPr>
      <w:r>
        <w:rPr>
          <w:rFonts w:hint="eastAsia" w:ascii="宋体" w:hAnsi="宋体"/>
          <w:szCs w:val="21"/>
        </w:rPr>
        <w:t>第八章  定标及公示</w:t>
      </w:r>
    </w:p>
    <w:p w14:paraId="784AF4BE">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54480D0E">
      <w:pPr>
        <w:ind w:left="630" w:leftChars="300" w:firstLine="411" w:firstLineChars="196"/>
        <w:rPr>
          <w:rFonts w:hint="eastAsia" w:ascii="宋体" w:hAnsi="宋体"/>
          <w:szCs w:val="21"/>
        </w:rPr>
      </w:pPr>
      <w:r>
        <w:rPr>
          <w:rFonts w:hint="eastAsia" w:ascii="宋体" w:hAnsi="宋体"/>
          <w:szCs w:val="21"/>
        </w:rPr>
        <w:t>第十章  合同的授予与备案</w:t>
      </w:r>
    </w:p>
    <w:p w14:paraId="0695A18C">
      <w:r>
        <w:rPr>
          <w:rFonts w:hint="eastAsia"/>
        </w:rPr>
        <w:t xml:space="preserve">          第十一章  质疑处理</w:t>
      </w:r>
    </w:p>
    <w:p w14:paraId="4C0BA03B"/>
    <w:p w14:paraId="3B189206"/>
    <w:p w14:paraId="5D0A77DC">
      <w:pPr>
        <w:widowControl/>
        <w:jc w:val="left"/>
      </w:pPr>
      <w:r>
        <w:br w:type="page"/>
      </w:r>
    </w:p>
    <w:p w14:paraId="02E03280">
      <w:pPr>
        <w:pStyle w:val="2"/>
        <w:spacing w:after="78"/>
        <w:jc w:val="center"/>
        <w:rPr>
          <w:sz w:val="32"/>
          <w:szCs w:val="32"/>
        </w:rPr>
      </w:pPr>
      <w:r>
        <w:rPr>
          <w:rFonts w:hint="eastAsia"/>
          <w:sz w:val="32"/>
          <w:szCs w:val="32"/>
        </w:rPr>
        <w:t>第一册  专用条款</w:t>
      </w:r>
    </w:p>
    <w:p w14:paraId="07FCA167">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14:paraId="0D3A82E8">
      <w:pPr>
        <w:spacing w:line="360" w:lineRule="auto"/>
        <w:rPr>
          <w:rFonts w:hint="eastAsia" w:ascii="宋体" w:hAnsi="宋体" w:cs="宋体"/>
          <w:b/>
          <w:bCs/>
          <w:kern w:val="0"/>
          <w:szCs w:val="21"/>
        </w:rPr>
      </w:pPr>
      <w:r>
        <w:rPr>
          <w:rFonts w:hint="eastAsia" w:ascii="宋体" w:hAnsi="宋体" w:cs="宋体"/>
          <w:b/>
          <w:bCs/>
          <w:kern w:val="0"/>
          <w:szCs w:val="21"/>
        </w:rPr>
        <w:t>申请人的资格要求：</w:t>
      </w:r>
    </w:p>
    <w:p w14:paraId="079539C9">
      <w:pPr>
        <w:ind w:firstLine="630" w:firstLineChars="300"/>
        <w:rPr>
          <w:rFonts w:hint="eastAsia" w:ascii="宋体" w:hAnsi="宋体" w:eastAsia="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eastAsia="宋体" w:cs="宋体"/>
          <w:szCs w:val="21"/>
        </w:rPr>
        <w:t>具有独立承担民事责任的能力（提供营业执照或事业单位法人证书等证明资料扫描件，原件备查，分公司参与投标的，须提供分公司营业执照、其所属集团（或总公司）等具有独立法人资格的组织</w:t>
      </w:r>
      <w:r>
        <w:rPr>
          <w:rFonts w:hint="eastAsia" w:ascii="宋体" w:hAnsi="宋体" w:cs="宋体"/>
          <w:szCs w:val="21"/>
        </w:rPr>
        <w:t>的营业执照及其</w:t>
      </w:r>
      <w:r>
        <w:rPr>
          <w:rFonts w:hint="eastAsia" w:ascii="宋体" w:hAnsi="宋体" w:eastAsia="宋体" w:cs="宋体"/>
          <w:szCs w:val="21"/>
        </w:rPr>
        <w:t>出具的载明愿为其参与本项目投标的行为以及履约等行为承担民事责任的加盖总公司公章的授权函）</w:t>
      </w:r>
      <w:r>
        <w:rPr>
          <w:rFonts w:hint="eastAsia" w:ascii="宋体" w:hAnsi="宋体" w:cs="宋体"/>
          <w:szCs w:val="21"/>
        </w:rPr>
        <w:t>；</w:t>
      </w:r>
    </w:p>
    <w:p w14:paraId="744B26A8">
      <w:pPr>
        <w:ind w:firstLine="630" w:firstLineChars="300"/>
        <w:rPr>
          <w:rFonts w:hint="eastAsia" w:ascii="宋体" w:hAnsi="宋体" w:eastAsia="宋体" w:cs="宋体"/>
          <w:szCs w:val="21"/>
        </w:rPr>
      </w:pPr>
      <w:r>
        <w:rPr>
          <w:rFonts w:hint="eastAsia" w:ascii="宋体" w:hAnsi="宋体" w:cs="宋体"/>
          <w:kern w:val="0"/>
          <w:szCs w:val="21"/>
        </w:rPr>
        <w:t>2.本项目不接受联合体投标，不接受投标人选用进口产品参与投标；</w:t>
      </w:r>
    </w:p>
    <w:p w14:paraId="38A697AC">
      <w:pPr>
        <w:ind w:firstLine="630" w:firstLineChars="3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6162B723">
      <w:pPr>
        <w:ind w:firstLine="630" w:firstLineChars="300"/>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2149D822">
      <w:pPr>
        <w:ind w:firstLine="630" w:firstLineChars="300"/>
        <w:rPr>
          <w:rFonts w:hint="eastAsia"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2FB3E7A6">
      <w:pPr>
        <w:ind w:firstLine="630" w:firstLineChars="300"/>
        <w:rPr>
          <w:rFonts w:hint="eastAsia" w:ascii="宋体" w:hAnsi="宋体" w:cs="宋体"/>
          <w:kern w:val="0"/>
          <w:szCs w:val="21"/>
        </w:rPr>
      </w:pPr>
      <w:r>
        <w:rPr>
          <w:rFonts w:hint="eastAsia" w:ascii="宋体" w:hAnsi="宋体" w:cs="宋体"/>
          <w:kern w:val="0"/>
          <w:szCs w:val="21"/>
        </w:rPr>
        <w:t>6.不存在《深圳市财政局政府采购供应商信用信息管理办法》（深财规〔2023〕3号）列明的严重违法失信行为（由供应商在《政府采购投标及履约承诺函》中作出声明）；</w:t>
      </w:r>
    </w:p>
    <w:p w14:paraId="5E07A926">
      <w:pPr>
        <w:ind w:firstLine="630" w:firstLineChars="300"/>
        <w:rPr>
          <w:rFonts w:hint="eastAsia"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14:paraId="5375EFEB">
      <w:pPr>
        <w:ind w:firstLine="630" w:firstLineChars="300"/>
        <w:rPr>
          <w:rFonts w:hint="eastAsia" w:ascii="宋体" w:hAnsi="宋体" w:cs="宋体"/>
          <w:kern w:val="0"/>
          <w:szCs w:val="21"/>
          <w:highlight w:val="yellow"/>
        </w:rPr>
      </w:pPr>
      <w:r>
        <w:rPr>
          <w:rFonts w:hint="eastAsia" w:ascii="宋体" w:hAnsi="宋体" w:cs="宋体"/>
          <w:kern w:val="0"/>
          <w:szCs w:val="21"/>
          <w:highlight w:val="yellow"/>
        </w:rPr>
        <w:t>8.本项目专门面向中小企业采购：</w:t>
      </w:r>
      <w:r>
        <w:rPr>
          <w:rFonts w:hint="eastAsia" w:ascii="宋体" w:hAnsi="宋体" w:eastAsia="宋体"/>
          <w:b/>
          <w:bCs/>
          <w:color w:val="FF0000"/>
          <w:szCs w:val="21"/>
          <w:highlight w:val="yellow"/>
        </w:rPr>
        <w:t>投标人提供的货物【以招标文件/用户需求书/货物清单明细的“货物名称（标的名称）”一栏为准】全部由符合政策要求的中小企业制造。本项目采购标的（货物）对应的中小企业划分标准所属行业为工业（由投标人在《中小企业声明函、残疾人福利性单位声明函及监狱企业声明函》中作出声明，未按要求提供声明函或不符合要求的，作投标无效处理）。</w:t>
      </w:r>
    </w:p>
    <w:p w14:paraId="10963CC2">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3B8CE309">
      <w:pPr>
        <w:ind w:firstLine="420" w:firstLineChars="200"/>
        <w:rPr>
          <w:rFonts w:hint="eastAsia" w:ascii="宋体" w:hAnsi="宋体"/>
        </w:rPr>
      </w:pPr>
      <w:r>
        <w:rPr>
          <w:rFonts w:hint="eastAsia" w:ascii="宋体" w:hAnsi="宋体"/>
        </w:rPr>
        <w:t>（2）供应商投标（上传投标文件）必须先行办理注册手续，具体请按照本公告“其他补充事宜</w:t>
      </w:r>
      <w:r>
        <w:rPr>
          <w:rFonts w:ascii="宋体" w:hAnsi="宋体"/>
        </w:rPr>
        <w:t>”</w:t>
      </w:r>
      <w:r>
        <w:rPr>
          <w:rFonts w:hint="eastAsia" w:ascii="宋体" w:hAnsi="宋体"/>
        </w:rPr>
        <w:t>相关内容指引办理。</w:t>
      </w:r>
    </w:p>
    <w:p w14:paraId="335DDA92">
      <w:pPr>
        <w:snapToGrid w:val="0"/>
        <w:spacing w:line="300" w:lineRule="auto"/>
        <w:ind w:firstLine="480" w:firstLineChars="200"/>
        <w:rPr>
          <w:rFonts w:ascii="Arial" w:hAnsi="Arial" w:eastAsia="宋体" w:cs="Times New Roman"/>
          <w:sz w:val="24"/>
          <w:szCs w:val="24"/>
        </w:rPr>
      </w:pPr>
    </w:p>
    <w:p w14:paraId="47919760">
      <w:pPr>
        <w:spacing w:after="78" w:afterLines="25"/>
        <w:jc w:val="center"/>
        <w:rPr>
          <w:b/>
          <w:color w:val="FF0000"/>
          <w:sz w:val="30"/>
          <w:szCs w:val="30"/>
        </w:rPr>
      </w:pPr>
      <w:r>
        <w:rPr>
          <w:rFonts w:hint="eastAsia" w:ascii="Arial" w:hAnsi="Arial" w:eastAsia="宋体" w:cs="Times New Roman"/>
          <w:b/>
          <w:color w:val="FF0000"/>
          <w:sz w:val="30"/>
          <w:szCs w:val="30"/>
        </w:rPr>
        <w:t>完整公告内容以网站公布信息为准，详见：深圳政府采购自行采购系统</w:t>
      </w:r>
      <w:r>
        <w:rPr>
          <w:rFonts w:hint="eastAsia"/>
          <w:b/>
          <w:color w:val="FF0000"/>
          <w:sz w:val="30"/>
          <w:szCs w:val="30"/>
        </w:rPr>
        <w:t>网（https://zxcg.szggzy.com/home/index.html）</w:t>
      </w:r>
    </w:p>
    <w:p w14:paraId="439B8C6C">
      <w:pPr>
        <w:spacing w:after="78" w:afterLines="25"/>
        <w:rPr>
          <w:rFonts w:ascii="Arial" w:hAnsi="Arial" w:eastAsia="宋体" w:cs="Times New Roman"/>
          <w:b/>
          <w:color w:val="FF0000"/>
          <w:sz w:val="30"/>
          <w:szCs w:val="30"/>
        </w:rPr>
      </w:pPr>
    </w:p>
    <w:p w14:paraId="70F8DD7D">
      <w:pPr>
        <w:keepNext/>
        <w:keepLines/>
        <w:spacing w:before="260" w:after="260" w:line="416" w:lineRule="auto"/>
        <w:jc w:val="center"/>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2" w:name="_Hlk71926094"/>
      <w:r>
        <w:rPr>
          <w:rFonts w:hint="eastAsia" w:ascii="宋体" w:hAnsi="宋体" w:eastAsia="宋体" w:cs="Times New Roman"/>
          <w:b/>
          <w:bCs/>
          <w:kern w:val="0"/>
          <w:sz w:val="28"/>
          <w:szCs w:val="28"/>
        </w:rPr>
        <w:t>对通用条款的补充内容及其他关键信息</w:t>
      </w:r>
      <w:bookmarkEnd w:id="2"/>
    </w:p>
    <w:p w14:paraId="6CE2B5B1">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bookmarkStart w:id="3" w:name="_Toc73521547"/>
      <w:bookmarkStart w:id="4" w:name="_Toc100052364"/>
      <w:bookmarkStart w:id="5" w:name="_Toc73518117"/>
      <w:bookmarkStart w:id="6" w:name="_Toc60560625"/>
      <w:bookmarkStart w:id="7" w:name="_Toc73517639"/>
      <w:bookmarkStart w:id="8" w:name="_Toc73521635"/>
      <w:bookmarkStart w:id="9" w:name="_Toc60631620"/>
      <w:bookmarkStart w:id="10" w:name="_Toc101074876"/>
      <w:r>
        <w:rPr>
          <w:rFonts w:hint="eastAsia" w:ascii="宋体" w:hAnsi="宋体" w:eastAsia="宋体" w:cs="Times New Roman"/>
          <w:b/>
          <w:bCs/>
          <w:kern w:val="0"/>
          <w:sz w:val="24"/>
          <w:szCs w:val="24"/>
        </w:rPr>
        <w:t>一、对通用条款的补充内容</w:t>
      </w:r>
    </w:p>
    <w:tbl>
      <w:tblPr>
        <w:tblStyle w:val="16"/>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14:paraId="5E6B47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293F3BF">
            <w:pPr>
              <w:jc w:val="center"/>
              <w:rPr>
                <w:rFonts w:hint="eastAsia" w:ascii="宋体" w:hAnsi="宋体"/>
                <w:b/>
                <w:bCs/>
              </w:rPr>
            </w:pPr>
            <w:r>
              <w:rPr>
                <w:rFonts w:hint="eastAsia" w:ascii="宋体" w:hAnsi="宋体"/>
                <w:b/>
                <w:bCs/>
              </w:rPr>
              <w:t>通用条款序号</w:t>
            </w:r>
          </w:p>
        </w:tc>
        <w:tc>
          <w:tcPr>
            <w:tcW w:w="1755" w:type="dxa"/>
            <w:vAlign w:val="center"/>
          </w:tcPr>
          <w:p w14:paraId="751018BA">
            <w:pPr>
              <w:jc w:val="center"/>
              <w:rPr>
                <w:rFonts w:hint="eastAsia" w:ascii="宋体" w:hAnsi="宋体"/>
                <w:b/>
                <w:bCs/>
              </w:rPr>
            </w:pPr>
            <w:r>
              <w:rPr>
                <w:rFonts w:hint="eastAsia" w:ascii="宋体" w:hAnsi="宋体"/>
                <w:b/>
                <w:bCs/>
              </w:rPr>
              <w:t>涉及事项</w:t>
            </w:r>
          </w:p>
        </w:tc>
        <w:tc>
          <w:tcPr>
            <w:tcW w:w="6795" w:type="dxa"/>
            <w:vAlign w:val="center"/>
          </w:tcPr>
          <w:p w14:paraId="39FF8E45">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7ECCD3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0094BFF">
            <w:pPr>
              <w:jc w:val="center"/>
              <w:rPr>
                <w:rFonts w:hint="eastAsia" w:ascii="宋体" w:hAnsi="宋体"/>
              </w:rPr>
            </w:pPr>
            <w:r>
              <w:rPr>
                <w:rFonts w:hint="eastAsia" w:ascii="宋体" w:hAnsi="宋体"/>
              </w:rPr>
              <w:t>3</w:t>
            </w:r>
            <w:r>
              <w:rPr>
                <w:rFonts w:ascii="宋体" w:hAnsi="宋体"/>
              </w:rPr>
              <w:t>.1</w:t>
            </w:r>
          </w:p>
        </w:tc>
        <w:tc>
          <w:tcPr>
            <w:tcW w:w="1755" w:type="dxa"/>
            <w:vAlign w:val="center"/>
          </w:tcPr>
          <w:p w14:paraId="2ABDC9E8">
            <w:pPr>
              <w:jc w:val="center"/>
            </w:pPr>
            <w:r>
              <w:rPr>
                <w:rFonts w:hint="eastAsia"/>
              </w:rPr>
              <w:t>采购人</w:t>
            </w:r>
          </w:p>
        </w:tc>
        <w:tc>
          <w:tcPr>
            <w:tcW w:w="6795" w:type="dxa"/>
            <w:vAlign w:val="center"/>
          </w:tcPr>
          <w:p w14:paraId="1C564D34">
            <w:pPr>
              <w:jc w:val="left"/>
              <w:rPr>
                <w:rFonts w:hint="eastAsia" w:ascii="宋体" w:hAnsi="宋体"/>
              </w:rPr>
            </w:pPr>
            <w:r>
              <w:rPr>
                <w:rFonts w:hint="eastAsia" w:ascii="宋体" w:hAnsi="宋体"/>
              </w:rPr>
              <w:t>深圳市龙华区教育局基础教育科（代深圳市龙华区鹭湖实验学校采购）</w:t>
            </w:r>
          </w:p>
        </w:tc>
      </w:tr>
      <w:tr w14:paraId="019C9E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986CD61">
            <w:pPr>
              <w:jc w:val="center"/>
              <w:rPr>
                <w:rFonts w:hint="eastAsia" w:ascii="宋体" w:hAnsi="宋体"/>
              </w:rPr>
            </w:pPr>
            <w:r>
              <w:rPr>
                <w:rFonts w:hint="eastAsia" w:ascii="宋体" w:hAnsi="宋体"/>
              </w:rPr>
              <w:t>3</w:t>
            </w:r>
            <w:r>
              <w:rPr>
                <w:rFonts w:ascii="宋体" w:hAnsi="宋体"/>
              </w:rPr>
              <w:t>.2</w:t>
            </w:r>
          </w:p>
        </w:tc>
        <w:tc>
          <w:tcPr>
            <w:tcW w:w="1755" w:type="dxa"/>
            <w:vAlign w:val="center"/>
          </w:tcPr>
          <w:p w14:paraId="05EC10DF">
            <w:pPr>
              <w:jc w:val="center"/>
              <w:rPr>
                <w:rFonts w:hint="eastAsia" w:ascii="宋体" w:hAnsi="宋体"/>
              </w:rPr>
            </w:pPr>
            <w:r>
              <w:rPr>
                <w:rFonts w:hint="eastAsia" w:ascii="宋体" w:hAnsi="宋体"/>
              </w:rPr>
              <w:t>政府集中采购机构</w:t>
            </w:r>
          </w:p>
        </w:tc>
        <w:tc>
          <w:tcPr>
            <w:tcW w:w="6795" w:type="dxa"/>
            <w:vAlign w:val="center"/>
          </w:tcPr>
          <w:p w14:paraId="12A23836">
            <w:pPr>
              <w:jc w:val="left"/>
              <w:rPr>
                <w:rFonts w:hint="eastAsia"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。本项目具体由深圳公共资源交易中心（深圳交易集团有限公司龙华分公司）执行</w:t>
            </w:r>
            <w:r>
              <w:rPr>
                <w:rFonts w:hint="eastAsia" w:ascii="Arial" w:hAnsi="Arial" w:eastAsia="宋体" w:cs="Times New Roman"/>
                <w:bCs/>
                <w:szCs w:val="24"/>
              </w:rPr>
              <w:t>。</w:t>
            </w:r>
          </w:p>
        </w:tc>
      </w:tr>
      <w:tr w14:paraId="1F9A6E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82EC9DA">
            <w:pPr>
              <w:jc w:val="center"/>
              <w:rPr>
                <w:rFonts w:hint="eastAsia" w:ascii="宋体" w:hAnsi="宋体"/>
              </w:rPr>
            </w:pPr>
            <w:r>
              <w:rPr>
                <w:rFonts w:hint="eastAsia" w:ascii="宋体" w:hAnsi="宋体"/>
              </w:rPr>
              <w:t>5</w:t>
            </w:r>
            <w:r>
              <w:rPr>
                <w:rFonts w:ascii="宋体" w:hAnsi="宋体"/>
              </w:rPr>
              <w:t>.3</w:t>
            </w:r>
          </w:p>
        </w:tc>
        <w:tc>
          <w:tcPr>
            <w:tcW w:w="1755" w:type="dxa"/>
            <w:vAlign w:val="center"/>
          </w:tcPr>
          <w:p w14:paraId="35F0E982">
            <w:pPr>
              <w:jc w:val="center"/>
              <w:rPr>
                <w:rFonts w:hint="eastAsia" w:ascii="宋体" w:hAnsi="宋体"/>
              </w:rPr>
            </w:pPr>
            <w:r>
              <w:rPr>
                <w:rFonts w:hint="eastAsia" w:ascii="宋体" w:hAnsi="宋体"/>
              </w:rPr>
              <w:t>联合体投标</w:t>
            </w:r>
          </w:p>
        </w:tc>
        <w:tc>
          <w:tcPr>
            <w:tcW w:w="6795" w:type="dxa"/>
            <w:vAlign w:val="center"/>
          </w:tcPr>
          <w:p w14:paraId="35932DF0">
            <w:pPr>
              <w:jc w:val="left"/>
              <w:rPr>
                <w:rFonts w:ascii="Arial" w:hAnsi="Arial" w:eastAsia="宋体" w:cs="Times New Roman"/>
                <w:szCs w:val="24"/>
                <w:highlight w:val="yellow"/>
              </w:rPr>
            </w:pPr>
            <w:r>
              <w:rPr>
                <w:rFonts w:hint="eastAsia" w:ascii="Arial" w:hAnsi="Arial" w:eastAsia="宋体" w:cs="Times New Roman"/>
                <w:szCs w:val="24"/>
                <w:highlight w:val="yellow"/>
              </w:rPr>
              <w:t>不接受</w:t>
            </w:r>
          </w:p>
        </w:tc>
      </w:tr>
      <w:tr w14:paraId="116724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C141B47">
            <w:pPr>
              <w:jc w:val="center"/>
              <w:rPr>
                <w:rFonts w:hint="eastAsia" w:ascii="宋体" w:hAnsi="宋体"/>
              </w:rPr>
            </w:pPr>
            <w:r>
              <w:rPr>
                <w:rFonts w:hint="eastAsia" w:ascii="宋体" w:hAnsi="宋体"/>
              </w:rPr>
              <w:t>9</w:t>
            </w:r>
          </w:p>
        </w:tc>
        <w:tc>
          <w:tcPr>
            <w:tcW w:w="1755" w:type="dxa"/>
            <w:vAlign w:val="center"/>
          </w:tcPr>
          <w:p w14:paraId="73049987">
            <w:pPr>
              <w:jc w:val="center"/>
              <w:rPr>
                <w:rFonts w:hint="eastAsia" w:ascii="宋体" w:hAnsi="宋体"/>
              </w:rPr>
            </w:pPr>
            <w:r>
              <w:rPr>
                <w:rFonts w:hint="eastAsia" w:ascii="宋体" w:hAnsi="宋体"/>
              </w:rPr>
              <w:t>踏勘现场</w:t>
            </w:r>
          </w:p>
        </w:tc>
        <w:tc>
          <w:tcPr>
            <w:tcW w:w="6795" w:type="dxa"/>
            <w:vAlign w:val="center"/>
          </w:tcPr>
          <w:p w14:paraId="0FA11DED">
            <w:pPr>
              <w:jc w:val="left"/>
              <w:rPr>
                <w:rFonts w:ascii="Arial" w:hAnsi="Arial" w:eastAsia="宋体" w:cs="Times New Roman"/>
                <w:szCs w:val="24"/>
                <w:highlight w:val="yellow"/>
              </w:rPr>
            </w:pPr>
            <w:r>
              <w:rPr>
                <w:rFonts w:hint="eastAsia" w:ascii="Arial" w:hAnsi="Arial" w:eastAsia="宋体" w:cs="Times New Roman"/>
                <w:szCs w:val="24"/>
                <w:highlight w:val="yellow"/>
              </w:rPr>
              <w:t>不组织</w:t>
            </w:r>
          </w:p>
        </w:tc>
      </w:tr>
      <w:tr w14:paraId="284016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04EA1BE">
            <w:pPr>
              <w:jc w:val="center"/>
              <w:rPr>
                <w:rFonts w:hint="eastAsia" w:ascii="宋体" w:hAnsi="宋体"/>
              </w:rPr>
            </w:pPr>
            <w:r>
              <w:rPr>
                <w:rFonts w:hint="eastAsia" w:ascii="宋体" w:hAnsi="宋体"/>
              </w:rPr>
              <w:t>1</w:t>
            </w:r>
            <w:r>
              <w:rPr>
                <w:rFonts w:ascii="宋体" w:hAnsi="宋体"/>
              </w:rPr>
              <w:t>0</w:t>
            </w:r>
          </w:p>
        </w:tc>
        <w:tc>
          <w:tcPr>
            <w:tcW w:w="1755" w:type="dxa"/>
            <w:vAlign w:val="center"/>
          </w:tcPr>
          <w:p w14:paraId="00B46607">
            <w:pPr>
              <w:jc w:val="center"/>
              <w:rPr>
                <w:rFonts w:hint="eastAsia" w:ascii="宋体" w:hAnsi="宋体"/>
              </w:rPr>
            </w:pPr>
            <w:r>
              <w:rPr>
                <w:rFonts w:hint="eastAsia" w:ascii="宋体" w:hAnsi="宋体"/>
              </w:rPr>
              <w:t>标前会议</w:t>
            </w:r>
          </w:p>
        </w:tc>
        <w:tc>
          <w:tcPr>
            <w:tcW w:w="6795" w:type="dxa"/>
            <w:vAlign w:val="center"/>
          </w:tcPr>
          <w:p w14:paraId="2FA43575">
            <w:pPr>
              <w:jc w:val="left"/>
              <w:rPr>
                <w:rFonts w:ascii="Arial" w:hAnsi="Arial" w:eastAsia="宋体" w:cs="Times New Roman"/>
                <w:szCs w:val="24"/>
                <w:highlight w:val="yellow"/>
              </w:rPr>
            </w:pPr>
            <w:r>
              <w:rPr>
                <w:rFonts w:hint="eastAsia" w:ascii="Arial" w:hAnsi="Arial" w:eastAsia="宋体" w:cs="Times New Roman"/>
                <w:szCs w:val="24"/>
                <w:highlight w:val="yellow"/>
              </w:rPr>
              <w:t>不组织</w:t>
            </w:r>
          </w:p>
        </w:tc>
      </w:tr>
      <w:tr w14:paraId="2664DC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EE80B3D">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755" w:type="dxa"/>
            <w:vAlign w:val="center"/>
          </w:tcPr>
          <w:p w14:paraId="60E4B3C5">
            <w:pPr>
              <w:jc w:val="center"/>
              <w:rPr>
                <w:rFonts w:hint="eastAsia" w:ascii="宋体" w:hAnsi="宋体"/>
              </w:rPr>
            </w:pPr>
            <w:r>
              <w:rPr>
                <w:rFonts w:hint="eastAsia" w:ascii="宋体" w:hAnsi="宋体"/>
              </w:rPr>
              <w:t>招标文件的澄清和修改</w:t>
            </w:r>
          </w:p>
        </w:tc>
        <w:tc>
          <w:tcPr>
            <w:tcW w:w="6795" w:type="dxa"/>
            <w:vAlign w:val="center"/>
          </w:tcPr>
          <w:p w14:paraId="7911BE47">
            <w:pPr>
              <w:jc w:val="left"/>
              <w:rPr>
                <w:rFonts w:hint="eastAsia" w:ascii="宋体" w:hAnsi="宋体"/>
              </w:rPr>
            </w:pPr>
            <w:r>
              <w:rPr>
                <w:rFonts w:hint="eastAsia" w:ascii="宋体" w:hAnsi="宋体"/>
              </w:rPr>
              <w:t>不晚于投标截止日三日前，投标人有义务在招标期间在政府集中采购机构网站浏览与本项目有关的澄清和修改信息。</w:t>
            </w:r>
          </w:p>
        </w:tc>
      </w:tr>
      <w:tr w14:paraId="4D7438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1F251E3">
            <w:pPr>
              <w:jc w:val="center"/>
              <w:rPr>
                <w:rFonts w:hint="eastAsia" w:ascii="宋体" w:hAnsi="宋体"/>
              </w:rPr>
            </w:pPr>
            <w:r>
              <w:rPr>
                <w:rFonts w:hint="eastAsia" w:ascii="宋体" w:hAnsi="宋体"/>
              </w:rPr>
              <w:t>2</w:t>
            </w:r>
            <w:r>
              <w:rPr>
                <w:rFonts w:ascii="宋体" w:hAnsi="宋体"/>
              </w:rPr>
              <w:t>0</w:t>
            </w:r>
          </w:p>
        </w:tc>
        <w:tc>
          <w:tcPr>
            <w:tcW w:w="1755" w:type="dxa"/>
            <w:vAlign w:val="center"/>
          </w:tcPr>
          <w:p w14:paraId="096EABEC">
            <w:pPr>
              <w:jc w:val="center"/>
              <w:rPr>
                <w:rFonts w:hint="eastAsia" w:ascii="宋体" w:hAnsi="宋体"/>
              </w:rPr>
            </w:pPr>
            <w:r>
              <w:rPr>
                <w:rFonts w:hint="eastAsia" w:ascii="宋体" w:hAnsi="宋体"/>
              </w:rPr>
              <w:t>投标有效期</w:t>
            </w:r>
          </w:p>
        </w:tc>
        <w:tc>
          <w:tcPr>
            <w:tcW w:w="6795" w:type="dxa"/>
            <w:vAlign w:val="center"/>
          </w:tcPr>
          <w:p w14:paraId="53623AB5">
            <w:pPr>
              <w:jc w:val="left"/>
              <w:rPr>
                <w:rFonts w:hint="eastAsia" w:ascii="宋体" w:hAnsi="宋体"/>
              </w:rPr>
            </w:pPr>
            <w:r>
              <w:rPr>
                <w:rFonts w:hint="eastAsia" w:ascii="宋体" w:hAnsi="宋体"/>
              </w:rPr>
              <w:t>120日历天（从投标截止之日算起）</w:t>
            </w:r>
          </w:p>
        </w:tc>
      </w:tr>
      <w:tr w14:paraId="55A8D5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5171F9D">
            <w:pPr>
              <w:jc w:val="center"/>
              <w:rPr>
                <w:rFonts w:hint="eastAsia" w:ascii="宋体" w:hAnsi="宋体"/>
              </w:rPr>
            </w:pPr>
            <w:r>
              <w:rPr>
                <w:rFonts w:hint="eastAsia" w:ascii="宋体" w:hAnsi="宋体"/>
              </w:rPr>
              <w:t>2</w:t>
            </w:r>
            <w:r>
              <w:rPr>
                <w:rFonts w:ascii="宋体" w:hAnsi="宋体"/>
              </w:rPr>
              <w:t>2</w:t>
            </w:r>
          </w:p>
        </w:tc>
        <w:tc>
          <w:tcPr>
            <w:tcW w:w="1755" w:type="dxa"/>
            <w:vAlign w:val="center"/>
          </w:tcPr>
          <w:p w14:paraId="3B436A80">
            <w:pPr>
              <w:jc w:val="center"/>
              <w:rPr>
                <w:rFonts w:hint="eastAsia" w:ascii="宋体" w:hAnsi="宋体"/>
              </w:rPr>
            </w:pPr>
            <w:r>
              <w:rPr>
                <w:rFonts w:hint="eastAsia" w:ascii="宋体" w:hAnsi="宋体"/>
              </w:rPr>
              <w:t>投标人的替代方案</w:t>
            </w:r>
          </w:p>
        </w:tc>
        <w:tc>
          <w:tcPr>
            <w:tcW w:w="6795" w:type="dxa"/>
            <w:vAlign w:val="center"/>
          </w:tcPr>
          <w:p w14:paraId="423FEC49">
            <w:pPr>
              <w:jc w:val="left"/>
              <w:rPr>
                <w:rFonts w:hint="eastAsia" w:ascii="宋体" w:hAnsi="宋体"/>
              </w:rPr>
            </w:pPr>
            <w:r>
              <w:rPr>
                <w:rFonts w:hint="eastAsia" w:ascii="宋体" w:hAnsi="宋体"/>
              </w:rPr>
              <w:t>不接受</w:t>
            </w:r>
          </w:p>
        </w:tc>
      </w:tr>
      <w:tr w14:paraId="6F577B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91FC53D">
            <w:pPr>
              <w:jc w:val="center"/>
              <w:rPr>
                <w:rFonts w:hint="eastAsia" w:ascii="宋体" w:hAnsi="宋体"/>
              </w:rPr>
            </w:pPr>
            <w:r>
              <w:rPr>
                <w:rFonts w:hint="eastAsia" w:ascii="宋体" w:hAnsi="宋体"/>
              </w:rPr>
              <w:t>2</w:t>
            </w:r>
            <w:r>
              <w:rPr>
                <w:rFonts w:ascii="宋体" w:hAnsi="宋体"/>
              </w:rPr>
              <w:t>5</w:t>
            </w:r>
          </w:p>
        </w:tc>
        <w:tc>
          <w:tcPr>
            <w:tcW w:w="1755" w:type="dxa"/>
            <w:vAlign w:val="center"/>
          </w:tcPr>
          <w:p w14:paraId="42E69C1D">
            <w:pPr>
              <w:jc w:val="center"/>
              <w:rPr>
                <w:rFonts w:hint="eastAsia" w:ascii="宋体" w:hAnsi="宋体"/>
              </w:rPr>
            </w:pPr>
            <w:r>
              <w:rPr>
                <w:rFonts w:hint="eastAsia" w:ascii="宋体" w:hAnsi="宋体"/>
              </w:rPr>
              <w:t>投标文件的大小</w:t>
            </w:r>
          </w:p>
        </w:tc>
        <w:tc>
          <w:tcPr>
            <w:tcW w:w="6795" w:type="dxa"/>
            <w:vAlign w:val="center"/>
          </w:tcPr>
          <w:p w14:paraId="0A0D85ED">
            <w:pPr>
              <w:jc w:val="left"/>
              <w:rPr>
                <w:rFonts w:hint="eastAsia" w:ascii="宋体" w:hAnsi="宋体"/>
              </w:rPr>
            </w:pPr>
            <w:r>
              <w:rPr>
                <w:rFonts w:hint="eastAsia" w:ascii="宋体" w:hAnsi="宋体"/>
              </w:rPr>
              <w:t>投标文件大小不得超过100MB</w:t>
            </w:r>
          </w:p>
        </w:tc>
      </w:tr>
      <w:tr w14:paraId="6725E9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A84E1DE">
            <w:pPr>
              <w:jc w:val="center"/>
              <w:rPr>
                <w:rFonts w:hint="eastAsia" w:ascii="宋体" w:hAnsi="宋体"/>
              </w:rPr>
            </w:pPr>
            <w:r>
              <w:rPr>
                <w:rFonts w:hint="eastAsia" w:ascii="宋体" w:hAnsi="宋体"/>
              </w:rPr>
              <w:t>2</w:t>
            </w:r>
            <w:r>
              <w:rPr>
                <w:rFonts w:ascii="宋体" w:hAnsi="宋体"/>
              </w:rPr>
              <w:t>6</w:t>
            </w:r>
          </w:p>
        </w:tc>
        <w:tc>
          <w:tcPr>
            <w:tcW w:w="1755" w:type="dxa"/>
            <w:vAlign w:val="center"/>
          </w:tcPr>
          <w:p w14:paraId="633FCD15">
            <w:pPr>
              <w:jc w:val="center"/>
              <w:rPr>
                <w:rFonts w:hint="eastAsia" w:ascii="宋体" w:hAnsi="宋体"/>
              </w:rPr>
            </w:pPr>
            <w:bookmarkStart w:id="11" w:name="_Hlk71664860"/>
            <w:r>
              <w:rPr>
                <w:rFonts w:hint="eastAsia" w:ascii="宋体" w:hAnsi="宋体"/>
              </w:rPr>
              <w:t>样品、现场演示、方案讲解</w:t>
            </w:r>
            <w:bookmarkEnd w:id="11"/>
          </w:p>
        </w:tc>
        <w:tc>
          <w:tcPr>
            <w:tcW w:w="6795" w:type="dxa"/>
            <w:vAlign w:val="center"/>
          </w:tcPr>
          <w:p w14:paraId="6EBE1398">
            <w:pPr>
              <w:jc w:val="left"/>
              <w:rPr>
                <w:rFonts w:hint="eastAsia" w:ascii="宋体" w:hAnsi="宋体"/>
              </w:rPr>
            </w:pPr>
            <w:r>
              <w:rPr>
                <w:rFonts w:hint="eastAsia" w:ascii="Arial" w:hAnsi="Arial" w:eastAsia="宋体" w:cs="Times New Roman"/>
                <w:szCs w:val="24"/>
                <w:highlight w:val="yellow"/>
              </w:rPr>
              <w:t>无</w:t>
            </w:r>
          </w:p>
        </w:tc>
      </w:tr>
      <w:tr w14:paraId="241A49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F8A17D6">
            <w:pPr>
              <w:jc w:val="center"/>
              <w:rPr>
                <w:rFonts w:hint="eastAsia" w:ascii="宋体" w:hAnsi="宋体"/>
              </w:rPr>
            </w:pPr>
            <w:r>
              <w:rPr>
                <w:rFonts w:hint="eastAsia" w:ascii="宋体" w:hAnsi="宋体"/>
              </w:rPr>
              <w:t>3</w:t>
            </w:r>
            <w:r>
              <w:rPr>
                <w:rFonts w:ascii="宋体" w:hAnsi="宋体"/>
              </w:rPr>
              <w:t>7</w:t>
            </w:r>
          </w:p>
        </w:tc>
        <w:tc>
          <w:tcPr>
            <w:tcW w:w="1755" w:type="dxa"/>
            <w:vAlign w:val="center"/>
          </w:tcPr>
          <w:p w14:paraId="1FAA65B3">
            <w:pPr>
              <w:jc w:val="center"/>
              <w:rPr>
                <w:rFonts w:hint="eastAsia" w:ascii="宋体" w:hAnsi="宋体"/>
              </w:rPr>
            </w:pPr>
            <w:r>
              <w:rPr>
                <w:rFonts w:hint="eastAsia" w:ascii="宋体" w:hAnsi="宋体"/>
              </w:rPr>
              <w:t>评审方法</w:t>
            </w:r>
          </w:p>
        </w:tc>
        <w:tc>
          <w:tcPr>
            <w:tcW w:w="6795" w:type="dxa"/>
            <w:vAlign w:val="center"/>
          </w:tcPr>
          <w:p w14:paraId="693AA761">
            <w:pPr>
              <w:jc w:val="left"/>
              <w:rPr>
                <w:rFonts w:hint="eastAsia" w:ascii="宋体" w:hAnsi="宋体"/>
              </w:rPr>
            </w:pPr>
            <w:r>
              <w:rPr>
                <w:rFonts w:ascii="宋体" w:hAnsi="宋体"/>
                <w:b/>
                <w:bCs/>
              </w:rPr>
              <w:t>综合评分法</w:t>
            </w:r>
          </w:p>
        </w:tc>
      </w:tr>
      <w:tr w14:paraId="71BEA5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1604B4C">
            <w:pPr>
              <w:jc w:val="center"/>
              <w:rPr>
                <w:rFonts w:hint="eastAsia" w:ascii="宋体" w:hAnsi="宋体"/>
              </w:rPr>
            </w:pPr>
            <w:r>
              <w:rPr>
                <w:rFonts w:hint="eastAsia" w:ascii="宋体" w:hAnsi="宋体"/>
              </w:rPr>
              <w:t>3</w:t>
            </w:r>
            <w:r>
              <w:rPr>
                <w:rFonts w:ascii="宋体" w:hAnsi="宋体"/>
              </w:rPr>
              <w:t>8</w:t>
            </w:r>
          </w:p>
        </w:tc>
        <w:tc>
          <w:tcPr>
            <w:tcW w:w="1755" w:type="dxa"/>
            <w:vAlign w:val="center"/>
          </w:tcPr>
          <w:p w14:paraId="26C50385">
            <w:pPr>
              <w:jc w:val="center"/>
              <w:rPr>
                <w:rFonts w:hint="eastAsia" w:ascii="宋体" w:hAnsi="宋体"/>
              </w:rPr>
            </w:pPr>
            <w:r>
              <w:rPr>
                <w:rFonts w:hint="eastAsia" w:ascii="宋体" w:hAnsi="宋体"/>
              </w:rPr>
              <w:t>定标方法</w:t>
            </w:r>
          </w:p>
        </w:tc>
        <w:tc>
          <w:tcPr>
            <w:tcW w:w="6795" w:type="dxa"/>
            <w:vAlign w:val="center"/>
          </w:tcPr>
          <w:p w14:paraId="4AB18F38">
            <w:pPr>
              <w:jc w:val="left"/>
              <w:rPr>
                <w:rFonts w:hint="eastAsia" w:ascii="宋体" w:hAnsi="宋体"/>
                <w:b/>
                <w:bCs/>
                <w:highlight w:val="yellow"/>
              </w:rPr>
            </w:pPr>
            <w:r>
              <w:rPr>
                <w:rFonts w:hint="eastAsia" w:ascii="宋体" w:hAnsi="宋体" w:eastAsia="宋体" w:cs="Times New Roman"/>
                <w:b/>
                <w:bCs/>
                <w:szCs w:val="21"/>
                <w:highlight w:val="yellow"/>
              </w:rPr>
              <w:t>非评定分离</w:t>
            </w:r>
          </w:p>
        </w:tc>
      </w:tr>
      <w:tr w14:paraId="7CFE12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3082355">
            <w:pPr>
              <w:jc w:val="center"/>
              <w:rPr>
                <w:rFonts w:hint="eastAsia" w:ascii="宋体" w:hAnsi="宋体"/>
              </w:rPr>
            </w:pPr>
            <w:r>
              <w:rPr>
                <w:rFonts w:hint="eastAsia" w:ascii="宋体" w:hAnsi="宋体"/>
              </w:rPr>
              <w:t>4</w:t>
            </w:r>
            <w:r>
              <w:rPr>
                <w:rFonts w:ascii="宋体" w:hAnsi="宋体"/>
              </w:rPr>
              <w:t>6</w:t>
            </w:r>
          </w:p>
        </w:tc>
        <w:tc>
          <w:tcPr>
            <w:tcW w:w="1755" w:type="dxa"/>
            <w:vAlign w:val="center"/>
          </w:tcPr>
          <w:p w14:paraId="04EF1B7B">
            <w:pPr>
              <w:jc w:val="center"/>
              <w:rPr>
                <w:rFonts w:hint="eastAsia" w:ascii="宋体" w:hAnsi="宋体"/>
              </w:rPr>
            </w:pPr>
            <w:r>
              <w:rPr>
                <w:rFonts w:hint="eastAsia" w:ascii="宋体" w:hAnsi="宋体"/>
              </w:rPr>
              <w:t>履约担保</w:t>
            </w:r>
          </w:p>
        </w:tc>
        <w:tc>
          <w:tcPr>
            <w:tcW w:w="6795" w:type="dxa"/>
            <w:vAlign w:val="center"/>
          </w:tcPr>
          <w:p w14:paraId="00A18F72">
            <w:pPr>
              <w:jc w:val="left"/>
              <w:rPr>
                <w:rFonts w:hint="eastAsia" w:ascii="宋体" w:hAnsi="宋体"/>
              </w:rPr>
            </w:pPr>
            <w:r>
              <w:rPr>
                <w:rFonts w:hint="eastAsia" w:ascii="宋体" w:hAnsi="宋体"/>
              </w:rPr>
              <w:t>不需要</w:t>
            </w:r>
          </w:p>
        </w:tc>
      </w:tr>
      <w:bookmarkEnd w:id="3"/>
      <w:bookmarkEnd w:id="4"/>
      <w:bookmarkEnd w:id="5"/>
      <w:bookmarkEnd w:id="6"/>
      <w:bookmarkEnd w:id="7"/>
      <w:bookmarkEnd w:id="8"/>
      <w:bookmarkEnd w:id="9"/>
      <w:bookmarkEnd w:id="10"/>
    </w:tbl>
    <w:p w14:paraId="556C7107">
      <w:pPr>
        <w:widowControl/>
        <w:jc w:val="center"/>
        <w:rPr>
          <w:szCs w:val="21"/>
        </w:rPr>
      </w:pPr>
      <w:r>
        <w:rPr>
          <w:rFonts w:hint="eastAsia"/>
          <w:szCs w:val="21"/>
        </w:rPr>
        <w:t>备注：本表是通用条款相关条款的补充和明确，如与通用条款内容相冲突的，以本表为准。</w:t>
      </w:r>
    </w:p>
    <w:p w14:paraId="340B12A0">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14:paraId="0EC65C38">
      <w:pPr>
        <w:tabs>
          <w:tab w:val="left" w:pos="720"/>
        </w:tabs>
        <w:rPr>
          <w:rFonts w:hint="eastAsia"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14:paraId="59FE275A">
      <w:pPr>
        <w:tabs>
          <w:tab w:val="left" w:pos="720"/>
        </w:tabs>
        <w:rPr>
          <w:rFonts w:hint="eastAsia" w:ascii="黑体" w:hAnsi="宋体" w:eastAsia="黑体"/>
          <w:bCs/>
          <w:sz w:val="24"/>
        </w:rPr>
      </w:pPr>
      <w:r>
        <w:rPr>
          <w:rFonts w:hint="eastAsia" w:ascii="黑体" w:hAnsi="宋体" w:eastAsia="黑体"/>
          <w:bCs/>
          <w:sz w:val="24"/>
        </w:rPr>
        <w:t>1、评标定标信息</w:t>
      </w:r>
    </w:p>
    <w:p w14:paraId="3FD94A96">
      <w:pPr>
        <w:jc w:val="center"/>
      </w:pPr>
      <w:r>
        <w:rPr>
          <w:rFonts w:hint="eastAsia"/>
          <w:b/>
        </w:rPr>
        <w:t>非评定分离项目</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14:paraId="5FF3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065909E5">
            <w:pPr>
              <w:jc w:val="center"/>
            </w:pPr>
            <w:r>
              <w:rPr>
                <w:rFonts w:hint="eastAsia"/>
              </w:rPr>
              <w:t>评标方法</w:t>
            </w:r>
          </w:p>
        </w:tc>
        <w:tc>
          <w:tcPr>
            <w:tcW w:w="3235" w:type="dxa"/>
          </w:tcPr>
          <w:p w14:paraId="1E117EFE">
            <w:pPr>
              <w:jc w:val="center"/>
              <w:rPr>
                <w:rFonts w:eastAsia="宋体"/>
              </w:rPr>
            </w:pPr>
            <w:r>
              <w:rPr>
                <w:rFonts w:hint="eastAsia"/>
              </w:rPr>
              <w:sym w:font="Wingdings" w:char="00FE"/>
            </w:r>
            <w:r>
              <w:rPr>
                <w:rFonts w:hint="eastAsia"/>
              </w:rPr>
              <w:t>综合评分法</w:t>
            </w:r>
          </w:p>
        </w:tc>
        <w:tc>
          <w:tcPr>
            <w:tcW w:w="2450" w:type="dxa"/>
          </w:tcPr>
          <w:p w14:paraId="5038F150">
            <w:pPr>
              <w:jc w:val="center"/>
            </w:pPr>
            <w:r>
              <w:rPr>
                <w:rFonts w:hint="eastAsia" w:ascii="Times New Roman" w:eastAsia="宋体"/>
              </w:rPr>
              <w:sym w:font="Wingdings" w:char="00A8"/>
            </w:r>
            <w:r>
              <w:rPr>
                <w:rFonts w:hint="eastAsia" w:ascii="Times New Roman" w:eastAsia="宋体"/>
              </w:rPr>
              <w:t>最低价法</w:t>
            </w:r>
          </w:p>
        </w:tc>
      </w:tr>
      <w:tr w14:paraId="07D7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57A59F5C">
            <w:pPr>
              <w:jc w:val="center"/>
            </w:pPr>
            <w:r>
              <w:rPr>
                <w:rFonts w:hint="eastAsia"/>
              </w:rPr>
              <w:t>候选中标供应商家数</w:t>
            </w:r>
          </w:p>
        </w:tc>
        <w:tc>
          <w:tcPr>
            <w:tcW w:w="3235" w:type="dxa"/>
          </w:tcPr>
          <w:p w14:paraId="3F299A43">
            <w:pPr>
              <w:jc w:val="center"/>
              <w:rPr>
                <w:rFonts w:eastAsia="宋体"/>
              </w:rPr>
            </w:pPr>
            <w:r>
              <w:rPr>
                <w:rFonts w:hint="eastAsia" w:eastAsia="宋体"/>
              </w:rPr>
              <w:t>3</w:t>
            </w:r>
          </w:p>
        </w:tc>
        <w:tc>
          <w:tcPr>
            <w:tcW w:w="2450" w:type="dxa"/>
          </w:tcPr>
          <w:p w14:paraId="0B8A4F9F">
            <w:pPr>
              <w:jc w:val="center"/>
            </w:pPr>
            <w:r>
              <w:rPr>
                <w:rFonts w:hint="eastAsia"/>
              </w:rPr>
              <w:t>3</w:t>
            </w:r>
          </w:p>
        </w:tc>
      </w:tr>
      <w:tr w14:paraId="2297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48B37C8B">
            <w:pPr>
              <w:jc w:val="center"/>
            </w:pPr>
            <w:r>
              <w:rPr>
                <w:rFonts w:hint="eastAsia"/>
              </w:rPr>
              <w:t>中标供应商家数</w:t>
            </w:r>
          </w:p>
        </w:tc>
        <w:tc>
          <w:tcPr>
            <w:tcW w:w="3235" w:type="dxa"/>
          </w:tcPr>
          <w:p w14:paraId="570D86B6">
            <w:pPr>
              <w:jc w:val="center"/>
            </w:pPr>
            <w:r>
              <w:rPr>
                <w:rFonts w:hint="eastAsia"/>
              </w:rPr>
              <w:t>1</w:t>
            </w:r>
          </w:p>
        </w:tc>
        <w:tc>
          <w:tcPr>
            <w:tcW w:w="2450" w:type="dxa"/>
          </w:tcPr>
          <w:p w14:paraId="188150A7">
            <w:pPr>
              <w:jc w:val="center"/>
            </w:pPr>
            <w:r>
              <w:rPr>
                <w:rFonts w:hint="eastAsia"/>
              </w:rPr>
              <w:t>1</w:t>
            </w:r>
          </w:p>
        </w:tc>
      </w:tr>
    </w:tbl>
    <w:p w14:paraId="0AAC5C43">
      <w:pPr>
        <w:tabs>
          <w:tab w:val="left" w:pos="720"/>
        </w:tabs>
        <w:rPr>
          <w:rFonts w:hint="eastAsia" w:ascii="黑体" w:hAnsi="宋体" w:eastAsia="黑体"/>
          <w:sz w:val="24"/>
        </w:rPr>
      </w:pPr>
    </w:p>
    <w:p w14:paraId="0DE60E7F">
      <w:pPr>
        <w:tabs>
          <w:tab w:val="left" w:pos="720"/>
        </w:tabs>
        <w:rPr>
          <w:rFonts w:hint="eastAsia" w:ascii="黑体" w:hAnsi="宋体" w:eastAsia="黑体"/>
          <w:sz w:val="24"/>
        </w:rPr>
      </w:pPr>
      <w:r>
        <w:rPr>
          <w:rFonts w:hint="eastAsia" w:ascii="黑体" w:hAnsi="宋体" w:eastAsia="黑体"/>
          <w:sz w:val="24"/>
        </w:rPr>
        <w:t>（二）其他事项</w:t>
      </w:r>
    </w:p>
    <w:p w14:paraId="3D98CC11">
      <w:pPr>
        <w:tabs>
          <w:tab w:val="left" w:pos="720"/>
        </w:tabs>
        <w:rPr>
          <w:rFonts w:hint="eastAsia" w:ascii="黑体" w:hAnsi="宋体" w:eastAsia="黑体"/>
          <w:sz w:val="24"/>
        </w:rPr>
      </w:pPr>
      <w:r>
        <w:rPr>
          <w:rFonts w:hint="eastAsia" w:ascii="黑体" w:hAnsi="宋体" w:eastAsia="黑体"/>
          <w:sz w:val="24"/>
        </w:rPr>
        <w:t>1、关于享受优惠政策的主体、价格扣除比例及采购标的所属行业</w:t>
      </w:r>
    </w:p>
    <w:p w14:paraId="7738A876">
      <w:pPr>
        <w:ind w:firstLine="411" w:firstLineChars="196"/>
        <w:rPr>
          <w:rFonts w:hint="eastAsia" w:ascii="宋体" w:hAnsi="宋体"/>
        </w:rPr>
      </w:pPr>
      <w:r>
        <w:rPr>
          <w:rFonts w:hint="eastAsia" w:ascii="宋体" w:hAnsi="宋体"/>
        </w:rPr>
        <w:t>（1）</w:t>
      </w:r>
      <w:r>
        <w:rPr>
          <w:rFonts w:hint="eastAsia"/>
          <w:highlight w:val="yellow"/>
        </w:rPr>
        <w:t>专门面向中小企业采购的项目（包括联合体或分包预留中小企业份额的项目），不再执行价格扣除比例。</w:t>
      </w:r>
    </w:p>
    <w:p w14:paraId="09B1B333">
      <w:pPr>
        <w:ind w:firstLine="411" w:firstLineChars="196"/>
        <w:rPr>
          <w:rFonts w:ascii="Arial" w:hAnsi="Arial" w:eastAsia="宋体" w:cs="Times New Roman"/>
          <w:b/>
          <w:color w:val="0000FF"/>
          <w:szCs w:val="21"/>
        </w:rPr>
      </w:pPr>
      <w:r>
        <w:rPr>
          <w:rFonts w:hint="eastAsia" w:ascii="宋体" w:hAnsi="宋体"/>
        </w:rPr>
        <w:t>（2）</w:t>
      </w:r>
      <w:r>
        <w:rPr>
          <w:rFonts w:hint="eastAsia"/>
        </w:rPr>
        <w:t>非</w:t>
      </w:r>
      <w:r>
        <w:rPr>
          <w:rFonts w:hint="eastAsia" w:ascii="Times New Roman" w:eastAsia="宋体"/>
        </w:rPr>
        <w:t>专门面向中小企业采购的项目，</w:t>
      </w:r>
      <w:r>
        <w:rPr>
          <w:rFonts w:hint="eastAsia"/>
        </w:rPr>
        <w:t>应</w:t>
      </w:r>
      <w:r>
        <w:rPr>
          <w:rFonts w:hint="eastAsia" w:ascii="Times New Roman" w:eastAsia="宋体"/>
        </w:rPr>
        <w:t>执行价格扣除比例</w:t>
      </w:r>
      <w:r>
        <w:rPr>
          <w:rFonts w:hint="eastAsia"/>
        </w:rPr>
        <w:t>：</w:t>
      </w:r>
      <w:r>
        <w:rPr>
          <w:rFonts w:hint="eastAsia" w:ascii="宋体" w:hAnsi="宋体"/>
        </w:rPr>
        <w:t xml:space="preserve">投标人提供的货物（以招标文件用户需求书“货物清单明细”的“货物名称”一栏为准）全部均由优惠主体制造的，对其投标总价给予 </w:t>
      </w:r>
      <w:r>
        <w:rPr>
          <w:rFonts w:hint="eastAsia" w:ascii="宋体" w:hAnsi="宋体" w:eastAsia="宋体" w:cs="Times New Roman"/>
          <w:b/>
          <w:sz w:val="24"/>
          <w:szCs w:val="24"/>
          <w:u w:val="single"/>
        </w:rPr>
        <w:t>10%</w:t>
      </w:r>
      <w:r>
        <w:rPr>
          <w:rFonts w:hint="eastAsia" w:ascii="宋体" w:hAnsi="宋体"/>
        </w:rPr>
        <w:t>的扣除，用扣除后的价格参与评审。满足多项优惠政策的企业，不重复享受多项价格扣除政策。</w:t>
      </w:r>
      <w:r>
        <w:rPr>
          <w:rFonts w:hint="eastAsia" w:ascii="Arial" w:hAnsi="Arial" w:eastAsia="宋体" w:cs="Times New Roman"/>
          <w:b/>
          <w:szCs w:val="21"/>
        </w:rPr>
        <w:t>政策调整后价格仅作为评审依据，不作为中标价格。</w:t>
      </w:r>
    </w:p>
    <w:p w14:paraId="3018F2A1">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备注：</w:t>
      </w:r>
      <w:r>
        <w:rPr>
          <w:rFonts w:hint="eastAsia" w:asciiTheme="minorEastAsia" w:hAnsiTheme="minorEastAsia" w:cstheme="minorEastAsia"/>
          <w:b/>
          <w:bCs/>
          <w:szCs w:val="21"/>
        </w:rPr>
        <w:t>（a）</w:t>
      </w:r>
      <w:r>
        <w:rPr>
          <w:rFonts w:hint="eastAsia" w:asciiTheme="minorEastAsia" w:hAnsiTheme="minorEastAsia" w:cstheme="minorEastAsia"/>
          <w:szCs w:val="21"/>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宋体" w:hAnsi="宋体"/>
          <w:b/>
          <w:bCs/>
        </w:rPr>
        <w:t>（</w:t>
      </w:r>
      <w:r>
        <w:rPr>
          <w:rFonts w:hint="eastAsia" w:asciiTheme="minorEastAsia" w:hAnsiTheme="minorEastAsia" w:cstheme="minorEastAsia"/>
          <w:b/>
          <w:bCs/>
          <w:szCs w:val="21"/>
        </w:rPr>
        <w:t>b）</w:t>
      </w:r>
      <w:r>
        <w:rPr>
          <w:rFonts w:hint="eastAsia" w:asciiTheme="minorEastAsia" w:hAnsiTheme="minorEastAsia" w:cstheme="minorEastAsia"/>
          <w:szCs w:val="21"/>
        </w:rPr>
        <w:t>优惠主体制造是指货物由优惠主体生产且使用该优惠主体商号或者注册商标；投标人提供的货物既有优惠主体制造货物，又有非优惠主体制造货物的，不给予价格扣除。</w:t>
      </w:r>
    </w:p>
    <w:p w14:paraId="461BC4E6">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（3）</w:t>
      </w:r>
      <w:bookmarkStart w:id="12" w:name="_Hlk71970739"/>
      <w:r>
        <w:rPr>
          <w:rFonts w:hint="eastAsia" w:asciiTheme="minorEastAsia" w:hAnsiTheme="minorEastAsia" w:cstheme="minorEastAsia"/>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cstheme="minorEastAsia"/>
          <w:b/>
          <w:bCs/>
          <w:color w:val="FF0000"/>
          <w:szCs w:val="21"/>
        </w:rPr>
        <w:t>《中小企业声明函》中相关企业所属行业应当与采购标的所属行业相一致。</w:t>
      </w:r>
      <w:r>
        <w:rPr>
          <w:rFonts w:hint="eastAsia" w:asciiTheme="minorEastAsia" w:hAnsiTheme="minorEastAsia" w:cstheme="minorEastAsia"/>
          <w:szCs w:val="21"/>
        </w:rPr>
        <w:t>本项目</w:t>
      </w:r>
      <w:bookmarkStart w:id="13" w:name="_Hlk71924718"/>
      <w:r>
        <w:rPr>
          <w:rFonts w:hint="eastAsia" w:asciiTheme="minorEastAsia" w:hAnsiTheme="minorEastAsia" w:cstheme="minorEastAsia"/>
          <w:szCs w:val="21"/>
        </w:rPr>
        <w:t>采购标的（货物）对应的中小企业划分标准所属行业</w:t>
      </w:r>
      <w:bookmarkEnd w:id="13"/>
      <w:r>
        <w:rPr>
          <w:rFonts w:hint="eastAsia" w:asciiTheme="minorEastAsia" w:hAnsiTheme="minorEastAsia" w:cstheme="minorEastAsia"/>
          <w:szCs w:val="21"/>
        </w:rPr>
        <w:t>为</w:t>
      </w:r>
      <w:r>
        <w:rPr>
          <w:rFonts w:hint="eastAsia" w:asciiTheme="minorEastAsia" w:hAnsiTheme="minorEastAsia" w:cstheme="minorEastAsia"/>
          <w:color w:val="FF0000"/>
          <w:szCs w:val="21"/>
          <w:u w:val="single"/>
        </w:rPr>
        <w:t xml:space="preserve">  </w:t>
      </w:r>
      <w:r>
        <w:rPr>
          <w:rFonts w:hint="eastAsia" w:asciiTheme="minorEastAsia" w:hAnsiTheme="minorEastAsia" w:cstheme="minorEastAsia"/>
          <w:b/>
          <w:bCs/>
          <w:color w:val="FF0000"/>
          <w:sz w:val="24"/>
          <w:szCs w:val="24"/>
          <w:highlight w:val="yellow"/>
          <w:u w:val="single"/>
        </w:rPr>
        <w:t>工</w:t>
      </w:r>
      <w:r>
        <w:rPr>
          <w:rFonts w:hint="eastAsia" w:asciiTheme="minorEastAsia" w:hAnsiTheme="minorEastAsia" w:cstheme="minorEastAsia"/>
          <w:color w:val="FF0000"/>
          <w:szCs w:val="21"/>
          <w:u w:val="single"/>
        </w:rPr>
        <w:t xml:space="preserve">  </w:t>
      </w:r>
      <w:r>
        <w:rPr>
          <w:rFonts w:hint="eastAsia" w:asciiTheme="minorEastAsia" w:hAnsiTheme="minorEastAsia" w:cstheme="minorEastAsia"/>
          <w:szCs w:val="21"/>
        </w:rPr>
        <w:t>业。</w:t>
      </w:r>
      <w:bookmarkEnd w:id="12"/>
    </w:p>
    <w:p w14:paraId="04AFA251">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4）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中小企业声明函、残疾人福利性单位声明函及监狱企业声明函”章节提供的格式）。</w:t>
      </w:r>
    </w:p>
    <w:p w14:paraId="6ABCD101">
      <w:pPr>
        <w:tabs>
          <w:tab w:val="left" w:pos="720"/>
        </w:tabs>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（5）享受价格扣除获得政府采购合同的，小微企业不得将合同分包给大中型企业。</w:t>
      </w:r>
    </w:p>
    <w:p w14:paraId="3C779B78">
      <w:pPr>
        <w:tabs>
          <w:tab w:val="left" w:pos="720"/>
        </w:tabs>
        <w:ind w:firstLine="480" w:firstLineChars="200"/>
        <w:rPr>
          <w:rFonts w:hint="eastAsia" w:ascii="黑体" w:hAnsi="宋体" w:eastAsia="黑体"/>
          <w:sz w:val="24"/>
        </w:rPr>
      </w:pPr>
    </w:p>
    <w:p w14:paraId="0B5E9031">
      <w:pPr>
        <w:spacing w:line="360" w:lineRule="auto"/>
        <w:rPr>
          <w:rFonts w:hint="eastAsia" w:ascii="宋体" w:hAnsi="宋体" w:eastAsia="宋体" w:cs="宋体"/>
          <w:b/>
          <w:bCs/>
          <w:szCs w:val="24"/>
        </w:rPr>
      </w:pPr>
      <w:r>
        <w:rPr>
          <w:rFonts w:hint="eastAsia" w:ascii="宋体" w:hAnsi="宋体" w:eastAsia="宋体" w:cs="宋体"/>
          <w:b/>
          <w:bCs/>
          <w:szCs w:val="24"/>
        </w:rPr>
        <w:t>2.关于政府采购订单融资政策</w:t>
      </w:r>
    </w:p>
    <w:p w14:paraId="4670C8FC">
      <w:pPr>
        <w:ind w:firstLine="420" w:firstLineChars="200"/>
        <w:rPr>
          <w:rFonts w:hint="eastAsia" w:ascii="宋体" w:hAnsi="宋体" w:eastAsia="宋体" w:cs="Times New Roman"/>
          <w:b/>
          <w:szCs w:val="24"/>
        </w:rPr>
      </w:pPr>
      <w:r>
        <w:rPr>
          <w:rFonts w:hint="eastAsia" w:ascii="Times New Roman" w:hAnsi="Times New Roman" w:eastAsia="宋体" w:cs="Times New Roman"/>
          <w:szCs w:val="24"/>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367C6A38">
      <w:pPr>
        <w:tabs>
          <w:tab w:val="left" w:pos="720"/>
        </w:tabs>
        <w:rPr>
          <w:rFonts w:hint="eastAsia" w:ascii="黑体" w:hAnsi="宋体" w:eastAsia="黑体"/>
          <w:sz w:val="24"/>
        </w:rPr>
      </w:pPr>
    </w:p>
    <w:p w14:paraId="78B9A129">
      <w:pPr>
        <w:tabs>
          <w:tab w:val="left" w:pos="720"/>
        </w:tabs>
        <w:rPr>
          <w:rFonts w:hint="eastAsia" w:ascii="宋体" w:hAnsi="宋体"/>
          <w:b/>
          <w:bCs/>
        </w:rPr>
      </w:pPr>
      <w:r>
        <w:rPr>
          <w:rFonts w:hint="eastAsia" w:ascii="宋体" w:hAnsi="宋体"/>
          <w:b/>
          <w:bCs/>
        </w:rPr>
        <w:t>3、</w:t>
      </w:r>
      <w:r>
        <w:rPr>
          <w:rFonts w:ascii="宋体" w:hAnsi="宋体"/>
          <w:b/>
          <w:bCs/>
        </w:rPr>
        <w:t>本项目为代理服务项目，将向中标</w:t>
      </w:r>
      <w:r>
        <w:rPr>
          <w:rFonts w:hint="eastAsia" w:ascii="宋体" w:hAnsi="宋体"/>
          <w:b/>
          <w:bCs/>
        </w:rPr>
        <w:t>（成交）</w:t>
      </w:r>
      <w:r>
        <w:rPr>
          <w:rFonts w:ascii="宋体" w:hAnsi="宋体"/>
          <w:b/>
          <w:bCs/>
        </w:rPr>
        <w:t>供应商收取代理服务费</w:t>
      </w:r>
      <w:r>
        <w:rPr>
          <w:rFonts w:hint="eastAsia" w:ascii="宋体" w:hAnsi="宋体"/>
          <w:b/>
          <w:bCs/>
        </w:rPr>
        <w:t>。</w:t>
      </w:r>
    </w:p>
    <w:p w14:paraId="48555013">
      <w:pPr>
        <w:widowControl/>
        <w:ind w:firstLine="420"/>
        <w:jc w:val="left"/>
        <w:rPr>
          <w:rFonts w:hint="eastAsia" w:ascii="宋体" w:hAnsi="宋体"/>
          <w:szCs w:val="21"/>
        </w:rPr>
      </w:pPr>
      <w:r>
        <w:rPr>
          <w:rFonts w:hint="eastAsia" w:ascii="宋体" w:hAnsi="宋体"/>
          <w:szCs w:val="21"/>
        </w:rPr>
        <w:t>中标（成交）供应商在领取《中标（成交）通知书》之前须向深圳公共资源交易中心（深圳交易集团有限公司龙华分公司）交纳代理服务费。若因中标（成交）供应商交纳代理服务费所产生的时间影响到合同签订的，由中标（成交）供应商自行承担责任。代理服务费标准参照下列标准收取。本项目类型为</w:t>
      </w:r>
      <w:r>
        <w:rPr>
          <w:rFonts w:hint="eastAsia" w:ascii="宋体" w:hAnsi="宋体"/>
          <w:b/>
          <w:bCs/>
          <w:szCs w:val="21"/>
          <w:u w:val="single"/>
        </w:rPr>
        <w:t>货物采购</w:t>
      </w:r>
      <w:r>
        <w:rPr>
          <w:rFonts w:hint="eastAsia" w:ascii="宋体" w:hAnsi="宋体"/>
          <w:szCs w:val="21"/>
        </w:rPr>
        <w:t>：</w:t>
      </w:r>
    </w:p>
    <w:p w14:paraId="4B1012EA">
      <w:pPr>
        <w:widowControl/>
        <w:ind w:firstLine="420"/>
        <w:jc w:val="left"/>
        <w:rPr>
          <w:rFonts w:hint="eastAsia" w:ascii="宋体" w:hAnsi="宋体"/>
          <w:szCs w:val="21"/>
        </w:rPr>
      </w:pPr>
      <w:r>
        <w:rPr>
          <w:rFonts w:hint="eastAsia" w:ascii="宋体" w:hAnsi="宋体"/>
          <w:szCs w:val="21"/>
        </w:rPr>
        <w:t>（1）代理服务费以《中标（成交）通知书》确定的中标（成交）金额作为计算基数，按差额定率累进法计算。</w:t>
      </w:r>
    </w:p>
    <w:p w14:paraId="7A2C7603">
      <w:pPr>
        <w:widowControl/>
        <w:ind w:firstLine="420"/>
        <w:jc w:val="left"/>
        <w:rPr>
          <w:rFonts w:hint="eastAsia" w:ascii="宋体" w:hAnsi="宋体"/>
          <w:szCs w:val="21"/>
        </w:rPr>
      </w:pPr>
      <w:r>
        <w:rPr>
          <w:rFonts w:hint="eastAsia" w:ascii="宋体" w:hAnsi="宋体"/>
          <w:szCs w:val="21"/>
        </w:rPr>
        <w:t>（2）中标（成交）金额的各部分费率如下表：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5AE8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33980C85">
            <w:pPr>
              <w:widowControl/>
              <w:ind w:firstLine="420"/>
              <w:jc w:val="left"/>
              <w:rPr>
                <w:rFonts w:hint="eastAsia" w:ascii="宋体" w:hAnsi="宋体"/>
                <w:szCs w:val="21"/>
              </w:rPr>
            </w:pPr>
            <w:r>
              <w:rPr>
                <w:rFonts w:hint="eastAsia" w:ascii="宋体" w:hAnsi="宋体"/>
                <w:szCs w:val="21"/>
              </w:rPr>
              <w:t>中标（成交）金额</w:t>
            </w:r>
          </w:p>
        </w:tc>
        <w:tc>
          <w:tcPr>
            <w:tcW w:w="1799" w:type="dxa"/>
            <w:vAlign w:val="center"/>
          </w:tcPr>
          <w:p w14:paraId="206503F0">
            <w:pPr>
              <w:widowControl/>
              <w:ind w:firstLine="420"/>
              <w:jc w:val="left"/>
              <w:rPr>
                <w:rFonts w:hint="eastAsia" w:ascii="宋体" w:hAnsi="宋体"/>
                <w:szCs w:val="21"/>
              </w:rPr>
            </w:pPr>
            <w:r>
              <w:rPr>
                <w:rFonts w:hint="eastAsia" w:ascii="宋体" w:hAnsi="宋体"/>
                <w:szCs w:val="21"/>
              </w:rPr>
              <w:t>货物采购</w:t>
            </w:r>
          </w:p>
        </w:tc>
        <w:tc>
          <w:tcPr>
            <w:tcW w:w="1799" w:type="dxa"/>
            <w:vAlign w:val="center"/>
          </w:tcPr>
          <w:p w14:paraId="58A40EFF">
            <w:pPr>
              <w:widowControl/>
              <w:ind w:firstLine="420"/>
              <w:jc w:val="left"/>
              <w:rPr>
                <w:rFonts w:hint="eastAsia" w:ascii="宋体" w:hAnsi="宋体"/>
                <w:szCs w:val="21"/>
              </w:rPr>
            </w:pPr>
            <w:r>
              <w:rPr>
                <w:rFonts w:hint="eastAsia" w:ascii="宋体" w:hAnsi="宋体"/>
                <w:szCs w:val="21"/>
              </w:rPr>
              <w:t>服务采购</w:t>
            </w:r>
          </w:p>
        </w:tc>
        <w:tc>
          <w:tcPr>
            <w:tcW w:w="1799" w:type="dxa"/>
            <w:vAlign w:val="center"/>
          </w:tcPr>
          <w:p w14:paraId="2321DEDC">
            <w:pPr>
              <w:widowControl/>
              <w:ind w:firstLine="420"/>
              <w:jc w:val="left"/>
              <w:rPr>
                <w:rFonts w:hint="eastAsia" w:ascii="宋体" w:hAnsi="宋体"/>
                <w:szCs w:val="21"/>
              </w:rPr>
            </w:pPr>
            <w:r>
              <w:rPr>
                <w:rFonts w:hint="eastAsia" w:ascii="宋体" w:hAnsi="宋体"/>
                <w:szCs w:val="21"/>
              </w:rPr>
              <w:t>工程采购</w:t>
            </w:r>
          </w:p>
        </w:tc>
      </w:tr>
      <w:tr w14:paraId="3618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29B6756">
            <w:pPr>
              <w:widowControl/>
              <w:ind w:firstLine="420"/>
              <w:jc w:val="left"/>
              <w:rPr>
                <w:rFonts w:hint="eastAsia" w:ascii="宋体" w:hAnsi="宋体"/>
                <w:szCs w:val="21"/>
              </w:rPr>
            </w:pPr>
            <w:r>
              <w:rPr>
                <w:rFonts w:hint="eastAsia" w:ascii="宋体" w:hAnsi="宋体"/>
                <w:szCs w:val="21"/>
              </w:rPr>
              <w:t>100万元以下</w:t>
            </w:r>
          </w:p>
        </w:tc>
        <w:tc>
          <w:tcPr>
            <w:tcW w:w="1799" w:type="dxa"/>
            <w:vAlign w:val="center"/>
          </w:tcPr>
          <w:p w14:paraId="461C97ED">
            <w:pPr>
              <w:widowControl/>
              <w:ind w:firstLine="420"/>
              <w:jc w:val="left"/>
              <w:rPr>
                <w:rFonts w:hint="eastAsia" w:ascii="宋体" w:hAnsi="宋体"/>
                <w:szCs w:val="21"/>
              </w:rPr>
            </w:pPr>
            <w:r>
              <w:rPr>
                <w:rFonts w:hint="eastAsia" w:ascii="宋体" w:hAnsi="宋体"/>
                <w:szCs w:val="21"/>
              </w:rPr>
              <w:t>1.5%</w:t>
            </w:r>
          </w:p>
        </w:tc>
        <w:tc>
          <w:tcPr>
            <w:tcW w:w="1799" w:type="dxa"/>
            <w:vAlign w:val="center"/>
          </w:tcPr>
          <w:p w14:paraId="0DF8C9B4">
            <w:pPr>
              <w:widowControl/>
              <w:ind w:firstLine="420"/>
              <w:jc w:val="left"/>
              <w:rPr>
                <w:rFonts w:hint="eastAsia" w:ascii="宋体" w:hAnsi="宋体"/>
                <w:szCs w:val="21"/>
              </w:rPr>
            </w:pPr>
            <w:r>
              <w:rPr>
                <w:rFonts w:hint="eastAsia" w:ascii="宋体" w:hAnsi="宋体"/>
                <w:szCs w:val="21"/>
              </w:rPr>
              <w:t>1.5%</w:t>
            </w:r>
          </w:p>
        </w:tc>
        <w:tc>
          <w:tcPr>
            <w:tcW w:w="1799" w:type="dxa"/>
            <w:vAlign w:val="center"/>
          </w:tcPr>
          <w:p w14:paraId="689A7707">
            <w:pPr>
              <w:widowControl/>
              <w:ind w:firstLine="420"/>
              <w:jc w:val="left"/>
              <w:rPr>
                <w:rFonts w:hint="eastAsia" w:ascii="宋体" w:hAnsi="宋体"/>
                <w:szCs w:val="21"/>
              </w:rPr>
            </w:pPr>
            <w:r>
              <w:rPr>
                <w:rFonts w:hint="eastAsia" w:ascii="宋体" w:hAnsi="宋体"/>
                <w:szCs w:val="21"/>
              </w:rPr>
              <w:t>1.0%</w:t>
            </w:r>
          </w:p>
        </w:tc>
      </w:tr>
      <w:tr w14:paraId="5E58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CBC6FE5">
            <w:pPr>
              <w:widowControl/>
              <w:ind w:firstLine="420"/>
              <w:jc w:val="left"/>
              <w:rPr>
                <w:rFonts w:hint="eastAsia" w:ascii="宋体" w:hAnsi="宋体"/>
                <w:szCs w:val="21"/>
              </w:rPr>
            </w:pPr>
            <w:r>
              <w:rPr>
                <w:rFonts w:hint="eastAsia" w:ascii="宋体" w:hAnsi="宋体"/>
                <w:szCs w:val="21"/>
              </w:rPr>
              <w:t>100万元（含）-500万元</w:t>
            </w:r>
          </w:p>
        </w:tc>
        <w:tc>
          <w:tcPr>
            <w:tcW w:w="1799" w:type="dxa"/>
            <w:vAlign w:val="center"/>
          </w:tcPr>
          <w:p w14:paraId="5ED6992D">
            <w:pPr>
              <w:widowControl/>
              <w:ind w:firstLine="420"/>
              <w:jc w:val="left"/>
              <w:rPr>
                <w:rFonts w:hint="eastAsia" w:ascii="宋体" w:hAnsi="宋体"/>
                <w:szCs w:val="21"/>
              </w:rPr>
            </w:pPr>
            <w:r>
              <w:rPr>
                <w:rFonts w:hint="eastAsia" w:ascii="宋体" w:hAnsi="宋体"/>
                <w:szCs w:val="21"/>
              </w:rPr>
              <w:t>1.1%</w:t>
            </w:r>
          </w:p>
        </w:tc>
        <w:tc>
          <w:tcPr>
            <w:tcW w:w="1799" w:type="dxa"/>
            <w:vAlign w:val="center"/>
          </w:tcPr>
          <w:p w14:paraId="6D34B03A">
            <w:pPr>
              <w:widowControl/>
              <w:ind w:firstLine="420"/>
              <w:jc w:val="left"/>
              <w:rPr>
                <w:rFonts w:hint="eastAsia" w:ascii="宋体" w:hAnsi="宋体"/>
                <w:szCs w:val="21"/>
              </w:rPr>
            </w:pPr>
            <w:r>
              <w:rPr>
                <w:rFonts w:hint="eastAsia" w:ascii="宋体" w:hAnsi="宋体"/>
                <w:szCs w:val="21"/>
              </w:rPr>
              <w:t>0.8%</w:t>
            </w:r>
          </w:p>
        </w:tc>
        <w:tc>
          <w:tcPr>
            <w:tcW w:w="1799" w:type="dxa"/>
            <w:vAlign w:val="center"/>
          </w:tcPr>
          <w:p w14:paraId="3A16D3A5">
            <w:pPr>
              <w:widowControl/>
              <w:ind w:firstLine="420"/>
              <w:jc w:val="left"/>
              <w:rPr>
                <w:rFonts w:hint="eastAsia" w:ascii="宋体" w:hAnsi="宋体"/>
                <w:szCs w:val="21"/>
              </w:rPr>
            </w:pPr>
            <w:r>
              <w:rPr>
                <w:rFonts w:hint="eastAsia" w:ascii="宋体" w:hAnsi="宋体"/>
                <w:szCs w:val="21"/>
              </w:rPr>
              <w:t>0.7%</w:t>
            </w:r>
          </w:p>
        </w:tc>
      </w:tr>
      <w:tr w14:paraId="1F2D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E639A8B">
            <w:pPr>
              <w:widowControl/>
              <w:ind w:firstLine="420"/>
              <w:jc w:val="left"/>
              <w:rPr>
                <w:rFonts w:hint="eastAsia" w:ascii="宋体" w:hAnsi="宋体"/>
                <w:szCs w:val="21"/>
              </w:rPr>
            </w:pPr>
            <w:r>
              <w:rPr>
                <w:rFonts w:hint="eastAsia" w:ascii="宋体" w:hAnsi="宋体"/>
                <w:szCs w:val="21"/>
              </w:rPr>
              <w:t>500万元（含）-1000万元</w:t>
            </w:r>
          </w:p>
        </w:tc>
        <w:tc>
          <w:tcPr>
            <w:tcW w:w="1799" w:type="dxa"/>
            <w:vAlign w:val="center"/>
          </w:tcPr>
          <w:p w14:paraId="7D30384D">
            <w:pPr>
              <w:widowControl/>
              <w:ind w:firstLine="420"/>
              <w:jc w:val="left"/>
              <w:rPr>
                <w:rFonts w:hint="eastAsia" w:ascii="宋体" w:hAnsi="宋体"/>
                <w:szCs w:val="21"/>
              </w:rPr>
            </w:pPr>
            <w:r>
              <w:rPr>
                <w:rFonts w:hint="eastAsia" w:ascii="宋体" w:hAnsi="宋体"/>
                <w:szCs w:val="21"/>
              </w:rPr>
              <w:t>0.8%</w:t>
            </w:r>
          </w:p>
        </w:tc>
        <w:tc>
          <w:tcPr>
            <w:tcW w:w="1799" w:type="dxa"/>
            <w:vAlign w:val="center"/>
          </w:tcPr>
          <w:p w14:paraId="7A69EE42">
            <w:pPr>
              <w:widowControl/>
              <w:ind w:firstLine="420"/>
              <w:jc w:val="left"/>
              <w:rPr>
                <w:rFonts w:hint="eastAsia" w:ascii="宋体" w:hAnsi="宋体"/>
                <w:szCs w:val="21"/>
              </w:rPr>
            </w:pPr>
            <w:r>
              <w:rPr>
                <w:rFonts w:hint="eastAsia" w:ascii="宋体" w:hAnsi="宋体"/>
                <w:szCs w:val="21"/>
              </w:rPr>
              <w:t>0.45%</w:t>
            </w:r>
          </w:p>
        </w:tc>
        <w:tc>
          <w:tcPr>
            <w:tcW w:w="1799" w:type="dxa"/>
            <w:vAlign w:val="center"/>
          </w:tcPr>
          <w:p w14:paraId="5B09408F">
            <w:pPr>
              <w:widowControl/>
              <w:ind w:firstLine="420"/>
              <w:jc w:val="left"/>
              <w:rPr>
                <w:rFonts w:hint="eastAsia" w:ascii="宋体" w:hAnsi="宋体"/>
                <w:szCs w:val="21"/>
              </w:rPr>
            </w:pPr>
            <w:r>
              <w:rPr>
                <w:rFonts w:hint="eastAsia" w:ascii="宋体" w:hAnsi="宋体"/>
                <w:szCs w:val="21"/>
              </w:rPr>
              <w:t>0.55%</w:t>
            </w:r>
          </w:p>
        </w:tc>
      </w:tr>
      <w:tr w14:paraId="77C8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2DDDAE4">
            <w:pPr>
              <w:widowControl/>
              <w:ind w:firstLine="420"/>
              <w:jc w:val="left"/>
              <w:rPr>
                <w:rFonts w:hint="eastAsia" w:ascii="宋体" w:hAnsi="宋体"/>
                <w:szCs w:val="21"/>
              </w:rPr>
            </w:pPr>
            <w:r>
              <w:rPr>
                <w:rFonts w:hint="eastAsia" w:ascii="宋体" w:hAnsi="宋体"/>
                <w:szCs w:val="21"/>
              </w:rPr>
              <w:t>1000万元（含）-5000万元</w:t>
            </w:r>
          </w:p>
        </w:tc>
        <w:tc>
          <w:tcPr>
            <w:tcW w:w="1799" w:type="dxa"/>
            <w:vAlign w:val="center"/>
          </w:tcPr>
          <w:p w14:paraId="6233F5E3">
            <w:pPr>
              <w:widowControl/>
              <w:ind w:firstLine="420"/>
              <w:jc w:val="left"/>
              <w:rPr>
                <w:rFonts w:hint="eastAsia" w:ascii="宋体" w:hAnsi="宋体"/>
                <w:szCs w:val="21"/>
              </w:rPr>
            </w:pPr>
            <w:r>
              <w:rPr>
                <w:rFonts w:hint="eastAsia" w:ascii="宋体" w:hAnsi="宋体"/>
                <w:szCs w:val="21"/>
              </w:rPr>
              <w:t>0.5%</w:t>
            </w:r>
          </w:p>
        </w:tc>
        <w:tc>
          <w:tcPr>
            <w:tcW w:w="1799" w:type="dxa"/>
            <w:vAlign w:val="center"/>
          </w:tcPr>
          <w:p w14:paraId="3FFAB986">
            <w:pPr>
              <w:widowControl/>
              <w:ind w:firstLine="420"/>
              <w:jc w:val="left"/>
              <w:rPr>
                <w:rFonts w:hint="eastAsia" w:ascii="宋体" w:hAnsi="宋体"/>
                <w:szCs w:val="21"/>
              </w:rPr>
            </w:pPr>
            <w:r>
              <w:rPr>
                <w:rFonts w:hint="eastAsia" w:ascii="宋体" w:hAnsi="宋体"/>
                <w:szCs w:val="21"/>
              </w:rPr>
              <w:t>0.25%</w:t>
            </w:r>
          </w:p>
        </w:tc>
        <w:tc>
          <w:tcPr>
            <w:tcW w:w="1799" w:type="dxa"/>
            <w:vAlign w:val="center"/>
          </w:tcPr>
          <w:p w14:paraId="3D2A8294">
            <w:pPr>
              <w:widowControl/>
              <w:ind w:firstLine="420"/>
              <w:jc w:val="left"/>
              <w:rPr>
                <w:rFonts w:hint="eastAsia" w:ascii="宋体" w:hAnsi="宋体"/>
                <w:szCs w:val="21"/>
              </w:rPr>
            </w:pPr>
            <w:r>
              <w:rPr>
                <w:rFonts w:hint="eastAsia" w:ascii="宋体" w:hAnsi="宋体"/>
                <w:szCs w:val="21"/>
              </w:rPr>
              <w:t>0.35%</w:t>
            </w:r>
          </w:p>
        </w:tc>
      </w:tr>
      <w:tr w14:paraId="3A2D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4757995">
            <w:pPr>
              <w:widowControl/>
              <w:ind w:firstLine="420"/>
              <w:jc w:val="left"/>
              <w:rPr>
                <w:rFonts w:hint="eastAsia" w:ascii="宋体" w:hAnsi="宋体"/>
                <w:szCs w:val="21"/>
              </w:rPr>
            </w:pPr>
            <w:r>
              <w:rPr>
                <w:rFonts w:hint="eastAsia" w:ascii="宋体" w:hAnsi="宋体"/>
                <w:szCs w:val="21"/>
              </w:rPr>
              <w:t>5000万元（含）-1亿元</w:t>
            </w:r>
          </w:p>
        </w:tc>
        <w:tc>
          <w:tcPr>
            <w:tcW w:w="1799" w:type="dxa"/>
            <w:vAlign w:val="center"/>
          </w:tcPr>
          <w:p w14:paraId="7C6FF04C">
            <w:pPr>
              <w:widowControl/>
              <w:ind w:firstLine="420"/>
              <w:jc w:val="left"/>
              <w:rPr>
                <w:rFonts w:hint="eastAsia" w:ascii="宋体" w:hAnsi="宋体"/>
                <w:szCs w:val="21"/>
              </w:rPr>
            </w:pPr>
            <w:r>
              <w:rPr>
                <w:rFonts w:hint="eastAsia" w:ascii="宋体" w:hAnsi="宋体"/>
                <w:szCs w:val="21"/>
              </w:rPr>
              <w:t>0.25%</w:t>
            </w:r>
          </w:p>
        </w:tc>
        <w:tc>
          <w:tcPr>
            <w:tcW w:w="1799" w:type="dxa"/>
            <w:vAlign w:val="center"/>
          </w:tcPr>
          <w:p w14:paraId="48A6FE44">
            <w:pPr>
              <w:widowControl/>
              <w:ind w:firstLine="420"/>
              <w:jc w:val="left"/>
              <w:rPr>
                <w:rFonts w:hint="eastAsia" w:ascii="宋体" w:hAnsi="宋体"/>
                <w:szCs w:val="21"/>
              </w:rPr>
            </w:pPr>
            <w:r>
              <w:rPr>
                <w:rFonts w:hint="eastAsia" w:ascii="宋体" w:hAnsi="宋体"/>
                <w:szCs w:val="21"/>
              </w:rPr>
              <w:t>0.1%</w:t>
            </w:r>
          </w:p>
        </w:tc>
        <w:tc>
          <w:tcPr>
            <w:tcW w:w="1799" w:type="dxa"/>
            <w:vAlign w:val="center"/>
          </w:tcPr>
          <w:p w14:paraId="52BB41F0">
            <w:pPr>
              <w:widowControl/>
              <w:ind w:firstLine="420"/>
              <w:jc w:val="left"/>
              <w:rPr>
                <w:rFonts w:hint="eastAsia" w:ascii="宋体" w:hAnsi="宋体"/>
                <w:szCs w:val="21"/>
              </w:rPr>
            </w:pPr>
            <w:r>
              <w:rPr>
                <w:rFonts w:hint="eastAsia" w:ascii="宋体" w:hAnsi="宋体"/>
                <w:szCs w:val="21"/>
              </w:rPr>
              <w:t>0.2%</w:t>
            </w:r>
          </w:p>
        </w:tc>
      </w:tr>
      <w:tr w14:paraId="17A6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8BC9B65">
            <w:pPr>
              <w:widowControl/>
              <w:ind w:firstLine="420"/>
              <w:jc w:val="left"/>
              <w:rPr>
                <w:rFonts w:hint="eastAsia" w:ascii="宋体" w:hAnsi="宋体"/>
                <w:szCs w:val="21"/>
              </w:rPr>
            </w:pPr>
            <w:r>
              <w:rPr>
                <w:rFonts w:hint="eastAsia" w:ascii="宋体" w:hAnsi="宋体"/>
                <w:szCs w:val="21"/>
              </w:rPr>
              <w:t>1亿元（含）-5亿元</w:t>
            </w:r>
          </w:p>
        </w:tc>
        <w:tc>
          <w:tcPr>
            <w:tcW w:w="1799" w:type="dxa"/>
            <w:vAlign w:val="center"/>
          </w:tcPr>
          <w:p w14:paraId="68A49EE3">
            <w:pPr>
              <w:widowControl/>
              <w:ind w:firstLine="420"/>
              <w:jc w:val="left"/>
              <w:rPr>
                <w:rFonts w:hint="eastAsia" w:ascii="宋体" w:hAnsi="宋体"/>
                <w:szCs w:val="21"/>
              </w:rPr>
            </w:pPr>
            <w:r>
              <w:rPr>
                <w:rFonts w:hint="eastAsia" w:ascii="宋体" w:hAnsi="宋体"/>
                <w:szCs w:val="21"/>
              </w:rPr>
              <w:t>0.05%</w:t>
            </w:r>
          </w:p>
        </w:tc>
        <w:tc>
          <w:tcPr>
            <w:tcW w:w="1799" w:type="dxa"/>
            <w:vAlign w:val="center"/>
          </w:tcPr>
          <w:p w14:paraId="164BB1F1">
            <w:pPr>
              <w:widowControl/>
              <w:ind w:firstLine="420"/>
              <w:jc w:val="left"/>
              <w:rPr>
                <w:rFonts w:hint="eastAsia" w:ascii="宋体" w:hAnsi="宋体"/>
                <w:szCs w:val="21"/>
              </w:rPr>
            </w:pPr>
            <w:r>
              <w:rPr>
                <w:rFonts w:hint="eastAsia" w:ascii="宋体" w:hAnsi="宋体"/>
                <w:szCs w:val="21"/>
              </w:rPr>
              <w:t>0.05%</w:t>
            </w:r>
          </w:p>
        </w:tc>
        <w:tc>
          <w:tcPr>
            <w:tcW w:w="1799" w:type="dxa"/>
            <w:vAlign w:val="center"/>
          </w:tcPr>
          <w:p w14:paraId="32F3ED75">
            <w:pPr>
              <w:widowControl/>
              <w:ind w:firstLine="420"/>
              <w:jc w:val="left"/>
              <w:rPr>
                <w:rFonts w:hint="eastAsia" w:ascii="宋体" w:hAnsi="宋体"/>
                <w:szCs w:val="21"/>
              </w:rPr>
            </w:pPr>
            <w:r>
              <w:rPr>
                <w:rFonts w:hint="eastAsia" w:ascii="宋体" w:hAnsi="宋体"/>
                <w:szCs w:val="21"/>
              </w:rPr>
              <w:t>0.05%</w:t>
            </w:r>
          </w:p>
        </w:tc>
      </w:tr>
      <w:tr w14:paraId="61D30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A92AD03">
            <w:pPr>
              <w:widowControl/>
              <w:ind w:firstLine="420"/>
              <w:jc w:val="left"/>
              <w:rPr>
                <w:rFonts w:hint="eastAsia" w:ascii="宋体" w:hAnsi="宋体"/>
                <w:szCs w:val="21"/>
              </w:rPr>
            </w:pPr>
            <w:r>
              <w:rPr>
                <w:rFonts w:hint="eastAsia" w:ascii="宋体" w:hAnsi="宋体"/>
                <w:szCs w:val="21"/>
              </w:rPr>
              <w:t>5亿元（含）-10亿元</w:t>
            </w:r>
          </w:p>
        </w:tc>
        <w:tc>
          <w:tcPr>
            <w:tcW w:w="1799" w:type="dxa"/>
            <w:vAlign w:val="center"/>
          </w:tcPr>
          <w:p w14:paraId="6004D136">
            <w:pPr>
              <w:widowControl/>
              <w:ind w:firstLine="420"/>
              <w:jc w:val="left"/>
              <w:rPr>
                <w:rFonts w:hint="eastAsia" w:ascii="宋体" w:hAnsi="宋体"/>
                <w:szCs w:val="21"/>
              </w:rPr>
            </w:pPr>
            <w:r>
              <w:rPr>
                <w:rFonts w:hint="eastAsia" w:ascii="宋体" w:hAnsi="宋体"/>
                <w:szCs w:val="21"/>
              </w:rPr>
              <w:t>0.035%</w:t>
            </w:r>
          </w:p>
        </w:tc>
        <w:tc>
          <w:tcPr>
            <w:tcW w:w="1799" w:type="dxa"/>
            <w:vAlign w:val="center"/>
          </w:tcPr>
          <w:p w14:paraId="099B72D3">
            <w:pPr>
              <w:widowControl/>
              <w:ind w:firstLine="420"/>
              <w:jc w:val="left"/>
              <w:rPr>
                <w:rFonts w:hint="eastAsia" w:ascii="宋体" w:hAnsi="宋体"/>
                <w:szCs w:val="21"/>
              </w:rPr>
            </w:pPr>
            <w:r>
              <w:rPr>
                <w:rFonts w:hint="eastAsia" w:ascii="宋体" w:hAnsi="宋体"/>
                <w:szCs w:val="21"/>
              </w:rPr>
              <w:t>0.035%</w:t>
            </w:r>
          </w:p>
        </w:tc>
        <w:tc>
          <w:tcPr>
            <w:tcW w:w="1799" w:type="dxa"/>
            <w:vAlign w:val="center"/>
          </w:tcPr>
          <w:p w14:paraId="7A2960A2">
            <w:pPr>
              <w:widowControl/>
              <w:ind w:firstLine="420"/>
              <w:jc w:val="left"/>
              <w:rPr>
                <w:rFonts w:hint="eastAsia" w:ascii="宋体" w:hAnsi="宋体"/>
                <w:szCs w:val="21"/>
              </w:rPr>
            </w:pPr>
            <w:r>
              <w:rPr>
                <w:rFonts w:hint="eastAsia" w:ascii="宋体" w:hAnsi="宋体"/>
                <w:szCs w:val="21"/>
              </w:rPr>
              <w:t>0.035%</w:t>
            </w:r>
          </w:p>
        </w:tc>
      </w:tr>
      <w:tr w14:paraId="7739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A4659F5">
            <w:pPr>
              <w:widowControl/>
              <w:ind w:firstLine="420"/>
              <w:jc w:val="left"/>
              <w:rPr>
                <w:rFonts w:hint="eastAsia" w:ascii="宋体" w:hAnsi="宋体"/>
                <w:szCs w:val="21"/>
              </w:rPr>
            </w:pPr>
            <w:r>
              <w:rPr>
                <w:rFonts w:hint="eastAsia" w:ascii="宋体" w:hAnsi="宋体"/>
                <w:szCs w:val="21"/>
              </w:rPr>
              <w:t>10亿元（含）-50亿元</w:t>
            </w:r>
          </w:p>
        </w:tc>
        <w:tc>
          <w:tcPr>
            <w:tcW w:w="1799" w:type="dxa"/>
            <w:vAlign w:val="center"/>
          </w:tcPr>
          <w:p w14:paraId="0E5168CE">
            <w:pPr>
              <w:widowControl/>
              <w:ind w:firstLine="420"/>
              <w:jc w:val="left"/>
              <w:rPr>
                <w:rFonts w:hint="eastAsia" w:ascii="宋体" w:hAnsi="宋体"/>
                <w:szCs w:val="21"/>
              </w:rPr>
            </w:pPr>
            <w:r>
              <w:rPr>
                <w:rFonts w:hint="eastAsia" w:ascii="宋体" w:hAnsi="宋体"/>
                <w:szCs w:val="21"/>
              </w:rPr>
              <w:t>0.008%</w:t>
            </w:r>
          </w:p>
        </w:tc>
        <w:tc>
          <w:tcPr>
            <w:tcW w:w="1799" w:type="dxa"/>
            <w:vAlign w:val="center"/>
          </w:tcPr>
          <w:p w14:paraId="382F6CB9">
            <w:pPr>
              <w:widowControl/>
              <w:ind w:firstLine="420"/>
              <w:jc w:val="left"/>
              <w:rPr>
                <w:rFonts w:hint="eastAsia" w:ascii="宋体" w:hAnsi="宋体"/>
                <w:szCs w:val="21"/>
              </w:rPr>
            </w:pPr>
            <w:r>
              <w:rPr>
                <w:rFonts w:hint="eastAsia" w:ascii="宋体" w:hAnsi="宋体"/>
                <w:szCs w:val="21"/>
              </w:rPr>
              <w:t>0.008%</w:t>
            </w:r>
          </w:p>
        </w:tc>
        <w:tc>
          <w:tcPr>
            <w:tcW w:w="1799" w:type="dxa"/>
            <w:vAlign w:val="center"/>
          </w:tcPr>
          <w:p w14:paraId="74F21DD0">
            <w:pPr>
              <w:widowControl/>
              <w:ind w:firstLine="420"/>
              <w:jc w:val="left"/>
              <w:rPr>
                <w:rFonts w:hint="eastAsia" w:ascii="宋体" w:hAnsi="宋体"/>
                <w:szCs w:val="21"/>
              </w:rPr>
            </w:pPr>
            <w:r>
              <w:rPr>
                <w:rFonts w:hint="eastAsia" w:ascii="宋体" w:hAnsi="宋体"/>
                <w:szCs w:val="21"/>
              </w:rPr>
              <w:t>0.008%</w:t>
            </w:r>
          </w:p>
        </w:tc>
      </w:tr>
      <w:tr w14:paraId="35F8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8031E2E">
            <w:pPr>
              <w:widowControl/>
              <w:ind w:firstLine="420"/>
              <w:jc w:val="left"/>
              <w:rPr>
                <w:rFonts w:hint="eastAsia" w:ascii="宋体" w:hAnsi="宋体"/>
                <w:szCs w:val="21"/>
              </w:rPr>
            </w:pPr>
            <w:r>
              <w:rPr>
                <w:rFonts w:hint="eastAsia" w:ascii="宋体" w:hAnsi="宋体"/>
                <w:szCs w:val="21"/>
              </w:rPr>
              <w:t>50亿元（含）-100亿元</w:t>
            </w:r>
          </w:p>
        </w:tc>
        <w:tc>
          <w:tcPr>
            <w:tcW w:w="1799" w:type="dxa"/>
            <w:vAlign w:val="center"/>
          </w:tcPr>
          <w:p w14:paraId="71135D78">
            <w:pPr>
              <w:widowControl/>
              <w:ind w:firstLine="420"/>
              <w:jc w:val="left"/>
              <w:rPr>
                <w:rFonts w:hint="eastAsia" w:ascii="宋体" w:hAnsi="宋体"/>
                <w:szCs w:val="21"/>
              </w:rPr>
            </w:pPr>
            <w:r>
              <w:rPr>
                <w:rFonts w:hint="eastAsia" w:ascii="宋体" w:hAnsi="宋体"/>
                <w:szCs w:val="21"/>
              </w:rPr>
              <w:t>0.006%</w:t>
            </w:r>
          </w:p>
        </w:tc>
        <w:tc>
          <w:tcPr>
            <w:tcW w:w="1799" w:type="dxa"/>
            <w:vAlign w:val="center"/>
          </w:tcPr>
          <w:p w14:paraId="45EA617E">
            <w:pPr>
              <w:widowControl/>
              <w:ind w:firstLine="420"/>
              <w:jc w:val="left"/>
              <w:rPr>
                <w:rFonts w:hint="eastAsia" w:ascii="宋体" w:hAnsi="宋体"/>
                <w:szCs w:val="21"/>
              </w:rPr>
            </w:pPr>
            <w:r>
              <w:rPr>
                <w:rFonts w:hint="eastAsia" w:ascii="宋体" w:hAnsi="宋体"/>
                <w:szCs w:val="21"/>
              </w:rPr>
              <w:t>0.006%</w:t>
            </w:r>
          </w:p>
        </w:tc>
        <w:tc>
          <w:tcPr>
            <w:tcW w:w="1799" w:type="dxa"/>
            <w:vAlign w:val="center"/>
          </w:tcPr>
          <w:p w14:paraId="68F9D63D">
            <w:pPr>
              <w:widowControl/>
              <w:ind w:firstLine="420"/>
              <w:jc w:val="left"/>
              <w:rPr>
                <w:rFonts w:hint="eastAsia" w:ascii="宋体" w:hAnsi="宋体"/>
                <w:szCs w:val="21"/>
              </w:rPr>
            </w:pPr>
            <w:r>
              <w:rPr>
                <w:rFonts w:hint="eastAsia" w:ascii="宋体" w:hAnsi="宋体"/>
                <w:szCs w:val="21"/>
              </w:rPr>
              <w:t>0.006%</w:t>
            </w:r>
          </w:p>
        </w:tc>
      </w:tr>
      <w:tr w14:paraId="5818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261FAC3">
            <w:pPr>
              <w:widowControl/>
              <w:ind w:firstLine="420"/>
              <w:jc w:val="left"/>
              <w:rPr>
                <w:rFonts w:hint="eastAsia" w:ascii="宋体" w:hAnsi="宋体"/>
                <w:szCs w:val="21"/>
              </w:rPr>
            </w:pPr>
            <w:r>
              <w:rPr>
                <w:rFonts w:hint="eastAsia" w:ascii="宋体" w:hAnsi="宋体"/>
                <w:szCs w:val="21"/>
              </w:rPr>
              <w:t>100亿元（含）以上</w:t>
            </w:r>
          </w:p>
        </w:tc>
        <w:tc>
          <w:tcPr>
            <w:tcW w:w="1799" w:type="dxa"/>
            <w:vAlign w:val="center"/>
          </w:tcPr>
          <w:p w14:paraId="573715EF">
            <w:pPr>
              <w:widowControl/>
              <w:ind w:firstLine="420"/>
              <w:jc w:val="left"/>
              <w:rPr>
                <w:rFonts w:hint="eastAsia" w:ascii="宋体" w:hAnsi="宋体"/>
                <w:szCs w:val="21"/>
              </w:rPr>
            </w:pPr>
            <w:r>
              <w:rPr>
                <w:rFonts w:hint="eastAsia" w:ascii="宋体" w:hAnsi="宋体"/>
                <w:szCs w:val="21"/>
              </w:rPr>
              <w:t>0.004%</w:t>
            </w:r>
          </w:p>
        </w:tc>
        <w:tc>
          <w:tcPr>
            <w:tcW w:w="1799" w:type="dxa"/>
            <w:vAlign w:val="center"/>
          </w:tcPr>
          <w:p w14:paraId="13F315F7">
            <w:pPr>
              <w:widowControl/>
              <w:ind w:firstLine="420"/>
              <w:jc w:val="left"/>
              <w:rPr>
                <w:rFonts w:hint="eastAsia" w:ascii="宋体" w:hAnsi="宋体"/>
                <w:szCs w:val="21"/>
              </w:rPr>
            </w:pPr>
            <w:r>
              <w:rPr>
                <w:rFonts w:hint="eastAsia" w:ascii="宋体" w:hAnsi="宋体"/>
                <w:szCs w:val="21"/>
              </w:rPr>
              <w:t>0.004%</w:t>
            </w:r>
          </w:p>
        </w:tc>
        <w:tc>
          <w:tcPr>
            <w:tcW w:w="1799" w:type="dxa"/>
            <w:vAlign w:val="center"/>
          </w:tcPr>
          <w:p w14:paraId="587A4257">
            <w:pPr>
              <w:widowControl/>
              <w:ind w:firstLine="420"/>
              <w:jc w:val="left"/>
              <w:rPr>
                <w:rFonts w:hint="eastAsia" w:ascii="宋体" w:hAnsi="宋体"/>
                <w:szCs w:val="21"/>
              </w:rPr>
            </w:pPr>
            <w:r>
              <w:rPr>
                <w:rFonts w:hint="eastAsia" w:ascii="宋体" w:hAnsi="宋体"/>
                <w:szCs w:val="21"/>
              </w:rPr>
              <w:t>0.004%</w:t>
            </w:r>
          </w:p>
        </w:tc>
      </w:tr>
    </w:tbl>
    <w:p w14:paraId="3E863C99">
      <w:pPr>
        <w:widowControl/>
        <w:ind w:firstLine="420"/>
        <w:jc w:val="left"/>
        <w:rPr>
          <w:rFonts w:hint="eastAsia" w:ascii="宋体" w:hAnsi="宋体"/>
          <w:szCs w:val="21"/>
        </w:rPr>
      </w:pPr>
      <w:r>
        <w:rPr>
          <w:rFonts w:hint="eastAsia" w:ascii="宋体" w:hAnsi="宋体"/>
          <w:szCs w:val="21"/>
        </w:rPr>
        <w:t>备注：1.每宗交易代理服务费不低于 5000 元；</w:t>
      </w:r>
    </w:p>
    <w:p w14:paraId="6DEDC7F2">
      <w:pPr>
        <w:widowControl/>
        <w:ind w:firstLine="420"/>
        <w:jc w:val="left"/>
        <w:rPr>
          <w:rFonts w:hint="eastAsia" w:ascii="宋体" w:hAnsi="宋体"/>
          <w:szCs w:val="21"/>
        </w:rPr>
      </w:pPr>
      <w:r>
        <w:rPr>
          <w:rFonts w:hint="eastAsia" w:ascii="宋体" w:hAnsi="宋体"/>
          <w:szCs w:val="21"/>
        </w:rPr>
        <w:t>2.对于报总价的采购类项目，中标（成交）价为中标（成交）金额；对于报单价或折扣或费率的采购类项目，中标（成交）价为预算上限金额或经委托方与代理方确定的支付上限金额。</w:t>
      </w:r>
    </w:p>
    <w:p w14:paraId="09FBCDAB">
      <w:pPr>
        <w:widowControl/>
        <w:ind w:firstLine="420"/>
        <w:jc w:val="left"/>
        <w:rPr>
          <w:rFonts w:hint="eastAsia" w:ascii="宋体" w:hAnsi="宋体"/>
          <w:szCs w:val="21"/>
        </w:rPr>
      </w:pPr>
      <w:r>
        <w:rPr>
          <w:rFonts w:hint="eastAsia" w:ascii="宋体" w:hAnsi="宋体"/>
          <w:szCs w:val="21"/>
        </w:rPr>
        <w:t>如某货物采购项目，中标（成交）金额为600万元，总共交纳的代理服务费的具体计算过程如下：</w:t>
      </w:r>
    </w:p>
    <w:p w14:paraId="560BA83A">
      <w:pPr>
        <w:widowControl/>
        <w:ind w:firstLine="420"/>
        <w:jc w:val="left"/>
        <w:rPr>
          <w:rFonts w:hint="eastAsia" w:ascii="宋体" w:hAnsi="宋体"/>
          <w:szCs w:val="21"/>
        </w:rPr>
      </w:pPr>
      <w:r>
        <w:rPr>
          <w:rFonts w:hint="eastAsia" w:ascii="宋体" w:hAnsi="宋体"/>
          <w:szCs w:val="21"/>
        </w:rPr>
        <w:t>标准代理服务费＝（100万以下部分的代理服务费）+（100万～500万部分的代理服务费）+（500万～600万部分的代理服务费）＝100万元×1.5%+（500-100）万元×1.1%+（600-500）万元×0.8%=1.5万元+4.4万元+0.8万元＝6.7万元</w:t>
      </w:r>
    </w:p>
    <w:p w14:paraId="17E2A11D">
      <w:pPr>
        <w:widowControl/>
        <w:ind w:firstLine="420"/>
        <w:jc w:val="left"/>
        <w:rPr>
          <w:rFonts w:hint="eastAsia" w:ascii="宋体" w:hAnsi="宋体" w:eastAsia="黑体" w:cs="Times New Roman"/>
          <w:bCs/>
          <w:kern w:val="44"/>
          <w:sz w:val="28"/>
          <w:szCs w:val="44"/>
        </w:rPr>
      </w:pPr>
      <w:r>
        <w:rPr>
          <w:rFonts w:hint="eastAsia" w:ascii="宋体" w:hAnsi="宋体"/>
          <w:szCs w:val="21"/>
        </w:rPr>
        <w:t>（3）中标（成交）供应商成交后，必须按规定采用银行对公转账方式向深圳交易集团有限公司直接交纳代理服务费，交纳信息及要求按照缴款（付款）通知书执行。</w:t>
      </w:r>
    </w:p>
    <w:p w14:paraId="23A834BF">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14:paraId="7F7FBC1B">
      <w:pPr>
        <w:keepNext/>
        <w:keepLines/>
        <w:tabs>
          <w:tab w:val="left" w:pos="1680"/>
        </w:tabs>
        <w:spacing w:before="260" w:after="78" w:afterLines="25"/>
        <w:jc w:val="center"/>
        <w:outlineLvl w:val="2"/>
        <w:rPr>
          <w:rFonts w:ascii="Arial" w:hAnsi="Arial" w:eastAsia="宋体" w:cs="Times New Roman"/>
          <w:b/>
          <w:sz w:val="32"/>
          <w:szCs w:val="32"/>
        </w:rPr>
      </w:pPr>
      <w:bookmarkStart w:id="109" w:name="_GoBack"/>
      <w:bookmarkEnd w:id="109"/>
      <w:r>
        <w:rPr>
          <w:rFonts w:hint="eastAsia" w:ascii="Arial" w:hAnsi="Arial" w:eastAsia="宋体" w:cs="Times New Roman"/>
          <w:b/>
          <w:sz w:val="32"/>
          <w:szCs w:val="32"/>
        </w:rPr>
        <w:t>一、项目基本信息</w:t>
      </w:r>
    </w:p>
    <w:tbl>
      <w:tblPr>
        <w:tblStyle w:val="16"/>
        <w:tblW w:w="8742" w:type="dxa"/>
        <w:jc w:val="center"/>
        <w:tblLayout w:type="fixed"/>
        <w:tblCellMar>
          <w:top w:w="15" w:type="dxa"/>
          <w:left w:w="15" w:type="dxa"/>
          <w:bottom w:w="15" w:type="dxa"/>
          <w:right w:w="15" w:type="dxa"/>
        </w:tblCellMar>
      </w:tblPr>
      <w:tblGrid>
        <w:gridCol w:w="570"/>
        <w:gridCol w:w="3163"/>
        <w:gridCol w:w="2906"/>
        <w:gridCol w:w="2103"/>
      </w:tblGrid>
      <w:tr w14:paraId="33464CBA">
        <w:tblPrEx>
          <w:tblCellMar>
            <w:top w:w="15" w:type="dxa"/>
            <w:left w:w="15" w:type="dxa"/>
            <w:bottom w:w="15" w:type="dxa"/>
            <w:right w:w="15" w:type="dxa"/>
          </w:tblCellMar>
        </w:tblPrEx>
        <w:trPr>
          <w:trHeight w:val="552" w:hRule="atLeast"/>
          <w:jc w:val="center"/>
        </w:trPr>
        <w:tc>
          <w:tcPr>
            <w:tcW w:w="57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14:paraId="3ACF9EA1">
            <w:pPr>
              <w:jc w:val="center"/>
              <w:rPr>
                <w:rFonts w:hint="eastAsia" w:ascii="宋体" w:hAnsi="宋体" w:eastAsia="宋体" w:cs="宋体"/>
                <w:szCs w:val="21"/>
              </w:rPr>
            </w:pPr>
            <w:r>
              <w:rPr>
                <w:rFonts w:hint="eastAsia" w:ascii="宋体" w:hAnsi="宋体" w:eastAsia="宋体" w:cs="宋体"/>
                <w:szCs w:val="21"/>
              </w:rPr>
              <w:t>序号</w:t>
            </w:r>
          </w:p>
        </w:tc>
        <w:tc>
          <w:tcPr>
            <w:tcW w:w="316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14:paraId="317AB856">
            <w:pPr>
              <w:jc w:val="center"/>
              <w:rPr>
                <w:rFonts w:hint="eastAsia" w:ascii="宋体" w:hAnsi="宋体" w:eastAsia="宋体" w:cs="宋体"/>
                <w:szCs w:val="21"/>
              </w:rPr>
            </w:pPr>
            <w:r>
              <w:rPr>
                <w:rFonts w:hint="eastAsia" w:ascii="宋体" w:hAnsi="宋体" w:eastAsia="宋体" w:cs="宋体"/>
                <w:szCs w:val="21"/>
              </w:rPr>
              <w:t>项目编号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69222BE0">
            <w:pPr>
              <w:jc w:val="center"/>
              <w:rPr>
                <w:rFonts w:hint="eastAsia" w:ascii="宋体" w:hAnsi="宋体" w:eastAsia="宋体" w:cs="宋体"/>
                <w:szCs w:val="21"/>
              </w:rPr>
            </w:pPr>
            <w:r>
              <w:rPr>
                <w:rFonts w:hint="eastAsia" w:ascii="宋体" w:hAnsi="宋体" w:eastAsia="宋体" w:cs="宋体"/>
                <w:szCs w:val="21"/>
              </w:rPr>
              <w:t>采购项目名称</w:t>
            </w:r>
          </w:p>
        </w:tc>
        <w:tc>
          <w:tcPr>
            <w:tcW w:w="2103"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7857068C">
            <w:pPr>
              <w:jc w:val="center"/>
              <w:rPr>
                <w:rFonts w:hint="eastAsia" w:ascii="宋体" w:hAnsi="宋体" w:eastAsia="宋体" w:cs="宋体"/>
                <w:szCs w:val="21"/>
              </w:rPr>
            </w:pPr>
            <w:r>
              <w:rPr>
                <w:rFonts w:hint="eastAsia" w:ascii="宋体" w:hAnsi="宋体" w:eastAsia="宋体" w:cs="宋体"/>
                <w:szCs w:val="21"/>
              </w:rPr>
              <w:t>财政预算限额（元）</w:t>
            </w:r>
          </w:p>
        </w:tc>
      </w:tr>
      <w:tr w14:paraId="3C81CA2D">
        <w:tblPrEx>
          <w:tblCellMar>
            <w:top w:w="15" w:type="dxa"/>
            <w:left w:w="15" w:type="dxa"/>
            <w:bottom w:w="15" w:type="dxa"/>
            <w:right w:w="15" w:type="dxa"/>
          </w:tblCellMar>
        </w:tblPrEx>
        <w:trPr>
          <w:trHeight w:val="286" w:hRule="atLeast"/>
          <w:jc w:val="center"/>
        </w:trPr>
        <w:tc>
          <w:tcPr>
            <w:tcW w:w="570" w:type="dxa"/>
            <w:tcBorders>
              <w:top w:val="single" w:color="000000" w:sz="4" w:space="0"/>
              <w:left w:val="single" w:color="000000" w:sz="4" w:space="0"/>
              <w:bottom w:val="single" w:color="000000" w:sz="4" w:space="0"/>
              <w:right w:val="single" w:color="auto" w:sz="4" w:space="0"/>
            </w:tcBorders>
            <w:vAlign w:val="center"/>
          </w:tcPr>
          <w:p w14:paraId="2B7CE30A">
            <w:pPr>
              <w:jc w:val="center"/>
              <w:rPr>
                <w:rFonts w:hint="eastAsia" w:ascii="宋体" w:hAnsi="宋体" w:eastAsia="宋体" w:cs="宋体"/>
                <w:szCs w:val="21"/>
              </w:rPr>
            </w:pPr>
            <w:r>
              <w:rPr>
                <w:rFonts w:hint="eastAsia" w:ascii="宋体" w:hAnsi="宋体" w:eastAsia="宋体" w:cs="宋体"/>
                <w:szCs w:val="21"/>
              </w:rPr>
              <w:t>1</w:t>
            </w:r>
          </w:p>
        </w:tc>
        <w:tc>
          <w:tcPr>
            <w:tcW w:w="3163" w:type="dxa"/>
            <w:tcBorders>
              <w:top w:val="single" w:color="000000" w:sz="4" w:space="0"/>
              <w:left w:val="single" w:color="auto" w:sz="4" w:space="0"/>
              <w:bottom w:val="single" w:color="000000" w:sz="4" w:space="0"/>
              <w:right w:val="single" w:color="000000" w:sz="4" w:space="0"/>
            </w:tcBorders>
            <w:vAlign w:val="center"/>
          </w:tcPr>
          <w:p w14:paraId="09435FD5">
            <w:pPr>
              <w:jc w:val="center"/>
              <w:rPr>
                <w:rFonts w:hint="eastAsia" w:ascii="宋体" w:hAnsi="宋体" w:eastAsia="宋体" w:cs="宋体"/>
                <w:szCs w:val="21"/>
              </w:rPr>
            </w:pPr>
            <w:r>
              <w:rPr>
                <w:rFonts w:hint="eastAsia" w:ascii="宋体" w:hAnsi="宋体" w:eastAsia="宋体" w:cs="宋体"/>
                <w:szCs w:val="21"/>
              </w:rPr>
              <w:t>LHAZXCG-2024-00040</w:t>
            </w:r>
          </w:p>
        </w:tc>
        <w:tc>
          <w:tcPr>
            <w:tcW w:w="2906" w:type="dxa"/>
            <w:tcBorders>
              <w:top w:val="single" w:color="000000" w:sz="4" w:space="0"/>
              <w:left w:val="single" w:color="000000" w:sz="4" w:space="0"/>
              <w:right w:val="single" w:color="000000" w:sz="4" w:space="0"/>
            </w:tcBorders>
            <w:vAlign w:val="center"/>
          </w:tcPr>
          <w:p w14:paraId="0486E462">
            <w:pPr>
              <w:jc w:val="center"/>
              <w:rPr>
                <w:rFonts w:hint="eastAsia" w:ascii="宋体" w:hAnsi="宋体" w:eastAsia="宋体" w:cs="宋体"/>
                <w:szCs w:val="21"/>
              </w:rPr>
            </w:pPr>
            <w:r>
              <w:rPr>
                <w:rFonts w:hint="eastAsia" w:ascii="宋体" w:hAnsi="宋体" w:eastAsia="宋体" w:cs="宋体"/>
                <w:spacing w:val="8"/>
                <w:szCs w:val="21"/>
              </w:rPr>
              <w:t>心理咨询室及教师阅览室设施设备采购</w:t>
            </w:r>
          </w:p>
        </w:tc>
        <w:tc>
          <w:tcPr>
            <w:tcW w:w="2103" w:type="dxa"/>
            <w:vMerge w:val="restart"/>
            <w:tcBorders>
              <w:top w:val="single" w:color="000000" w:sz="4" w:space="0"/>
              <w:left w:val="single" w:color="000000" w:sz="4" w:space="0"/>
              <w:right w:val="single" w:color="000000" w:sz="4" w:space="0"/>
            </w:tcBorders>
            <w:vAlign w:val="center"/>
          </w:tcPr>
          <w:p w14:paraId="6F1085C3">
            <w:pPr>
              <w:jc w:val="center"/>
              <w:rPr>
                <w:rFonts w:hint="eastAsia" w:ascii="宋体" w:hAnsi="宋体" w:eastAsia="宋体" w:cs="宋体"/>
                <w:szCs w:val="21"/>
              </w:rPr>
            </w:pPr>
            <w:r>
              <w:rPr>
                <w:rFonts w:hint="eastAsia" w:ascii="宋体" w:hAnsi="宋体" w:eastAsia="宋体" w:cs="宋体"/>
                <w:szCs w:val="21"/>
              </w:rPr>
              <w:t>450000</w:t>
            </w:r>
          </w:p>
        </w:tc>
      </w:tr>
      <w:tr w14:paraId="76E08BBE">
        <w:tblPrEx>
          <w:tblCellMar>
            <w:top w:w="15" w:type="dxa"/>
            <w:left w:w="15" w:type="dxa"/>
            <w:bottom w:w="15" w:type="dxa"/>
            <w:right w:w="15" w:type="dxa"/>
          </w:tblCellMar>
        </w:tblPrEx>
        <w:trPr>
          <w:trHeight w:val="172" w:hRule="atLeast"/>
          <w:jc w:val="center"/>
        </w:trPr>
        <w:tc>
          <w:tcPr>
            <w:tcW w:w="6639" w:type="dxa"/>
            <w:gridSpan w:val="3"/>
            <w:tcBorders>
              <w:top w:val="single" w:color="000000" w:sz="4" w:space="0"/>
              <w:left w:val="single" w:color="000000" w:sz="4" w:space="0"/>
              <w:bottom w:val="single" w:color="auto" w:sz="4" w:space="0"/>
              <w:right w:val="single" w:color="000000" w:sz="4" w:space="0"/>
            </w:tcBorders>
            <w:vAlign w:val="center"/>
          </w:tcPr>
          <w:p w14:paraId="57A5C853">
            <w:pPr>
              <w:jc w:val="center"/>
              <w:rPr>
                <w:rFonts w:hint="eastAsia" w:ascii="宋体" w:hAnsi="宋体" w:eastAsia="宋体" w:cs="宋体"/>
                <w:szCs w:val="21"/>
              </w:rPr>
            </w:pPr>
            <w:r>
              <w:rPr>
                <w:rFonts w:hint="eastAsia" w:ascii="宋体" w:hAnsi="宋体" w:eastAsia="宋体" w:cs="宋体"/>
                <w:szCs w:val="21"/>
              </w:rPr>
              <w:t>合计（元）</w:t>
            </w:r>
          </w:p>
        </w:tc>
        <w:tc>
          <w:tcPr>
            <w:tcW w:w="2103" w:type="dxa"/>
            <w:vMerge w:val="continue"/>
            <w:tcBorders>
              <w:left w:val="single" w:color="000000" w:sz="4" w:space="0"/>
              <w:bottom w:val="single" w:color="auto" w:sz="4" w:space="0"/>
              <w:right w:val="single" w:color="000000" w:sz="4" w:space="0"/>
            </w:tcBorders>
            <w:vAlign w:val="center"/>
          </w:tcPr>
          <w:p w14:paraId="058B64BA">
            <w:pPr>
              <w:jc w:val="center"/>
              <w:rPr>
                <w:rFonts w:hint="eastAsia" w:ascii="宋体" w:hAnsi="宋体" w:eastAsia="宋体" w:cs="宋体"/>
                <w:szCs w:val="21"/>
              </w:rPr>
            </w:pPr>
          </w:p>
        </w:tc>
      </w:tr>
    </w:tbl>
    <w:p w14:paraId="1C89314E">
      <w:pPr>
        <w:keepNext/>
        <w:keepLines/>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二、货物清单明细</w:t>
      </w:r>
    </w:p>
    <w:tbl>
      <w:tblPr>
        <w:tblStyle w:val="16"/>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012"/>
        <w:gridCol w:w="687"/>
        <w:gridCol w:w="613"/>
        <w:gridCol w:w="825"/>
        <w:gridCol w:w="840"/>
        <w:gridCol w:w="1634"/>
        <w:gridCol w:w="1175"/>
        <w:gridCol w:w="1225"/>
      </w:tblGrid>
      <w:tr w14:paraId="6DE0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510" w:type="dxa"/>
            <w:vMerge w:val="restart"/>
            <w:vAlign w:val="center"/>
          </w:tcPr>
          <w:p w14:paraId="3BB4CB45">
            <w:pPr>
              <w:jc w:val="center"/>
              <w:rPr>
                <w:rFonts w:hint="eastAsia" w:asciiTheme="minorEastAsia" w:hAnsiTheme="minorEastAsia" w:cstheme="minorEastAsia"/>
                <w:bCs/>
                <w:szCs w:val="21"/>
              </w:rPr>
            </w:pPr>
            <w:r>
              <w:rPr>
                <w:rFonts w:hint="eastAsia" w:asciiTheme="minorEastAsia" w:hAnsiTheme="minorEastAsia" w:cstheme="minorEastAsia"/>
                <w:bCs/>
                <w:szCs w:val="21"/>
              </w:rPr>
              <w:t>序号</w:t>
            </w:r>
          </w:p>
        </w:tc>
        <w:tc>
          <w:tcPr>
            <w:tcW w:w="2012" w:type="dxa"/>
            <w:vMerge w:val="restart"/>
            <w:vAlign w:val="center"/>
          </w:tcPr>
          <w:p w14:paraId="6D8BF66A">
            <w:pPr>
              <w:jc w:val="center"/>
              <w:rPr>
                <w:rFonts w:hint="eastAsia" w:asciiTheme="minorEastAsia" w:hAnsiTheme="minorEastAsia" w:cstheme="minorEastAsia"/>
                <w:bCs/>
                <w:szCs w:val="21"/>
              </w:rPr>
            </w:pPr>
            <w:r>
              <w:rPr>
                <w:rFonts w:hint="eastAsia" w:asciiTheme="minorEastAsia" w:hAnsiTheme="minorEastAsia" w:cstheme="minorEastAsia"/>
                <w:bCs/>
                <w:szCs w:val="21"/>
              </w:rPr>
              <w:t>货物名称</w:t>
            </w:r>
          </w:p>
          <w:p w14:paraId="0EF2610E">
            <w:pPr>
              <w:jc w:val="center"/>
              <w:rPr>
                <w:rFonts w:hint="eastAsia" w:asciiTheme="minorEastAsia" w:hAnsiTheme="minorEastAsia" w:cstheme="minorEastAsia"/>
                <w:bCs/>
                <w:szCs w:val="21"/>
              </w:rPr>
            </w:pPr>
            <w:r>
              <w:rPr>
                <w:rFonts w:hint="eastAsia" w:asciiTheme="minorEastAsia" w:hAnsiTheme="minorEastAsia" w:cstheme="minorEastAsia"/>
                <w:bCs/>
                <w:szCs w:val="21"/>
              </w:rPr>
              <w:t>（标的名称）</w:t>
            </w:r>
          </w:p>
        </w:tc>
        <w:tc>
          <w:tcPr>
            <w:tcW w:w="687" w:type="dxa"/>
            <w:vMerge w:val="restart"/>
            <w:vAlign w:val="center"/>
          </w:tcPr>
          <w:p w14:paraId="4D61CC33">
            <w:pPr>
              <w:jc w:val="center"/>
              <w:rPr>
                <w:rFonts w:hint="eastAsia" w:asciiTheme="minorEastAsia" w:hAnsiTheme="minorEastAsia" w:cstheme="minorEastAsia"/>
                <w:bCs/>
                <w:szCs w:val="21"/>
              </w:rPr>
            </w:pPr>
            <w:r>
              <w:rPr>
                <w:rFonts w:hint="eastAsia" w:asciiTheme="minorEastAsia" w:hAnsiTheme="minorEastAsia" w:cstheme="minorEastAsia"/>
                <w:bCs/>
                <w:szCs w:val="21"/>
              </w:rPr>
              <w:t>数量</w:t>
            </w:r>
          </w:p>
        </w:tc>
        <w:tc>
          <w:tcPr>
            <w:tcW w:w="613" w:type="dxa"/>
            <w:vMerge w:val="restart"/>
            <w:vAlign w:val="center"/>
          </w:tcPr>
          <w:p w14:paraId="40A4F36F">
            <w:pPr>
              <w:jc w:val="center"/>
              <w:rPr>
                <w:rFonts w:hint="eastAsia" w:asciiTheme="minorEastAsia" w:hAnsiTheme="minorEastAsia" w:cstheme="minorEastAsia"/>
                <w:bCs/>
                <w:szCs w:val="21"/>
              </w:rPr>
            </w:pPr>
            <w:r>
              <w:rPr>
                <w:rFonts w:hint="eastAsia" w:asciiTheme="minorEastAsia" w:hAnsiTheme="minorEastAsia" w:cstheme="minorEastAsia"/>
                <w:bCs/>
                <w:szCs w:val="21"/>
              </w:rPr>
              <w:t>单位</w:t>
            </w:r>
          </w:p>
        </w:tc>
        <w:tc>
          <w:tcPr>
            <w:tcW w:w="825" w:type="dxa"/>
            <w:vMerge w:val="restart"/>
            <w:vAlign w:val="center"/>
          </w:tcPr>
          <w:p w14:paraId="33C05EB1">
            <w:pPr>
              <w:jc w:val="center"/>
              <w:rPr>
                <w:rFonts w:hint="eastAsia" w:asciiTheme="minorEastAsia" w:hAnsiTheme="minorEastAsia" w:cstheme="minorEastAsia"/>
                <w:bCs/>
                <w:szCs w:val="21"/>
              </w:rPr>
            </w:pPr>
            <w:r>
              <w:rPr>
                <w:rFonts w:hint="eastAsia" w:asciiTheme="minorEastAsia" w:hAnsiTheme="minorEastAsia" w:cstheme="minorEastAsia"/>
                <w:bCs/>
                <w:szCs w:val="21"/>
              </w:rPr>
              <w:t>所属行业</w:t>
            </w:r>
          </w:p>
        </w:tc>
        <w:tc>
          <w:tcPr>
            <w:tcW w:w="2474" w:type="dxa"/>
            <w:gridSpan w:val="2"/>
            <w:vAlign w:val="center"/>
          </w:tcPr>
          <w:p w14:paraId="095B797E">
            <w:pPr>
              <w:jc w:val="center"/>
              <w:rPr>
                <w:rFonts w:hint="eastAsia" w:asciiTheme="minorEastAsia" w:hAnsiTheme="minorEastAsia" w:cstheme="minorEastAsia"/>
                <w:bCs/>
                <w:szCs w:val="21"/>
              </w:rPr>
            </w:pPr>
            <w:r>
              <w:rPr>
                <w:rFonts w:hint="eastAsia" w:asciiTheme="minorEastAsia" w:hAnsiTheme="minorEastAsia" w:cstheme="minorEastAsia"/>
                <w:b/>
                <w:color w:val="FF0000"/>
                <w:szCs w:val="21"/>
              </w:rPr>
              <w:t>单价最高限额（元）</w:t>
            </w:r>
          </w:p>
        </w:tc>
        <w:tc>
          <w:tcPr>
            <w:tcW w:w="1175" w:type="dxa"/>
            <w:vMerge w:val="restart"/>
            <w:vAlign w:val="center"/>
          </w:tcPr>
          <w:p w14:paraId="2A80B780">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备注</w:t>
            </w:r>
          </w:p>
        </w:tc>
        <w:tc>
          <w:tcPr>
            <w:tcW w:w="1225" w:type="dxa"/>
            <w:vMerge w:val="restart"/>
            <w:vAlign w:val="center"/>
          </w:tcPr>
          <w:p w14:paraId="2E38CB4C">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财政预算限额（元）</w:t>
            </w:r>
          </w:p>
        </w:tc>
      </w:tr>
      <w:tr w14:paraId="4830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510" w:type="dxa"/>
            <w:vMerge w:val="continue"/>
            <w:vAlign w:val="center"/>
          </w:tcPr>
          <w:p w14:paraId="1773AAC6">
            <w:pPr>
              <w:jc w:val="center"/>
              <w:rPr>
                <w:rFonts w:hint="eastAsia" w:asciiTheme="minorEastAsia" w:hAnsiTheme="minorEastAsia" w:cstheme="minorEastAsia"/>
                <w:bCs/>
                <w:szCs w:val="21"/>
              </w:rPr>
            </w:pPr>
          </w:p>
        </w:tc>
        <w:tc>
          <w:tcPr>
            <w:tcW w:w="2012" w:type="dxa"/>
            <w:vMerge w:val="continue"/>
            <w:vAlign w:val="center"/>
          </w:tcPr>
          <w:p w14:paraId="1D24DD0D">
            <w:pPr>
              <w:jc w:val="center"/>
              <w:rPr>
                <w:rFonts w:hint="eastAsia" w:asciiTheme="minorEastAsia" w:hAnsiTheme="minorEastAsia" w:cstheme="minorEastAsia"/>
                <w:bCs/>
                <w:szCs w:val="21"/>
              </w:rPr>
            </w:pPr>
          </w:p>
        </w:tc>
        <w:tc>
          <w:tcPr>
            <w:tcW w:w="687" w:type="dxa"/>
            <w:vMerge w:val="continue"/>
            <w:vAlign w:val="center"/>
          </w:tcPr>
          <w:p w14:paraId="6CF195A7">
            <w:pPr>
              <w:jc w:val="center"/>
              <w:rPr>
                <w:rFonts w:hint="eastAsia" w:asciiTheme="minorEastAsia" w:hAnsiTheme="minorEastAsia" w:cstheme="minorEastAsia"/>
                <w:bCs/>
                <w:szCs w:val="21"/>
              </w:rPr>
            </w:pPr>
          </w:p>
        </w:tc>
        <w:tc>
          <w:tcPr>
            <w:tcW w:w="613" w:type="dxa"/>
            <w:vMerge w:val="continue"/>
            <w:vAlign w:val="center"/>
          </w:tcPr>
          <w:p w14:paraId="6718510F">
            <w:pPr>
              <w:jc w:val="center"/>
              <w:rPr>
                <w:rFonts w:hint="eastAsia" w:asciiTheme="minorEastAsia" w:hAnsiTheme="minorEastAsia" w:cstheme="minorEastAsia"/>
                <w:bCs/>
                <w:szCs w:val="21"/>
              </w:rPr>
            </w:pPr>
          </w:p>
        </w:tc>
        <w:tc>
          <w:tcPr>
            <w:tcW w:w="825" w:type="dxa"/>
            <w:vMerge w:val="continue"/>
            <w:vAlign w:val="center"/>
          </w:tcPr>
          <w:p w14:paraId="79AD728E">
            <w:pPr>
              <w:jc w:val="center"/>
              <w:rPr>
                <w:rFonts w:hint="eastAsia" w:asciiTheme="minorEastAsia" w:hAnsiTheme="minorEastAsia" w:cstheme="minorEastAsia"/>
                <w:bCs/>
                <w:szCs w:val="21"/>
              </w:rPr>
            </w:pPr>
          </w:p>
        </w:tc>
        <w:tc>
          <w:tcPr>
            <w:tcW w:w="840" w:type="dxa"/>
            <w:vAlign w:val="center"/>
          </w:tcPr>
          <w:p w14:paraId="6E1ED0FE">
            <w:pPr>
              <w:jc w:val="center"/>
              <w:rPr>
                <w:rFonts w:hint="eastAsia" w:asciiTheme="minorEastAsia" w:hAnsiTheme="minorEastAsia" w:cstheme="minorEastAsia"/>
                <w:bCs/>
                <w:szCs w:val="21"/>
              </w:rPr>
            </w:pPr>
            <w:r>
              <w:rPr>
                <w:rFonts w:hint="eastAsia" w:asciiTheme="minorEastAsia" w:hAnsiTheme="minorEastAsia" w:cstheme="minorEastAsia"/>
                <w:bCs/>
                <w:szCs w:val="21"/>
              </w:rPr>
              <w:t>单价</w:t>
            </w:r>
          </w:p>
        </w:tc>
        <w:tc>
          <w:tcPr>
            <w:tcW w:w="1634" w:type="dxa"/>
            <w:vAlign w:val="center"/>
          </w:tcPr>
          <w:p w14:paraId="1984E5F7">
            <w:pPr>
              <w:jc w:val="center"/>
              <w:rPr>
                <w:rFonts w:hint="eastAsia" w:asciiTheme="minorEastAsia" w:hAnsiTheme="minorEastAsia" w:cstheme="minorEastAsia"/>
                <w:bCs/>
                <w:szCs w:val="21"/>
              </w:rPr>
            </w:pPr>
            <w:r>
              <w:rPr>
                <w:rFonts w:hint="eastAsia" w:asciiTheme="minorEastAsia" w:hAnsiTheme="minorEastAsia" w:cstheme="minorEastAsia"/>
                <w:bCs/>
                <w:szCs w:val="21"/>
              </w:rPr>
              <w:t>单项总额（单价乘以数量）</w:t>
            </w:r>
          </w:p>
        </w:tc>
        <w:tc>
          <w:tcPr>
            <w:tcW w:w="1175" w:type="dxa"/>
            <w:vMerge w:val="continue"/>
            <w:vAlign w:val="center"/>
          </w:tcPr>
          <w:p w14:paraId="7C7AA8D8">
            <w:pPr>
              <w:jc w:val="center"/>
              <w:rPr>
                <w:rFonts w:hint="eastAsia" w:asciiTheme="minorEastAsia" w:hAnsiTheme="minorEastAsia" w:cstheme="minorEastAsia"/>
                <w:b/>
                <w:bCs/>
                <w:color w:val="FF0000"/>
                <w:szCs w:val="21"/>
              </w:rPr>
            </w:pPr>
          </w:p>
        </w:tc>
        <w:tc>
          <w:tcPr>
            <w:tcW w:w="1225" w:type="dxa"/>
            <w:vMerge w:val="continue"/>
            <w:vAlign w:val="center"/>
          </w:tcPr>
          <w:p w14:paraId="1CD7557F">
            <w:pPr>
              <w:jc w:val="center"/>
              <w:rPr>
                <w:rFonts w:hint="eastAsia" w:asciiTheme="minorEastAsia" w:hAnsiTheme="minorEastAsia" w:cstheme="minorEastAsia"/>
                <w:b/>
                <w:bCs/>
                <w:color w:val="FF0000"/>
                <w:szCs w:val="21"/>
              </w:rPr>
            </w:pPr>
          </w:p>
        </w:tc>
      </w:tr>
      <w:tr w14:paraId="37DE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10" w:type="dxa"/>
            <w:vAlign w:val="center"/>
          </w:tcPr>
          <w:p w14:paraId="5EF142D7">
            <w:pPr>
              <w:widowControl/>
              <w:jc w:val="center"/>
              <w:textAlignment w:val="center"/>
              <w:rPr>
                <w:rFonts w:hint="eastAsia" w:asciiTheme="minorEastAsia" w:hAnsiTheme="minorEastAsia" w:cstheme="minorEastAsia"/>
                <w:szCs w:val="21"/>
              </w:rPr>
            </w:pPr>
            <w:r>
              <w:rPr>
                <w:rFonts w:hint="eastAsia" w:ascii="宋体" w:hAnsi="宋体" w:eastAsia="宋体" w:cs="宋体"/>
                <w:color w:val="000000"/>
                <w:kern w:val="0"/>
                <w:szCs w:val="21"/>
                <w:lang w:bidi="ar"/>
              </w:rPr>
              <w:t>1</w:t>
            </w:r>
          </w:p>
        </w:tc>
        <w:tc>
          <w:tcPr>
            <w:tcW w:w="2012" w:type="dxa"/>
            <w:vAlign w:val="center"/>
          </w:tcPr>
          <w:p w14:paraId="4F26A271">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lang w:bidi="ar"/>
              </w:rPr>
              <w:t>心理挂图</w:t>
            </w:r>
          </w:p>
        </w:tc>
        <w:tc>
          <w:tcPr>
            <w:tcW w:w="687" w:type="dxa"/>
            <w:vAlign w:val="center"/>
          </w:tcPr>
          <w:p w14:paraId="29FF4312">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lang w:bidi="ar"/>
              </w:rPr>
              <w:t>12</w:t>
            </w:r>
          </w:p>
        </w:tc>
        <w:tc>
          <w:tcPr>
            <w:tcW w:w="613" w:type="dxa"/>
            <w:vAlign w:val="center"/>
          </w:tcPr>
          <w:p w14:paraId="397C01E8">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lang w:bidi="ar"/>
              </w:rPr>
              <w:t>幅</w:t>
            </w:r>
          </w:p>
        </w:tc>
        <w:tc>
          <w:tcPr>
            <w:tcW w:w="825" w:type="dxa"/>
          </w:tcPr>
          <w:p w14:paraId="67DD03F3">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12D9207F">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110</w:t>
            </w:r>
          </w:p>
        </w:tc>
        <w:tc>
          <w:tcPr>
            <w:tcW w:w="1634" w:type="dxa"/>
            <w:vAlign w:val="center"/>
          </w:tcPr>
          <w:p w14:paraId="33FB7755">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1320</w:t>
            </w:r>
          </w:p>
        </w:tc>
        <w:tc>
          <w:tcPr>
            <w:tcW w:w="1175" w:type="dxa"/>
          </w:tcPr>
          <w:p w14:paraId="6616A976">
            <w:pPr>
              <w:jc w:val="center"/>
              <w:rPr>
                <w:rFonts w:hint="eastAsia" w:asciiTheme="minorEastAsia" w:hAnsiTheme="minorEastAsia" w:cstheme="minorEastAsia"/>
                <w:szCs w:val="21"/>
              </w:rPr>
            </w:pPr>
            <w:r>
              <w:rPr>
                <w:rFonts w:hint="eastAsia" w:asciiTheme="minorEastAsia" w:hAnsiTheme="minorEastAsia" w:cstheme="minorEastAsia"/>
                <w:b/>
                <w:bCs/>
                <w:color w:val="FF0000"/>
                <w:szCs w:val="21"/>
              </w:rPr>
              <w:t>非进口</w:t>
            </w:r>
          </w:p>
        </w:tc>
        <w:tc>
          <w:tcPr>
            <w:tcW w:w="1225" w:type="dxa"/>
            <w:vMerge w:val="restart"/>
          </w:tcPr>
          <w:p w14:paraId="3CEC0D8C">
            <w:pPr>
              <w:jc w:val="center"/>
              <w:rPr>
                <w:rFonts w:hint="eastAsia" w:asciiTheme="minorEastAsia" w:hAnsiTheme="minorEastAsia" w:cstheme="minorEastAsia"/>
                <w:bCs/>
                <w:szCs w:val="21"/>
              </w:rPr>
            </w:pPr>
            <w:r>
              <w:rPr>
                <w:rFonts w:hint="eastAsia" w:asciiTheme="minorEastAsia" w:hAnsiTheme="minorEastAsia" w:cstheme="minorEastAsia"/>
                <w:szCs w:val="21"/>
              </w:rPr>
              <w:t>450000.00</w:t>
            </w:r>
          </w:p>
        </w:tc>
      </w:tr>
      <w:tr w14:paraId="38EF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10" w:type="dxa"/>
            <w:vAlign w:val="center"/>
          </w:tcPr>
          <w:p w14:paraId="27CC82AC">
            <w:pPr>
              <w:widowControl/>
              <w:jc w:val="center"/>
              <w:textAlignment w:val="center"/>
              <w:rPr>
                <w:rFonts w:hint="eastAsia" w:asciiTheme="minorEastAsia" w:hAnsiTheme="minorEastAsia" w:cstheme="minorEastAsia"/>
                <w:color w:val="000000"/>
                <w:kern w:val="0"/>
                <w:szCs w:val="21"/>
                <w:lang w:bidi="ar"/>
              </w:rPr>
            </w:pPr>
            <w:r>
              <w:rPr>
                <w:rFonts w:hint="eastAsia" w:ascii="宋体" w:hAnsi="宋体" w:eastAsia="宋体" w:cs="宋体"/>
                <w:color w:val="000000"/>
                <w:kern w:val="0"/>
                <w:szCs w:val="21"/>
                <w:lang w:bidi="ar"/>
              </w:rPr>
              <w:t>2</w:t>
            </w:r>
          </w:p>
        </w:tc>
        <w:tc>
          <w:tcPr>
            <w:tcW w:w="2012" w:type="dxa"/>
            <w:vAlign w:val="center"/>
          </w:tcPr>
          <w:p w14:paraId="7C5DCAA0">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三人沙发</w:t>
            </w:r>
          </w:p>
        </w:tc>
        <w:tc>
          <w:tcPr>
            <w:tcW w:w="687" w:type="dxa"/>
            <w:vAlign w:val="center"/>
          </w:tcPr>
          <w:p w14:paraId="7468C0FA">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p>
        </w:tc>
        <w:tc>
          <w:tcPr>
            <w:tcW w:w="613" w:type="dxa"/>
            <w:vAlign w:val="center"/>
          </w:tcPr>
          <w:p w14:paraId="6315E18C">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张</w:t>
            </w:r>
          </w:p>
        </w:tc>
        <w:tc>
          <w:tcPr>
            <w:tcW w:w="825" w:type="dxa"/>
          </w:tcPr>
          <w:p w14:paraId="35D0EAC2">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7248A371">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3000</w:t>
            </w:r>
          </w:p>
        </w:tc>
        <w:tc>
          <w:tcPr>
            <w:tcW w:w="1634" w:type="dxa"/>
            <w:vAlign w:val="center"/>
          </w:tcPr>
          <w:p w14:paraId="7AF132DB">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3000</w:t>
            </w:r>
          </w:p>
        </w:tc>
        <w:tc>
          <w:tcPr>
            <w:tcW w:w="1175" w:type="dxa"/>
          </w:tcPr>
          <w:p w14:paraId="1A63BC40">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非进口</w:t>
            </w:r>
          </w:p>
        </w:tc>
        <w:tc>
          <w:tcPr>
            <w:tcW w:w="1225" w:type="dxa"/>
            <w:vMerge w:val="continue"/>
          </w:tcPr>
          <w:p w14:paraId="3CF758C5">
            <w:pPr>
              <w:jc w:val="center"/>
              <w:rPr>
                <w:rFonts w:hint="eastAsia" w:asciiTheme="minorEastAsia" w:hAnsiTheme="minorEastAsia" w:cstheme="minorEastAsia"/>
                <w:bCs/>
                <w:szCs w:val="21"/>
              </w:rPr>
            </w:pPr>
          </w:p>
        </w:tc>
      </w:tr>
      <w:tr w14:paraId="6252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2F52C40E">
            <w:pPr>
              <w:widowControl/>
              <w:jc w:val="center"/>
              <w:textAlignment w:val="center"/>
              <w:rPr>
                <w:rFonts w:hint="eastAsia" w:asciiTheme="minorEastAsia" w:hAnsiTheme="minorEastAsia" w:cstheme="minorEastAsia"/>
                <w:color w:val="000000"/>
                <w:kern w:val="0"/>
                <w:szCs w:val="21"/>
                <w:lang w:bidi="ar"/>
              </w:rPr>
            </w:pPr>
            <w:r>
              <w:rPr>
                <w:rFonts w:hint="eastAsia" w:ascii="宋体" w:hAnsi="宋体" w:eastAsia="宋体" w:cs="宋体"/>
                <w:color w:val="000000"/>
                <w:kern w:val="0"/>
                <w:szCs w:val="21"/>
                <w:lang w:bidi="ar"/>
              </w:rPr>
              <w:t>3</w:t>
            </w:r>
          </w:p>
        </w:tc>
        <w:tc>
          <w:tcPr>
            <w:tcW w:w="2012" w:type="dxa"/>
            <w:vAlign w:val="center"/>
          </w:tcPr>
          <w:p w14:paraId="432CAFB1">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茶几</w:t>
            </w:r>
          </w:p>
        </w:tc>
        <w:tc>
          <w:tcPr>
            <w:tcW w:w="687" w:type="dxa"/>
            <w:vAlign w:val="center"/>
          </w:tcPr>
          <w:p w14:paraId="4736FC15">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p>
        </w:tc>
        <w:tc>
          <w:tcPr>
            <w:tcW w:w="613" w:type="dxa"/>
            <w:vAlign w:val="center"/>
          </w:tcPr>
          <w:p w14:paraId="5FAA2C93">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个</w:t>
            </w:r>
          </w:p>
        </w:tc>
        <w:tc>
          <w:tcPr>
            <w:tcW w:w="825" w:type="dxa"/>
          </w:tcPr>
          <w:p w14:paraId="725DD27E">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5DAC36E7">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1000</w:t>
            </w:r>
          </w:p>
        </w:tc>
        <w:tc>
          <w:tcPr>
            <w:tcW w:w="1634" w:type="dxa"/>
            <w:vAlign w:val="center"/>
          </w:tcPr>
          <w:p w14:paraId="5D9E01B8">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1000</w:t>
            </w:r>
          </w:p>
        </w:tc>
        <w:tc>
          <w:tcPr>
            <w:tcW w:w="1175" w:type="dxa"/>
          </w:tcPr>
          <w:p w14:paraId="361A42BB">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非进口</w:t>
            </w:r>
          </w:p>
        </w:tc>
        <w:tc>
          <w:tcPr>
            <w:tcW w:w="1225" w:type="dxa"/>
            <w:vMerge w:val="continue"/>
          </w:tcPr>
          <w:p w14:paraId="5E036A60">
            <w:pPr>
              <w:jc w:val="center"/>
              <w:rPr>
                <w:rFonts w:hint="eastAsia" w:asciiTheme="minorEastAsia" w:hAnsiTheme="minorEastAsia" w:cstheme="minorEastAsia"/>
                <w:bCs/>
                <w:szCs w:val="21"/>
              </w:rPr>
            </w:pPr>
          </w:p>
        </w:tc>
      </w:tr>
      <w:tr w14:paraId="48C3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vAlign w:val="center"/>
          </w:tcPr>
          <w:p w14:paraId="08121843">
            <w:pPr>
              <w:widowControl/>
              <w:jc w:val="center"/>
              <w:textAlignment w:val="center"/>
              <w:rPr>
                <w:rFonts w:hint="eastAsia" w:asciiTheme="minorEastAsia" w:hAnsiTheme="minorEastAsia" w:cstheme="minorEastAsia"/>
                <w:szCs w:val="21"/>
              </w:rPr>
            </w:pPr>
            <w:r>
              <w:rPr>
                <w:rFonts w:hint="eastAsia" w:ascii="宋体" w:hAnsi="宋体" w:eastAsia="宋体" w:cs="宋体"/>
                <w:color w:val="000000"/>
                <w:kern w:val="0"/>
                <w:szCs w:val="21"/>
                <w:lang w:bidi="ar"/>
              </w:rPr>
              <w:t>4</w:t>
            </w:r>
          </w:p>
        </w:tc>
        <w:tc>
          <w:tcPr>
            <w:tcW w:w="2012" w:type="dxa"/>
            <w:vAlign w:val="center"/>
          </w:tcPr>
          <w:p w14:paraId="5C607BCA">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lang w:bidi="ar"/>
              </w:rPr>
              <w:t>办公桌</w:t>
            </w:r>
          </w:p>
        </w:tc>
        <w:tc>
          <w:tcPr>
            <w:tcW w:w="687" w:type="dxa"/>
            <w:vAlign w:val="center"/>
          </w:tcPr>
          <w:p w14:paraId="53B8F778">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lang w:bidi="ar"/>
              </w:rPr>
              <w:t>2</w:t>
            </w:r>
          </w:p>
        </w:tc>
        <w:tc>
          <w:tcPr>
            <w:tcW w:w="613" w:type="dxa"/>
            <w:vAlign w:val="center"/>
          </w:tcPr>
          <w:p w14:paraId="67E10240">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lang w:bidi="ar"/>
              </w:rPr>
              <w:t>张</w:t>
            </w:r>
          </w:p>
        </w:tc>
        <w:tc>
          <w:tcPr>
            <w:tcW w:w="825" w:type="dxa"/>
          </w:tcPr>
          <w:p w14:paraId="64027F68">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6010EB74">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3875</w:t>
            </w:r>
          </w:p>
        </w:tc>
        <w:tc>
          <w:tcPr>
            <w:tcW w:w="1634" w:type="dxa"/>
            <w:vAlign w:val="center"/>
          </w:tcPr>
          <w:p w14:paraId="5A3645AA">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7750</w:t>
            </w:r>
          </w:p>
        </w:tc>
        <w:tc>
          <w:tcPr>
            <w:tcW w:w="1175" w:type="dxa"/>
          </w:tcPr>
          <w:p w14:paraId="2EC7CDD2">
            <w:pPr>
              <w:jc w:val="center"/>
              <w:rPr>
                <w:rFonts w:hint="eastAsia" w:asciiTheme="minorEastAsia" w:hAnsiTheme="minorEastAsia" w:cstheme="minorEastAsia"/>
                <w:szCs w:val="21"/>
              </w:rPr>
            </w:pPr>
            <w:r>
              <w:rPr>
                <w:rFonts w:hint="eastAsia" w:asciiTheme="minorEastAsia" w:hAnsiTheme="minorEastAsia" w:cstheme="minorEastAsia"/>
                <w:b/>
                <w:bCs/>
                <w:color w:val="FF0000"/>
                <w:szCs w:val="21"/>
              </w:rPr>
              <w:t>非进口</w:t>
            </w:r>
          </w:p>
        </w:tc>
        <w:tc>
          <w:tcPr>
            <w:tcW w:w="1225" w:type="dxa"/>
            <w:vMerge w:val="continue"/>
          </w:tcPr>
          <w:p w14:paraId="136637FC">
            <w:pPr>
              <w:jc w:val="center"/>
              <w:rPr>
                <w:rFonts w:hint="eastAsia" w:asciiTheme="minorEastAsia" w:hAnsiTheme="minorEastAsia" w:cstheme="minorEastAsia"/>
                <w:bCs/>
                <w:szCs w:val="21"/>
              </w:rPr>
            </w:pPr>
          </w:p>
        </w:tc>
      </w:tr>
      <w:tr w14:paraId="1274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3940F2B5">
            <w:pPr>
              <w:widowControl/>
              <w:jc w:val="center"/>
              <w:textAlignment w:val="center"/>
              <w:rPr>
                <w:rFonts w:hint="eastAsia" w:asciiTheme="minorEastAsia" w:hAnsiTheme="minorEastAsia" w:cstheme="minorEastAsia"/>
                <w:szCs w:val="21"/>
              </w:rPr>
            </w:pPr>
            <w:r>
              <w:rPr>
                <w:rFonts w:hint="eastAsia" w:ascii="宋体" w:hAnsi="宋体" w:eastAsia="宋体" w:cs="宋体"/>
                <w:color w:val="000000"/>
                <w:kern w:val="0"/>
                <w:szCs w:val="21"/>
                <w:lang w:bidi="ar"/>
              </w:rPr>
              <w:t>5</w:t>
            </w:r>
          </w:p>
        </w:tc>
        <w:tc>
          <w:tcPr>
            <w:tcW w:w="2012" w:type="dxa"/>
            <w:vAlign w:val="center"/>
          </w:tcPr>
          <w:p w14:paraId="1DEAE9AC">
            <w:pPr>
              <w:widowControl/>
              <w:jc w:val="center"/>
              <w:textAlignment w:val="center"/>
              <w:rPr>
                <w:rFonts w:hint="eastAsia" w:asciiTheme="minorEastAsia" w:hAnsiTheme="minorEastAsia" w:cstheme="minorEastAsia"/>
                <w:spacing w:val="7"/>
                <w:szCs w:val="21"/>
              </w:rPr>
            </w:pPr>
            <w:r>
              <w:rPr>
                <w:rFonts w:hint="eastAsia" w:asciiTheme="minorEastAsia" w:hAnsiTheme="minorEastAsia" w:cstheme="minorEastAsia"/>
                <w:color w:val="000000"/>
                <w:kern w:val="0"/>
                <w:szCs w:val="21"/>
                <w:lang w:bidi="ar"/>
              </w:rPr>
              <w:t>办公椅</w:t>
            </w:r>
          </w:p>
        </w:tc>
        <w:tc>
          <w:tcPr>
            <w:tcW w:w="687" w:type="dxa"/>
            <w:vAlign w:val="center"/>
          </w:tcPr>
          <w:p w14:paraId="08701EFB">
            <w:pPr>
              <w:widowControl/>
              <w:jc w:val="center"/>
              <w:textAlignment w:val="center"/>
              <w:rPr>
                <w:rFonts w:hint="eastAsia" w:asciiTheme="minorEastAsia" w:hAnsiTheme="minorEastAsia" w:cstheme="minorEastAsia"/>
                <w:spacing w:val="2"/>
                <w:szCs w:val="21"/>
              </w:rPr>
            </w:pPr>
            <w:r>
              <w:rPr>
                <w:rFonts w:hint="eastAsia" w:asciiTheme="minorEastAsia" w:hAnsiTheme="minorEastAsia" w:cstheme="minorEastAsia"/>
                <w:color w:val="000000"/>
                <w:kern w:val="0"/>
                <w:szCs w:val="21"/>
                <w:lang w:bidi="ar"/>
              </w:rPr>
              <w:t>2</w:t>
            </w:r>
          </w:p>
        </w:tc>
        <w:tc>
          <w:tcPr>
            <w:tcW w:w="613" w:type="dxa"/>
            <w:vAlign w:val="center"/>
          </w:tcPr>
          <w:p w14:paraId="32C29468">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lang w:bidi="ar"/>
              </w:rPr>
              <w:t>张</w:t>
            </w:r>
          </w:p>
        </w:tc>
        <w:tc>
          <w:tcPr>
            <w:tcW w:w="825" w:type="dxa"/>
          </w:tcPr>
          <w:p w14:paraId="4C04E6D7">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02819D80">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1185</w:t>
            </w:r>
          </w:p>
        </w:tc>
        <w:tc>
          <w:tcPr>
            <w:tcW w:w="1634" w:type="dxa"/>
            <w:vAlign w:val="center"/>
          </w:tcPr>
          <w:p w14:paraId="00B5C487">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2370</w:t>
            </w:r>
          </w:p>
        </w:tc>
        <w:tc>
          <w:tcPr>
            <w:tcW w:w="1175" w:type="dxa"/>
          </w:tcPr>
          <w:p w14:paraId="734F5F10">
            <w:pPr>
              <w:jc w:val="center"/>
              <w:rPr>
                <w:rFonts w:hint="eastAsia" w:asciiTheme="minorEastAsia" w:hAnsiTheme="minorEastAsia" w:cstheme="minorEastAsia"/>
                <w:szCs w:val="21"/>
              </w:rPr>
            </w:pPr>
            <w:r>
              <w:rPr>
                <w:rFonts w:hint="eastAsia" w:asciiTheme="minorEastAsia" w:hAnsiTheme="minorEastAsia" w:cstheme="minorEastAsia"/>
                <w:b/>
                <w:bCs/>
                <w:color w:val="FF0000"/>
                <w:szCs w:val="21"/>
              </w:rPr>
              <w:t>非进口</w:t>
            </w:r>
          </w:p>
        </w:tc>
        <w:tc>
          <w:tcPr>
            <w:tcW w:w="1225" w:type="dxa"/>
            <w:vMerge w:val="continue"/>
          </w:tcPr>
          <w:p w14:paraId="53B456DF">
            <w:pPr>
              <w:jc w:val="center"/>
              <w:rPr>
                <w:rFonts w:hint="eastAsia" w:asciiTheme="minorEastAsia" w:hAnsiTheme="minorEastAsia" w:cstheme="minorEastAsia"/>
                <w:bCs/>
                <w:szCs w:val="21"/>
              </w:rPr>
            </w:pPr>
          </w:p>
        </w:tc>
      </w:tr>
      <w:tr w14:paraId="3C6E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0BD86047">
            <w:pPr>
              <w:widowControl/>
              <w:jc w:val="center"/>
              <w:textAlignment w:val="center"/>
              <w:rPr>
                <w:rFonts w:hint="eastAsia" w:asciiTheme="minorEastAsia" w:hAnsiTheme="minorEastAsia" w:cstheme="minorEastAsia"/>
                <w:szCs w:val="21"/>
              </w:rPr>
            </w:pPr>
            <w:r>
              <w:rPr>
                <w:rFonts w:hint="eastAsia" w:ascii="宋体" w:hAnsi="宋体" w:eastAsia="宋体" w:cs="宋体"/>
                <w:color w:val="000000"/>
                <w:kern w:val="0"/>
                <w:szCs w:val="21"/>
                <w:lang w:bidi="ar"/>
              </w:rPr>
              <w:t>6</w:t>
            </w:r>
          </w:p>
        </w:tc>
        <w:tc>
          <w:tcPr>
            <w:tcW w:w="2012" w:type="dxa"/>
            <w:vAlign w:val="center"/>
          </w:tcPr>
          <w:p w14:paraId="1D1AE6A7">
            <w:pPr>
              <w:widowControl/>
              <w:jc w:val="center"/>
              <w:textAlignment w:val="center"/>
              <w:rPr>
                <w:rFonts w:hint="eastAsia" w:asciiTheme="minorEastAsia" w:hAnsiTheme="minorEastAsia" w:cstheme="minorEastAsia"/>
                <w:spacing w:val="7"/>
                <w:szCs w:val="21"/>
              </w:rPr>
            </w:pPr>
            <w:r>
              <w:rPr>
                <w:rFonts w:hint="eastAsia" w:asciiTheme="minorEastAsia" w:hAnsiTheme="minorEastAsia" w:cstheme="minorEastAsia"/>
                <w:color w:val="000000"/>
                <w:kern w:val="0"/>
                <w:szCs w:val="21"/>
                <w:lang w:bidi="ar"/>
              </w:rPr>
              <w:t>文件柜</w:t>
            </w:r>
          </w:p>
        </w:tc>
        <w:tc>
          <w:tcPr>
            <w:tcW w:w="687" w:type="dxa"/>
            <w:vAlign w:val="center"/>
          </w:tcPr>
          <w:p w14:paraId="22540F97">
            <w:pPr>
              <w:widowControl/>
              <w:jc w:val="center"/>
              <w:textAlignment w:val="center"/>
              <w:rPr>
                <w:rFonts w:hint="eastAsia" w:asciiTheme="minorEastAsia" w:hAnsiTheme="minorEastAsia" w:cstheme="minorEastAsia"/>
                <w:spacing w:val="2"/>
                <w:szCs w:val="21"/>
              </w:rPr>
            </w:pPr>
            <w:r>
              <w:rPr>
                <w:rFonts w:hint="eastAsia" w:asciiTheme="minorEastAsia" w:hAnsiTheme="minorEastAsia" w:cstheme="minorEastAsia"/>
                <w:color w:val="000000"/>
                <w:kern w:val="0"/>
                <w:szCs w:val="21"/>
                <w:lang w:bidi="ar"/>
              </w:rPr>
              <w:t>4</w:t>
            </w:r>
          </w:p>
        </w:tc>
        <w:tc>
          <w:tcPr>
            <w:tcW w:w="613" w:type="dxa"/>
            <w:vAlign w:val="center"/>
          </w:tcPr>
          <w:p w14:paraId="52A2F9FF">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lang w:bidi="ar"/>
              </w:rPr>
              <w:t>组</w:t>
            </w:r>
          </w:p>
        </w:tc>
        <w:tc>
          <w:tcPr>
            <w:tcW w:w="825" w:type="dxa"/>
          </w:tcPr>
          <w:p w14:paraId="53BBAD1F">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23AAB456">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2875</w:t>
            </w:r>
          </w:p>
        </w:tc>
        <w:tc>
          <w:tcPr>
            <w:tcW w:w="1634" w:type="dxa"/>
            <w:vAlign w:val="center"/>
          </w:tcPr>
          <w:p w14:paraId="14A1BCF1">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11500</w:t>
            </w:r>
          </w:p>
        </w:tc>
        <w:tc>
          <w:tcPr>
            <w:tcW w:w="1175" w:type="dxa"/>
          </w:tcPr>
          <w:p w14:paraId="1381DC82">
            <w:pPr>
              <w:jc w:val="center"/>
              <w:rPr>
                <w:rFonts w:hint="eastAsia" w:asciiTheme="minorEastAsia" w:hAnsiTheme="minorEastAsia" w:cstheme="minorEastAsia"/>
                <w:szCs w:val="21"/>
              </w:rPr>
            </w:pPr>
            <w:r>
              <w:rPr>
                <w:rFonts w:hint="eastAsia" w:asciiTheme="minorEastAsia" w:hAnsiTheme="minorEastAsia" w:cstheme="minorEastAsia"/>
                <w:b/>
                <w:bCs/>
                <w:color w:val="FF0000"/>
                <w:szCs w:val="21"/>
              </w:rPr>
              <w:t>非进口</w:t>
            </w:r>
          </w:p>
        </w:tc>
        <w:tc>
          <w:tcPr>
            <w:tcW w:w="1225" w:type="dxa"/>
            <w:vMerge w:val="continue"/>
          </w:tcPr>
          <w:p w14:paraId="14997965">
            <w:pPr>
              <w:jc w:val="center"/>
              <w:rPr>
                <w:rFonts w:hint="eastAsia" w:asciiTheme="minorEastAsia" w:hAnsiTheme="minorEastAsia" w:cstheme="minorEastAsia"/>
                <w:bCs/>
                <w:szCs w:val="21"/>
              </w:rPr>
            </w:pPr>
          </w:p>
        </w:tc>
      </w:tr>
      <w:tr w14:paraId="2911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vAlign w:val="center"/>
          </w:tcPr>
          <w:p w14:paraId="4A2BDB86">
            <w:pPr>
              <w:widowControl/>
              <w:jc w:val="center"/>
              <w:textAlignment w:val="center"/>
              <w:rPr>
                <w:rFonts w:hint="eastAsia" w:asciiTheme="minorEastAsia" w:hAnsiTheme="minorEastAsia" w:cstheme="minorEastAsia"/>
                <w:szCs w:val="21"/>
              </w:rPr>
            </w:pPr>
            <w:r>
              <w:rPr>
                <w:rFonts w:hint="eastAsia" w:ascii="宋体" w:hAnsi="宋体" w:eastAsia="宋体" w:cs="宋体"/>
                <w:color w:val="000000"/>
                <w:kern w:val="0"/>
                <w:szCs w:val="21"/>
                <w:lang w:bidi="ar"/>
              </w:rPr>
              <w:t>7</w:t>
            </w:r>
          </w:p>
        </w:tc>
        <w:tc>
          <w:tcPr>
            <w:tcW w:w="2012" w:type="dxa"/>
            <w:vAlign w:val="center"/>
          </w:tcPr>
          <w:p w14:paraId="58982CE3">
            <w:pPr>
              <w:widowControl/>
              <w:jc w:val="center"/>
              <w:textAlignment w:val="center"/>
              <w:rPr>
                <w:rFonts w:hint="eastAsia" w:asciiTheme="minorEastAsia" w:hAnsiTheme="minorEastAsia" w:cstheme="minorEastAsia"/>
                <w:spacing w:val="7"/>
                <w:szCs w:val="21"/>
              </w:rPr>
            </w:pPr>
            <w:r>
              <w:rPr>
                <w:rFonts w:hint="eastAsia" w:asciiTheme="minorEastAsia" w:hAnsiTheme="minorEastAsia" w:cstheme="minorEastAsia"/>
                <w:color w:val="000000"/>
                <w:kern w:val="0"/>
                <w:szCs w:val="21"/>
                <w:lang w:bidi="ar"/>
              </w:rPr>
              <w:t>音乐放松训练系统</w:t>
            </w:r>
          </w:p>
        </w:tc>
        <w:tc>
          <w:tcPr>
            <w:tcW w:w="687" w:type="dxa"/>
            <w:vAlign w:val="center"/>
          </w:tcPr>
          <w:p w14:paraId="16243901">
            <w:pPr>
              <w:widowControl/>
              <w:jc w:val="center"/>
              <w:textAlignment w:val="center"/>
              <w:rPr>
                <w:rFonts w:hint="eastAsia" w:asciiTheme="minorEastAsia" w:hAnsiTheme="minorEastAsia" w:cstheme="minorEastAsia"/>
                <w:spacing w:val="2"/>
                <w:szCs w:val="21"/>
              </w:rPr>
            </w:pPr>
            <w:r>
              <w:rPr>
                <w:rFonts w:hint="eastAsia" w:asciiTheme="minorEastAsia" w:hAnsiTheme="minorEastAsia" w:cstheme="minorEastAsia"/>
                <w:color w:val="000000"/>
                <w:kern w:val="0"/>
                <w:szCs w:val="21"/>
                <w:lang w:bidi="ar"/>
              </w:rPr>
              <w:t>1</w:t>
            </w:r>
          </w:p>
        </w:tc>
        <w:tc>
          <w:tcPr>
            <w:tcW w:w="613" w:type="dxa"/>
            <w:vAlign w:val="center"/>
          </w:tcPr>
          <w:p w14:paraId="6D11A0F0">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lang w:bidi="ar"/>
              </w:rPr>
              <w:t>套</w:t>
            </w:r>
          </w:p>
        </w:tc>
        <w:tc>
          <w:tcPr>
            <w:tcW w:w="825" w:type="dxa"/>
          </w:tcPr>
          <w:p w14:paraId="4692C1A2">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06AA8B2C">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35800</w:t>
            </w:r>
          </w:p>
        </w:tc>
        <w:tc>
          <w:tcPr>
            <w:tcW w:w="1634" w:type="dxa"/>
            <w:vAlign w:val="center"/>
          </w:tcPr>
          <w:p w14:paraId="4E508BB2">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35800</w:t>
            </w:r>
          </w:p>
        </w:tc>
        <w:tc>
          <w:tcPr>
            <w:tcW w:w="1175" w:type="dxa"/>
          </w:tcPr>
          <w:p w14:paraId="4721AAAB">
            <w:pPr>
              <w:jc w:val="center"/>
              <w:rPr>
                <w:rFonts w:hint="eastAsia" w:asciiTheme="minorEastAsia" w:hAnsiTheme="minorEastAsia" w:cstheme="minorEastAsia"/>
                <w:szCs w:val="21"/>
              </w:rPr>
            </w:pPr>
            <w:r>
              <w:rPr>
                <w:rFonts w:hint="eastAsia" w:asciiTheme="minorEastAsia" w:hAnsiTheme="minorEastAsia" w:cstheme="minorEastAsia"/>
                <w:b/>
                <w:bCs/>
                <w:color w:val="FF0000"/>
                <w:szCs w:val="21"/>
              </w:rPr>
              <w:t>非进口</w:t>
            </w:r>
          </w:p>
        </w:tc>
        <w:tc>
          <w:tcPr>
            <w:tcW w:w="1225" w:type="dxa"/>
            <w:vMerge w:val="continue"/>
          </w:tcPr>
          <w:p w14:paraId="6EE57D16">
            <w:pPr>
              <w:jc w:val="center"/>
              <w:rPr>
                <w:rFonts w:hint="eastAsia" w:asciiTheme="minorEastAsia" w:hAnsiTheme="minorEastAsia" w:cstheme="minorEastAsia"/>
                <w:bCs/>
                <w:szCs w:val="21"/>
              </w:rPr>
            </w:pPr>
          </w:p>
        </w:tc>
      </w:tr>
      <w:tr w14:paraId="19571972">
        <w:tblPrEx>
          <w:tblCellMar>
            <w:top w:w="0" w:type="dxa"/>
            <w:left w:w="108" w:type="dxa"/>
            <w:bottom w:w="0" w:type="dxa"/>
            <w:right w:w="108" w:type="dxa"/>
          </w:tblCellMar>
        </w:tblPrEx>
        <w:trPr>
          <w:trHeight w:val="323" w:hRule="atLeast"/>
          <w:jc w:val="center"/>
        </w:trPr>
        <w:tc>
          <w:tcPr>
            <w:tcW w:w="510" w:type="dxa"/>
            <w:vAlign w:val="center"/>
          </w:tcPr>
          <w:p w14:paraId="7A08FA5E">
            <w:pPr>
              <w:widowControl/>
              <w:jc w:val="center"/>
              <w:textAlignment w:val="center"/>
              <w:rPr>
                <w:rFonts w:hint="eastAsia" w:asciiTheme="minorEastAsia" w:hAnsiTheme="minorEastAsia" w:cstheme="minorEastAsia"/>
                <w:szCs w:val="21"/>
              </w:rPr>
            </w:pPr>
            <w:r>
              <w:rPr>
                <w:rFonts w:hint="eastAsia" w:ascii="宋体" w:hAnsi="宋体" w:eastAsia="宋体" w:cs="宋体"/>
                <w:color w:val="000000"/>
                <w:kern w:val="0"/>
                <w:szCs w:val="21"/>
                <w:lang w:bidi="ar"/>
              </w:rPr>
              <w:t>8</w:t>
            </w:r>
          </w:p>
        </w:tc>
        <w:tc>
          <w:tcPr>
            <w:tcW w:w="2012" w:type="dxa"/>
            <w:vAlign w:val="center"/>
          </w:tcPr>
          <w:p w14:paraId="315BAF11">
            <w:pPr>
              <w:widowControl/>
              <w:jc w:val="center"/>
              <w:textAlignment w:val="center"/>
              <w:rPr>
                <w:rFonts w:hint="eastAsia" w:asciiTheme="minorEastAsia" w:hAnsiTheme="minorEastAsia" w:cstheme="minorEastAsia"/>
                <w:spacing w:val="7"/>
                <w:szCs w:val="21"/>
              </w:rPr>
            </w:pPr>
            <w:r>
              <w:rPr>
                <w:rFonts w:hint="eastAsia" w:asciiTheme="minorEastAsia" w:hAnsiTheme="minorEastAsia" w:cstheme="minorEastAsia"/>
                <w:color w:val="000000"/>
                <w:kern w:val="0"/>
                <w:szCs w:val="21"/>
                <w:lang w:bidi="ar"/>
              </w:rPr>
              <w:t>休闲沙发</w:t>
            </w:r>
          </w:p>
        </w:tc>
        <w:tc>
          <w:tcPr>
            <w:tcW w:w="687" w:type="dxa"/>
            <w:vAlign w:val="center"/>
          </w:tcPr>
          <w:p w14:paraId="0D989C7B">
            <w:pPr>
              <w:widowControl/>
              <w:jc w:val="center"/>
              <w:textAlignment w:val="center"/>
              <w:rPr>
                <w:rFonts w:hint="eastAsia" w:asciiTheme="minorEastAsia" w:hAnsiTheme="minorEastAsia" w:cstheme="minorEastAsia"/>
                <w:spacing w:val="2"/>
                <w:szCs w:val="21"/>
              </w:rPr>
            </w:pPr>
            <w:r>
              <w:rPr>
                <w:rFonts w:hint="eastAsia" w:asciiTheme="minorEastAsia" w:hAnsiTheme="minorEastAsia" w:cstheme="minorEastAsia"/>
                <w:color w:val="000000"/>
                <w:kern w:val="0"/>
                <w:szCs w:val="21"/>
                <w:lang w:bidi="ar"/>
              </w:rPr>
              <w:t>2</w:t>
            </w:r>
          </w:p>
        </w:tc>
        <w:tc>
          <w:tcPr>
            <w:tcW w:w="613" w:type="dxa"/>
            <w:vAlign w:val="center"/>
          </w:tcPr>
          <w:p w14:paraId="27BE946E">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lang w:bidi="ar"/>
              </w:rPr>
              <w:t>张</w:t>
            </w:r>
          </w:p>
        </w:tc>
        <w:tc>
          <w:tcPr>
            <w:tcW w:w="825" w:type="dxa"/>
          </w:tcPr>
          <w:p w14:paraId="5F013C8E">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7565A700">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1850</w:t>
            </w:r>
          </w:p>
        </w:tc>
        <w:tc>
          <w:tcPr>
            <w:tcW w:w="1634" w:type="dxa"/>
            <w:vAlign w:val="center"/>
          </w:tcPr>
          <w:p w14:paraId="02292239">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3700</w:t>
            </w:r>
          </w:p>
        </w:tc>
        <w:tc>
          <w:tcPr>
            <w:tcW w:w="1175" w:type="dxa"/>
          </w:tcPr>
          <w:p w14:paraId="42C1D74C">
            <w:pPr>
              <w:jc w:val="center"/>
              <w:rPr>
                <w:rFonts w:hint="eastAsia" w:asciiTheme="minorEastAsia" w:hAnsiTheme="minorEastAsia" w:cstheme="minorEastAsia"/>
                <w:szCs w:val="21"/>
              </w:rPr>
            </w:pPr>
            <w:r>
              <w:rPr>
                <w:rFonts w:hint="eastAsia" w:asciiTheme="minorEastAsia" w:hAnsiTheme="minorEastAsia" w:cstheme="minorEastAsia"/>
                <w:b/>
                <w:bCs/>
                <w:color w:val="FF0000"/>
                <w:szCs w:val="21"/>
              </w:rPr>
              <w:t>非进口</w:t>
            </w:r>
          </w:p>
        </w:tc>
        <w:tc>
          <w:tcPr>
            <w:tcW w:w="1225" w:type="dxa"/>
            <w:vMerge w:val="continue"/>
          </w:tcPr>
          <w:p w14:paraId="0B1E8809">
            <w:pPr>
              <w:jc w:val="center"/>
              <w:rPr>
                <w:rFonts w:hint="eastAsia" w:asciiTheme="minorEastAsia" w:hAnsiTheme="minorEastAsia" w:cstheme="minorEastAsia"/>
                <w:bCs/>
                <w:szCs w:val="21"/>
              </w:rPr>
            </w:pPr>
          </w:p>
        </w:tc>
      </w:tr>
      <w:tr w14:paraId="36DC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vAlign w:val="center"/>
          </w:tcPr>
          <w:p w14:paraId="43CD79D9">
            <w:pPr>
              <w:widowControl/>
              <w:jc w:val="center"/>
              <w:textAlignment w:val="center"/>
              <w:rPr>
                <w:rFonts w:hint="eastAsia" w:asciiTheme="minorEastAsia" w:hAnsiTheme="minorEastAsia" w:cstheme="minorEastAsia"/>
                <w:szCs w:val="21"/>
              </w:rPr>
            </w:pPr>
            <w:r>
              <w:rPr>
                <w:rFonts w:hint="eastAsia" w:ascii="宋体" w:hAnsi="宋体" w:eastAsia="宋体" w:cs="宋体"/>
                <w:color w:val="000000"/>
                <w:kern w:val="0"/>
                <w:szCs w:val="21"/>
                <w:lang w:bidi="ar"/>
              </w:rPr>
              <w:t>9</w:t>
            </w:r>
          </w:p>
        </w:tc>
        <w:tc>
          <w:tcPr>
            <w:tcW w:w="2012" w:type="dxa"/>
            <w:vAlign w:val="center"/>
          </w:tcPr>
          <w:p w14:paraId="37EFCE63">
            <w:pPr>
              <w:widowControl/>
              <w:jc w:val="center"/>
              <w:textAlignment w:val="center"/>
              <w:rPr>
                <w:rFonts w:hint="eastAsia" w:asciiTheme="minorEastAsia" w:hAnsiTheme="minorEastAsia" w:cstheme="minorEastAsia"/>
                <w:spacing w:val="7"/>
                <w:szCs w:val="21"/>
              </w:rPr>
            </w:pPr>
            <w:r>
              <w:rPr>
                <w:rFonts w:hint="eastAsia" w:asciiTheme="minorEastAsia" w:hAnsiTheme="minorEastAsia" w:cstheme="minorEastAsia"/>
                <w:color w:val="000000"/>
                <w:kern w:val="0"/>
                <w:szCs w:val="21"/>
                <w:lang w:bidi="ar"/>
              </w:rPr>
              <w:t>休闲茶几</w:t>
            </w:r>
          </w:p>
        </w:tc>
        <w:tc>
          <w:tcPr>
            <w:tcW w:w="687" w:type="dxa"/>
            <w:vAlign w:val="center"/>
          </w:tcPr>
          <w:p w14:paraId="5CA45564">
            <w:pPr>
              <w:widowControl/>
              <w:jc w:val="center"/>
              <w:textAlignment w:val="center"/>
              <w:rPr>
                <w:rFonts w:hint="eastAsia" w:asciiTheme="minorEastAsia" w:hAnsiTheme="minorEastAsia" w:cstheme="minorEastAsia"/>
                <w:spacing w:val="2"/>
                <w:szCs w:val="21"/>
              </w:rPr>
            </w:pPr>
            <w:r>
              <w:rPr>
                <w:rFonts w:hint="eastAsia" w:asciiTheme="minorEastAsia" w:hAnsiTheme="minorEastAsia" w:cstheme="minorEastAsia"/>
                <w:color w:val="000000"/>
                <w:kern w:val="0"/>
                <w:szCs w:val="21"/>
                <w:lang w:bidi="ar"/>
              </w:rPr>
              <w:t>1</w:t>
            </w:r>
          </w:p>
        </w:tc>
        <w:tc>
          <w:tcPr>
            <w:tcW w:w="613" w:type="dxa"/>
            <w:vAlign w:val="center"/>
          </w:tcPr>
          <w:p w14:paraId="08EF6265">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lang w:bidi="ar"/>
              </w:rPr>
              <w:t>张</w:t>
            </w:r>
          </w:p>
        </w:tc>
        <w:tc>
          <w:tcPr>
            <w:tcW w:w="825" w:type="dxa"/>
          </w:tcPr>
          <w:p w14:paraId="36EFEA7C">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5FE9DCE0">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1000</w:t>
            </w:r>
          </w:p>
        </w:tc>
        <w:tc>
          <w:tcPr>
            <w:tcW w:w="1634" w:type="dxa"/>
            <w:vAlign w:val="center"/>
          </w:tcPr>
          <w:p w14:paraId="56BE30B4">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1000</w:t>
            </w:r>
          </w:p>
        </w:tc>
        <w:tc>
          <w:tcPr>
            <w:tcW w:w="1175" w:type="dxa"/>
          </w:tcPr>
          <w:p w14:paraId="25CE7A7C">
            <w:pPr>
              <w:jc w:val="center"/>
              <w:rPr>
                <w:rFonts w:hint="eastAsia" w:asciiTheme="minorEastAsia" w:hAnsiTheme="minorEastAsia" w:cstheme="minorEastAsia"/>
                <w:szCs w:val="21"/>
              </w:rPr>
            </w:pPr>
            <w:r>
              <w:rPr>
                <w:rFonts w:hint="eastAsia" w:asciiTheme="minorEastAsia" w:hAnsiTheme="minorEastAsia" w:cstheme="minorEastAsia"/>
                <w:b/>
                <w:bCs/>
                <w:color w:val="FF0000"/>
                <w:szCs w:val="21"/>
              </w:rPr>
              <w:t>非进口</w:t>
            </w:r>
          </w:p>
        </w:tc>
        <w:tc>
          <w:tcPr>
            <w:tcW w:w="1225" w:type="dxa"/>
            <w:vMerge w:val="continue"/>
          </w:tcPr>
          <w:p w14:paraId="1A73025B">
            <w:pPr>
              <w:jc w:val="center"/>
              <w:rPr>
                <w:rFonts w:hint="eastAsia" w:asciiTheme="minorEastAsia" w:hAnsiTheme="minorEastAsia" w:cstheme="minorEastAsia"/>
                <w:bCs/>
                <w:szCs w:val="21"/>
              </w:rPr>
            </w:pPr>
          </w:p>
        </w:tc>
      </w:tr>
      <w:tr w14:paraId="3F1B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510" w:type="dxa"/>
            <w:vAlign w:val="center"/>
          </w:tcPr>
          <w:p w14:paraId="0C630CC3">
            <w:pPr>
              <w:widowControl/>
              <w:jc w:val="center"/>
              <w:textAlignment w:val="center"/>
              <w:rPr>
                <w:rFonts w:hint="eastAsia" w:asciiTheme="minorEastAsia" w:hAnsiTheme="minorEastAsia" w:cstheme="minorEastAsia"/>
                <w:szCs w:val="21"/>
              </w:rPr>
            </w:pPr>
            <w:r>
              <w:rPr>
                <w:rFonts w:hint="eastAsia" w:ascii="宋体" w:hAnsi="宋体" w:eastAsia="宋体" w:cs="宋体"/>
                <w:color w:val="000000"/>
                <w:kern w:val="0"/>
                <w:szCs w:val="21"/>
                <w:lang w:bidi="ar"/>
              </w:rPr>
              <w:t>10</w:t>
            </w:r>
          </w:p>
        </w:tc>
        <w:tc>
          <w:tcPr>
            <w:tcW w:w="2012" w:type="dxa"/>
            <w:vAlign w:val="center"/>
          </w:tcPr>
          <w:p w14:paraId="163BBB4A">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lang w:bidi="ar"/>
              </w:rPr>
              <w:t>无声挂钟</w:t>
            </w:r>
          </w:p>
        </w:tc>
        <w:tc>
          <w:tcPr>
            <w:tcW w:w="687" w:type="dxa"/>
            <w:vAlign w:val="center"/>
          </w:tcPr>
          <w:p w14:paraId="1B9D3E74">
            <w:pPr>
              <w:widowControl/>
              <w:jc w:val="center"/>
              <w:textAlignment w:val="center"/>
              <w:rPr>
                <w:rFonts w:hint="eastAsia" w:asciiTheme="minorEastAsia" w:hAnsiTheme="minorEastAsia" w:cstheme="minorEastAsia"/>
                <w:spacing w:val="2"/>
                <w:szCs w:val="21"/>
              </w:rPr>
            </w:pPr>
            <w:r>
              <w:rPr>
                <w:rFonts w:hint="eastAsia" w:asciiTheme="minorEastAsia" w:hAnsiTheme="minorEastAsia" w:cstheme="minorEastAsia"/>
                <w:color w:val="000000"/>
                <w:kern w:val="0"/>
                <w:szCs w:val="21"/>
                <w:lang w:bidi="ar"/>
              </w:rPr>
              <w:t>1</w:t>
            </w:r>
          </w:p>
        </w:tc>
        <w:tc>
          <w:tcPr>
            <w:tcW w:w="613" w:type="dxa"/>
            <w:vAlign w:val="center"/>
          </w:tcPr>
          <w:p w14:paraId="0F88234C">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lang w:bidi="ar"/>
              </w:rPr>
              <w:t>个</w:t>
            </w:r>
          </w:p>
        </w:tc>
        <w:tc>
          <w:tcPr>
            <w:tcW w:w="825" w:type="dxa"/>
          </w:tcPr>
          <w:p w14:paraId="6B799B49">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6C6AA68C">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120</w:t>
            </w:r>
          </w:p>
        </w:tc>
        <w:tc>
          <w:tcPr>
            <w:tcW w:w="1634" w:type="dxa"/>
            <w:vAlign w:val="center"/>
          </w:tcPr>
          <w:p w14:paraId="0BF8B307">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120</w:t>
            </w:r>
          </w:p>
        </w:tc>
        <w:tc>
          <w:tcPr>
            <w:tcW w:w="1175" w:type="dxa"/>
          </w:tcPr>
          <w:p w14:paraId="015E70CA">
            <w:pPr>
              <w:jc w:val="center"/>
              <w:rPr>
                <w:rFonts w:hint="eastAsia" w:asciiTheme="minorEastAsia" w:hAnsiTheme="minorEastAsia" w:cstheme="minorEastAsia"/>
                <w:szCs w:val="21"/>
              </w:rPr>
            </w:pPr>
            <w:r>
              <w:rPr>
                <w:rFonts w:hint="eastAsia" w:asciiTheme="minorEastAsia" w:hAnsiTheme="minorEastAsia" w:cstheme="minorEastAsia"/>
                <w:b/>
                <w:bCs/>
                <w:color w:val="FF0000"/>
                <w:szCs w:val="21"/>
              </w:rPr>
              <w:t>非进口</w:t>
            </w:r>
          </w:p>
        </w:tc>
        <w:tc>
          <w:tcPr>
            <w:tcW w:w="1225" w:type="dxa"/>
            <w:vMerge w:val="continue"/>
          </w:tcPr>
          <w:p w14:paraId="1B3A2F38">
            <w:pPr>
              <w:jc w:val="center"/>
              <w:rPr>
                <w:rFonts w:hint="eastAsia" w:asciiTheme="minorEastAsia" w:hAnsiTheme="minorEastAsia" w:cstheme="minorEastAsia"/>
                <w:bCs/>
                <w:szCs w:val="21"/>
              </w:rPr>
            </w:pPr>
          </w:p>
        </w:tc>
      </w:tr>
      <w:tr w14:paraId="3F33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20861CC0">
            <w:pPr>
              <w:widowControl/>
              <w:jc w:val="center"/>
              <w:textAlignment w:val="center"/>
              <w:rPr>
                <w:rFonts w:hint="eastAsia" w:asciiTheme="minorEastAsia" w:hAnsiTheme="minorEastAsia" w:cstheme="minorEastAsia"/>
                <w:szCs w:val="21"/>
              </w:rPr>
            </w:pPr>
            <w:r>
              <w:rPr>
                <w:rFonts w:hint="eastAsia" w:ascii="宋体" w:hAnsi="宋体" w:eastAsia="宋体" w:cs="宋体"/>
                <w:color w:val="000000"/>
                <w:kern w:val="0"/>
                <w:szCs w:val="21"/>
                <w:lang w:bidi="ar"/>
              </w:rPr>
              <w:t>11</w:t>
            </w:r>
          </w:p>
        </w:tc>
        <w:tc>
          <w:tcPr>
            <w:tcW w:w="2012" w:type="dxa"/>
            <w:vAlign w:val="center"/>
          </w:tcPr>
          <w:p w14:paraId="2570669F">
            <w:pPr>
              <w:widowControl/>
              <w:jc w:val="center"/>
              <w:textAlignment w:val="center"/>
              <w:rPr>
                <w:rFonts w:hint="eastAsia" w:asciiTheme="minorEastAsia" w:hAnsiTheme="minorEastAsia" w:cstheme="minorEastAsia"/>
                <w:spacing w:val="7"/>
                <w:szCs w:val="21"/>
              </w:rPr>
            </w:pPr>
            <w:r>
              <w:rPr>
                <w:rFonts w:hint="eastAsia" w:asciiTheme="minorEastAsia" w:hAnsiTheme="minorEastAsia" w:cstheme="minorEastAsia"/>
                <w:color w:val="000000"/>
                <w:kern w:val="0"/>
                <w:szCs w:val="21"/>
                <w:lang w:bidi="ar"/>
              </w:rPr>
              <w:t>箱庭设备</w:t>
            </w:r>
          </w:p>
        </w:tc>
        <w:tc>
          <w:tcPr>
            <w:tcW w:w="687" w:type="dxa"/>
            <w:vAlign w:val="center"/>
          </w:tcPr>
          <w:p w14:paraId="12E01DBE">
            <w:pPr>
              <w:widowControl/>
              <w:jc w:val="center"/>
              <w:textAlignment w:val="center"/>
              <w:rPr>
                <w:rFonts w:hint="eastAsia" w:asciiTheme="minorEastAsia" w:hAnsiTheme="minorEastAsia" w:cstheme="minorEastAsia"/>
                <w:spacing w:val="2"/>
                <w:szCs w:val="21"/>
              </w:rPr>
            </w:pPr>
            <w:r>
              <w:rPr>
                <w:rFonts w:hint="eastAsia" w:asciiTheme="minorEastAsia" w:hAnsiTheme="minorEastAsia" w:cstheme="minorEastAsia"/>
                <w:color w:val="000000"/>
                <w:kern w:val="0"/>
                <w:szCs w:val="21"/>
                <w:lang w:bidi="ar"/>
              </w:rPr>
              <w:t>1</w:t>
            </w:r>
          </w:p>
        </w:tc>
        <w:tc>
          <w:tcPr>
            <w:tcW w:w="613" w:type="dxa"/>
            <w:vAlign w:val="center"/>
          </w:tcPr>
          <w:p w14:paraId="43FF2717">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lang w:bidi="ar"/>
              </w:rPr>
              <w:t>套</w:t>
            </w:r>
          </w:p>
        </w:tc>
        <w:tc>
          <w:tcPr>
            <w:tcW w:w="825" w:type="dxa"/>
          </w:tcPr>
          <w:p w14:paraId="17BE9CC4">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6B7809A1">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12600</w:t>
            </w:r>
          </w:p>
        </w:tc>
        <w:tc>
          <w:tcPr>
            <w:tcW w:w="1634" w:type="dxa"/>
            <w:vAlign w:val="center"/>
          </w:tcPr>
          <w:p w14:paraId="79A0565E">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12600</w:t>
            </w:r>
          </w:p>
        </w:tc>
        <w:tc>
          <w:tcPr>
            <w:tcW w:w="1175" w:type="dxa"/>
          </w:tcPr>
          <w:p w14:paraId="045313E2">
            <w:pPr>
              <w:jc w:val="center"/>
              <w:rPr>
                <w:rFonts w:hint="eastAsia" w:asciiTheme="minorEastAsia" w:hAnsiTheme="minorEastAsia" w:cstheme="minorEastAsia"/>
                <w:szCs w:val="21"/>
              </w:rPr>
            </w:pPr>
            <w:r>
              <w:rPr>
                <w:rFonts w:hint="eastAsia" w:asciiTheme="minorEastAsia" w:hAnsiTheme="minorEastAsia" w:cstheme="minorEastAsia"/>
                <w:b/>
                <w:bCs/>
                <w:color w:val="FF0000"/>
                <w:szCs w:val="21"/>
              </w:rPr>
              <w:t>非进口</w:t>
            </w:r>
          </w:p>
        </w:tc>
        <w:tc>
          <w:tcPr>
            <w:tcW w:w="1225" w:type="dxa"/>
            <w:vMerge w:val="continue"/>
          </w:tcPr>
          <w:p w14:paraId="34B4FC7C">
            <w:pPr>
              <w:jc w:val="center"/>
              <w:rPr>
                <w:rFonts w:hint="eastAsia" w:asciiTheme="minorEastAsia" w:hAnsiTheme="minorEastAsia" w:cstheme="minorEastAsia"/>
                <w:bCs/>
                <w:szCs w:val="21"/>
              </w:rPr>
            </w:pPr>
          </w:p>
        </w:tc>
      </w:tr>
      <w:tr w14:paraId="5BAC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7872B448">
            <w:pPr>
              <w:widowControl/>
              <w:jc w:val="center"/>
              <w:textAlignment w:val="center"/>
              <w:rPr>
                <w:rFonts w:hint="eastAsia" w:asciiTheme="minorEastAsia" w:hAnsiTheme="minorEastAsia" w:cstheme="minorEastAsia"/>
                <w:color w:val="000000"/>
                <w:kern w:val="0"/>
                <w:szCs w:val="21"/>
                <w:lang w:bidi="ar"/>
              </w:rPr>
            </w:pPr>
            <w:r>
              <w:rPr>
                <w:rFonts w:hint="eastAsia" w:ascii="宋体" w:hAnsi="宋体" w:eastAsia="宋体" w:cs="宋体"/>
                <w:color w:val="000000"/>
                <w:kern w:val="0"/>
                <w:szCs w:val="21"/>
                <w:lang w:bidi="ar"/>
              </w:rPr>
              <w:t>12</w:t>
            </w:r>
          </w:p>
        </w:tc>
        <w:tc>
          <w:tcPr>
            <w:tcW w:w="2012" w:type="dxa"/>
            <w:vAlign w:val="center"/>
          </w:tcPr>
          <w:p w14:paraId="7047C0BA">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休闲沙发</w:t>
            </w:r>
          </w:p>
        </w:tc>
        <w:tc>
          <w:tcPr>
            <w:tcW w:w="687" w:type="dxa"/>
            <w:vAlign w:val="center"/>
          </w:tcPr>
          <w:p w14:paraId="32894197">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p>
        </w:tc>
        <w:tc>
          <w:tcPr>
            <w:tcW w:w="613" w:type="dxa"/>
            <w:vAlign w:val="center"/>
          </w:tcPr>
          <w:p w14:paraId="3B04A83F">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张</w:t>
            </w:r>
          </w:p>
        </w:tc>
        <w:tc>
          <w:tcPr>
            <w:tcW w:w="825" w:type="dxa"/>
          </w:tcPr>
          <w:p w14:paraId="50DAEE1A">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3F90E5EF">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1850</w:t>
            </w:r>
          </w:p>
        </w:tc>
        <w:tc>
          <w:tcPr>
            <w:tcW w:w="1634" w:type="dxa"/>
            <w:vAlign w:val="center"/>
          </w:tcPr>
          <w:p w14:paraId="52C91314">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3700</w:t>
            </w:r>
          </w:p>
        </w:tc>
        <w:tc>
          <w:tcPr>
            <w:tcW w:w="1175" w:type="dxa"/>
          </w:tcPr>
          <w:p w14:paraId="3457267F">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非进口</w:t>
            </w:r>
          </w:p>
        </w:tc>
        <w:tc>
          <w:tcPr>
            <w:tcW w:w="1225" w:type="dxa"/>
            <w:vMerge w:val="continue"/>
          </w:tcPr>
          <w:p w14:paraId="69AAF6EC">
            <w:pPr>
              <w:jc w:val="center"/>
              <w:rPr>
                <w:rFonts w:hint="eastAsia" w:asciiTheme="minorEastAsia" w:hAnsiTheme="minorEastAsia" w:cstheme="minorEastAsia"/>
                <w:bCs/>
                <w:szCs w:val="21"/>
              </w:rPr>
            </w:pPr>
          </w:p>
        </w:tc>
      </w:tr>
      <w:tr w14:paraId="2C75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7A2B6033">
            <w:pPr>
              <w:widowControl/>
              <w:jc w:val="center"/>
              <w:textAlignment w:val="center"/>
              <w:rPr>
                <w:rFonts w:hint="eastAsia" w:asciiTheme="minorEastAsia" w:hAnsiTheme="minorEastAsia" w:cstheme="minorEastAsia"/>
                <w:szCs w:val="21"/>
              </w:rPr>
            </w:pPr>
            <w:r>
              <w:rPr>
                <w:rFonts w:hint="eastAsia" w:ascii="宋体" w:hAnsi="宋体" w:eastAsia="宋体" w:cs="宋体"/>
                <w:color w:val="000000"/>
                <w:kern w:val="0"/>
                <w:szCs w:val="21"/>
                <w:lang w:bidi="ar"/>
              </w:rPr>
              <w:t>13</w:t>
            </w:r>
          </w:p>
        </w:tc>
        <w:tc>
          <w:tcPr>
            <w:tcW w:w="2012" w:type="dxa"/>
            <w:vAlign w:val="center"/>
          </w:tcPr>
          <w:p w14:paraId="505A96B4">
            <w:pPr>
              <w:widowControl/>
              <w:jc w:val="center"/>
              <w:textAlignment w:val="center"/>
              <w:rPr>
                <w:rFonts w:hint="eastAsia" w:asciiTheme="minorEastAsia" w:hAnsiTheme="minorEastAsia" w:cstheme="minorEastAsia"/>
                <w:spacing w:val="7"/>
                <w:szCs w:val="21"/>
              </w:rPr>
            </w:pPr>
            <w:r>
              <w:rPr>
                <w:rFonts w:hint="eastAsia" w:asciiTheme="minorEastAsia" w:hAnsiTheme="minorEastAsia" w:cstheme="minorEastAsia"/>
                <w:color w:val="000000"/>
                <w:kern w:val="0"/>
                <w:szCs w:val="21"/>
                <w:lang w:bidi="ar"/>
              </w:rPr>
              <w:t>休闲茶几</w:t>
            </w:r>
          </w:p>
        </w:tc>
        <w:tc>
          <w:tcPr>
            <w:tcW w:w="687" w:type="dxa"/>
            <w:vAlign w:val="center"/>
          </w:tcPr>
          <w:p w14:paraId="370675CA">
            <w:pPr>
              <w:widowControl/>
              <w:jc w:val="center"/>
              <w:textAlignment w:val="center"/>
              <w:rPr>
                <w:rFonts w:hint="eastAsia" w:asciiTheme="minorEastAsia" w:hAnsiTheme="minorEastAsia" w:cstheme="minorEastAsia"/>
                <w:spacing w:val="2"/>
                <w:szCs w:val="21"/>
              </w:rPr>
            </w:pPr>
            <w:r>
              <w:rPr>
                <w:rFonts w:hint="eastAsia" w:asciiTheme="minorEastAsia" w:hAnsiTheme="minorEastAsia" w:cstheme="minorEastAsia"/>
                <w:color w:val="000000"/>
                <w:kern w:val="0"/>
                <w:szCs w:val="21"/>
                <w:lang w:bidi="ar"/>
              </w:rPr>
              <w:t>1</w:t>
            </w:r>
          </w:p>
        </w:tc>
        <w:tc>
          <w:tcPr>
            <w:tcW w:w="613" w:type="dxa"/>
            <w:vAlign w:val="center"/>
          </w:tcPr>
          <w:p w14:paraId="6B9A38A3">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lang w:bidi="ar"/>
              </w:rPr>
              <w:t>张</w:t>
            </w:r>
          </w:p>
        </w:tc>
        <w:tc>
          <w:tcPr>
            <w:tcW w:w="825" w:type="dxa"/>
          </w:tcPr>
          <w:p w14:paraId="67FB3C1B">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6713FA9E">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1000</w:t>
            </w:r>
          </w:p>
        </w:tc>
        <w:tc>
          <w:tcPr>
            <w:tcW w:w="1634" w:type="dxa"/>
            <w:vAlign w:val="center"/>
          </w:tcPr>
          <w:p w14:paraId="67F4E6AA">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1000</w:t>
            </w:r>
          </w:p>
        </w:tc>
        <w:tc>
          <w:tcPr>
            <w:tcW w:w="1175" w:type="dxa"/>
          </w:tcPr>
          <w:p w14:paraId="07C0F58D">
            <w:pPr>
              <w:jc w:val="center"/>
              <w:rPr>
                <w:rFonts w:hint="eastAsia" w:asciiTheme="minorEastAsia" w:hAnsiTheme="minorEastAsia" w:cstheme="minorEastAsia"/>
                <w:szCs w:val="21"/>
              </w:rPr>
            </w:pPr>
            <w:r>
              <w:rPr>
                <w:rFonts w:hint="eastAsia" w:asciiTheme="minorEastAsia" w:hAnsiTheme="minorEastAsia" w:cstheme="minorEastAsia"/>
                <w:b/>
                <w:bCs/>
                <w:color w:val="FF0000"/>
                <w:szCs w:val="21"/>
              </w:rPr>
              <w:t>非进口</w:t>
            </w:r>
          </w:p>
        </w:tc>
        <w:tc>
          <w:tcPr>
            <w:tcW w:w="1225" w:type="dxa"/>
            <w:vMerge w:val="continue"/>
          </w:tcPr>
          <w:p w14:paraId="686B9E08">
            <w:pPr>
              <w:jc w:val="center"/>
              <w:rPr>
                <w:rFonts w:hint="eastAsia" w:asciiTheme="minorEastAsia" w:hAnsiTheme="minorEastAsia" w:cstheme="minorEastAsia"/>
                <w:bCs/>
                <w:szCs w:val="21"/>
              </w:rPr>
            </w:pPr>
          </w:p>
        </w:tc>
      </w:tr>
      <w:tr w14:paraId="17F5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2418BF55">
            <w:pPr>
              <w:widowControl/>
              <w:jc w:val="center"/>
              <w:textAlignment w:val="center"/>
              <w:rPr>
                <w:rFonts w:hint="eastAsia" w:asciiTheme="minorEastAsia" w:hAnsiTheme="minorEastAsia" w:cstheme="minorEastAsia"/>
                <w:szCs w:val="21"/>
              </w:rPr>
            </w:pPr>
            <w:r>
              <w:rPr>
                <w:rFonts w:hint="eastAsia" w:ascii="宋体" w:hAnsi="宋体" w:eastAsia="宋体" w:cs="宋体"/>
                <w:color w:val="000000"/>
                <w:kern w:val="0"/>
                <w:szCs w:val="21"/>
                <w:lang w:bidi="ar"/>
              </w:rPr>
              <w:t>14</w:t>
            </w:r>
          </w:p>
        </w:tc>
        <w:tc>
          <w:tcPr>
            <w:tcW w:w="2012" w:type="dxa"/>
            <w:vAlign w:val="center"/>
          </w:tcPr>
          <w:p w14:paraId="11724F05">
            <w:pPr>
              <w:widowControl/>
              <w:jc w:val="center"/>
              <w:textAlignment w:val="center"/>
              <w:rPr>
                <w:rFonts w:hint="eastAsia" w:asciiTheme="minorEastAsia" w:hAnsiTheme="minorEastAsia" w:cstheme="minorEastAsia"/>
                <w:spacing w:val="7"/>
                <w:szCs w:val="21"/>
              </w:rPr>
            </w:pPr>
            <w:r>
              <w:rPr>
                <w:rFonts w:hint="eastAsia" w:asciiTheme="minorEastAsia" w:hAnsiTheme="minorEastAsia" w:cstheme="minorEastAsia"/>
                <w:color w:val="000000"/>
                <w:kern w:val="0"/>
                <w:szCs w:val="21"/>
                <w:lang w:bidi="ar"/>
              </w:rPr>
              <w:t>沙盘工具柜</w:t>
            </w:r>
          </w:p>
        </w:tc>
        <w:tc>
          <w:tcPr>
            <w:tcW w:w="687" w:type="dxa"/>
            <w:vAlign w:val="center"/>
          </w:tcPr>
          <w:p w14:paraId="1F78C997">
            <w:pPr>
              <w:widowControl/>
              <w:jc w:val="center"/>
              <w:textAlignment w:val="center"/>
              <w:rPr>
                <w:rFonts w:hint="eastAsia" w:asciiTheme="minorEastAsia" w:hAnsiTheme="minorEastAsia" w:cstheme="minorEastAsia"/>
                <w:spacing w:val="2"/>
                <w:szCs w:val="21"/>
              </w:rPr>
            </w:pPr>
            <w:r>
              <w:rPr>
                <w:rFonts w:hint="eastAsia" w:asciiTheme="minorEastAsia" w:hAnsiTheme="minorEastAsia" w:cstheme="minorEastAsia"/>
                <w:color w:val="000000"/>
                <w:kern w:val="0"/>
                <w:szCs w:val="21"/>
                <w:lang w:bidi="ar"/>
              </w:rPr>
              <w:t>2</w:t>
            </w:r>
          </w:p>
        </w:tc>
        <w:tc>
          <w:tcPr>
            <w:tcW w:w="613" w:type="dxa"/>
            <w:vAlign w:val="center"/>
          </w:tcPr>
          <w:p w14:paraId="60FFD174">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lang w:bidi="ar"/>
              </w:rPr>
              <w:t>组</w:t>
            </w:r>
          </w:p>
        </w:tc>
        <w:tc>
          <w:tcPr>
            <w:tcW w:w="825" w:type="dxa"/>
          </w:tcPr>
          <w:p w14:paraId="5C71AB54">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31897A8E">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2500</w:t>
            </w:r>
          </w:p>
        </w:tc>
        <w:tc>
          <w:tcPr>
            <w:tcW w:w="1634" w:type="dxa"/>
            <w:vAlign w:val="center"/>
          </w:tcPr>
          <w:p w14:paraId="3CD99A9A">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5000</w:t>
            </w:r>
          </w:p>
        </w:tc>
        <w:tc>
          <w:tcPr>
            <w:tcW w:w="1175" w:type="dxa"/>
          </w:tcPr>
          <w:p w14:paraId="2347656D">
            <w:pPr>
              <w:jc w:val="center"/>
              <w:rPr>
                <w:rFonts w:hint="eastAsia" w:asciiTheme="minorEastAsia" w:hAnsiTheme="minorEastAsia" w:cstheme="minorEastAsia"/>
                <w:szCs w:val="21"/>
              </w:rPr>
            </w:pPr>
            <w:r>
              <w:rPr>
                <w:rFonts w:hint="eastAsia" w:asciiTheme="minorEastAsia" w:hAnsiTheme="minorEastAsia" w:cstheme="minorEastAsia"/>
                <w:b/>
                <w:bCs/>
                <w:color w:val="FF0000"/>
                <w:szCs w:val="21"/>
              </w:rPr>
              <w:t>非进口</w:t>
            </w:r>
          </w:p>
        </w:tc>
        <w:tc>
          <w:tcPr>
            <w:tcW w:w="1225" w:type="dxa"/>
            <w:vMerge w:val="continue"/>
          </w:tcPr>
          <w:p w14:paraId="75E8305F">
            <w:pPr>
              <w:jc w:val="center"/>
              <w:rPr>
                <w:rFonts w:hint="eastAsia" w:asciiTheme="minorEastAsia" w:hAnsiTheme="minorEastAsia" w:cstheme="minorEastAsia"/>
                <w:bCs/>
                <w:szCs w:val="21"/>
              </w:rPr>
            </w:pPr>
          </w:p>
        </w:tc>
      </w:tr>
      <w:tr w14:paraId="6EB0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4164B0AF">
            <w:pPr>
              <w:widowControl/>
              <w:jc w:val="center"/>
              <w:textAlignment w:val="center"/>
              <w:rPr>
                <w:rFonts w:hint="eastAsia" w:asciiTheme="minorEastAsia" w:hAnsiTheme="minorEastAsia" w:cstheme="minorEastAsia"/>
                <w:szCs w:val="21"/>
              </w:rPr>
            </w:pPr>
            <w:r>
              <w:rPr>
                <w:rFonts w:hint="eastAsia" w:ascii="宋体" w:hAnsi="宋体" w:eastAsia="宋体" w:cs="宋体"/>
                <w:color w:val="000000"/>
                <w:kern w:val="0"/>
                <w:szCs w:val="21"/>
                <w:lang w:bidi="ar"/>
              </w:rPr>
              <w:t>15</w:t>
            </w:r>
          </w:p>
        </w:tc>
        <w:tc>
          <w:tcPr>
            <w:tcW w:w="2012" w:type="dxa"/>
            <w:vAlign w:val="center"/>
          </w:tcPr>
          <w:p w14:paraId="48E8BD32">
            <w:pPr>
              <w:widowControl/>
              <w:jc w:val="center"/>
              <w:textAlignment w:val="center"/>
              <w:rPr>
                <w:rFonts w:hint="eastAsia" w:asciiTheme="minorEastAsia" w:hAnsiTheme="minorEastAsia" w:cstheme="minorEastAsia"/>
                <w:spacing w:val="7"/>
                <w:szCs w:val="21"/>
              </w:rPr>
            </w:pPr>
            <w:r>
              <w:rPr>
                <w:rFonts w:hint="eastAsia" w:asciiTheme="minorEastAsia" w:hAnsiTheme="minorEastAsia" w:cstheme="minorEastAsia"/>
                <w:color w:val="000000"/>
                <w:kern w:val="0"/>
                <w:szCs w:val="21"/>
                <w:lang w:bidi="ar"/>
              </w:rPr>
              <w:t>智能体感互动减压平台</w:t>
            </w:r>
          </w:p>
        </w:tc>
        <w:tc>
          <w:tcPr>
            <w:tcW w:w="687" w:type="dxa"/>
            <w:vAlign w:val="center"/>
          </w:tcPr>
          <w:p w14:paraId="2DE66739">
            <w:pPr>
              <w:widowControl/>
              <w:jc w:val="center"/>
              <w:textAlignment w:val="center"/>
              <w:rPr>
                <w:rFonts w:hint="eastAsia" w:asciiTheme="minorEastAsia" w:hAnsiTheme="minorEastAsia" w:cstheme="minorEastAsia"/>
                <w:spacing w:val="2"/>
                <w:szCs w:val="21"/>
              </w:rPr>
            </w:pPr>
            <w:r>
              <w:rPr>
                <w:rFonts w:hint="eastAsia" w:asciiTheme="minorEastAsia" w:hAnsiTheme="minorEastAsia" w:cstheme="minorEastAsia"/>
                <w:color w:val="000000"/>
                <w:kern w:val="0"/>
                <w:szCs w:val="21"/>
                <w:lang w:bidi="ar"/>
              </w:rPr>
              <w:t>1</w:t>
            </w:r>
          </w:p>
        </w:tc>
        <w:tc>
          <w:tcPr>
            <w:tcW w:w="613" w:type="dxa"/>
            <w:vAlign w:val="center"/>
          </w:tcPr>
          <w:p w14:paraId="23DB24C9">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lang w:bidi="ar"/>
              </w:rPr>
              <w:t>套</w:t>
            </w:r>
          </w:p>
        </w:tc>
        <w:tc>
          <w:tcPr>
            <w:tcW w:w="825" w:type="dxa"/>
            <w:vAlign w:val="center"/>
          </w:tcPr>
          <w:p w14:paraId="57F5FFE7">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0732DDF9">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23650</w:t>
            </w:r>
          </w:p>
        </w:tc>
        <w:tc>
          <w:tcPr>
            <w:tcW w:w="1634" w:type="dxa"/>
            <w:vAlign w:val="center"/>
          </w:tcPr>
          <w:p w14:paraId="5A1D2538">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23650</w:t>
            </w:r>
          </w:p>
        </w:tc>
        <w:tc>
          <w:tcPr>
            <w:tcW w:w="1175" w:type="dxa"/>
          </w:tcPr>
          <w:p w14:paraId="38313E91">
            <w:pP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highlight w:val="yellow"/>
              </w:rPr>
              <w:t>核心产品</w:t>
            </w:r>
            <w:r>
              <w:rPr>
                <w:rFonts w:hint="eastAsia" w:asciiTheme="minorEastAsia" w:hAnsiTheme="minorEastAsia" w:cstheme="minorEastAsia"/>
                <w:b/>
                <w:bCs/>
                <w:color w:val="FF0000"/>
                <w:szCs w:val="21"/>
              </w:rPr>
              <w:t>/</w:t>
            </w:r>
          </w:p>
          <w:p w14:paraId="42A52316">
            <w:pPr>
              <w:jc w:val="center"/>
              <w:rPr>
                <w:rFonts w:hint="eastAsia" w:asciiTheme="minorEastAsia" w:hAnsiTheme="minorEastAsia" w:cstheme="minorEastAsia"/>
                <w:szCs w:val="21"/>
              </w:rPr>
            </w:pPr>
            <w:r>
              <w:rPr>
                <w:rFonts w:hint="eastAsia" w:asciiTheme="minorEastAsia" w:hAnsiTheme="minorEastAsia" w:cstheme="minorEastAsia"/>
                <w:b/>
                <w:bCs/>
                <w:color w:val="FF0000"/>
                <w:szCs w:val="21"/>
              </w:rPr>
              <w:t>非进口</w:t>
            </w:r>
          </w:p>
        </w:tc>
        <w:tc>
          <w:tcPr>
            <w:tcW w:w="1225" w:type="dxa"/>
            <w:vMerge w:val="continue"/>
          </w:tcPr>
          <w:p w14:paraId="794C1133">
            <w:pPr>
              <w:jc w:val="center"/>
              <w:rPr>
                <w:rFonts w:hint="eastAsia" w:asciiTheme="minorEastAsia" w:hAnsiTheme="minorEastAsia" w:cstheme="minorEastAsia"/>
                <w:bCs/>
                <w:szCs w:val="21"/>
              </w:rPr>
            </w:pPr>
          </w:p>
        </w:tc>
      </w:tr>
      <w:tr w14:paraId="3259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38606DDA">
            <w:pPr>
              <w:widowControl/>
              <w:jc w:val="center"/>
              <w:textAlignment w:val="center"/>
              <w:rPr>
                <w:rFonts w:hint="eastAsia" w:asciiTheme="minorEastAsia" w:hAnsiTheme="minorEastAsia" w:cstheme="minorEastAsia"/>
                <w:szCs w:val="21"/>
              </w:rPr>
            </w:pPr>
            <w:r>
              <w:rPr>
                <w:rFonts w:hint="eastAsia" w:ascii="宋体" w:hAnsi="宋体" w:eastAsia="宋体" w:cs="宋体"/>
                <w:color w:val="000000"/>
                <w:kern w:val="0"/>
                <w:szCs w:val="21"/>
                <w:lang w:bidi="ar"/>
              </w:rPr>
              <w:t>16</w:t>
            </w:r>
          </w:p>
        </w:tc>
        <w:tc>
          <w:tcPr>
            <w:tcW w:w="2012" w:type="dxa"/>
            <w:vAlign w:val="center"/>
          </w:tcPr>
          <w:p w14:paraId="04B4C5CA">
            <w:pPr>
              <w:widowControl/>
              <w:jc w:val="center"/>
              <w:textAlignment w:val="center"/>
              <w:rPr>
                <w:rFonts w:hint="eastAsia" w:asciiTheme="minorEastAsia" w:hAnsiTheme="minorEastAsia" w:cstheme="minorEastAsia"/>
                <w:spacing w:val="7"/>
                <w:szCs w:val="21"/>
              </w:rPr>
            </w:pPr>
            <w:r>
              <w:rPr>
                <w:rFonts w:hint="eastAsia" w:asciiTheme="minorEastAsia" w:hAnsiTheme="minorEastAsia" w:cstheme="minorEastAsia"/>
                <w:color w:val="000000"/>
                <w:kern w:val="0"/>
                <w:szCs w:val="21"/>
                <w:lang w:bidi="ar"/>
              </w:rPr>
              <w:t>宣泄人套装</w:t>
            </w:r>
          </w:p>
        </w:tc>
        <w:tc>
          <w:tcPr>
            <w:tcW w:w="687" w:type="dxa"/>
            <w:vAlign w:val="center"/>
          </w:tcPr>
          <w:p w14:paraId="4E0A0DCB">
            <w:pPr>
              <w:widowControl/>
              <w:jc w:val="center"/>
              <w:textAlignment w:val="center"/>
              <w:rPr>
                <w:rFonts w:hint="eastAsia" w:asciiTheme="minorEastAsia" w:hAnsiTheme="minorEastAsia" w:cstheme="minorEastAsia"/>
                <w:spacing w:val="2"/>
                <w:szCs w:val="21"/>
              </w:rPr>
            </w:pPr>
            <w:r>
              <w:rPr>
                <w:rFonts w:hint="eastAsia" w:asciiTheme="minorEastAsia" w:hAnsiTheme="minorEastAsia" w:cstheme="minorEastAsia"/>
                <w:color w:val="000000"/>
                <w:kern w:val="0"/>
                <w:szCs w:val="21"/>
                <w:lang w:bidi="ar"/>
              </w:rPr>
              <w:t>1</w:t>
            </w:r>
          </w:p>
        </w:tc>
        <w:tc>
          <w:tcPr>
            <w:tcW w:w="613" w:type="dxa"/>
            <w:vAlign w:val="center"/>
          </w:tcPr>
          <w:p w14:paraId="0A84B65A">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lang w:bidi="ar"/>
              </w:rPr>
              <w:t>套</w:t>
            </w:r>
          </w:p>
        </w:tc>
        <w:tc>
          <w:tcPr>
            <w:tcW w:w="825" w:type="dxa"/>
          </w:tcPr>
          <w:p w14:paraId="01D17C0C">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5597D558">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8350</w:t>
            </w:r>
          </w:p>
        </w:tc>
        <w:tc>
          <w:tcPr>
            <w:tcW w:w="1634" w:type="dxa"/>
            <w:vAlign w:val="center"/>
          </w:tcPr>
          <w:p w14:paraId="2355D18B">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8350</w:t>
            </w:r>
          </w:p>
        </w:tc>
        <w:tc>
          <w:tcPr>
            <w:tcW w:w="1175" w:type="dxa"/>
          </w:tcPr>
          <w:p w14:paraId="7533791B">
            <w:pPr>
              <w:jc w:val="center"/>
              <w:rPr>
                <w:rFonts w:hint="eastAsia" w:asciiTheme="minorEastAsia" w:hAnsiTheme="minorEastAsia" w:cstheme="minorEastAsia"/>
                <w:szCs w:val="21"/>
              </w:rPr>
            </w:pPr>
            <w:r>
              <w:rPr>
                <w:rFonts w:hint="eastAsia" w:asciiTheme="minorEastAsia" w:hAnsiTheme="minorEastAsia" w:cstheme="minorEastAsia"/>
                <w:b/>
                <w:bCs/>
                <w:color w:val="FF0000"/>
                <w:szCs w:val="21"/>
              </w:rPr>
              <w:t>非进口</w:t>
            </w:r>
          </w:p>
        </w:tc>
        <w:tc>
          <w:tcPr>
            <w:tcW w:w="1225" w:type="dxa"/>
            <w:vMerge w:val="continue"/>
          </w:tcPr>
          <w:p w14:paraId="7CEB633A">
            <w:pPr>
              <w:jc w:val="center"/>
              <w:rPr>
                <w:rFonts w:hint="eastAsia" w:asciiTheme="minorEastAsia" w:hAnsiTheme="minorEastAsia" w:cstheme="minorEastAsia"/>
                <w:bCs/>
                <w:szCs w:val="21"/>
              </w:rPr>
            </w:pPr>
          </w:p>
        </w:tc>
      </w:tr>
      <w:tr w14:paraId="216B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1B46F0B3">
            <w:pPr>
              <w:widowControl/>
              <w:jc w:val="center"/>
              <w:textAlignment w:val="center"/>
              <w:rPr>
                <w:rFonts w:hint="eastAsia" w:asciiTheme="minorEastAsia" w:hAnsiTheme="minorEastAsia" w:cstheme="minorEastAsia"/>
                <w:color w:val="000000"/>
                <w:kern w:val="0"/>
                <w:szCs w:val="21"/>
                <w:lang w:bidi="ar"/>
              </w:rPr>
            </w:pPr>
            <w:r>
              <w:rPr>
                <w:rFonts w:hint="eastAsia" w:ascii="宋体" w:hAnsi="宋体" w:eastAsia="宋体" w:cs="宋体"/>
                <w:color w:val="000000"/>
                <w:kern w:val="0"/>
                <w:szCs w:val="21"/>
                <w:lang w:bidi="ar"/>
              </w:rPr>
              <w:t>17</w:t>
            </w:r>
          </w:p>
        </w:tc>
        <w:tc>
          <w:tcPr>
            <w:tcW w:w="2012" w:type="dxa"/>
            <w:vAlign w:val="center"/>
          </w:tcPr>
          <w:p w14:paraId="56AFC30A">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护眼灯</w:t>
            </w:r>
          </w:p>
        </w:tc>
        <w:tc>
          <w:tcPr>
            <w:tcW w:w="687" w:type="dxa"/>
            <w:vAlign w:val="center"/>
          </w:tcPr>
          <w:p w14:paraId="2825E0A9">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25</w:t>
            </w:r>
          </w:p>
        </w:tc>
        <w:tc>
          <w:tcPr>
            <w:tcW w:w="613" w:type="dxa"/>
            <w:vAlign w:val="center"/>
          </w:tcPr>
          <w:p w14:paraId="115DBB3E">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盏</w:t>
            </w:r>
          </w:p>
        </w:tc>
        <w:tc>
          <w:tcPr>
            <w:tcW w:w="825" w:type="dxa"/>
          </w:tcPr>
          <w:p w14:paraId="4650BC55">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1C6E170A">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875</w:t>
            </w:r>
          </w:p>
        </w:tc>
        <w:tc>
          <w:tcPr>
            <w:tcW w:w="1634" w:type="dxa"/>
            <w:vAlign w:val="center"/>
          </w:tcPr>
          <w:p w14:paraId="7B9644A6">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21875</w:t>
            </w:r>
          </w:p>
        </w:tc>
        <w:tc>
          <w:tcPr>
            <w:tcW w:w="1175" w:type="dxa"/>
          </w:tcPr>
          <w:p w14:paraId="54A41CD5">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非进口</w:t>
            </w:r>
          </w:p>
        </w:tc>
        <w:tc>
          <w:tcPr>
            <w:tcW w:w="1225" w:type="dxa"/>
            <w:vMerge w:val="continue"/>
          </w:tcPr>
          <w:p w14:paraId="1628875C">
            <w:pPr>
              <w:jc w:val="center"/>
              <w:rPr>
                <w:rFonts w:hint="eastAsia" w:asciiTheme="minorEastAsia" w:hAnsiTheme="minorEastAsia" w:cstheme="minorEastAsia"/>
                <w:bCs/>
                <w:szCs w:val="21"/>
              </w:rPr>
            </w:pPr>
          </w:p>
        </w:tc>
      </w:tr>
      <w:tr w14:paraId="4B79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4FCF2169">
            <w:pPr>
              <w:widowControl/>
              <w:jc w:val="center"/>
              <w:textAlignment w:val="center"/>
              <w:rPr>
                <w:rFonts w:hint="eastAsia" w:asciiTheme="minorEastAsia" w:hAnsiTheme="minorEastAsia" w:cstheme="minorEastAsia"/>
                <w:szCs w:val="21"/>
              </w:rPr>
            </w:pPr>
            <w:r>
              <w:rPr>
                <w:rFonts w:hint="eastAsia" w:ascii="宋体" w:hAnsi="宋体" w:eastAsia="宋体" w:cs="宋体"/>
                <w:color w:val="000000"/>
                <w:kern w:val="0"/>
                <w:szCs w:val="21"/>
                <w:lang w:bidi="ar"/>
              </w:rPr>
              <w:t>18</w:t>
            </w:r>
          </w:p>
        </w:tc>
        <w:tc>
          <w:tcPr>
            <w:tcW w:w="2012" w:type="dxa"/>
            <w:vAlign w:val="center"/>
          </w:tcPr>
          <w:p w14:paraId="6A78D83B">
            <w:pPr>
              <w:widowControl/>
              <w:jc w:val="center"/>
              <w:textAlignment w:val="center"/>
              <w:rPr>
                <w:rFonts w:hint="eastAsia" w:asciiTheme="minorEastAsia" w:hAnsiTheme="minorEastAsia" w:cstheme="minorEastAsia"/>
                <w:spacing w:val="7"/>
                <w:szCs w:val="21"/>
              </w:rPr>
            </w:pPr>
            <w:r>
              <w:rPr>
                <w:rFonts w:hint="eastAsia" w:asciiTheme="minorEastAsia" w:hAnsiTheme="minorEastAsia" w:cstheme="minorEastAsia"/>
                <w:color w:val="000000"/>
                <w:kern w:val="0"/>
                <w:szCs w:val="21"/>
                <w:lang w:bidi="ar"/>
              </w:rPr>
              <w:t>造型灯</w:t>
            </w:r>
          </w:p>
        </w:tc>
        <w:tc>
          <w:tcPr>
            <w:tcW w:w="687" w:type="dxa"/>
            <w:vAlign w:val="center"/>
          </w:tcPr>
          <w:p w14:paraId="023B07E8">
            <w:pPr>
              <w:widowControl/>
              <w:jc w:val="center"/>
              <w:textAlignment w:val="center"/>
              <w:rPr>
                <w:rFonts w:hint="eastAsia" w:asciiTheme="minorEastAsia" w:hAnsiTheme="minorEastAsia" w:cstheme="minorEastAsia"/>
                <w:spacing w:val="2"/>
                <w:szCs w:val="21"/>
              </w:rPr>
            </w:pPr>
            <w:r>
              <w:rPr>
                <w:rFonts w:hint="eastAsia" w:asciiTheme="minorEastAsia" w:hAnsiTheme="minorEastAsia" w:cstheme="minorEastAsia"/>
                <w:color w:val="000000"/>
                <w:kern w:val="0"/>
                <w:szCs w:val="21"/>
                <w:lang w:bidi="ar"/>
              </w:rPr>
              <w:t>6</w:t>
            </w:r>
          </w:p>
        </w:tc>
        <w:tc>
          <w:tcPr>
            <w:tcW w:w="613" w:type="dxa"/>
            <w:vAlign w:val="center"/>
          </w:tcPr>
          <w:p w14:paraId="7BA22196">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lang w:bidi="ar"/>
              </w:rPr>
              <w:t>盏</w:t>
            </w:r>
          </w:p>
        </w:tc>
        <w:tc>
          <w:tcPr>
            <w:tcW w:w="825" w:type="dxa"/>
          </w:tcPr>
          <w:p w14:paraId="361EC094">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4217FFB6">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1850</w:t>
            </w:r>
          </w:p>
        </w:tc>
        <w:tc>
          <w:tcPr>
            <w:tcW w:w="1634" w:type="dxa"/>
            <w:vAlign w:val="center"/>
          </w:tcPr>
          <w:p w14:paraId="413DDB48">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11100</w:t>
            </w:r>
          </w:p>
        </w:tc>
        <w:tc>
          <w:tcPr>
            <w:tcW w:w="1175" w:type="dxa"/>
          </w:tcPr>
          <w:p w14:paraId="38694E23">
            <w:pPr>
              <w:jc w:val="center"/>
              <w:rPr>
                <w:rFonts w:hint="eastAsia" w:asciiTheme="minorEastAsia" w:hAnsiTheme="minorEastAsia" w:cstheme="minorEastAsia"/>
                <w:szCs w:val="21"/>
              </w:rPr>
            </w:pPr>
            <w:r>
              <w:rPr>
                <w:rFonts w:hint="eastAsia" w:asciiTheme="minorEastAsia" w:hAnsiTheme="minorEastAsia" w:cstheme="minorEastAsia"/>
                <w:b/>
                <w:bCs/>
                <w:color w:val="FF0000"/>
                <w:szCs w:val="21"/>
              </w:rPr>
              <w:t>非进口</w:t>
            </w:r>
          </w:p>
        </w:tc>
        <w:tc>
          <w:tcPr>
            <w:tcW w:w="1225" w:type="dxa"/>
            <w:vMerge w:val="continue"/>
          </w:tcPr>
          <w:p w14:paraId="1E51CC8A">
            <w:pPr>
              <w:jc w:val="center"/>
              <w:rPr>
                <w:rFonts w:hint="eastAsia" w:asciiTheme="minorEastAsia" w:hAnsiTheme="minorEastAsia" w:cstheme="minorEastAsia"/>
                <w:bCs/>
                <w:szCs w:val="21"/>
              </w:rPr>
            </w:pPr>
          </w:p>
        </w:tc>
      </w:tr>
      <w:tr w14:paraId="54E0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67DF68A8">
            <w:pPr>
              <w:widowControl/>
              <w:jc w:val="center"/>
              <w:textAlignment w:val="center"/>
              <w:rPr>
                <w:rFonts w:hint="eastAsia" w:asciiTheme="minorEastAsia" w:hAnsiTheme="minorEastAsia" w:cstheme="minorEastAsia"/>
                <w:color w:val="000000"/>
                <w:kern w:val="0"/>
                <w:szCs w:val="21"/>
                <w:lang w:bidi="ar"/>
              </w:rPr>
            </w:pPr>
            <w:r>
              <w:rPr>
                <w:rFonts w:hint="eastAsia" w:ascii="宋体" w:hAnsi="宋体" w:eastAsia="宋体" w:cs="宋体"/>
                <w:color w:val="000000"/>
                <w:kern w:val="0"/>
                <w:szCs w:val="21"/>
                <w:lang w:bidi="ar"/>
              </w:rPr>
              <w:t>19</w:t>
            </w:r>
          </w:p>
        </w:tc>
        <w:tc>
          <w:tcPr>
            <w:tcW w:w="2012" w:type="dxa"/>
            <w:vAlign w:val="center"/>
          </w:tcPr>
          <w:p w14:paraId="53E80471">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教师研讨桌</w:t>
            </w:r>
          </w:p>
        </w:tc>
        <w:tc>
          <w:tcPr>
            <w:tcW w:w="687" w:type="dxa"/>
            <w:vAlign w:val="center"/>
          </w:tcPr>
          <w:p w14:paraId="7820BD3F">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p>
        </w:tc>
        <w:tc>
          <w:tcPr>
            <w:tcW w:w="613" w:type="dxa"/>
            <w:vAlign w:val="center"/>
          </w:tcPr>
          <w:p w14:paraId="0E80CB84">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张</w:t>
            </w:r>
          </w:p>
        </w:tc>
        <w:tc>
          <w:tcPr>
            <w:tcW w:w="825" w:type="dxa"/>
          </w:tcPr>
          <w:p w14:paraId="6980B2E0">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4E17A8C9">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11000</w:t>
            </w:r>
          </w:p>
        </w:tc>
        <w:tc>
          <w:tcPr>
            <w:tcW w:w="1634" w:type="dxa"/>
            <w:vAlign w:val="center"/>
          </w:tcPr>
          <w:p w14:paraId="0C0632EF">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 xml:space="preserve">11000 </w:t>
            </w:r>
          </w:p>
        </w:tc>
        <w:tc>
          <w:tcPr>
            <w:tcW w:w="1175" w:type="dxa"/>
          </w:tcPr>
          <w:p w14:paraId="1D2F3CFF">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非进口</w:t>
            </w:r>
          </w:p>
        </w:tc>
        <w:tc>
          <w:tcPr>
            <w:tcW w:w="1225" w:type="dxa"/>
            <w:vMerge w:val="continue"/>
          </w:tcPr>
          <w:p w14:paraId="6B4A6614">
            <w:pPr>
              <w:jc w:val="center"/>
              <w:rPr>
                <w:rFonts w:hint="eastAsia" w:asciiTheme="minorEastAsia" w:hAnsiTheme="minorEastAsia" w:cstheme="minorEastAsia"/>
                <w:bCs/>
                <w:szCs w:val="21"/>
              </w:rPr>
            </w:pPr>
          </w:p>
        </w:tc>
      </w:tr>
      <w:tr w14:paraId="3D81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16F05779">
            <w:pPr>
              <w:widowControl/>
              <w:jc w:val="center"/>
              <w:textAlignment w:val="center"/>
              <w:rPr>
                <w:rFonts w:hint="eastAsia" w:asciiTheme="minorEastAsia" w:hAnsiTheme="minorEastAsia" w:cstheme="minorEastAsia"/>
                <w:color w:val="000000"/>
                <w:kern w:val="0"/>
                <w:szCs w:val="21"/>
                <w:lang w:bidi="ar"/>
              </w:rPr>
            </w:pPr>
            <w:r>
              <w:rPr>
                <w:rFonts w:hint="eastAsia" w:ascii="宋体" w:hAnsi="宋体" w:eastAsia="宋体" w:cs="宋体"/>
                <w:color w:val="000000"/>
                <w:kern w:val="0"/>
                <w:szCs w:val="21"/>
                <w:lang w:bidi="ar"/>
              </w:rPr>
              <w:t>20</w:t>
            </w:r>
          </w:p>
        </w:tc>
        <w:tc>
          <w:tcPr>
            <w:tcW w:w="2012" w:type="dxa"/>
            <w:vAlign w:val="center"/>
          </w:tcPr>
          <w:p w14:paraId="6FA93D46">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阅览椅</w:t>
            </w:r>
          </w:p>
        </w:tc>
        <w:tc>
          <w:tcPr>
            <w:tcW w:w="687" w:type="dxa"/>
            <w:vAlign w:val="center"/>
          </w:tcPr>
          <w:p w14:paraId="208627B6">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18</w:t>
            </w:r>
          </w:p>
        </w:tc>
        <w:tc>
          <w:tcPr>
            <w:tcW w:w="613" w:type="dxa"/>
            <w:vAlign w:val="center"/>
          </w:tcPr>
          <w:p w14:paraId="0F264F72">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张</w:t>
            </w:r>
          </w:p>
        </w:tc>
        <w:tc>
          <w:tcPr>
            <w:tcW w:w="825" w:type="dxa"/>
          </w:tcPr>
          <w:p w14:paraId="52502FFF">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40174C25">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850</w:t>
            </w:r>
          </w:p>
        </w:tc>
        <w:tc>
          <w:tcPr>
            <w:tcW w:w="1634" w:type="dxa"/>
            <w:vAlign w:val="center"/>
          </w:tcPr>
          <w:p w14:paraId="69DEB966">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 xml:space="preserve">15300 </w:t>
            </w:r>
          </w:p>
        </w:tc>
        <w:tc>
          <w:tcPr>
            <w:tcW w:w="1175" w:type="dxa"/>
          </w:tcPr>
          <w:p w14:paraId="6EFC4880">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非进口</w:t>
            </w:r>
          </w:p>
        </w:tc>
        <w:tc>
          <w:tcPr>
            <w:tcW w:w="1225" w:type="dxa"/>
            <w:vMerge w:val="continue"/>
          </w:tcPr>
          <w:p w14:paraId="69B718E7">
            <w:pPr>
              <w:jc w:val="center"/>
              <w:rPr>
                <w:rFonts w:hint="eastAsia" w:asciiTheme="minorEastAsia" w:hAnsiTheme="minorEastAsia" w:cstheme="minorEastAsia"/>
                <w:bCs/>
                <w:szCs w:val="21"/>
              </w:rPr>
            </w:pPr>
          </w:p>
        </w:tc>
      </w:tr>
      <w:tr w14:paraId="0E9D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6645DF85">
            <w:pPr>
              <w:widowControl/>
              <w:jc w:val="center"/>
              <w:textAlignment w:val="center"/>
              <w:rPr>
                <w:rFonts w:hint="eastAsia" w:asciiTheme="minorEastAsia" w:hAnsiTheme="minorEastAsia" w:cstheme="minorEastAsia"/>
                <w:color w:val="000000"/>
                <w:kern w:val="0"/>
                <w:szCs w:val="21"/>
                <w:lang w:bidi="ar"/>
              </w:rPr>
            </w:pPr>
            <w:r>
              <w:rPr>
                <w:rFonts w:hint="eastAsia" w:ascii="宋体" w:hAnsi="宋体" w:eastAsia="宋体" w:cs="宋体"/>
                <w:color w:val="000000"/>
                <w:kern w:val="0"/>
                <w:szCs w:val="21"/>
                <w:lang w:bidi="ar"/>
              </w:rPr>
              <w:t>21</w:t>
            </w:r>
          </w:p>
        </w:tc>
        <w:tc>
          <w:tcPr>
            <w:tcW w:w="2012" w:type="dxa"/>
            <w:vAlign w:val="center"/>
          </w:tcPr>
          <w:p w14:paraId="2676CC5B">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休闲沙发</w:t>
            </w:r>
          </w:p>
        </w:tc>
        <w:tc>
          <w:tcPr>
            <w:tcW w:w="687" w:type="dxa"/>
            <w:vAlign w:val="center"/>
          </w:tcPr>
          <w:p w14:paraId="3DCEEA03">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w:t>
            </w:r>
          </w:p>
        </w:tc>
        <w:tc>
          <w:tcPr>
            <w:tcW w:w="613" w:type="dxa"/>
            <w:vAlign w:val="center"/>
          </w:tcPr>
          <w:p w14:paraId="6C44B352">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张</w:t>
            </w:r>
          </w:p>
        </w:tc>
        <w:tc>
          <w:tcPr>
            <w:tcW w:w="825" w:type="dxa"/>
          </w:tcPr>
          <w:p w14:paraId="31CFBA07">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34099538">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 xml:space="preserve">2500 </w:t>
            </w:r>
          </w:p>
        </w:tc>
        <w:tc>
          <w:tcPr>
            <w:tcW w:w="1634" w:type="dxa"/>
            <w:vAlign w:val="center"/>
          </w:tcPr>
          <w:p w14:paraId="43359679">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 xml:space="preserve">15000 </w:t>
            </w:r>
          </w:p>
        </w:tc>
        <w:tc>
          <w:tcPr>
            <w:tcW w:w="1175" w:type="dxa"/>
          </w:tcPr>
          <w:p w14:paraId="4CD65D89">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非进口</w:t>
            </w:r>
          </w:p>
        </w:tc>
        <w:tc>
          <w:tcPr>
            <w:tcW w:w="1225" w:type="dxa"/>
            <w:vMerge w:val="continue"/>
          </w:tcPr>
          <w:p w14:paraId="505A0489">
            <w:pPr>
              <w:jc w:val="center"/>
              <w:rPr>
                <w:rFonts w:hint="eastAsia" w:asciiTheme="minorEastAsia" w:hAnsiTheme="minorEastAsia" w:cstheme="minorEastAsia"/>
                <w:bCs/>
                <w:szCs w:val="21"/>
              </w:rPr>
            </w:pPr>
          </w:p>
        </w:tc>
      </w:tr>
      <w:tr w14:paraId="2A8B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3FD25FD2">
            <w:pPr>
              <w:widowControl/>
              <w:jc w:val="center"/>
              <w:textAlignment w:val="center"/>
              <w:rPr>
                <w:rFonts w:hint="eastAsia" w:asciiTheme="minorEastAsia" w:hAnsiTheme="minorEastAsia" w:cstheme="minorEastAsia"/>
                <w:color w:val="000000"/>
                <w:kern w:val="0"/>
                <w:szCs w:val="21"/>
                <w:lang w:bidi="ar"/>
              </w:rPr>
            </w:pPr>
            <w:r>
              <w:rPr>
                <w:rFonts w:hint="eastAsia" w:ascii="宋体" w:hAnsi="宋体" w:eastAsia="宋体" w:cs="宋体"/>
                <w:color w:val="000000"/>
                <w:kern w:val="0"/>
                <w:szCs w:val="21"/>
                <w:lang w:bidi="ar"/>
              </w:rPr>
              <w:t>22</w:t>
            </w:r>
          </w:p>
        </w:tc>
        <w:tc>
          <w:tcPr>
            <w:tcW w:w="2012" w:type="dxa"/>
            <w:vAlign w:val="center"/>
          </w:tcPr>
          <w:p w14:paraId="3C807746">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休闲茶几</w:t>
            </w:r>
          </w:p>
        </w:tc>
        <w:tc>
          <w:tcPr>
            <w:tcW w:w="687" w:type="dxa"/>
            <w:vAlign w:val="center"/>
          </w:tcPr>
          <w:p w14:paraId="0908C28E">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p>
        </w:tc>
        <w:tc>
          <w:tcPr>
            <w:tcW w:w="613" w:type="dxa"/>
            <w:vAlign w:val="center"/>
          </w:tcPr>
          <w:p w14:paraId="0EC5527A">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张</w:t>
            </w:r>
          </w:p>
        </w:tc>
        <w:tc>
          <w:tcPr>
            <w:tcW w:w="825" w:type="dxa"/>
          </w:tcPr>
          <w:p w14:paraId="473102EA">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16E14770">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1000</w:t>
            </w:r>
          </w:p>
        </w:tc>
        <w:tc>
          <w:tcPr>
            <w:tcW w:w="1634" w:type="dxa"/>
            <w:vAlign w:val="center"/>
          </w:tcPr>
          <w:p w14:paraId="335755DC">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 xml:space="preserve">3000 </w:t>
            </w:r>
          </w:p>
        </w:tc>
        <w:tc>
          <w:tcPr>
            <w:tcW w:w="1175" w:type="dxa"/>
          </w:tcPr>
          <w:p w14:paraId="35D65494">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非进口</w:t>
            </w:r>
          </w:p>
        </w:tc>
        <w:tc>
          <w:tcPr>
            <w:tcW w:w="1225" w:type="dxa"/>
            <w:vMerge w:val="continue"/>
          </w:tcPr>
          <w:p w14:paraId="176119A4">
            <w:pPr>
              <w:jc w:val="center"/>
              <w:rPr>
                <w:rFonts w:hint="eastAsia" w:asciiTheme="minorEastAsia" w:hAnsiTheme="minorEastAsia" w:cstheme="minorEastAsia"/>
                <w:bCs/>
                <w:szCs w:val="21"/>
              </w:rPr>
            </w:pPr>
          </w:p>
        </w:tc>
      </w:tr>
      <w:tr w14:paraId="211C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510" w:type="dxa"/>
            <w:vAlign w:val="center"/>
          </w:tcPr>
          <w:p w14:paraId="1C895812">
            <w:pPr>
              <w:widowControl/>
              <w:jc w:val="center"/>
              <w:textAlignment w:val="center"/>
              <w:rPr>
                <w:rFonts w:hint="eastAsia" w:asciiTheme="minorEastAsia" w:hAnsiTheme="minorEastAsia" w:cstheme="minorEastAsia"/>
                <w:color w:val="000000"/>
                <w:kern w:val="0"/>
                <w:szCs w:val="21"/>
                <w:lang w:bidi="ar"/>
              </w:rPr>
            </w:pPr>
            <w:r>
              <w:rPr>
                <w:rFonts w:hint="eastAsia" w:ascii="宋体" w:hAnsi="宋体" w:eastAsia="宋体" w:cs="宋体"/>
                <w:color w:val="000000"/>
                <w:kern w:val="0"/>
                <w:szCs w:val="21"/>
                <w:lang w:bidi="ar"/>
              </w:rPr>
              <w:t>23</w:t>
            </w:r>
          </w:p>
        </w:tc>
        <w:tc>
          <w:tcPr>
            <w:tcW w:w="2012" w:type="dxa"/>
            <w:vAlign w:val="center"/>
          </w:tcPr>
          <w:p w14:paraId="47F41BAB">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矮柜</w:t>
            </w:r>
          </w:p>
        </w:tc>
        <w:tc>
          <w:tcPr>
            <w:tcW w:w="687" w:type="dxa"/>
            <w:vAlign w:val="center"/>
          </w:tcPr>
          <w:p w14:paraId="7CE32CD6">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11</w:t>
            </w:r>
          </w:p>
        </w:tc>
        <w:tc>
          <w:tcPr>
            <w:tcW w:w="613" w:type="dxa"/>
            <w:vAlign w:val="center"/>
          </w:tcPr>
          <w:p w14:paraId="0180F618">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组</w:t>
            </w:r>
          </w:p>
        </w:tc>
        <w:tc>
          <w:tcPr>
            <w:tcW w:w="825" w:type="dxa"/>
          </w:tcPr>
          <w:p w14:paraId="77518C83">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43031FA4">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1985</w:t>
            </w:r>
          </w:p>
        </w:tc>
        <w:tc>
          <w:tcPr>
            <w:tcW w:w="1634" w:type="dxa"/>
            <w:vAlign w:val="center"/>
          </w:tcPr>
          <w:p w14:paraId="3E290C8F">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 xml:space="preserve">21835 </w:t>
            </w:r>
          </w:p>
        </w:tc>
        <w:tc>
          <w:tcPr>
            <w:tcW w:w="1175" w:type="dxa"/>
          </w:tcPr>
          <w:p w14:paraId="758B6EC0">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非进口</w:t>
            </w:r>
          </w:p>
        </w:tc>
        <w:tc>
          <w:tcPr>
            <w:tcW w:w="1225" w:type="dxa"/>
            <w:vMerge w:val="continue"/>
          </w:tcPr>
          <w:p w14:paraId="14BDCF84">
            <w:pPr>
              <w:jc w:val="center"/>
              <w:rPr>
                <w:rFonts w:hint="eastAsia" w:asciiTheme="minorEastAsia" w:hAnsiTheme="minorEastAsia" w:cstheme="minorEastAsia"/>
                <w:bCs/>
                <w:szCs w:val="21"/>
              </w:rPr>
            </w:pPr>
          </w:p>
        </w:tc>
      </w:tr>
      <w:tr w14:paraId="6939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4341F181">
            <w:pPr>
              <w:widowControl/>
              <w:jc w:val="center"/>
              <w:textAlignment w:val="center"/>
              <w:rPr>
                <w:rFonts w:hint="eastAsia" w:asciiTheme="minorEastAsia" w:hAnsiTheme="minorEastAsia" w:cstheme="minorEastAsia"/>
                <w:color w:val="000000"/>
                <w:kern w:val="0"/>
                <w:szCs w:val="21"/>
                <w:lang w:bidi="ar"/>
              </w:rPr>
            </w:pPr>
            <w:r>
              <w:rPr>
                <w:rFonts w:hint="eastAsia" w:ascii="宋体" w:hAnsi="宋体" w:eastAsia="宋体" w:cs="宋体"/>
                <w:color w:val="000000"/>
                <w:kern w:val="0"/>
                <w:szCs w:val="21"/>
                <w:lang w:bidi="ar"/>
              </w:rPr>
              <w:t>24</w:t>
            </w:r>
          </w:p>
        </w:tc>
        <w:tc>
          <w:tcPr>
            <w:tcW w:w="2012" w:type="dxa"/>
            <w:vAlign w:val="center"/>
          </w:tcPr>
          <w:p w14:paraId="7201DF6E">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高柜</w:t>
            </w:r>
          </w:p>
        </w:tc>
        <w:tc>
          <w:tcPr>
            <w:tcW w:w="687" w:type="dxa"/>
            <w:vAlign w:val="center"/>
          </w:tcPr>
          <w:p w14:paraId="5419BDA2">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14</w:t>
            </w:r>
          </w:p>
        </w:tc>
        <w:tc>
          <w:tcPr>
            <w:tcW w:w="613" w:type="dxa"/>
            <w:vAlign w:val="center"/>
          </w:tcPr>
          <w:p w14:paraId="525AA2E0">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组</w:t>
            </w:r>
          </w:p>
        </w:tc>
        <w:tc>
          <w:tcPr>
            <w:tcW w:w="825" w:type="dxa"/>
          </w:tcPr>
          <w:p w14:paraId="37F07534">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1A021575">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2850</w:t>
            </w:r>
          </w:p>
        </w:tc>
        <w:tc>
          <w:tcPr>
            <w:tcW w:w="1634" w:type="dxa"/>
            <w:vAlign w:val="center"/>
          </w:tcPr>
          <w:p w14:paraId="06AF4D21">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 xml:space="preserve">39900 </w:t>
            </w:r>
          </w:p>
        </w:tc>
        <w:tc>
          <w:tcPr>
            <w:tcW w:w="1175" w:type="dxa"/>
          </w:tcPr>
          <w:p w14:paraId="7B959185">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非进口</w:t>
            </w:r>
          </w:p>
        </w:tc>
        <w:tc>
          <w:tcPr>
            <w:tcW w:w="1225" w:type="dxa"/>
            <w:vMerge w:val="continue"/>
          </w:tcPr>
          <w:p w14:paraId="0AD363DF">
            <w:pPr>
              <w:jc w:val="center"/>
              <w:rPr>
                <w:rFonts w:hint="eastAsia" w:asciiTheme="minorEastAsia" w:hAnsiTheme="minorEastAsia" w:cstheme="minorEastAsia"/>
                <w:bCs/>
                <w:szCs w:val="21"/>
              </w:rPr>
            </w:pPr>
          </w:p>
        </w:tc>
      </w:tr>
      <w:tr w14:paraId="4ADD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52BC71A1">
            <w:pPr>
              <w:widowControl/>
              <w:jc w:val="center"/>
              <w:textAlignment w:val="center"/>
              <w:rPr>
                <w:rFonts w:hint="eastAsia" w:asciiTheme="minorEastAsia" w:hAnsiTheme="minorEastAsia" w:cstheme="minorEastAsia"/>
                <w:color w:val="000000"/>
                <w:kern w:val="0"/>
                <w:szCs w:val="21"/>
                <w:lang w:bidi="ar"/>
              </w:rPr>
            </w:pPr>
            <w:r>
              <w:rPr>
                <w:rFonts w:hint="eastAsia" w:ascii="宋体" w:hAnsi="宋体" w:eastAsia="宋体" w:cs="宋体"/>
                <w:color w:val="000000"/>
                <w:kern w:val="0"/>
                <w:szCs w:val="21"/>
                <w:lang w:bidi="ar"/>
              </w:rPr>
              <w:t>25</w:t>
            </w:r>
          </w:p>
        </w:tc>
        <w:tc>
          <w:tcPr>
            <w:tcW w:w="2012" w:type="dxa"/>
            <w:vAlign w:val="center"/>
          </w:tcPr>
          <w:p w14:paraId="415887AD">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定制L形水吧台</w:t>
            </w:r>
          </w:p>
        </w:tc>
        <w:tc>
          <w:tcPr>
            <w:tcW w:w="687" w:type="dxa"/>
            <w:vAlign w:val="center"/>
          </w:tcPr>
          <w:p w14:paraId="48ECB505">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p>
        </w:tc>
        <w:tc>
          <w:tcPr>
            <w:tcW w:w="613" w:type="dxa"/>
            <w:vAlign w:val="center"/>
          </w:tcPr>
          <w:p w14:paraId="774A2BED">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米</w:t>
            </w:r>
          </w:p>
        </w:tc>
        <w:tc>
          <w:tcPr>
            <w:tcW w:w="825" w:type="dxa"/>
          </w:tcPr>
          <w:p w14:paraId="50926C0E">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57A761C1">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6500</w:t>
            </w:r>
          </w:p>
        </w:tc>
        <w:tc>
          <w:tcPr>
            <w:tcW w:w="1634" w:type="dxa"/>
            <w:vAlign w:val="center"/>
          </w:tcPr>
          <w:p w14:paraId="4D50C21E">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 xml:space="preserve">19500 </w:t>
            </w:r>
          </w:p>
        </w:tc>
        <w:tc>
          <w:tcPr>
            <w:tcW w:w="1175" w:type="dxa"/>
          </w:tcPr>
          <w:p w14:paraId="72D4B044">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非进口</w:t>
            </w:r>
          </w:p>
        </w:tc>
        <w:tc>
          <w:tcPr>
            <w:tcW w:w="1225" w:type="dxa"/>
            <w:vMerge w:val="continue"/>
          </w:tcPr>
          <w:p w14:paraId="002FFBE3">
            <w:pPr>
              <w:jc w:val="center"/>
              <w:rPr>
                <w:rFonts w:hint="eastAsia" w:asciiTheme="minorEastAsia" w:hAnsiTheme="minorEastAsia" w:cstheme="minorEastAsia"/>
                <w:bCs/>
                <w:szCs w:val="21"/>
              </w:rPr>
            </w:pPr>
          </w:p>
        </w:tc>
      </w:tr>
      <w:tr w14:paraId="5F1F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147E9977">
            <w:pPr>
              <w:widowControl/>
              <w:jc w:val="center"/>
              <w:textAlignment w:val="center"/>
              <w:rPr>
                <w:rFonts w:hint="eastAsia" w:asciiTheme="minorEastAsia" w:hAnsiTheme="minorEastAsia" w:cstheme="minorEastAsia"/>
                <w:color w:val="000000"/>
                <w:kern w:val="0"/>
                <w:szCs w:val="21"/>
                <w:lang w:bidi="ar"/>
              </w:rPr>
            </w:pPr>
            <w:r>
              <w:rPr>
                <w:rFonts w:hint="eastAsia" w:ascii="宋体" w:hAnsi="宋体" w:eastAsia="宋体" w:cs="宋体"/>
                <w:color w:val="000000"/>
                <w:kern w:val="0"/>
                <w:szCs w:val="21"/>
                <w:lang w:bidi="ar"/>
              </w:rPr>
              <w:t>26</w:t>
            </w:r>
          </w:p>
        </w:tc>
        <w:tc>
          <w:tcPr>
            <w:tcW w:w="2012" w:type="dxa"/>
            <w:vAlign w:val="center"/>
          </w:tcPr>
          <w:p w14:paraId="15935184">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吧台椅</w:t>
            </w:r>
          </w:p>
        </w:tc>
        <w:tc>
          <w:tcPr>
            <w:tcW w:w="687" w:type="dxa"/>
            <w:vAlign w:val="center"/>
          </w:tcPr>
          <w:p w14:paraId="434C609A">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p>
        </w:tc>
        <w:tc>
          <w:tcPr>
            <w:tcW w:w="613" w:type="dxa"/>
            <w:vAlign w:val="center"/>
          </w:tcPr>
          <w:p w14:paraId="65357E7F">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张</w:t>
            </w:r>
          </w:p>
        </w:tc>
        <w:tc>
          <w:tcPr>
            <w:tcW w:w="825" w:type="dxa"/>
          </w:tcPr>
          <w:p w14:paraId="6A865F30">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1B887BC1">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1100</w:t>
            </w:r>
          </w:p>
        </w:tc>
        <w:tc>
          <w:tcPr>
            <w:tcW w:w="1634" w:type="dxa"/>
            <w:vAlign w:val="center"/>
          </w:tcPr>
          <w:p w14:paraId="58B572D7">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 xml:space="preserve">2200 </w:t>
            </w:r>
          </w:p>
        </w:tc>
        <w:tc>
          <w:tcPr>
            <w:tcW w:w="1175" w:type="dxa"/>
          </w:tcPr>
          <w:p w14:paraId="32B3A9DC">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非进口</w:t>
            </w:r>
          </w:p>
        </w:tc>
        <w:tc>
          <w:tcPr>
            <w:tcW w:w="1225" w:type="dxa"/>
            <w:vMerge w:val="continue"/>
          </w:tcPr>
          <w:p w14:paraId="0B8C12CD">
            <w:pPr>
              <w:jc w:val="center"/>
              <w:rPr>
                <w:rFonts w:hint="eastAsia" w:asciiTheme="minorEastAsia" w:hAnsiTheme="minorEastAsia" w:cstheme="minorEastAsia"/>
                <w:bCs/>
                <w:szCs w:val="21"/>
              </w:rPr>
            </w:pPr>
          </w:p>
        </w:tc>
      </w:tr>
      <w:tr w14:paraId="6748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3658920D">
            <w:pPr>
              <w:widowControl/>
              <w:jc w:val="center"/>
              <w:textAlignment w:val="center"/>
              <w:rPr>
                <w:rFonts w:hint="eastAsia" w:asciiTheme="minorEastAsia" w:hAnsiTheme="minorEastAsia" w:cstheme="minorEastAsia"/>
                <w:color w:val="000000"/>
                <w:kern w:val="0"/>
                <w:szCs w:val="21"/>
                <w:lang w:bidi="ar"/>
              </w:rPr>
            </w:pPr>
            <w:r>
              <w:rPr>
                <w:rFonts w:hint="eastAsia" w:ascii="宋体" w:hAnsi="宋体" w:eastAsia="宋体" w:cs="宋体"/>
                <w:color w:val="000000"/>
                <w:kern w:val="0"/>
                <w:szCs w:val="21"/>
                <w:lang w:bidi="ar"/>
              </w:rPr>
              <w:t>27</w:t>
            </w:r>
          </w:p>
        </w:tc>
        <w:tc>
          <w:tcPr>
            <w:tcW w:w="2012" w:type="dxa"/>
            <w:vAlign w:val="center"/>
          </w:tcPr>
          <w:p w14:paraId="0B954861">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地毯</w:t>
            </w:r>
          </w:p>
        </w:tc>
        <w:tc>
          <w:tcPr>
            <w:tcW w:w="687" w:type="dxa"/>
            <w:vAlign w:val="center"/>
          </w:tcPr>
          <w:p w14:paraId="14AE4ED1">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w:t>
            </w:r>
          </w:p>
        </w:tc>
        <w:tc>
          <w:tcPr>
            <w:tcW w:w="613" w:type="dxa"/>
            <w:vAlign w:val="center"/>
          </w:tcPr>
          <w:p w14:paraId="3E9D13FD">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平方</w:t>
            </w:r>
          </w:p>
        </w:tc>
        <w:tc>
          <w:tcPr>
            <w:tcW w:w="825" w:type="dxa"/>
          </w:tcPr>
          <w:p w14:paraId="6F47A671">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6F521FC3">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198</w:t>
            </w:r>
          </w:p>
        </w:tc>
        <w:tc>
          <w:tcPr>
            <w:tcW w:w="1634" w:type="dxa"/>
            <w:vAlign w:val="center"/>
          </w:tcPr>
          <w:p w14:paraId="40BC60AE">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 xml:space="preserve">1980 </w:t>
            </w:r>
          </w:p>
        </w:tc>
        <w:tc>
          <w:tcPr>
            <w:tcW w:w="1175" w:type="dxa"/>
          </w:tcPr>
          <w:p w14:paraId="6746059A">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非进口</w:t>
            </w:r>
          </w:p>
        </w:tc>
        <w:tc>
          <w:tcPr>
            <w:tcW w:w="1225" w:type="dxa"/>
            <w:vMerge w:val="continue"/>
          </w:tcPr>
          <w:p w14:paraId="594C199E">
            <w:pPr>
              <w:jc w:val="center"/>
              <w:rPr>
                <w:rFonts w:hint="eastAsia" w:asciiTheme="minorEastAsia" w:hAnsiTheme="minorEastAsia" w:cstheme="minorEastAsia"/>
                <w:bCs/>
                <w:szCs w:val="21"/>
              </w:rPr>
            </w:pPr>
          </w:p>
        </w:tc>
      </w:tr>
      <w:tr w14:paraId="6F31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1612B073">
            <w:pPr>
              <w:widowControl/>
              <w:jc w:val="center"/>
              <w:textAlignment w:val="center"/>
              <w:rPr>
                <w:rFonts w:hint="eastAsia" w:asciiTheme="minorEastAsia" w:hAnsiTheme="minorEastAsia" w:cstheme="minorEastAsia"/>
                <w:color w:val="000000"/>
                <w:kern w:val="0"/>
                <w:szCs w:val="21"/>
                <w:lang w:bidi="ar"/>
              </w:rPr>
            </w:pPr>
            <w:r>
              <w:rPr>
                <w:rFonts w:hint="eastAsia" w:ascii="宋体" w:hAnsi="宋体" w:eastAsia="宋体" w:cs="宋体"/>
                <w:color w:val="000000"/>
                <w:kern w:val="0"/>
                <w:szCs w:val="21"/>
                <w:lang w:bidi="ar"/>
              </w:rPr>
              <w:t>28</w:t>
            </w:r>
          </w:p>
        </w:tc>
        <w:tc>
          <w:tcPr>
            <w:tcW w:w="2012" w:type="dxa"/>
            <w:vAlign w:val="center"/>
          </w:tcPr>
          <w:p w14:paraId="13DE293D">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懒人沙发</w:t>
            </w:r>
          </w:p>
        </w:tc>
        <w:tc>
          <w:tcPr>
            <w:tcW w:w="687" w:type="dxa"/>
            <w:vAlign w:val="center"/>
          </w:tcPr>
          <w:p w14:paraId="175FE058">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p>
        </w:tc>
        <w:tc>
          <w:tcPr>
            <w:tcW w:w="613" w:type="dxa"/>
            <w:vAlign w:val="center"/>
          </w:tcPr>
          <w:p w14:paraId="7BDB3049">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张</w:t>
            </w:r>
          </w:p>
        </w:tc>
        <w:tc>
          <w:tcPr>
            <w:tcW w:w="825" w:type="dxa"/>
          </w:tcPr>
          <w:p w14:paraId="5B03FB53">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3329D372">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850</w:t>
            </w:r>
          </w:p>
        </w:tc>
        <w:tc>
          <w:tcPr>
            <w:tcW w:w="1634" w:type="dxa"/>
            <w:vAlign w:val="center"/>
          </w:tcPr>
          <w:p w14:paraId="1A33F6DF">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 xml:space="preserve">1700 </w:t>
            </w:r>
          </w:p>
        </w:tc>
        <w:tc>
          <w:tcPr>
            <w:tcW w:w="1175" w:type="dxa"/>
          </w:tcPr>
          <w:p w14:paraId="0EC28D00">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非进口</w:t>
            </w:r>
          </w:p>
        </w:tc>
        <w:tc>
          <w:tcPr>
            <w:tcW w:w="1225" w:type="dxa"/>
            <w:vMerge w:val="continue"/>
          </w:tcPr>
          <w:p w14:paraId="1ADF594A">
            <w:pPr>
              <w:jc w:val="center"/>
              <w:rPr>
                <w:rFonts w:hint="eastAsia" w:asciiTheme="minorEastAsia" w:hAnsiTheme="minorEastAsia" w:cstheme="minorEastAsia"/>
                <w:bCs/>
                <w:szCs w:val="21"/>
              </w:rPr>
            </w:pPr>
          </w:p>
        </w:tc>
      </w:tr>
      <w:tr w14:paraId="176D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05B08037">
            <w:pPr>
              <w:widowControl/>
              <w:jc w:val="center"/>
              <w:textAlignment w:val="center"/>
              <w:rPr>
                <w:rFonts w:hint="eastAsia" w:asciiTheme="minorEastAsia" w:hAnsiTheme="minorEastAsia" w:cstheme="minorEastAsia"/>
                <w:color w:val="000000"/>
                <w:kern w:val="0"/>
                <w:szCs w:val="21"/>
                <w:lang w:bidi="ar"/>
              </w:rPr>
            </w:pPr>
            <w:r>
              <w:rPr>
                <w:rFonts w:hint="eastAsia" w:ascii="宋体" w:hAnsi="宋体" w:eastAsia="宋体" w:cs="宋体"/>
                <w:color w:val="000000"/>
                <w:kern w:val="0"/>
                <w:szCs w:val="21"/>
                <w:lang w:bidi="ar"/>
              </w:rPr>
              <w:t>29</w:t>
            </w:r>
          </w:p>
        </w:tc>
        <w:tc>
          <w:tcPr>
            <w:tcW w:w="2012" w:type="dxa"/>
            <w:vAlign w:val="center"/>
          </w:tcPr>
          <w:p w14:paraId="19A1FEC4">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文化墙板</w:t>
            </w:r>
          </w:p>
        </w:tc>
        <w:tc>
          <w:tcPr>
            <w:tcW w:w="687" w:type="dxa"/>
            <w:vAlign w:val="center"/>
          </w:tcPr>
          <w:p w14:paraId="572895F6">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p>
        </w:tc>
        <w:tc>
          <w:tcPr>
            <w:tcW w:w="613" w:type="dxa"/>
            <w:vAlign w:val="center"/>
          </w:tcPr>
          <w:p w14:paraId="45AA0D91">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块</w:t>
            </w:r>
          </w:p>
        </w:tc>
        <w:tc>
          <w:tcPr>
            <w:tcW w:w="825" w:type="dxa"/>
          </w:tcPr>
          <w:p w14:paraId="22A2B758">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3B235443">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770</w:t>
            </w:r>
          </w:p>
        </w:tc>
        <w:tc>
          <w:tcPr>
            <w:tcW w:w="1634" w:type="dxa"/>
            <w:vAlign w:val="center"/>
          </w:tcPr>
          <w:p w14:paraId="4818BAA9">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 xml:space="preserve">770 </w:t>
            </w:r>
          </w:p>
        </w:tc>
        <w:tc>
          <w:tcPr>
            <w:tcW w:w="1175" w:type="dxa"/>
          </w:tcPr>
          <w:p w14:paraId="0E7F7C28">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非进口</w:t>
            </w:r>
          </w:p>
        </w:tc>
        <w:tc>
          <w:tcPr>
            <w:tcW w:w="1225" w:type="dxa"/>
            <w:vMerge w:val="continue"/>
          </w:tcPr>
          <w:p w14:paraId="2DACEE51">
            <w:pPr>
              <w:jc w:val="center"/>
              <w:rPr>
                <w:rFonts w:hint="eastAsia" w:asciiTheme="minorEastAsia" w:hAnsiTheme="minorEastAsia" w:cstheme="minorEastAsia"/>
                <w:bCs/>
                <w:szCs w:val="21"/>
              </w:rPr>
            </w:pPr>
          </w:p>
        </w:tc>
      </w:tr>
      <w:tr w14:paraId="5FBB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7CA9A8D6">
            <w:pPr>
              <w:widowControl/>
              <w:jc w:val="center"/>
              <w:textAlignment w:val="center"/>
              <w:rPr>
                <w:rFonts w:hint="eastAsia" w:asciiTheme="minorEastAsia" w:hAnsiTheme="minorEastAsia" w:cstheme="minorEastAsia"/>
                <w:color w:val="000000"/>
                <w:szCs w:val="21"/>
              </w:rPr>
            </w:pPr>
            <w:r>
              <w:rPr>
                <w:rFonts w:hint="eastAsia" w:ascii="宋体" w:hAnsi="宋体" w:eastAsia="宋体" w:cs="宋体"/>
                <w:color w:val="000000"/>
                <w:kern w:val="0"/>
                <w:szCs w:val="21"/>
                <w:lang w:bidi="ar"/>
              </w:rPr>
              <w:t>30</w:t>
            </w:r>
          </w:p>
        </w:tc>
        <w:tc>
          <w:tcPr>
            <w:tcW w:w="2012" w:type="dxa"/>
            <w:vAlign w:val="center"/>
          </w:tcPr>
          <w:p w14:paraId="0A0F7B6B">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地面砖</w:t>
            </w:r>
          </w:p>
        </w:tc>
        <w:tc>
          <w:tcPr>
            <w:tcW w:w="687" w:type="dxa"/>
            <w:vAlign w:val="center"/>
          </w:tcPr>
          <w:p w14:paraId="43EA7625">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120</w:t>
            </w:r>
          </w:p>
        </w:tc>
        <w:tc>
          <w:tcPr>
            <w:tcW w:w="613" w:type="dxa"/>
            <w:vAlign w:val="center"/>
          </w:tcPr>
          <w:p w14:paraId="5AFF0CB8">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平方</w:t>
            </w:r>
          </w:p>
        </w:tc>
        <w:tc>
          <w:tcPr>
            <w:tcW w:w="825" w:type="dxa"/>
          </w:tcPr>
          <w:p w14:paraId="7F9CA37E">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2C3ACFBB">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265</w:t>
            </w:r>
          </w:p>
        </w:tc>
        <w:tc>
          <w:tcPr>
            <w:tcW w:w="1634" w:type="dxa"/>
            <w:vAlign w:val="center"/>
          </w:tcPr>
          <w:p w14:paraId="6C3E918E">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31800</w:t>
            </w:r>
          </w:p>
        </w:tc>
        <w:tc>
          <w:tcPr>
            <w:tcW w:w="1175" w:type="dxa"/>
          </w:tcPr>
          <w:p w14:paraId="6B8DDBC2">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非进口</w:t>
            </w:r>
          </w:p>
        </w:tc>
        <w:tc>
          <w:tcPr>
            <w:tcW w:w="1225" w:type="dxa"/>
            <w:vMerge w:val="continue"/>
          </w:tcPr>
          <w:p w14:paraId="52235123">
            <w:pPr>
              <w:jc w:val="center"/>
              <w:rPr>
                <w:rFonts w:hint="eastAsia" w:asciiTheme="minorEastAsia" w:hAnsiTheme="minorEastAsia" w:cstheme="minorEastAsia"/>
                <w:bCs/>
                <w:szCs w:val="21"/>
              </w:rPr>
            </w:pPr>
          </w:p>
        </w:tc>
      </w:tr>
      <w:tr w14:paraId="4CD3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1F2318EA">
            <w:pPr>
              <w:widowControl/>
              <w:jc w:val="center"/>
              <w:textAlignment w:val="center"/>
              <w:rPr>
                <w:rFonts w:hint="eastAsia" w:asciiTheme="minorEastAsia" w:hAnsiTheme="minorEastAsia" w:cstheme="minorEastAsia"/>
                <w:color w:val="000000"/>
                <w:szCs w:val="21"/>
              </w:rPr>
            </w:pPr>
            <w:r>
              <w:rPr>
                <w:rFonts w:hint="eastAsia" w:ascii="宋体" w:hAnsi="宋体" w:eastAsia="宋体" w:cs="宋体"/>
                <w:color w:val="000000"/>
                <w:kern w:val="0"/>
                <w:szCs w:val="21"/>
                <w:lang w:bidi="ar"/>
              </w:rPr>
              <w:t>31</w:t>
            </w:r>
          </w:p>
        </w:tc>
        <w:tc>
          <w:tcPr>
            <w:tcW w:w="2012" w:type="dxa"/>
            <w:vAlign w:val="center"/>
          </w:tcPr>
          <w:p w14:paraId="3C08530B">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腻子粉</w:t>
            </w:r>
          </w:p>
        </w:tc>
        <w:tc>
          <w:tcPr>
            <w:tcW w:w="687" w:type="dxa"/>
            <w:vAlign w:val="center"/>
          </w:tcPr>
          <w:p w14:paraId="172EDC46">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w:t>
            </w:r>
          </w:p>
        </w:tc>
        <w:tc>
          <w:tcPr>
            <w:tcW w:w="613" w:type="dxa"/>
            <w:vAlign w:val="center"/>
          </w:tcPr>
          <w:p w14:paraId="4BCADD6C">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袋</w:t>
            </w:r>
          </w:p>
        </w:tc>
        <w:tc>
          <w:tcPr>
            <w:tcW w:w="825" w:type="dxa"/>
          </w:tcPr>
          <w:p w14:paraId="00939678">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3BBA4838">
            <w:pPr>
              <w:widowControl/>
              <w:jc w:val="center"/>
              <w:textAlignment w:val="center"/>
              <w:rPr>
                <w:rFonts w:hint="default" w:asciiTheme="minorEastAsia" w:hAnsiTheme="minorEastAsia" w:eastAsiaTheme="minorEastAsia" w:cstheme="minorEastAsia"/>
                <w:b/>
                <w:bCs/>
                <w:color w:val="FF0000"/>
                <w:kern w:val="0"/>
                <w:szCs w:val="21"/>
                <w:lang w:val="en-US" w:eastAsia="zh-CN" w:bidi="ar"/>
              </w:rPr>
            </w:pPr>
            <w:r>
              <w:rPr>
                <w:rFonts w:hint="eastAsia" w:asciiTheme="minorEastAsia" w:hAnsiTheme="minorEastAsia" w:cstheme="minorEastAsia"/>
                <w:b/>
                <w:bCs/>
                <w:color w:val="FF0000"/>
                <w:kern w:val="0"/>
                <w:szCs w:val="21"/>
                <w:lang w:val="en-US" w:eastAsia="zh-CN" w:bidi="ar"/>
              </w:rPr>
              <w:t>425</w:t>
            </w:r>
          </w:p>
        </w:tc>
        <w:tc>
          <w:tcPr>
            <w:tcW w:w="1634" w:type="dxa"/>
            <w:vAlign w:val="center"/>
          </w:tcPr>
          <w:p w14:paraId="1BFAE1FE">
            <w:pPr>
              <w:widowControl/>
              <w:jc w:val="center"/>
              <w:textAlignment w:val="center"/>
              <w:rPr>
                <w:rFonts w:hint="default" w:asciiTheme="minorEastAsia" w:hAnsiTheme="minorEastAsia" w:eastAsiaTheme="minorEastAsia" w:cstheme="minorEastAsia"/>
                <w:b/>
                <w:bCs/>
                <w:color w:val="FF0000"/>
                <w:kern w:val="0"/>
                <w:szCs w:val="21"/>
                <w:lang w:val="en-US" w:eastAsia="zh-CN" w:bidi="ar"/>
              </w:rPr>
            </w:pPr>
            <w:r>
              <w:rPr>
                <w:rFonts w:hint="eastAsia" w:asciiTheme="minorEastAsia" w:hAnsiTheme="minorEastAsia" w:cstheme="minorEastAsia"/>
                <w:b/>
                <w:bCs/>
                <w:color w:val="FF0000"/>
                <w:kern w:val="0"/>
                <w:szCs w:val="21"/>
                <w:lang w:val="en-US" w:eastAsia="zh-CN" w:bidi="ar"/>
              </w:rPr>
              <w:t>25500</w:t>
            </w:r>
          </w:p>
        </w:tc>
        <w:tc>
          <w:tcPr>
            <w:tcW w:w="1175" w:type="dxa"/>
          </w:tcPr>
          <w:p w14:paraId="2265A423">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非进口</w:t>
            </w:r>
          </w:p>
        </w:tc>
        <w:tc>
          <w:tcPr>
            <w:tcW w:w="1225" w:type="dxa"/>
            <w:vMerge w:val="continue"/>
          </w:tcPr>
          <w:p w14:paraId="68DF2AD7">
            <w:pPr>
              <w:jc w:val="center"/>
              <w:rPr>
                <w:rFonts w:hint="eastAsia" w:asciiTheme="minorEastAsia" w:hAnsiTheme="minorEastAsia" w:cstheme="minorEastAsia"/>
                <w:bCs/>
                <w:szCs w:val="21"/>
              </w:rPr>
            </w:pPr>
          </w:p>
        </w:tc>
      </w:tr>
      <w:tr w14:paraId="5158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0207FC73">
            <w:pPr>
              <w:widowControl/>
              <w:jc w:val="center"/>
              <w:textAlignment w:val="center"/>
              <w:rPr>
                <w:rFonts w:hint="eastAsia" w:asciiTheme="minorEastAsia" w:hAnsiTheme="minorEastAsia" w:cstheme="minorEastAsia"/>
                <w:color w:val="000000"/>
                <w:szCs w:val="21"/>
              </w:rPr>
            </w:pPr>
            <w:r>
              <w:rPr>
                <w:rFonts w:hint="eastAsia" w:ascii="宋体" w:hAnsi="宋体" w:eastAsia="宋体" w:cs="宋体"/>
                <w:color w:val="000000"/>
                <w:kern w:val="0"/>
                <w:szCs w:val="21"/>
                <w:lang w:bidi="ar"/>
              </w:rPr>
              <w:t>32</w:t>
            </w:r>
          </w:p>
        </w:tc>
        <w:tc>
          <w:tcPr>
            <w:tcW w:w="2012" w:type="dxa"/>
            <w:vAlign w:val="center"/>
          </w:tcPr>
          <w:p w14:paraId="6D514FF9">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乳胶漆</w:t>
            </w:r>
          </w:p>
        </w:tc>
        <w:tc>
          <w:tcPr>
            <w:tcW w:w="687" w:type="dxa"/>
            <w:vAlign w:val="center"/>
          </w:tcPr>
          <w:p w14:paraId="7ECD1467">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w:t>
            </w:r>
          </w:p>
        </w:tc>
        <w:tc>
          <w:tcPr>
            <w:tcW w:w="613" w:type="dxa"/>
            <w:vAlign w:val="center"/>
          </w:tcPr>
          <w:p w14:paraId="30760EB7">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桶</w:t>
            </w:r>
          </w:p>
        </w:tc>
        <w:tc>
          <w:tcPr>
            <w:tcW w:w="825" w:type="dxa"/>
          </w:tcPr>
          <w:p w14:paraId="326764A5">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0F9DA9B3">
            <w:pPr>
              <w:widowControl/>
              <w:jc w:val="center"/>
              <w:textAlignment w:val="center"/>
              <w:rPr>
                <w:rFonts w:hint="default" w:asciiTheme="minorEastAsia" w:hAnsiTheme="minorEastAsia" w:eastAsiaTheme="minorEastAsia" w:cstheme="minorEastAsia"/>
                <w:b/>
                <w:bCs/>
                <w:color w:val="FF0000"/>
                <w:kern w:val="0"/>
                <w:szCs w:val="21"/>
                <w:lang w:val="en-US" w:eastAsia="zh-CN" w:bidi="ar"/>
              </w:rPr>
            </w:pPr>
            <w:r>
              <w:rPr>
                <w:rFonts w:hint="eastAsia" w:asciiTheme="minorEastAsia" w:hAnsiTheme="minorEastAsia" w:cstheme="minorEastAsia"/>
                <w:b/>
                <w:bCs/>
                <w:color w:val="FF0000"/>
                <w:kern w:val="0"/>
                <w:szCs w:val="21"/>
                <w:lang w:val="en-US" w:eastAsia="zh-CN" w:bidi="ar"/>
              </w:rPr>
              <w:t>690</w:t>
            </w:r>
          </w:p>
        </w:tc>
        <w:tc>
          <w:tcPr>
            <w:tcW w:w="1634" w:type="dxa"/>
            <w:vAlign w:val="center"/>
          </w:tcPr>
          <w:p w14:paraId="16D772C5">
            <w:pPr>
              <w:widowControl/>
              <w:jc w:val="center"/>
              <w:textAlignment w:val="center"/>
              <w:rPr>
                <w:rFonts w:hint="default" w:asciiTheme="minorEastAsia" w:hAnsiTheme="minorEastAsia" w:eastAsiaTheme="minorEastAsia" w:cstheme="minorEastAsia"/>
                <w:b/>
                <w:bCs/>
                <w:color w:val="FF0000"/>
                <w:kern w:val="0"/>
                <w:szCs w:val="21"/>
                <w:lang w:val="en-US" w:eastAsia="zh-CN" w:bidi="ar"/>
              </w:rPr>
            </w:pPr>
            <w:r>
              <w:rPr>
                <w:rFonts w:hint="eastAsia" w:asciiTheme="minorEastAsia" w:hAnsiTheme="minorEastAsia" w:cstheme="minorEastAsia"/>
                <w:b/>
                <w:bCs/>
                <w:color w:val="FF0000"/>
                <w:kern w:val="0"/>
                <w:szCs w:val="21"/>
                <w:lang w:val="en-US" w:eastAsia="zh-CN" w:bidi="ar"/>
              </w:rPr>
              <w:t>41400</w:t>
            </w:r>
          </w:p>
        </w:tc>
        <w:tc>
          <w:tcPr>
            <w:tcW w:w="1175" w:type="dxa"/>
          </w:tcPr>
          <w:p w14:paraId="4DB6B873">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非进口</w:t>
            </w:r>
          </w:p>
        </w:tc>
        <w:tc>
          <w:tcPr>
            <w:tcW w:w="1225" w:type="dxa"/>
            <w:vMerge w:val="continue"/>
          </w:tcPr>
          <w:p w14:paraId="712A3BCF">
            <w:pPr>
              <w:jc w:val="center"/>
              <w:rPr>
                <w:rFonts w:hint="eastAsia" w:asciiTheme="minorEastAsia" w:hAnsiTheme="minorEastAsia" w:cstheme="minorEastAsia"/>
                <w:bCs/>
                <w:szCs w:val="21"/>
              </w:rPr>
            </w:pPr>
          </w:p>
        </w:tc>
      </w:tr>
      <w:tr w14:paraId="5DA4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4F013010">
            <w:pPr>
              <w:widowControl/>
              <w:jc w:val="center"/>
              <w:textAlignment w:val="center"/>
              <w:rPr>
                <w:rFonts w:hint="eastAsia" w:asciiTheme="minorEastAsia" w:hAnsiTheme="minorEastAsia" w:cstheme="minorEastAsia"/>
                <w:color w:val="000000"/>
                <w:szCs w:val="21"/>
              </w:rPr>
            </w:pPr>
            <w:r>
              <w:rPr>
                <w:rFonts w:hint="eastAsia" w:ascii="宋体" w:hAnsi="宋体" w:eastAsia="宋体" w:cs="宋体"/>
                <w:color w:val="000000"/>
                <w:kern w:val="0"/>
                <w:szCs w:val="21"/>
                <w:lang w:bidi="ar"/>
              </w:rPr>
              <w:t>33</w:t>
            </w:r>
          </w:p>
        </w:tc>
        <w:tc>
          <w:tcPr>
            <w:tcW w:w="2012" w:type="dxa"/>
            <w:vAlign w:val="center"/>
          </w:tcPr>
          <w:p w14:paraId="398188C0">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格栅</w:t>
            </w:r>
          </w:p>
        </w:tc>
        <w:tc>
          <w:tcPr>
            <w:tcW w:w="687" w:type="dxa"/>
            <w:vAlign w:val="center"/>
          </w:tcPr>
          <w:p w14:paraId="6DB8919B">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120</w:t>
            </w:r>
          </w:p>
        </w:tc>
        <w:tc>
          <w:tcPr>
            <w:tcW w:w="613" w:type="dxa"/>
            <w:vAlign w:val="center"/>
          </w:tcPr>
          <w:p w14:paraId="1B55109D">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平方</w:t>
            </w:r>
          </w:p>
        </w:tc>
        <w:tc>
          <w:tcPr>
            <w:tcW w:w="825" w:type="dxa"/>
          </w:tcPr>
          <w:p w14:paraId="76E1E802">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4ED3935F">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195</w:t>
            </w:r>
          </w:p>
        </w:tc>
        <w:tc>
          <w:tcPr>
            <w:tcW w:w="1634" w:type="dxa"/>
            <w:vAlign w:val="center"/>
          </w:tcPr>
          <w:p w14:paraId="43928DF2">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23400</w:t>
            </w:r>
          </w:p>
        </w:tc>
        <w:tc>
          <w:tcPr>
            <w:tcW w:w="1175" w:type="dxa"/>
          </w:tcPr>
          <w:p w14:paraId="22E84E80">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非进口</w:t>
            </w:r>
          </w:p>
        </w:tc>
        <w:tc>
          <w:tcPr>
            <w:tcW w:w="1225" w:type="dxa"/>
            <w:vMerge w:val="continue"/>
          </w:tcPr>
          <w:p w14:paraId="1CC89A9C">
            <w:pPr>
              <w:jc w:val="center"/>
              <w:rPr>
                <w:rFonts w:hint="eastAsia" w:asciiTheme="minorEastAsia" w:hAnsiTheme="minorEastAsia" w:cstheme="minorEastAsia"/>
                <w:bCs/>
                <w:szCs w:val="21"/>
              </w:rPr>
            </w:pPr>
          </w:p>
        </w:tc>
      </w:tr>
      <w:tr w14:paraId="3E4D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1B006C66">
            <w:pPr>
              <w:widowControl/>
              <w:jc w:val="center"/>
              <w:textAlignment w:val="center"/>
              <w:rPr>
                <w:rFonts w:hint="eastAsia" w:asciiTheme="minorEastAsia" w:hAnsiTheme="minorEastAsia" w:cstheme="minorEastAsia"/>
                <w:color w:val="000000"/>
                <w:szCs w:val="21"/>
              </w:rPr>
            </w:pPr>
            <w:r>
              <w:rPr>
                <w:rFonts w:hint="eastAsia" w:ascii="宋体" w:hAnsi="宋体" w:eastAsia="宋体" w:cs="宋体"/>
                <w:color w:val="000000"/>
                <w:kern w:val="0"/>
                <w:szCs w:val="21"/>
                <w:lang w:bidi="ar"/>
              </w:rPr>
              <w:t>34</w:t>
            </w:r>
          </w:p>
        </w:tc>
        <w:tc>
          <w:tcPr>
            <w:tcW w:w="2012" w:type="dxa"/>
            <w:vAlign w:val="center"/>
          </w:tcPr>
          <w:p w14:paraId="354D7BAA">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综合布线</w:t>
            </w:r>
          </w:p>
        </w:tc>
        <w:tc>
          <w:tcPr>
            <w:tcW w:w="687" w:type="dxa"/>
            <w:vAlign w:val="center"/>
          </w:tcPr>
          <w:p w14:paraId="364A0282">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120</w:t>
            </w:r>
          </w:p>
        </w:tc>
        <w:tc>
          <w:tcPr>
            <w:tcW w:w="613" w:type="dxa"/>
            <w:vAlign w:val="center"/>
          </w:tcPr>
          <w:p w14:paraId="0C14E814">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平方</w:t>
            </w:r>
          </w:p>
        </w:tc>
        <w:tc>
          <w:tcPr>
            <w:tcW w:w="825" w:type="dxa"/>
          </w:tcPr>
          <w:p w14:paraId="1161BEF1">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7B806818">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155</w:t>
            </w:r>
          </w:p>
        </w:tc>
        <w:tc>
          <w:tcPr>
            <w:tcW w:w="1634" w:type="dxa"/>
            <w:vAlign w:val="center"/>
          </w:tcPr>
          <w:p w14:paraId="1AF9C1CE">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18600</w:t>
            </w:r>
          </w:p>
        </w:tc>
        <w:tc>
          <w:tcPr>
            <w:tcW w:w="1175" w:type="dxa"/>
          </w:tcPr>
          <w:p w14:paraId="40CEDA52">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非进口</w:t>
            </w:r>
          </w:p>
        </w:tc>
        <w:tc>
          <w:tcPr>
            <w:tcW w:w="1225" w:type="dxa"/>
            <w:vMerge w:val="continue"/>
          </w:tcPr>
          <w:p w14:paraId="6C7CBAA0">
            <w:pPr>
              <w:jc w:val="center"/>
              <w:rPr>
                <w:rFonts w:hint="eastAsia" w:asciiTheme="minorEastAsia" w:hAnsiTheme="minorEastAsia" w:cstheme="minorEastAsia"/>
                <w:bCs/>
                <w:szCs w:val="21"/>
              </w:rPr>
            </w:pPr>
          </w:p>
        </w:tc>
      </w:tr>
      <w:tr w14:paraId="030C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367E586C">
            <w:pPr>
              <w:widowControl/>
              <w:jc w:val="center"/>
              <w:textAlignment w:val="center"/>
              <w:rPr>
                <w:rFonts w:hint="eastAsia" w:asciiTheme="minorEastAsia" w:hAnsiTheme="minorEastAsia" w:cstheme="minorEastAsia"/>
                <w:color w:val="000000"/>
                <w:szCs w:val="21"/>
              </w:rPr>
            </w:pPr>
            <w:r>
              <w:rPr>
                <w:rFonts w:hint="eastAsia" w:ascii="宋体" w:hAnsi="宋体" w:eastAsia="宋体" w:cs="宋体"/>
                <w:color w:val="000000"/>
                <w:kern w:val="0"/>
                <w:szCs w:val="21"/>
                <w:lang w:bidi="ar"/>
              </w:rPr>
              <w:t>35</w:t>
            </w:r>
          </w:p>
        </w:tc>
        <w:tc>
          <w:tcPr>
            <w:tcW w:w="2012" w:type="dxa"/>
            <w:vAlign w:val="center"/>
          </w:tcPr>
          <w:p w14:paraId="7767AA61">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地面保护</w:t>
            </w:r>
          </w:p>
        </w:tc>
        <w:tc>
          <w:tcPr>
            <w:tcW w:w="687" w:type="dxa"/>
            <w:vAlign w:val="center"/>
          </w:tcPr>
          <w:p w14:paraId="30D5A902">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613" w:type="dxa"/>
            <w:vAlign w:val="center"/>
          </w:tcPr>
          <w:p w14:paraId="057540D3">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间</w:t>
            </w:r>
          </w:p>
        </w:tc>
        <w:tc>
          <w:tcPr>
            <w:tcW w:w="825" w:type="dxa"/>
          </w:tcPr>
          <w:p w14:paraId="614FF05F">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53B44799">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2470</w:t>
            </w:r>
          </w:p>
        </w:tc>
        <w:tc>
          <w:tcPr>
            <w:tcW w:w="1634" w:type="dxa"/>
            <w:vAlign w:val="center"/>
          </w:tcPr>
          <w:p w14:paraId="4AA72F6B">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4940</w:t>
            </w:r>
          </w:p>
        </w:tc>
        <w:tc>
          <w:tcPr>
            <w:tcW w:w="1175" w:type="dxa"/>
          </w:tcPr>
          <w:p w14:paraId="1DB973C2">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非进口</w:t>
            </w:r>
          </w:p>
        </w:tc>
        <w:tc>
          <w:tcPr>
            <w:tcW w:w="1225" w:type="dxa"/>
            <w:vMerge w:val="continue"/>
          </w:tcPr>
          <w:p w14:paraId="311184F3">
            <w:pPr>
              <w:jc w:val="center"/>
              <w:rPr>
                <w:rFonts w:hint="eastAsia" w:asciiTheme="minorEastAsia" w:hAnsiTheme="minorEastAsia" w:cstheme="minorEastAsia"/>
                <w:bCs/>
                <w:szCs w:val="21"/>
              </w:rPr>
            </w:pPr>
          </w:p>
        </w:tc>
      </w:tr>
      <w:tr w14:paraId="19DC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706A7E2D">
            <w:pPr>
              <w:widowControl/>
              <w:jc w:val="center"/>
              <w:textAlignment w:val="center"/>
              <w:rPr>
                <w:rFonts w:hint="eastAsia" w:asciiTheme="minorEastAsia" w:hAnsiTheme="minorEastAsia" w:cstheme="minorEastAsia"/>
                <w:color w:val="000000"/>
                <w:szCs w:val="21"/>
              </w:rPr>
            </w:pPr>
            <w:r>
              <w:rPr>
                <w:rFonts w:hint="eastAsia" w:ascii="宋体" w:hAnsi="宋体" w:eastAsia="宋体" w:cs="宋体"/>
                <w:color w:val="000000"/>
                <w:kern w:val="0"/>
                <w:szCs w:val="21"/>
                <w:lang w:bidi="ar"/>
              </w:rPr>
              <w:t>36</w:t>
            </w:r>
          </w:p>
        </w:tc>
        <w:tc>
          <w:tcPr>
            <w:tcW w:w="2012" w:type="dxa"/>
            <w:vAlign w:val="center"/>
          </w:tcPr>
          <w:p w14:paraId="5E003A01">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门槛石、窗台石</w:t>
            </w:r>
          </w:p>
        </w:tc>
        <w:tc>
          <w:tcPr>
            <w:tcW w:w="687" w:type="dxa"/>
            <w:vAlign w:val="center"/>
          </w:tcPr>
          <w:p w14:paraId="329F5BCD">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w:t>
            </w:r>
          </w:p>
        </w:tc>
        <w:tc>
          <w:tcPr>
            <w:tcW w:w="613" w:type="dxa"/>
            <w:vAlign w:val="center"/>
          </w:tcPr>
          <w:p w14:paraId="6266E39D">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米</w:t>
            </w:r>
          </w:p>
        </w:tc>
        <w:tc>
          <w:tcPr>
            <w:tcW w:w="825" w:type="dxa"/>
          </w:tcPr>
          <w:p w14:paraId="76B49877">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04BC5570">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385</w:t>
            </w:r>
          </w:p>
        </w:tc>
        <w:tc>
          <w:tcPr>
            <w:tcW w:w="1634" w:type="dxa"/>
            <w:vAlign w:val="center"/>
          </w:tcPr>
          <w:p w14:paraId="582299B8">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9240</w:t>
            </w:r>
          </w:p>
        </w:tc>
        <w:tc>
          <w:tcPr>
            <w:tcW w:w="1175" w:type="dxa"/>
          </w:tcPr>
          <w:p w14:paraId="29523B8D">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非进口</w:t>
            </w:r>
          </w:p>
        </w:tc>
        <w:tc>
          <w:tcPr>
            <w:tcW w:w="1225" w:type="dxa"/>
            <w:vMerge w:val="continue"/>
          </w:tcPr>
          <w:p w14:paraId="2579BDE9">
            <w:pPr>
              <w:jc w:val="center"/>
              <w:rPr>
                <w:rFonts w:hint="eastAsia" w:asciiTheme="minorEastAsia" w:hAnsiTheme="minorEastAsia" w:cstheme="minorEastAsia"/>
                <w:bCs/>
                <w:szCs w:val="21"/>
              </w:rPr>
            </w:pPr>
          </w:p>
        </w:tc>
      </w:tr>
      <w:tr w14:paraId="248C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0" w:type="dxa"/>
            <w:vAlign w:val="center"/>
          </w:tcPr>
          <w:p w14:paraId="12C0AD2F">
            <w:pPr>
              <w:widowControl/>
              <w:jc w:val="center"/>
              <w:textAlignment w:val="center"/>
              <w:rPr>
                <w:rFonts w:hint="eastAsia" w:asciiTheme="minorEastAsia" w:hAnsiTheme="minorEastAsia" w:cstheme="minorEastAsia"/>
                <w:color w:val="000000"/>
                <w:szCs w:val="21"/>
              </w:rPr>
            </w:pPr>
            <w:r>
              <w:rPr>
                <w:rFonts w:hint="eastAsia" w:ascii="宋体" w:hAnsi="宋体" w:eastAsia="宋体" w:cs="宋体"/>
                <w:color w:val="000000"/>
                <w:kern w:val="0"/>
                <w:szCs w:val="21"/>
                <w:lang w:bidi="ar"/>
              </w:rPr>
              <w:t>37</w:t>
            </w:r>
          </w:p>
        </w:tc>
        <w:tc>
          <w:tcPr>
            <w:tcW w:w="2012" w:type="dxa"/>
            <w:vAlign w:val="center"/>
          </w:tcPr>
          <w:p w14:paraId="0489DDD9">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不锈钢踢脚线</w:t>
            </w:r>
          </w:p>
        </w:tc>
        <w:tc>
          <w:tcPr>
            <w:tcW w:w="687" w:type="dxa"/>
            <w:vAlign w:val="center"/>
          </w:tcPr>
          <w:p w14:paraId="595131C7">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w:t>
            </w:r>
          </w:p>
        </w:tc>
        <w:tc>
          <w:tcPr>
            <w:tcW w:w="613" w:type="dxa"/>
            <w:vAlign w:val="center"/>
          </w:tcPr>
          <w:p w14:paraId="3E472DBA">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米</w:t>
            </w:r>
          </w:p>
        </w:tc>
        <w:tc>
          <w:tcPr>
            <w:tcW w:w="825" w:type="dxa"/>
          </w:tcPr>
          <w:p w14:paraId="51D4F5D9">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工业</w:t>
            </w:r>
          </w:p>
        </w:tc>
        <w:tc>
          <w:tcPr>
            <w:tcW w:w="840" w:type="dxa"/>
            <w:vAlign w:val="center"/>
          </w:tcPr>
          <w:p w14:paraId="798A4BC8">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135</w:t>
            </w:r>
          </w:p>
        </w:tc>
        <w:tc>
          <w:tcPr>
            <w:tcW w:w="1634" w:type="dxa"/>
            <w:vAlign w:val="center"/>
          </w:tcPr>
          <w:p w14:paraId="422EC01B">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8100</w:t>
            </w:r>
          </w:p>
        </w:tc>
        <w:tc>
          <w:tcPr>
            <w:tcW w:w="1175" w:type="dxa"/>
          </w:tcPr>
          <w:p w14:paraId="1D2C24BE">
            <w:pPr>
              <w:jc w:val="center"/>
              <w:rPr>
                <w:rFonts w:hint="eastAsia" w:asciiTheme="minorEastAsia" w:hAnsiTheme="minorEastAsia" w:cstheme="minorEastAsia"/>
                <w:b/>
                <w:bCs/>
                <w:color w:val="FF0000"/>
                <w:szCs w:val="21"/>
              </w:rPr>
            </w:pPr>
            <w:r>
              <w:rPr>
                <w:rFonts w:hint="eastAsia" w:asciiTheme="minorEastAsia" w:hAnsiTheme="minorEastAsia" w:cstheme="minorEastAsia"/>
                <w:b/>
                <w:bCs/>
                <w:color w:val="FF0000"/>
                <w:szCs w:val="21"/>
              </w:rPr>
              <w:t>非进口</w:t>
            </w:r>
          </w:p>
        </w:tc>
        <w:tc>
          <w:tcPr>
            <w:tcW w:w="1225" w:type="dxa"/>
            <w:vMerge w:val="continue"/>
          </w:tcPr>
          <w:p w14:paraId="51D06B9D">
            <w:pPr>
              <w:jc w:val="center"/>
              <w:rPr>
                <w:rFonts w:hint="eastAsia" w:asciiTheme="minorEastAsia" w:hAnsiTheme="minorEastAsia" w:cstheme="minorEastAsia"/>
                <w:bCs/>
                <w:szCs w:val="21"/>
              </w:rPr>
            </w:pPr>
          </w:p>
        </w:tc>
      </w:tr>
    </w:tbl>
    <w:p w14:paraId="4F7F36A8">
      <w:pPr>
        <w:rPr>
          <w:u w:val="single"/>
        </w:rPr>
      </w:pPr>
      <w:r>
        <w:rPr>
          <w:rFonts w:hint="eastAsia" w:ascii="宋体" w:hAnsi="宋体"/>
          <w:b/>
          <w:color w:val="FF0000"/>
          <w:sz w:val="32"/>
          <w:szCs w:val="32"/>
          <w:highlight w:val="yellow"/>
          <w:u w:val="single"/>
        </w:rPr>
        <w:t>本项目核心产品为：智能体感互动减压平台。</w:t>
      </w:r>
    </w:p>
    <w:p w14:paraId="043A0E61">
      <w:pPr>
        <w:rPr>
          <w:color w:val="FF0000"/>
        </w:rPr>
      </w:pPr>
      <w:r>
        <w:rPr>
          <w:rFonts w:hint="eastAsia"/>
          <w:color w:val="FF0000"/>
        </w:rPr>
        <w:t>备注：</w:t>
      </w:r>
    </w:p>
    <w:p w14:paraId="556C2AC8">
      <w:pPr>
        <w:ind w:firstLine="420" w:firstLineChars="200"/>
        <w:rPr>
          <w:color w:val="FF0000"/>
        </w:rPr>
      </w:pPr>
      <w:r>
        <w:rPr>
          <w:rFonts w:hint="eastAsia"/>
          <w:color w:val="FF0000"/>
        </w:rPr>
        <w:t>1、“备注”栏注明有“接受进口”或“允许进口”的产品允许投标人选用进口产品参与投标，但不排斥国内产品投标；未注明“接受进口”或“允许进口”的产品均不接受进口产品投标。</w:t>
      </w:r>
    </w:p>
    <w:p w14:paraId="434B2A8D">
      <w:pPr>
        <w:ind w:firstLine="420" w:firstLineChars="200"/>
        <w:rPr>
          <w:color w:val="FF0000"/>
        </w:rPr>
      </w:pPr>
      <w:r>
        <w:rPr>
          <w:rFonts w:hint="eastAsia"/>
          <w:color w:val="FF0000"/>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7D4CCC82">
      <w:pPr>
        <w:ind w:firstLine="420" w:firstLineChars="200"/>
        <w:rPr>
          <w:color w:val="FF0000"/>
        </w:rPr>
      </w:pPr>
      <w:r>
        <w:rPr>
          <w:rFonts w:hint="eastAsia"/>
          <w:color w:val="FF0000"/>
        </w:rPr>
        <w:t>3、如注明有单价控制金额的产品，投标人对该产品的报价不得超过控制金额，否则将作投标无效处理。</w:t>
      </w:r>
    </w:p>
    <w:p w14:paraId="3B5CBB36">
      <w:pPr>
        <w:ind w:firstLine="420" w:firstLineChars="200"/>
        <w:rPr>
          <w:color w:val="FF0000"/>
        </w:rPr>
      </w:pPr>
      <w:r>
        <w:rPr>
          <w:rFonts w:hint="eastAsia"/>
          <w:color w:val="FF0000"/>
        </w:rPr>
        <w:t>4、根据《政府采购货物和服务招标投标管理办法》（财政部令第87号）第三十一条规定，单一产品项目或非单一产品项目中的核心产品均应明确品牌，投标人未填报品牌的将作投标无效处理。</w:t>
      </w:r>
    </w:p>
    <w:p w14:paraId="6BEADA9B">
      <w:pPr>
        <w:keepNext/>
        <w:keepLines/>
        <w:tabs>
          <w:tab w:val="left" w:pos="1680"/>
        </w:tabs>
        <w:spacing w:before="260" w:after="78" w:afterLines="25"/>
        <w:jc w:val="center"/>
        <w:outlineLvl w:val="2"/>
        <w:rPr>
          <w:rFonts w:ascii="Arial" w:hAnsi="Arial" w:eastAsia="宋体" w:cs="Times New Roman"/>
          <w:b/>
          <w:sz w:val="32"/>
          <w:szCs w:val="32"/>
        </w:rPr>
      </w:pPr>
      <w:bookmarkStart w:id="14" w:name="_Toc128884461"/>
      <w:r>
        <w:rPr>
          <w:rFonts w:hint="eastAsia" w:ascii="Arial" w:hAnsi="Arial" w:eastAsia="宋体" w:cs="Times New Roman"/>
          <w:b/>
          <w:sz w:val="32"/>
          <w:szCs w:val="32"/>
        </w:rPr>
        <w:t>三、实质性条款</w:t>
      </w:r>
    </w:p>
    <w:tbl>
      <w:tblPr>
        <w:tblStyle w:val="16"/>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14:paraId="3709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14:paraId="4C078991">
            <w:r>
              <w:rPr>
                <w:rFonts w:hint="eastAsia"/>
              </w:rPr>
              <w:t>序号</w:t>
            </w:r>
          </w:p>
        </w:tc>
        <w:tc>
          <w:tcPr>
            <w:tcW w:w="7483" w:type="dxa"/>
            <w:vAlign w:val="center"/>
          </w:tcPr>
          <w:p w14:paraId="17E171EE">
            <w:pPr>
              <w:jc w:val="center"/>
            </w:pPr>
            <w:r>
              <w:rPr>
                <w:rFonts w:hint="eastAsia"/>
              </w:rPr>
              <w:t>实质性条款具体内容</w:t>
            </w:r>
          </w:p>
        </w:tc>
      </w:tr>
      <w:tr w14:paraId="17F2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6C388561">
            <w:pPr>
              <w:jc w:val="center"/>
            </w:pPr>
            <w:r>
              <w:rPr>
                <w:rFonts w:hint="eastAsia"/>
              </w:rPr>
              <w:t>1</w:t>
            </w:r>
          </w:p>
        </w:tc>
        <w:tc>
          <w:tcPr>
            <w:tcW w:w="7483" w:type="dxa"/>
          </w:tcPr>
          <w:p w14:paraId="3DAA07ED">
            <w:pPr>
              <w:jc w:val="center"/>
            </w:pPr>
            <w:r>
              <w:rPr>
                <w:rFonts w:hint="eastAsia"/>
              </w:rPr>
              <w:t>本项目招标文件中所有带★号条款内容</w:t>
            </w:r>
          </w:p>
        </w:tc>
      </w:tr>
      <w:bookmarkEnd w:id="14"/>
    </w:tbl>
    <w:p w14:paraId="12A098DB">
      <w:pPr>
        <w:rPr>
          <w:b/>
          <w:color w:val="FF0000"/>
        </w:rPr>
      </w:pPr>
      <w:r>
        <w:rPr>
          <w:rFonts w:hint="eastAsia"/>
          <w:b/>
          <w:color w:val="FF0000"/>
        </w:rPr>
        <w:t>注</w:t>
      </w:r>
      <w:r>
        <w:rPr>
          <w:rFonts w:hint="eastAsia"/>
        </w:rPr>
        <w:t>：</w:t>
      </w:r>
      <w:r>
        <w:rPr>
          <w:rFonts w:hint="eastAsia"/>
          <w:b/>
          <w:color w:val="FF0000"/>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14:paraId="0F778ECA">
      <w:pPr>
        <w:keepNext/>
        <w:keepLines/>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四、商务和服务条款要求</w:t>
      </w:r>
    </w:p>
    <w:p w14:paraId="798BC95A">
      <w:pPr>
        <w:ind w:firstLine="422"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14:paraId="3D710365">
      <w:pPr>
        <w:numPr>
          <w:ilvl w:val="0"/>
          <w:numId w:val="1"/>
        </w:numPr>
        <w:ind w:firstLine="422" w:firstLineChars="200"/>
        <w:rPr>
          <w:b/>
          <w:szCs w:val="21"/>
        </w:rPr>
      </w:pPr>
      <w:r>
        <w:rPr>
          <w:rFonts w:hint="eastAsia"/>
          <w:b/>
          <w:szCs w:val="21"/>
        </w:rPr>
        <w:t>带★号条款为不可偏离条款，不作为评分准则中的评分内容，如未响应或出现负偏离的，将作投标无效处理；带“</w:t>
      </w:r>
      <w:r>
        <w:t>▲</w:t>
      </w:r>
      <w:r>
        <w:rPr>
          <w:rFonts w:hint="eastAsia"/>
          <w:b/>
          <w:szCs w:val="21"/>
        </w:rPr>
        <w:t>”指标项为重要参数，负偏离时依相关评分准则内容作重点扣分处理。</w:t>
      </w:r>
    </w:p>
    <w:tbl>
      <w:tblPr>
        <w:tblStyle w:val="16"/>
        <w:tblW w:w="84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5594"/>
      </w:tblGrid>
      <w:tr w14:paraId="5419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14:paraId="00CE5F1B">
            <w:pPr>
              <w:jc w:val="center"/>
              <w:rPr>
                <w:rFonts w:hint="eastAsia" w:ascii="宋体" w:hAnsi="宋体" w:eastAsia="宋体" w:cs="宋体"/>
                <w:b/>
                <w:szCs w:val="21"/>
              </w:rPr>
            </w:pPr>
            <w:r>
              <w:rPr>
                <w:rFonts w:hint="eastAsia" w:ascii="宋体" w:hAnsi="宋体" w:eastAsia="宋体" w:cs="宋体"/>
                <w:b/>
                <w:szCs w:val="21"/>
              </w:rPr>
              <w:t>序号</w:t>
            </w:r>
          </w:p>
        </w:tc>
        <w:tc>
          <w:tcPr>
            <w:tcW w:w="1620" w:type="dxa"/>
            <w:vAlign w:val="center"/>
          </w:tcPr>
          <w:p w14:paraId="4246C014">
            <w:pPr>
              <w:jc w:val="center"/>
              <w:rPr>
                <w:rFonts w:hint="eastAsia" w:ascii="宋体" w:hAnsi="宋体" w:eastAsia="宋体" w:cs="宋体"/>
                <w:b/>
                <w:szCs w:val="21"/>
              </w:rPr>
            </w:pPr>
            <w:r>
              <w:rPr>
                <w:rFonts w:hint="eastAsia" w:ascii="宋体" w:hAnsi="宋体" w:eastAsia="宋体" w:cs="宋体"/>
                <w:b/>
                <w:szCs w:val="21"/>
              </w:rPr>
              <w:t>目录</w:t>
            </w:r>
          </w:p>
        </w:tc>
        <w:tc>
          <w:tcPr>
            <w:tcW w:w="5594" w:type="dxa"/>
            <w:vAlign w:val="center"/>
          </w:tcPr>
          <w:p w14:paraId="742E204A">
            <w:pPr>
              <w:jc w:val="center"/>
              <w:rPr>
                <w:rFonts w:hint="eastAsia" w:ascii="宋体" w:hAnsi="宋体" w:eastAsia="宋体" w:cs="宋体"/>
                <w:b/>
                <w:szCs w:val="21"/>
              </w:rPr>
            </w:pPr>
            <w:r>
              <w:rPr>
                <w:rFonts w:hint="eastAsia" w:ascii="宋体" w:hAnsi="宋体" w:eastAsia="宋体" w:cs="宋体"/>
                <w:b/>
                <w:szCs w:val="21"/>
              </w:rPr>
              <w:t>采购商务需求</w:t>
            </w:r>
          </w:p>
        </w:tc>
      </w:tr>
      <w:tr w14:paraId="2CD5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74" w:type="dxa"/>
            <w:gridSpan w:val="3"/>
          </w:tcPr>
          <w:p w14:paraId="7A750B62">
            <w:pPr>
              <w:rPr>
                <w:rFonts w:hint="eastAsia" w:ascii="宋体" w:hAnsi="宋体" w:eastAsia="宋体" w:cs="宋体"/>
                <w:b/>
                <w:szCs w:val="21"/>
              </w:rPr>
            </w:pPr>
            <w:r>
              <w:rPr>
                <w:rFonts w:hint="eastAsia" w:ascii="宋体" w:hAnsi="宋体" w:eastAsia="宋体" w:cs="宋体"/>
                <w:b/>
                <w:szCs w:val="21"/>
              </w:rPr>
              <w:t>（一）免费保修期内售后服务要求</w:t>
            </w:r>
          </w:p>
        </w:tc>
      </w:tr>
      <w:tr w14:paraId="5A1E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Align w:val="center"/>
          </w:tcPr>
          <w:p w14:paraId="59F9073B">
            <w:pPr>
              <w:jc w:val="center"/>
              <w:rPr>
                <w:rFonts w:hint="eastAsia" w:ascii="宋体" w:hAnsi="宋体" w:eastAsia="宋体" w:cs="宋体"/>
                <w:b/>
                <w:szCs w:val="21"/>
              </w:rPr>
            </w:pPr>
            <w:r>
              <w:rPr>
                <w:rFonts w:hint="eastAsia" w:ascii="宋体" w:hAnsi="宋体" w:eastAsia="宋体" w:cs="宋体"/>
                <w:b/>
                <w:szCs w:val="21"/>
              </w:rPr>
              <w:t>1</w:t>
            </w:r>
          </w:p>
        </w:tc>
        <w:tc>
          <w:tcPr>
            <w:tcW w:w="1620" w:type="dxa"/>
            <w:vAlign w:val="center"/>
          </w:tcPr>
          <w:p w14:paraId="14E2FF3E">
            <w:pPr>
              <w:rPr>
                <w:rFonts w:hint="eastAsia" w:ascii="宋体" w:hAnsi="宋体" w:eastAsia="宋体" w:cs="宋体"/>
                <w:szCs w:val="21"/>
              </w:rPr>
            </w:pPr>
            <w:r>
              <w:rPr>
                <w:rFonts w:hint="eastAsia" w:ascii="宋体" w:hAnsi="宋体" w:eastAsia="宋体" w:cs="宋体"/>
                <w:szCs w:val="21"/>
              </w:rPr>
              <w:t>免费保修期</w:t>
            </w:r>
          </w:p>
        </w:tc>
        <w:tc>
          <w:tcPr>
            <w:tcW w:w="5594" w:type="dxa"/>
          </w:tcPr>
          <w:p w14:paraId="444375A4">
            <w:pPr>
              <w:rPr>
                <w:rFonts w:hint="eastAsia" w:ascii="宋体" w:hAnsi="宋体" w:eastAsia="宋体" w:cs="宋体"/>
                <w:b/>
                <w:szCs w:val="21"/>
              </w:rPr>
            </w:pPr>
            <w:r>
              <w:rPr>
                <w:rFonts w:hint="eastAsia" w:ascii="宋体" w:hAnsi="宋体" w:eastAsia="宋体" w:cs="宋体"/>
                <w:szCs w:val="21"/>
                <w:highlight w:val="yellow"/>
              </w:rPr>
              <w:t>★</w:t>
            </w:r>
            <w:r>
              <w:rPr>
                <w:rFonts w:hint="eastAsia" w:ascii="宋体" w:hAnsi="宋体" w:eastAsia="宋体" w:cs="宋体"/>
                <w:bCs/>
                <w:szCs w:val="21"/>
                <w:highlight w:val="yellow"/>
              </w:rPr>
              <w:t>货物免费保修期至少</w:t>
            </w:r>
            <w:r>
              <w:rPr>
                <w:rFonts w:hint="eastAsia" w:ascii="宋体" w:hAnsi="宋体" w:eastAsia="宋体" w:cs="宋体"/>
                <w:bCs/>
                <w:szCs w:val="21"/>
                <w:highlight w:val="yellow"/>
                <w:u w:val="single"/>
              </w:rPr>
              <w:t>_3_</w:t>
            </w:r>
            <w:r>
              <w:rPr>
                <w:rFonts w:hint="eastAsia" w:ascii="宋体" w:hAnsi="宋体" w:eastAsia="宋体" w:cs="宋体"/>
                <w:bCs/>
                <w:szCs w:val="21"/>
                <w:highlight w:val="yellow"/>
              </w:rPr>
              <w:t>年，时间自最终验收合格并交付使用之日起计算。</w:t>
            </w:r>
          </w:p>
        </w:tc>
      </w:tr>
      <w:tr w14:paraId="31E6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vAlign w:val="center"/>
          </w:tcPr>
          <w:p w14:paraId="0F93C860">
            <w:pPr>
              <w:jc w:val="center"/>
              <w:rPr>
                <w:rFonts w:hint="eastAsia" w:ascii="宋体" w:hAnsi="宋体" w:eastAsia="宋体" w:cs="宋体"/>
                <w:b/>
                <w:szCs w:val="21"/>
              </w:rPr>
            </w:pPr>
            <w:r>
              <w:rPr>
                <w:rFonts w:hint="eastAsia" w:ascii="宋体" w:hAnsi="宋体" w:eastAsia="宋体" w:cs="宋体"/>
                <w:b/>
                <w:szCs w:val="21"/>
              </w:rPr>
              <w:t>2</w:t>
            </w:r>
          </w:p>
        </w:tc>
        <w:tc>
          <w:tcPr>
            <w:tcW w:w="1620" w:type="dxa"/>
          </w:tcPr>
          <w:p w14:paraId="3772C433">
            <w:pPr>
              <w:rPr>
                <w:rFonts w:hint="eastAsia" w:ascii="宋体" w:hAnsi="宋体" w:eastAsia="宋体" w:cs="宋体"/>
                <w:szCs w:val="21"/>
              </w:rPr>
            </w:pPr>
            <w:r>
              <w:rPr>
                <w:rFonts w:hint="eastAsia" w:ascii="宋体" w:hAnsi="宋体" w:eastAsia="宋体" w:cs="宋体"/>
                <w:szCs w:val="21"/>
              </w:rPr>
              <w:t>维修响应及故障解决时间</w:t>
            </w:r>
          </w:p>
        </w:tc>
        <w:tc>
          <w:tcPr>
            <w:tcW w:w="5594" w:type="dxa"/>
          </w:tcPr>
          <w:p w14:paraId="521E5DF8">
            <w:pPr>
              <w:rPr>
                <w:rFonts w:hint="eastAsia" w:ascii="宋体" w:hAnsi="宋体" w:eastAsia="宋体" w:cs="宋体"/>
                <w:b/>
                <w:szCs w:val="21"/>
              </w:rPr>
            </w:pPr>
            <w:r>
              <w:rPr>
                <w:rFonts w:hint="eastAsia" w:ascii="宋体" w:hAnsi="宋体" w:eastAsia="宋体" w:cs="宋体"/>
                <w:bCs/>
                <w:szCs w:val="21"/>
              </w:rPr>
              <w:t>投标人承诺中标后，在保修期内，一旦发生质量问题，投标人保证在接到通知24小时内赶到现场进行修理或更换。</w:t>
            </w:r>
          </w:p>
        </w:tc>
      </w:tr>
      <w:tr w14:paraId="39BB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Align w:val="center"/>
          </w:tcPr>
          <w:p w14:paraId="33A15CFC">
            <w:pPr>
              <w:jc w:val="center"/>
              <w:rPr>
                <w:rFonts w:hint="eastAsia" w:ascii="宋体" w:hAnsi="宋体" w:eastAsia="宋体" w:cs="宋体"/>
                <w:b/>
                <w:szCs w:val="21"/>
              </w:rPr>
            </w:pPr>
            <w:r>
              <w:rPr>
                <w:rFonts w:hint="eastAsia" w:ascii="宋体" w:hAnsi="宋体" w:eastAsia="宋体" w:cs="宋体"/>
                <w:b/>
                <w:szCs w:val="21"/>
              </w:rPr>
              <w:t>3</w:t>
            </w:r>
          </w:p>
        </w:tc>
        <w:tc>
          <w:tcPr>
            <w:tcW w:w="1620" w:type="dxa"/>
            <w:vAlign w:val="center"/>
          </w:tcPr>
          <w:p w14:paraId="100E32B2">
            <w:pPr>
              <w:rPr>
                <w:rFonts w:hint="eastAsia" w:ascii="宋体" w:hAnsi="宋体" w:eastAsia="宋体" w:cs="宋体"/>
                <w:b/>
                <w:szCs w:val="21"/>
              </w:rPr>
            </w:pPr>
            <w:r>
              <w:rPr>
                <w:rFonts w:hint="eastAsia" w:ascii="宋体" w:hAnsi="宋体" w:eastAsia="宋体" w:cs="宋体"/>
                <w:szCs w:val="21"/>
              </w:rPr>
              <w:t>其他</w:t>
            </w:r>
          </w:p>
        </w:tc>
        <w:tc>
          <w:tcPr>
            <w:tcW w:w="5594" w:type="dxa"/>
            <w:vAlign w:val="center"/>
          </w:tcPr>
          <w:p w14:paraId="3C2B5ABF">
            <w:pPr>
              <w:rPr>
                <w:rFonts w:hint="eastAsia" w:ascii="宋体" w:hAnsi="宋体" w:eastAsia="宋体" w:cs="宋体"/>
                <w:b/>
                <w:szCs w:val="21"/>
              </w:rPr>
            </w:pPr>
            <w:r>
              <w:rPr>
                <w:rFonts w:hint="eastAsia" w:ascii="宋体" w:hAnsi="宋体" w:eastAsia="宋体" w:cs="宋体"/>
                <w:bCs/>
                <w:szCs w:val="21"/>
              </w:rPr>
              <w:t>投标人中标后，应按其投标文件中的承诺，进行其他售后服务工作。</w:t>
            </w:r>
          </w:p>
        </w:tc>
      </w:tr>
      <w:tr w14:paraId="006F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474" w:type="dxa"/>
            <w:gridSpan w:val="3"/>
          </w:tcPr>
          <w:p w14:paraId="1FF10EBA">
            <w:pPr>
              <w:rPr>
                <w:rFonts w:hint="eastAsia" w:ascii="宋体" w:hAnsi="宋体" w:eastAsia="宋体" w:cs="宋体"/>
                <w:b/>
                <w:szCs w:val="21"/>
              </w:rPr>
            </w:pPr>
            <w:r>
              <w:rPr>
                <w:rFonts w:hint="eastAsia" w:ascii="宋体" w:hAnsi="宋体" w:eastAsia="宋体" w:cs="宋体"/>
                <w:b/>
                <w:szCs w:val="21"/>
              </w:rPr>
              <w:t>（二）其他商务要求</w:t>
            </w:r>
          </w:p>
        </w:tc>
      </w:tr>
      <w:tr w14:paraId="6E08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14:paraId="0B556C34">
            <w:pPr>
              <w:jc w:val="center"/>
              <w:rPr>
                <w:rFonts w:hint="eastAsia" w:ascii="宋体" w:hAnsi="宋体" w:eastAsia="宋体" w:cs="宋体"/>
                <w:b/>
                <w:szCs w:val="21"/>
              </w:rPr>
            </w:pPr>
            <w:r>
              <w:rPr>
                <w:rFonts w:hint="eastAsia" w:ascii="宋体" w:hAnsi="宋体" w:eastAsia="宋体" w:cs="宋体"/>
                <w:b/>
                <w:szCs w:val="21"/>
              </w:rPr>
              <w:t>1</w:t>
            </w:r>
          </w:p>
        </w:tc>
        <w:tc>
          <w:tcPr>
            <w:tcW w:w="1620" w:type="dxa"/>
            <w:vMerge w:val="restart"/>
            <w:vAlign w:val="center"/>
          </w:tcPr>
          <w:p w14:paraId="7DB9AFCD">
            <w:pPr>
              <w:jc w:val="center"/>
              <w:rPr>
                <w:rFonts w:hint="eastAsia" w:ascii="宋体" w:hAnsi="宋体" w:eastAsia="宋体" w:cs="宋体"/>
                <w:szCs w:val="21"/>
              </w:rPr>
            </w:pPr>
            <w:r>
              <w:rPr>
                <w:rFonts w:hint="eastAsia" w:ascii="宋体" w:hAnsi="宋体" w:eastAsia="宋体" w:cs="宋体"/>
                <w:szCs w:val="21"/>
              </w:rPr>
              <w:t>关于交货</w:t>
            </w:r>
          </w:p>
        </w:tc>
        <w:tc>
          <w:tcPr>
            <w:tcW w:w="5594" w:type="dxa"/>
          </w:tcPr>
          <w:p w14:paraId="1BD26660">
            <w:pPr>
              <w:rPr>
                <w:rFonts w:hint="eastAsia" w:ascii="宋体" w:hAnsi="宋体" w:eastAsia="宋体" w:cs="宋体"/>
                <w:b/>
                <w:szCs w:val="21"/>
              </w:rPr>
            </w:pPr>
            <w:r>
              <w:rPr>
                <w:rFonts w:hint="eastAsia" w:ascii="宋体" w:hAnsi="宋体" w:eastAsia="宋体" w:cs="宋体"/>
                <w:bCs/>
                <w:szCs w:val="21"/>
                <w:highlight w:val="yellow"/>
              </w:rPr>
              <w:t>1.1</w:t>
            </w:r>
            <w:r>
              <w:rPr>
                <w:rFonts w:hint="eastAsia" w:ascii="宋体" w:hAnsi="宋体" w:eastAsia="宋体" w:cs="宋体"/>
                <w:szCs w:val="21"/>
                <w:highlight w:val="yellow"/>
              </w:rPr>
              <w:t>★</w:t>
            </w:r>
            <w:r>
              <w:rPr>
                <w:rFonts w:hint="eastAsia" w:ascii="宋体" w:hAnsi="宋体" w:eastAsia="宋体" w:cs="宋体"/>
                <w:bCs/>
                <w:szCs w:val="21"/>
                <w:highlight w:val="yellow"/>
              </w:rPr>
              <w:t>签订合同后</w:t>
            </w:r>
            <w:r>
              <w:rPr>
                <w:rFonts w:hint="eastAsia" w:ascii="宋体" w:hAnsi="宋体" w:eastAsia="宋体" w:cs="宋体"/>
                <w:bCs/>
                <w:szCs w:val="21"/>
                <w:highlight w:val="yellow"/>
                <w:u w:val="single"/>
              </w:rPr>
              <w:t>_30_</w:t>
            </w:r>
            <w:r>
              <w:rPr>
                <w:rFonts w:hint="eastAsia" w:ascii="宋体" w:hAnsi="宋体" w:eastAsia="宋体" w:cs="宋体"/>
                <w:bCs/>
                <w:szCs w:val="21"/>
                <w:highlight w:val="yellow"/>
              </w:rPr>
              <w:t>天（日历日）内。</w:t>
            </w:r>
          </w:p>
        </w:tc>
      </w:tr>
      <w:tr w14:paraId="0917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14:paraId="6F2D418B">
            <w:pPr>
              <w:jc w:val="center"/>
              <w:rPr>
                <w:rFonts w:hint="eastAsia" w:ascii="宋体" w:hAnsi="宋体" w:eastAsia="宋体" w:cs="宋体"/>
                <w:b/>
                <w:szCs w:val="21"/>
              </w:rPr>
            </w:pPr>
          </w:p>
        </w:tc>
        <w:tc>
          <w:tcPr>
            <w:tcW w:w="1620" w:type="dxa"/>
            <w:vMerge w:val="continue"/>
            <w:vAlign w:val="center"/>
          </w:tcPr>
          <w:p w14:paraId="77D1EE71">
            <w:pPr>
              <w:jc w:val="center"/>
              <w:rPr>
                <w:rFonts w:hint="eastAsia" w:ascii="宋体" w:hAnsi="宋体" w:eastAsia="宋体" w:cs="宋体"/>
                <w:szCs w:val="21"/>
              </w:rPr>
            </w:pPr>
          </w:p>
        </w:tc>
        <w:tc>
          <w:tcPr>
            <w:tcW w:w="5594" w:type="dxa"/>
          </w:tcPr>
          <w:p w14:paraId="41F1F150">
            <w:pPr>
              <w:rPr>
                <w:rFonts w:hint="eastAsia" w:ascii="宋体" w:hAnsi="宋体" w:eastAsia="宋体" w:cs="宋体"/>
                <w:bCs/>
                <w:szCs w:val="21"/>
              </w:rPr>
            </w:pPr>
            <w:r>
              <w:rPr>
                <w:rFonts w:hint="eastAsia" w:ascii="宋体" w:hAnsi="宋体" w:eastAsia="宋体" w:cs="宋体"/>
                <w:bCs/>
                <w:szCs w:val="21"/>
              </w:rPr>
              <w:t>1.2投标人中标后，承担设备运输、安装调试、验收检测和提供设备操作说明书、图纸等其他类似的义务。</w:t>
            </w:r>
          </w:p>
        </w:tc>
      </w:tr>
      <w:tr w14:paraId="5D51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14:paraId="1850959F">
            <w:pPr>
              <w:jc w:val="center"/>
              <w:rPr>
                <w:rFonts w:hint="eastAsia" w:ascii="宋体" w:hAnsi="宋体" w:eastAsia="宋体" w:cs="宋体"/>
                <w:b/>
                <w:szCs w:val="21"/>
              </w:rPr>
            </w:pPr>
            <w:r>
              <w:rPr>
                <w:rFonts w:hint="eastAsia" w:ascii="宋体" w:hAnsi="宋体" w:eastAsia="宋体" w:cs="宋体"/>
                <w:b/>
                <w:szCs w:val="21"/>
              </w:rPr>
              <w:t>2</w:t>
            </w:r>
          </w:p>
        </w:tc>
        <w:tc>
          <w:tcPr>
            <w:tcW w:w="1620" w:type="dxa"/>
            <w:vMerge w:val="restart"/>
            <w:vAlign w:val="center"/>
          </w:tcPr>
          <w:p w14:paraId="7FB393C1">
            <w:pPr>
              <w:jc w:val="center"/>
              <w:rPr>
                <w:rFonts w:hint="eastAsia" w:ascii="宋体" w:hAnsi="宋体" w:eastAsia="宋体" w:cs="宋体"/>
                <w:szCs w:val="21"/>
              </w:rPr>
            </w:pPr>
            <w:r>
              <w:rPr>
                <w:rFonts w:hint="eastAsia" w:ascii="宋体" w:hAnsi="宋体" w:eastAsia="宋体" w:cs="宋体"/>
                <w:szCs w:val="21"/>
              </w:rPr>
              <w:t>关于验收</w:t>
            </w:r>
          </w:p>
        </w:tc>
        <w:tc>
          <w:tcPr>
            <w:tcW w:w="5594" w:type="dxa"/>
          </w:tcPr>
          <w:p w14:paraId="0495D0D5">
            <w:pPr>
              <w:spacing w:line="340" w:lineRule="exact"/>
              <w:rPr>
                <w:rFonts w:hint="eastAsia" w:ascii="宋体" w:hAnsi="宋体" w:eastAsia="宋体" w:cs="宋体"/>
                <w:bCs/>
                <w:szCs w:val="21"/>
              </w:rPr>
            </w:pPr>
            <w:r>
              <w:rPr>
                <w:rFonts w:hint="eastAsia" w:ascii="宋体" w:hAnsi="宋体" w:eastAsia="宋体" w:cs="宋体"/>
                <w:bCs/>
                <w:szCs w:val="21"/>
              </w:rPr>
              <w:t>2.1投标人中标后，其货物经过双方检验认可后，签署验收报告，产品保修期自验收合格之日起算，由投标人提供产品保修文件。</w:t>
            </w:r>
          </w:p>
        </w:tc>
      </w:tr>
      <w:tr w14:paraId="00BD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14:paraId="212ED67F">
            <w:pPr>
              <w:jc w:val="center"/>
              <w:rPr>
                <w:rFonts w:hint="eastAsia" w:ascii="宋体" w:hAnsi="宋体" w:eastAsia="宋体" w:cs="宋体"/>
                <w:b/>
                <w:szCs w:val="21"/>
              </w:rPr>
            </w:pPr>
          </w:p>
        </w:tc>
        <w:tc>
          <w:tcPr>
            <w:tcW w:w="1620" w:type="dxa"/>
            <w:vMerge w:val="continue"/>
          </w:tcPr>
          <w:p w14:paraId="619C9602">
            <w:pPr>
              <w:rPr>
                <w:rFonts w:hint="eastAsia" w:ascii="宋体" w:hAnsi="宋体" w:eastAsia="宋体" w:cs="宋体"/>
                <w:b/>
                <w:szCs w:val="21"/>
              </w:rPr>
            </w:pPr>
          </w:p>
        </w:tc>
        <w:tc>
          <w:tcPr>
            <w:tcW w:w="5594" w:type="dxa"/>
          </w:tcPr>
          <w:p w14:paraId="18AC11FF">
            <w:pPr>
              <w:spacing w:line="340" w:lineRule="exact"/>
              <w:rPr>
                <w:rFonts w:hint="eastAsia" w:ascii="宋体" w:hAnsi="宋体" w:eastAsia="宋体" w:cs="宋体"/>
                <w:bCs/>
                <w:szCs w:val="21"/>
              </w:rPr>
            </w:pPr>
            <w:r>
              <w:rPr>
                <w:rFonts w:hint="eastAsia" w:ascii="宋体" w:hAnsi="宋体" w:eastAsia="宋体" w:cs="宋体"/>
                <w:bCs/>
                <w:szCs w:val="21"/>
              </w:rPr>
              <w:t>2.2投标人中标后，当满足以下条件时，采购人才向投标人签发货物验收报告：</w:t>
            </w:r>
          </w:p>
          <w:p w14:paraId="2582AD3C">
            <w:pPr>
              <w:tabs>
                <w:tab w:val="left" w:pos="1260"/>
              </w:tabs>
              <w:spacing w:line="340" w:lineRule="exact"/>
              <w:rPr>
                <w:rFonts w:hint="eastAsia" w:ascii="宋体" w:hAnsi="宋体" w:eastAsia="宋体" w:cs="宋体"/>
                <w:bCs/>
                <w:szCs w:val="21"/>
              </w:rPr>
            </w:pPr>
            <w:r>
              <w:rPr>
                <w:rFonts w:hint="eastAsia" w:ascii="宋体" w:hAnsi="宋体" w:eastAsia="宋体" w:cs="宋体"/>
                <w:bCs/>
                <w:szCs w:val="21"/>
              </w:rPr>
              <w:t>a.投标人已按照合同规定提供了全部产品及完整的技术资料。</w:t>
            </w:r>
          </w:p>
          <w:p w14:paraId="6478AF4D">
            <w:pPr>
              <w:tabs>
                <w:tab w:val="left" w:pos="1260"/>
              </w:tabs>
              <w:spacing w:line="340" w:lineRule="exact"/>
              <w:rPr>
                <w:rFonts w:hint="eastAsia" w:ascii="宋体" w:hAnsi="宋体" w:eastAsia="宋体" w:cs="宋体"/>
                <w:bCs/>
                <w:szCs w:val="21"/>
              </w:rPr>
            </w:pPr>
            <w:r>
              <w:rPr>
                <w:rFonts w:hint="eastAsia" w:ascii="宋体" w:hAnsi="宋体" w:eastAsia="宋体" w:cs="宋体"/>
                <w:bCs/>
                <w:szCs w:val="21"/>
              </w:rPr>
              <w:t>b.货物符合采购文件技术规格书的要求，性能满足要求。</w:t>
            </w:r>
          </w:p>
          <w:p w14:paraId="15B79419">
            <w:pPr>
              <w:tabs>
                <w:tab w:val="left" w:pos="1260"/>
              </w:tabs>
              <w:spacing w:line="340" w:lineRule="exact"/>
              <w:rPr>
                <w:rFonts w:hint="eastAsia" w:ascii="宋体" w:hAnsi="宋体" w:eastAsia="宋体" w:cs="宋体"/>
                <w:bCs/>
                <w:szCs w:val="21"/>
              </w:rPr>
            </w:pPr>
            <w:r>
              <w:rPr>
                <w:rFonts w:hint="eastAsia" w:ascii="宋体" w:hAnsi="宋体" w:eastAsia="宋体" w:cs="宋体"/>
                <w:bCs/>
                <w:szCs w:val="21"/>
              </w:rPr>
              <w:t>c.货物具备产品合格证。</w:t>
            </w:r>
          </w:p>
        </w:tc>
      </w:tr>
      <w:tr w14:paraId="0F67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14:paraId="2A076428">
            <w:pPr>
              <w:jc w:val="center"/>
              <w:rPr>
                <w:rFonts w:hint="eastAsia" w:ascii="宋体" w:hAnsi="宋体" w:eastAsia="宋体" w:cs="宋体"/>
                <w:bCs/>
                <w:szCs w:val="21"/>
              </w:rPr>
            </w:pPr>
            <w:r>
              <w:rPr>
                <w:rFonts w:hint="eastAsia" w:ascii="宋体" w:hAnsi="宋体" w:eastAsia="宋体" w:cs="宋体"/>
                <w:bCs/>
                <w:szCs w:val="21"/>
              </w:rPr>
              <w:t>3</w:t>
            </w:r>
          </w:p>
        </w:tc>
        <w:tc>
          <w:tcPr>
            <w:tcW w:w="1620" w:type="dxa"/>
            <w:vMerge w:val="restart"/>
            <w:vAlign w:val="center"/>
          </w:tcPr>
          <w:p w14:paraId="331AFDA1">
            <w:pPr>
              <w:jc w:val="center"/>
              <w:rPr>
                <w:rFonts w:hint="eastAsia" w:ascii="宋体" w:hAnsi="宋体" w:eastAsia="宋体" w:cs="宋体"/>
                <w:bCs/>
                <w:szCs w:val="21"/>
              </w:rPr>
            </w:pPr>
            <w:r>
              <w:rPr>
                <w:rFonts w:hint="eastAsia" w:ascii="宋体" w:hAnsi="宋体" w:eastAsia="宋体" w:cs="宋体"/>
                <w:bCs/>
                <w:szCs w:val="21"/>
              </w:rPr>
              <w:t>违约责任</w:t>
            </w:r>
          </w:p>
        </w:tc>
        <w:tc>
          <w:tcPr>
            <w:tcW w:w="5594" w:type="dxa"/>
          </w:tcPr>
          <w:p w14:paraId="584CA679">
            <w:pPr>
              <w:spacing w:line="340" w:lineRule="exact"/>
              <w:rPr>
                <w:rFonts w:hint="eastAsia" w:ascii="宋体" w:hAnsi="宋体" w:eastAsia="宋体" w:cs="宋体"/>
                <w:bCs/>
                <w:szCs w:val="21"/>
              </w:rPr>
            </w:pPr>
            <w:r>
              <w:rPr>
                <w:rFonts w:hint="eastAsia" w:ascii="宋体" w:hAnsi="宋体" w:eastAsia="宋体" w:cs="宋体"/>
                <w:szCs w:val="21"/>
              </w:rPr>
              <w:t>3.1如</w:t>
            </w:r>
            <w:r>
              <w:rPr>
                <w:rFonts w:hint="eastAsia" w:ascii="宋体" w:hAnsi="宋体" w:eastAsia="宋体" w:cs="宋体"/>
                <w:bCs/>
                <w:szCs w:val="21"/>
              </w:rPr>
              <w:t>投标人中标后</w:t>
            </w:r>
            <w:r>
              <w:rPr>
                <w:rFonts w:hint="eastAsia" w:ascii="宋体" w:hAnsi="宋体" w:eastAsia="宋体" w:cs="宋体"/>
                <w:szCs w:val="21"/>
              </w:rPr>
              <w:t>未按照投标文件中承诺的时间交货或提供服务，</w:t>
            </w:r>
            <w:r>
              <w:rPr>
                <w:rFonts w:hint="eastAsia" w:ascii="宋体" w:hAnsi="宋体" w:eastAsia="宋体" w:cs="宋体"/>
                <w:bCs/>
                <w:szCs w:val="21"/>
              </w:rPr>
              <w:t>投标人</w:t>
            </w:r>
            <w:r>
              <w:rPr>
                <w:rFonts w:hint="eastAsia" w:ascii="宋体" w:hAnsi="宋体" w:eastAsia="宋体" w:cs="宋体"/>
                <w:szCs w:val="21"/>
              </w:rPr>
              <w:t>应承担延期交货和延期服务的违约责任，并赔偿采购人因此造成的实际经济损失，采购人有权终止合同。</w:t>
            </w:r>
          </w:p>
        </w:tc>
      </w:tr>
      <w:tr w14:paraId="4551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14:paraId="6AE5DE4D">
            <w:pPr>
              <w:jc w:val="center"/>
              <w:rPr>
                <w:rFonts w:hint="eastAsia" w:ascii="宋体" w:hAnsi="宋体" w:eastAsia="宋体" w:cs="宋体"/>
                <w:bCs/>
                <w:szCs w:val="21"/>
              </w:rPr>
            </w:pPr>
          </w:p>
        </w:tc>
        <w:tc>
          <w:tcPr>
            <w:tcW w:w="1620" w:type="dxa"/>
            <w:vMerge w:val="continue"/>
            <w:vAlign w:val="center"/>
          </w:tcPr>
          <w:p w14:paraId="58F0689B">
            <w:pPr>
              <w:jc w:val="center"/>
              <w:rPr>
                <w:rFonts w:hint="eastAsia" w:ascii="宋体" w:hAnsi="宋体" w:eastAsia="宋体" w:cs="宋体"/>
                <w:bCs/>
                <w:szCs w:val="21"/>
              </w:rPr>
            </w:pPr>
          </w:p>
        </w:tc>
        <w:tc>
          <w:tcPr>
            <w:tcW w:w="5594" w:type="dxa"/>
          </w:tcPr>
          <w:p w14:paraId="159787F6">
            <w:pPr>
              <w:spacing w:line="340" w:lineRule="exact"/>
              <w:rPr>
                <w:rFonts w:hint="eastAsia" w:ascii="宋体" w:hAnsi="宋体" w:eastAsia="宋体" w:cs="宋体"/>
                <w:bCs/>
                <w:szCs w:val="21"/>
              </w:rPr>
            </w:pPr>
            <w:r>
              <w:rPr>
                <w:rFonts w:hint="eastAsia" w:ascii="宋体" w:hAnsi="宋体" w:eastAsia="宋体" w:cs="宋体"/>
                <w:bCs/>
                <w:szCs w:val="21"/>
              </w:rPr>
              <w:t xml:space="preserve">3.2投标人中标后所交设备的品种、型号、规格、质量、功能、技术参数等方面不能实质性满足采购文件要求的，采购人有权拒绝收货，投标人向采购人偿付项目采购金额【15】% 的违约金并采取更换、补足等补救措施，致使逾期交付的，还应承担逾期交付的违约责任。 </w:t>
            </w:r>
          </w:p>
        </w:tc>
      </w:tr>
      <w:tr w14:paraId="5741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14:paraId="24D818D2">
            <w:pPr>
              <w:jc w:val="center"/>
              <w:rPr>
                <w:rFonts w:hint="eastAsia" w:ascii="宋体" w:hAnsi="宋体" w:eastAsia="宋体" w:cs="宋体"/>
                <w:bCs/>
                <w:szCs w:val="21"/>
              </w:rPr>
            </w:pPr>
          </w:p>
        </w:tc>
        <w:tc>
          <w:tcPr>
            <w:tcW w:w="1620" w:type="dxa"/>
            <w:vMerge w:val="continue"/>
            <w:vAlign w:val="center"/>
          </w:tcPr>
          <w:p w14:paraId="63CF9E68">
            <w:pPr>
              <w:jc w:val="center"/>
              <w:rPr>
                <w:rFonts w:hint="eastAsia" w:ascii="宋体" w:hAnsi="宋体" w:eastAsia="宋体" w:cs="宋体"/>
                <w:bCs/>
                <w:szCs w:val="21"/>
              </w:rPr>
            </w:pPr>
          </w:p>
        </w:tc>
        <w:tc>
          <w:tcPr>
            <w:tcW w:w="5594" w:type="dxa"/>
          </w:tcPr>
          <w:p w14:paraId="55D85C2F">
            <w:pPr>
              <w:spacing w:line="340" w:lineRule="exact"/>
              <w:rPr>
                <w:rFonts w:hint="eastAsia" w:ascii="宋体" w:hAnsi="宋体" w:eastAsia="宋体" w:cs="宋体"/>
                <w:bCs/>
                <w:szCs w:val="21"/>
              </w:rPr>
            </w:pPr>
            <w:r>
              <w:rPr>
                <w:rFonts w:hint="eastAsia" w:ascii="宋体" w:hAnsi="宋体" w:eastAsia="宋体" w:cs="宋体"/>
                <w:bCs/>
                <w:szCs w:val="21"/>
              </w:rPr>
              <w:t>3.3投标人中标后不能交付设备的，投标人向采购人偿付项目采购金额【15】%的违约金。</w:t>
            </w:r>
          </w:p>
        </w:tc>
      </w:tr>
      <w:tr w14:paraId="5321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14:paraId="68EF1D27">
            <w:pPr>
              <w:jc w:val="center"/>
              <w:rPr>
                <w:rFonts w:hint="eastAsia" w:ascii="宋体" w:hAnsi="宋体" w:eastAsia="宋体" w:cs="宋体"/>
                <w:bCs/>
                <w:szCs w:val="21"/>
              </w:rPr>
            </w:pPr>
          </w:p>
        </w:tc>
        <w:tc>
          <w:tcPr>
            <w:tcW w:w="1620" w:type="dxa"/>
            <w:vMerge w:val="continue"/>
          </w:tcPr>
          <w:p w14:paraId="0EA6528B">
            <w:pPr>
              <w:rPr>
                <w:rFonts w:hint="eastAsia" w:ascii="宋体" w:hAnsi="宋体" w:eastAsia="宋体" w:cs="宋体"/>
                <w:bCs/>
                <w:szCs w:val="21"/>
              </w:rPr>
            </w:pPr>
          </w:p>
        </w:tc>
        <w:tc>
          <w:tcPr>
            <w:tcW w:w="5594" w:type="dxa"/>
          </w:tcPr>
          <w:p w14:paraId="7C04B8B5">
            <w:pPr>
              <w:spacing w:line="340" w:lineRule="exact"/>
              <w:rPr>
                <w:rFonts w:hint="eastAsia" w:ascii="宋体" w:hAnsi="宋体" w:eastAsia="宋体" w:cs="宋体"/>
                <w:bCs/>
                <w:szCs w:val="21"/>
              </w:rPr>
            </w:pPr>
            <w:r>
              <w:rPr>
                <w:rFonts w:hint="eastAsia" w:ascii="宋体" w:hAnsi="宋体" w:eastAsia="宋体" w:cs="宋体"/>
                <w:bCs/>
                <w:szCs w:val="21"/>
              </w:rPr>
              <w:t>3.4投标人中标后逾期交付货物的，每逾期1天，投标人向采购人偿付项目采购金额的【3】‰的违约金。如投标人逾期交货达</w:t>
            </w:r>
            <w:r>
              <w:rPr>
                <w:rFonts w:hint="eastAsia" w:ascii="宋体" w:hAnsi="宋体" w:eastAsia="宋体" w:cs="宋体"/>
                <w:bCs/>
                <w:szCs w:val="21"/>
                <w:u w:val="single"/>
              </w:rPr>
              <w:t xml:space="preserve"> 30 </w:t>
            </w:r>
            <w:r>
              <w:rPr>
                <w:rFonts w:hint="eastAsia" w:ascii="宋体" w:hAnsi="宋体" w:eastAsia="宋体" w:cs="宋体"/>
                <w:bCs/>
                <w:szCs w:val="21"/>
              </w:rPr>
              <w:t>天，采购人有权解除合同。</w:t>
            </w:r>
          </w:p>
        </w:tc>
      </w:tr>
      <w:tr w14:paraId="1D52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14:paraId="08248647">
            <w:pPr>
              <w:jc w:val="center"/>
              <w:rPr>
                <w:rFonts w:hint="eastAsia" w:ascii="宋体" w:hAnsi="宋体" w:eastAsia="宋体" w:cs="宋体"/>
                <w:bCs/>
                <w:szCs w:val="21"/>
              </w:rPr>
            </w:pPr>
          </w:p>
        </w:tc>
        <w:tc>
          <w:tcPr>
            <w:tcW w:w="1620" w:type="dxa"/>
            <w:vMerge w:val="continue"/>
          </w:tcPr>
          <w:p w14:paraId="0BD660D3">
            <w:pPr>
              <w:rPr>
                <w:rFonts w:hint="eastAsia" w:ascii="宋体" w:hAnsi="宋体" w:eastAsia="宋体" w:cs="宋体"/>
                <w:bCs/>
                <w:szCs w:val="21"/>
              </w:rPr>
            </w:pPr>
          </w:p>
        </w:tc>
        <w:tc>
          <w:tcPr>
            <w:tcW w:w="5594" w:type="dxa"/>
          </w:tcPr>
          <w:p w14:paraId="773DF565">
            <w:pPr>
              <w:rPr>
                <w:rFonts w:hint="eastAsia" w:ascii="宋体" w:hAnsi="宋体" w:eastAsia="宋体" w:cs="宋体"/>
                <w:b/>
                <w:szCs w:val="21"/>
              </w:rPr>
            </w:pPr>
            <w:r>
              <w:rPr>
                <w:rFonts w:hint="eastAsia" w:ascii="宋体" w:hAnsi="宋体" w:eastAsia="宋体" w:cs="宋体"/>
                <w:bCs/>
                <w:szCs w:val="21"/>
              </w:rPr>
              <w:t>3.5投标人中标后，在其承诺的或国家规定的质量保证期内（取两者中最长的期限），如经投标人两次维修或更换，货物仍不能达到采购文件要求及投标文件承诺的质量标准，采购人有权退货，投标人应退回全部货款并赔偿采购人因此遭受的损失。</w:t>
            </w:r>
          </w:p>
        </w:tc>
      </w:tr>
      <w:tr w14:paraId="286A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14:paraId="484F6057">
            <w:pPr>
              <w:jc w:val="center"/>
              <w:rPr>
                <w:rFonts w:hint="eastAsia" w:ascii="宋体" w:hAnsi="宋体" w:eastAsia="宋体" w:cs="宋体"/>
                <w:bCs/>
                <w:szCs w:val="21"/>
              </w:rPr>
            </w:pPr>
          </w:p>
        </w:tc>
        <w:tc>
          <w:tcPr>
            <w:tcW w:w="1620" w:type="dxa"/>
            <w:vMerge w:val="continue"/>
          </w:tcPr>
          <w:p w14:paraId="3F0635B4">
            <w:pPr>
              <w:rPr>
                <w:rFonts w:hint="eastAsia" w:ascii="宋体" w:hAnsi="宋体" w:eastAsia="宋体" w:cs="宋体"/>
                <w:bCs/>
                <w:szCs w:val="21"/>
              </w:rPr>
            </w:pPr>
          </w:p>
        </w:tc>
        <w:tc>
          <w:tcPr>
            <w:tcW w:w="5594" w:type="dxa"/>
          </w:tcPr>
          <w:p w14:paraId="4B0AF898">
            <w:pPr>
              <w:rPr>
                <w:rFonts w:hint="eastAsia" w:ascii="宋体" w:hAnsi="宋体" w:eastAsia="宋体" w:cs="宋体"/>
                <w:b/>
                <w:szCs w:val="21"/>
              </w:rPr>
            </w:pPr>
            <w:r>
              <w:rPr>
                <w:rFonts w:hint="eastAsia" w:ascii="宋体" w:hAnsi="宋体" w:eastAsia="宋体" w:cs="宋体"/>
                <w:bCs/>
                <w:szCs w:val="21"/>
              </w:rPr>
              <w:t>3.6投标人中标后在承担上述一项或多项违约责任后，仍应继续履行合同规定的义务（采购人解除合同的除外）。采购人未能及时追究投标人的任何一项违约责任并不表明采购人放弃追究投标人该项或其他违约责任。</w:t>
            </w:r>
          </w:p>
        </w:tc>
      </w:tr>
    </w:tbl>
    <w:p w14:paraId="66831B85">
      <w:pPr>
        <w:keepNext/>
        <w:keepLines/>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五、付款方式</w:t>
      </w:r>
    </w:p>
    <w:p w14:paraId="3CDD342E">
      <w:pPr>
        <w:pStyle w:val="9"/>
        <w:rPr>
          <w:rFonts w:hint="eastAsia" w:ascii="宋体" w:hAnsi="宋体" w:cs="宋体"/>
          <w:b w:val="0"/>
          <w:bCs w:val="0"/>
          <w:sz w:val="21"/>
          <w:szCs w:val="21"/>
        </w:rPr>
      </w:pPr>
      <w:r>
        <w:rPr>
          <w:rFonts w:hint="eastAsia" w:ascii="宋体" w:hAnsi="宋体" w:cs="宋体"/>
          <w:b w:val="0"/>
          <w:bCs w:val="0"/>
          <w:sz w:val="21"/>
          <w:szCs w:val="21"/>
        </w:rPr>
        <w:t>1、全部货物送到采购人指定地点、完成安装并验收合格后</w:t>
      </w:r>
      <w:r>
        <w:rPr>
          <w:rFonts w:hint="eastAsia" w:ascii="宋体" w:hAnsi="宋体" w:cs="宋体"/>
          <w:b w:val="0"/>
          <w:bCs w:val="0"/>
          <w:sz w:val="21"/>
          <w:szCs w:val="21"/>
          <w:u w:val="single"/>
        </w:rPr>
        <w:t xml:space="preserve">  30  </w:t>
      </w:r>
      <w:r>
        <w:rPr>
          <w:rFonts w:hint="eastAsia" w:ascii="宋体" w:hAnsi="宋体" w:cs="宋体"/>
          <w:b w:val="0"/>
          <w:bCs w:val="0"/>
          <w:sz w:val="21"/>
          <w:szCs w:val="21"/>
        </w:rPr>
        <w:t>个工作日内，采购人向中标供应商支付合同总价【100】%的款项；</w:t>
      </w:r>
    </w:p>
    <w:p w14:paraId="376025B8">
      <w:pPr>
        <w:pStyle w:val="9"/>
        <w:rPr>
          <w:rFonts w:hint="eastAsia" w:ascii="宋体" w:hAnsi="宋体" w:cs="宋体"/>
          <w:b w:val="0"/>
          <w:bCs w:val="0"/>
          <w:sz w:val="21"/>
          <w:szCs w:val="21"/>
        </w:rPr>
      </w:pPr>
      <w:r>
        <w:rPr>
          <w:rFonts w:hint="eastAsia" w:ascii="宋体" w:hAnsi="宋体" w:cs="宋体"/>
          <w:b w:val="0"/>
          <w:bCs w:val="0"/>
          <w:sz w:val="21"/>
          <w:szCs w:val="21"/>
        </w:rPr>
        <w:t>2、因财政资金拨款未到位而导致甲方未在约定期限内支付合同费用的，中标供应商不得要求采购人承担逾期付款的违约责任。每次付款前，中标供应商应先提供相应额度的正规发票给采购人，以便办理支付手续。</w:t>
      </w:r>
    </w:p>
    <w:p w14:paraId="36D630FB">
      <w:pPr>
        <w:keepNext/>
        <w:keepLines/>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六、图纸</w:t>
      </w:r>
    </w:p>
    <w:p w14:paraId="4D4D61F4">
      <w:pPr>
        <w:rPr>
          <w:rFonts w:eastAsia="宋体"/>
        </w:rPr>
      </w:pPr>
      <w:r>
        <w:rPr>
          <w:rFonts w:hint="eastAsia"/>
        </w:rPr>
        <w:t>（1）心理咨询室平面图及现场照片</w:t>
      </w:r>
    </w:p>
    <w:p w14:paraId="7E6E08A9">
      <w:pPr>
        <w:jc w:val="left"/>
      </w:pPr>
      <w:r>
        <w:drawing>
          <wp:inline distT="0" distB="0" distL="114300" distR="114300">
            <wp:extent cx="1468120" cy="1536065"/>
            <wp:effectExtent l="0" t="0" r="17780" b="698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1468120" cy="1536065"/>
                    </a:xfrm>
                    <a:prstGeom prst="rect">
                      <a:avLst/>
                    </a:prstGeom>
                    <a:noFill/>
                    <a:ln>
                      <a:noFill/>
                    </a:ln>
                  </pic:spPr>
                </pic:pic>
              </a:graphicData>
            </a:graphic>
          </wp:inline>
        </w:drawing>
      </w:r>
      <w:r>
        <w:drawing>
          <wp:inline distT="0" distB="0" distL="114300" distR="114300">
            <wp:extent cx="1923415" cy="1346200"/>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1923415" cy="1346200"/>
                    </a:xfrm>
                    <a:prstGeom prst="rect">
                      <a:avLst/>
                    </a:prstGeom>
                    <a:noFill/>
                    <a:ln>
                      <a:noFill/>
                    </a:ln>
                  </pic:spPr>
                </pic:pic>
              </a:graphicData>
            </a:graphic>
          </wp:inline>
        </w:drawing>
      </w:r>
      <w:r>
        <w:drawing>
          <wp:inline distT="0" distB="0" distL="114300" distR="114300">
            <wp:extent cx="1834515" cy="1338580"/>
            <wp:effectExtent l="0" t="0" r="13335" b="1397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4"/>
                    <a:stretch>
                      <a:fillRect/>
                    </a:stretch>
                  </pic:blipFill>
                  <pic:spPr>
                    <a:xfrm>
                      <a:off x="0" y="0"/>
                      <a:ext cx="1834515" cy="1338580"/>
                    </a:xfrm>
                    <a:prstGeom prst="rect">
                      <a:avLst/>
                    </a:prstGeom>
                    <a:noFill/>
                    <a:ln>
                      <a:noFill/>
                    </a:ln>
                  </pic:spPr>
                </pic:pic>
              </a:graphicData>
            </a:graphic>
          </wp:inline>
        </w:drawing>
      </w:r>
    </w:p>
    <w:p w14:paraId="700177D4">
      <w:pPr>
        <w:jc w:val="left"/>
      </w:pPr>
    </w:p>
    <w:p w14:paraId="6796C812">
      <w:pPr>
        <w:jc w:val="left"/>
        <w:rPr>
          <w:rFonts w:eastAsia="宋体"/>
        </w:rPr>
      </w:pPr>
      <w:r>
        <w:rPr>
          <w:rFonts w:hint="eastAsia"/>
        </w:rPr>
        <w:t>（2）教师阅览室平面图及现场照片</w:t>
      </w:r>
    </w:p>
    <w:p w14:paraId="3A2C0361">
      <w:pPr>
        <w:pStyle w:val="9"/>
        <w:rPr>
          <w:rFonts w:ascii="Arial" w:hAnsi="Arial" w:eastAsia="宋体" w:cs="Times New Roman"/>
          <w:szCs w:val="24"/>
        </w:rPr>
      </w:pPr>
      <w:r>
        <w:drawing>
          <wp:inline distT="0" distB="0" distL="114300" distR="114300">
            <wp:extent cx="1492885" cy="1535430"/>
            <wp:effectExtent l="0" t="0" r="1206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1492885" cy="1535430"/>
                    </a:xfrm>
                    <a:prstGeom prst="rect">
                      <a:avLst/>
                    </a:prstGeom>
                    <a:noFill/>
                    <a:ln>
                      <a:noFill/>
                    </a:ln>
                  </pic:spPr>
                </pic:pic>
              </a:graphicData>
            </a:graphic>
          </wp:inline>
        </w:drawing>
      </w:r>
      <w:r>
        <w:drawing>
          <wp:inline distT="0" distB="0" distL="114300" distR="114300">
            <wp:extent cx="1833880" cy="1329055"/>
            <wp:effectExtent l="0" t="0" r="13970" b="444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6"/>
                    <a:stretch>
                      <a:fillRect/>
                    </a:stretch>
                  </pic:blipFill>
                  <pic:spPr>
                    <a:xfrm>
                      <a:off x="0" y="0"/>
                      <a:ext cx="1833880" cy="1329055"/>
                    </a:xfrm>
                    <a:prstGeom prst="rect">
                      <a:avLst/>
                    </a:prstGeom>
                    <a:noFill/>
                    <a:ln>
                      <a:noFill/>
                    </a:ln>
                  </pic:spPr>
                </pic:pic>
              </a:graphicData>
            </a:graphic>
          </wp:inline>
        </w:drawing>
      </w:r>
      <w:r>
        <w:drawing>
          <wp:inline distT="0" distB="0" distL="114300" distR="114300">
            <wp:extent cx="1892300" cy="1330325"/>
            <wp:effectExtent l="0" t="0" r="12700" b="317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7"/>
                    <a:stretch>
                      <a:fillRect/>
                    </a:stretch>
                  </pic:blipFill>
                  <pic:spPr>
                    <a:xfrm>
                      <a:off x="0" y="0"/>
                      <a:ext cx="1892300" cy="1330325"/>
                    </a:xfrm>
                    <a:prstGeom prst="rect">
                      <a:avLst/>
                    </a:prstGeom>
                    <a:noFill/>
                    <a:ln>
                      <a:noFill/>
                    </a:ln>
                  </pic:spPr>
                </pic:pic>
              </a:graphicData>
            </a:graphic>
          </wp:inline>
        </w:drawing>
      </w:r>
    </w:p>
    <w:p w14:paraId="1D38B2F3">
      <w:pPr>
        <w:keepNext/>
        <w:keepLines/>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七、技术要求部分</w:t>
      </w:r>
    </w:p>
    <w:p w14:paraId="15EC77A8">
      <w:pPr>
        <w:rPr>
          <w:rFonts w:hint="eastAsia" w:ascii="宋体" w:hAnsi="宋体" w:eastAsia="宋体" w:cs="宋体"/>
          <w:b/>
          <w:color w:val="FF0000"/>
          <w:szCs w:val="21"/>
          <w:highlight w:val="yellow"/>
        </w:rPr>
      </w:pPr>
      <w:r>
        <w:rPr>
          <w:rFonts w:hint="eastAsia" w:ascii="宋体" w:hAnsi="宋体" w:eastAsia="宋体" w:cs="宋体"/>
          <w:b/>
          <w:color w:val="FF0000"/>
          <w:szCs w:val="21"/>
        </w:rPr>
        <w:t>1、带</w:t>
      </w:r>
      <w:r>
        <w:rPr>
          <w:rFonts w:hint="eastAsia" w:ascii="宋体" w:hAnsi="宋体" w:eastAsia="宋体" w:cs="宋体"/>
          <w:b/>
          <w:bCs/>
          <w:color w:val="FF0000"/>
          <w:szCs w:val="21"/>
        </w:rPr>
        <w:t>★</w:t>
      </w:r>
      <w:r>
        <w:rPr>
          <w:rFonts w:hint="eastAsia" w:ascii="宋体" w:hAnsi="宋体" w:eastAsia="宋体" w:cs="宋体"/>
          <w:b/>
          <w:color w:val="FF0000"/>
          <w:szCs w:val="21"/>
        </w:rPr>
        <w:t>号要求为不可偏离要求，如出现负偏离，将导致投标无效。带▲号参数为重要参数，其他参数（非▲号参数）为普通参数，如出现负偏离，将按照评分准则做扣分处理。</w:t>
      </w:r>
      <w:r>
        <w:rPr>
          <w:rFonts w:hint="eastAsia" w:ascii="宋体" w:hAnsi="宋体" w:eastAsia="宋体" w:cs="宋体"/>
          <w:b/>
          <w:color w:val="FF0000"/>
          <w:szCs w:val="21"/>
          <w:highlight w:val="yellow"/>
        </w:rPr>
        <w:t>如注明要求提供相关佐证材料的，需以佐证材料作为是否偏离的依据。</w:t>
      </w:r>
    </w:p>
    <w:p w14:paraId="1F7BABFC">
      <w:pPr>
        <w:spacing w:after="78"/>
        <w:jc w:val="left"/>
        <w:rPr>
          <w:rFonts w:hint="eastAsia" w:ascii="宋体" w:hAnsi="宋体" w:eastAsia="宋体" w:cs="宋体"/>
          <w:color w:val="FF0000"/>
          <w:szCs w:val="21"/>
        </w:rPr>
      </w:pPr>
      <w:r>
        <w:rPr>
          <w:rFonts w:hint="eastAsia" w:ascii="宋体" w:hAnsi="宋体" w:eastAsia="宋体" w:cs="宋体"/>
          <w:color w:val="FF0000"/>
          <w:szCs w:val="21"/>
        </w:rPr>
        <w:t>2、所列的技术参数需求中如出现品牌信息仅供参考，不作为参数要求，目的只为投标人更清楚地了解采购需求，投标人可提供其他品牌设备投标。</w:t>
      </w:r>
    </w:p>
    <w:p w14:paraId="58BF50EE">
      <w:pPr>
        <w:spacing w:after="78"/>
        <w:jc w:val="left"/>
        <w:rPr>
          <w:rFonts w:hint="eastAsia" w:ascii="宋体" w:hAnsi="宋体" w:eastAsia="宋体" w:cs="宋体"/>
          <w:color w:val="FF0000"/>
          <w:szCs w:val="21"/>
        </w:rPr>
      </w:pPr>
      <w:r>
        <w:rPr>
          <w:rFonts w:hint="eastAsia" w:ascii="宋体" w:hAnsi="宋体" w:eastAsia="宋体" w:cs="宋体"/>
          <w:color w:val="FF0000"/>
          <w:szCs w:val="21"/>
        </w:rPr>
        <w:t>3、如有方案表述中有出现类似可实现、实现、可支持、支持等描述的，均表示方案需要实现的功能或应满足的要求，即项目在验收时无须增加其他额外设备或系统，使用本项目中的设备或系统即能实现相应功能或满足相关要求。</w:t>
      </w:r>
    </w:p>
    <w:p w14:paraId="16888F3C">
      <w:pPr>
        <w:spacing w:after="78"/>
        <w:jc w:val="left"/>
        <w:rPr>
          <w:rFonts w:hint="eastAsia" w:ascii="宋体" w:hAnsi="宋体" w:eastAsia="宋体" w:cs="宋体"/>
          <w:color w:val="FF0000"/>
          <w:szCs w:val="21"/>
        </w:rPr>
      </w:pPr>
      <w:r>
        <w:rPr>
          <w:rFonts w:hint="eastAsia" w:ascii="宋体" w:hAnsi="宋体" w:eastAsia="宋体" w:cs="宋体"/>
          <w:color w:val="FF0000"/>
          <w:szCs w:val="21"/>
        </w:rPr>
        <w:t>4、针对招标文件产品技术参数如涉及相关既定值、单向范围值、区间范围值的，投标技术参数响应方式举例说明如下：</w:t>
      </w:r>
    </w:p>
    <w:p w14:paraId="3DB77B32">
      <w:pPr>
        <w:spacing w:after="78"/>
        <w:jc w:val="left"/>
        <w:rPr>
          <w:rFonts w:hint="eastAsia" w:ascii="宋体" w:hAnsi="宋体" w:eastAsia="宋体" w:cs="宋体"/>
          <w:color w:val="FF0000"/>
          <w:szCs w:val="21"/>
        </w:rPr>
      </w:pPr>
      <w:r>
        <w:rPr>
          <w:rFonts w:hint="eastAsia" w:ascii="宋体" w:hAnsi="宋体" w:eastAsia="宋体" w:cs="宋体"/>
          <w:color w:val="FF0000"/>
          <w:szCs w:val="21"/>
        </w:rPr>
        <w:t>（1）涉及相关既定值的，例：招标技术参数要求值为“20L”，投标技术参数响应值与“20L”不一致的，均视为负偏离；</w:t>
      </w:r>
    </w:p>
    <w:p w14:paraId="6A8989D6">
      <w:pPr>
        <w:spacing w:after="78"/>
        <w:jc w:val="left"/>
        <w:rPr>
          <w:rFonts w:hint="eastAsia" w:ascii="宋体" w:hAnsi="宋体" w:eastAsia="宋体" w:cs="宋体"/>
          <w:color w:val="FF0000"/>
          <w:szCs w:val="21"/>
        </w:rPr>
      </w:pPr>
      <w:r>
        <w:rPr>
          <w:rFonts w:hint="eastAsia" w:ascii="宋体" w:hAnsi="宋体" w:eastAsia="宋体" w:cs="宋体"/>
          <w:color w:val="FF0000"/>
          <w:szCs w:val="21"/>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14:paraId="3BDC0F71">
      <w:pPr>
        <w:spacing w:after="78"/>
        <w:jc w:val="left"/>
        <w:rPr>
          <w:rFonts w:hint="eastAsia" w:ascii="宋体" w:hAnsi="宋体" w:eastAsia="宋体" w:cs="宋体"/>
          <w:color w:val="FF0000"/>
          <w:szCs w:val="21"/>
        </w:rPr>
      </w:pPr>
      <w:r>
        <w:rPr>
          <w:rFonts w:hint="eastAsia" w:ascii="宋体" w:hAnsi="宋体" w:eastAsia="宋体" w:cs="宋体"/>
          <w:color w:val="FF0000"/>
          <w:szCs w:val="21"/>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tbl>
      <w:tblPr>
        <w:tblStyle w:val="16"/>
        <w:tblW w:w="4998" w:type="pct"/>
        <w:tblInd w:w="0" w:type="dxa"/>
        <w:tblLayout w:type="autofit"/>
        <w:tblCellMar>
          <w:top w:w="0" w:type="dxa"/>
          <w:left w:w="108" w:type="dxa"/>
          <w:bottom w:w="0" w:type="dxa"/>
          <w:right w:w="108" w:type="dxa"/>
        </w:tblCellMar>
      </w:tblPr>
      <w:tblGrid>
        <w:gridCol w:w="507"/>
        <w:gridCol w:w="636"/>
        <w:gridCol w:w="7376"/>
      </w:tblGrid>
      <w:tr w14:paraId="48B1ED78">
        <w:tblPrEx>
          <w:tblCellMar>
            <w:top w:w="0" w:type="dxa"/>
            <w:left w:w="108" w:type="dxa"/>
            <w:bottom w:w="0" w:type="dxa"/>
            <w:right w:w="108" w:type="dxa"/>
          </w:tblCellMar>
        </w:tblPrEx>
        <w:trPr>
          <w:trHeight w:val="28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A0C8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序号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5EA5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货物名称</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ADD8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招标技术要求</w:t>
            </w:r>
          </w:p>
        </w:tc>
      </w:tr>
      <w:tr w14:paraId="49234C56">
        <w:tblPrEx>
          <w:tblCellMar>
            <w:top w:w="0" w:type="dxa"/>
            <w:left w:w="108" w:type="dxa"/>
            <w:bottom w:w="0" w:type="dxa"/>
            <w:right w:w="108" w:type="dxa"/>
          </w:tblCellMar>
        </w:tblPrEx>
        <w:trPr>
          <w:trHeight w:val="28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F676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BC76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心理挂图</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E95E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1、不同心理场景的可供选择的心理挂图：分为催眠图、错觉图、深思图、激励图等。</w:t>
            </w:r>
          </w:p>
        </w:tc>
      </w:tr>
      <w:tr w14:paraId="17D08019">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D48FC">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166CC">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7D87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2、整体尺寸：620*520mm（±5mm）；</w:t>
            </w:r>
          </w:p>
        </w:tc>
      </w:tr>
      <w:tr w14:paraId="6EA5C2D2">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0F5FD">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F6421">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D975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3、边框颜色：欧白花纹；</w:t>
            </w:r>
          </w:p>
        </w:tc>
      </w:tr>
      <w:tr w14:paraId="52951D64">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886CD">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D6036">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8B9F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4、边框宽度：不少于3cm；</w:t>
            </w:r>
          </w:p>
        </w:tc>
      </w:tr>
      <w:tr w14:paraId="333361A4">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C15DC">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870C7">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F78C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5、边框材质：实木；</w:t>
            </w:r>
          </w:p>
        </w:tc>
      </w:tr>
      <w:tr w14:paraId="39BE695F">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D9259">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DE114">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F5AB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6、前挡板：有机玻璃；</w:t>
            </w:r>
          </w:p>
        </w:tc>
      </w:tr>
      <w:tr w14:paraId="7A8C6CC2">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447C7">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22417">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C62A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7、无痕挂钩： 30*15mm（±5mm）。</w:t>
            </w:r>
          </w:p>
        </w:tc>
      </w:tr>
      <w:tr w14:paraId="2A88EF68">
        <w:tblPrEx>
          <w:tblCellMar>
            <w:top w:w="0" w:type="dxa"/>
            <w:left w:w="108" w:type="dxa"/>
            <w:bottom w:w="0" w:type="dxa"/>
            <w:right w:w="108" w:type="dxa"/>
          </w:tblCellMar>
        </w:tblPrEx>
        <w:trPr>
          <w:trHeight w:val="28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543E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9D9A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三人沙发</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B9ED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1、基材：采用实木框架，海绵加蒙皮或布艺，经防潮、防虫、防腐处理，抗弯力强，不易变形；</w:t>
            </w:r>
          </w:p>
        </w:tc>
      </w:tr>
      <w:tr w14:paraId="1B299A68">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360E0">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DCC11">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69BD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2、清漆：采用PU全封闭工艺涂装（五底三面）油漆，开放油漆工艺，色泽一致，厚度均匀，交货时，表面油漆干透，淋膜硬度≥4H；</w:t>
            </w:r>
          </w:p>
        </w:tc>
      </w:tr>
      <w:tr w14:paraId="5E69C2D7">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FCA19">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E5FB8">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A4A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3、连接件：采用五金压铸而成，后抛光加以电镀，表面光滑、亮洁，连接牢固；</w:t>
            </w:r>
          </w:p>
        </w:tc>
      </w:tr>
      <w:tr w14:paraId="24D9CAE5">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80950">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B2E78">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38DC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4、规格尺寸：三人位</w:t>
            </w:r>
          </w:p>
        </w:tc>
      </w:tr>
      <w:tr w14:paraId="721A60E9">
        <w:tblPrEx>
          <w:tblCellMar>
            <w:top w:w="0" w:type="dxa"/>
            <w:left w:w="108" w:type="dxa"/>
            <w:bottom w:w="0" w:type="dxa"/>
            <w:right w:w="108" w:type="dxa"/>
          </w:tblCellMar>
        </w:tblPrEx>
        <w:trPr>
          <w:trHeight w:val="162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FC149">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7EC2B">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BBFAD">
            <w:pPr>
              <w:widowControl/>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▲5、海绵：检测报告依据符合：QB/T 4371-2012 家具抗菌性能的评价 附录A 吸收法，GB/T 24346-2009 纺织品 防霉性能的评价；检测参数：抗菌性能中大肠杆菌抑菌值＞7.3、抑菌率＞99%，金黄色葡萄球菌抑菌值＞6.7，抑菌率＞99%，肺炎克雷伯氏菌抑菌值＞7.2、抑菌率＞99%，提供 2021 年 1 月 1 日以来至投标截止日前具有第三方检测机构出具的具有 CMA 或 CNAS 标识符合检测参数的“海绵”检测报告复印件，及全国认证认可信息公共服务平台网站（http://cx.cnca.cn/CertECloud/qts/qts/ qtsPage）查询截图扫描件作为得分依据。（委托单位为投标人或产品制造商，报告原件备查）</w:t>
            </w:r>
          </w:p>
        </w:tc>
      </w:tr>
      <w:tr w14:paraId="3861F249">
        <w:tblPrEx>
          <w:tblCellMar>
            <w:top w:w="0" w:type="dxa"/>
            <w:left w:w="108" w:type="dxa"/>
            <w:bottom w:w="0" w:type="dxa"/>
            <w:right w:w="108" w:type="dxa"/>
          </w:tblCellMar>
        </w:tblPrEx>
        <w:trPr>
          <w:trHeight w:val="28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A429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9F21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茶几</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B203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1、基材：采用实木框架，经防潮、防虫、防腐处理，抗弯力强，不易变形；</w:t>
            </w:r>
          </w:p>
        </w:tc>
      </w:tr>
      <w:tr w14:paraId="0EDEA8C7">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F92DC">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FE6F1">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8D97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2、清漆：采用PU全封闭工艺涂装（五底三面）油漆，开放油漆工艺，色泽一致，厚度均匀，交货时，表面油漆干透，淋膜硬度≥4H；</w:t>
            </w:r>
          </w:p>
        </w:tc>
      </w:tr>
      <w:tr w14:paraId="31695F47">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0968B">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7B54E">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6EA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3、连接件：采用五金压铸而成，后抛光加以电镀，表面光滑、亮洁，连接牢固；</w:t>
            </w:r>
          </w:p>
        </w:tc>
      </w:tr>
      <w:tr w14:paraId="02A09D7A">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63E15">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4FB7D">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D1F0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4、规格尺寸：W1200*D600*450H（±50mm）</w:t>
            </w:r>
          </w:p>
        </w:tc>
      </w:tr>
      <w:tr w14:paraId="1164D5F8">
        <w:tblPrEx>
          <w:tblCellMar>
            <w:top w:w="0" w:type="dxa"/>
            <w:left w:w="108" w:type="dxa"/>
            <w:bottom w:w="0" w:type="dxa"/>
            <w:right w:w="108" w:type="dxa"/>
          </w:tblCellMar>
        </w:tblPrEx>
        <w:trPr>
          <w:trHeight w:val="28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01EB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08EB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办公桌</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7CD9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1、基材：E0级环保型多层实木板，密度应符合国家标准和深圳市财委要求，甲醛含量≤9mg/100g；</w:t>
            </w:r>
          </w:p>
        </w:tc>
      </w:tr>
      <w:tr w14:paraId="1C3779DC">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DE135">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EB456">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58D5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2、封边：≥1mm厚PVC封边，热熔胶，经自动调温热压机使板材粘连无丝无缝</w:t>
            </w:r>
          </w:p>
        </w:tc>
      </w:tr>
      <w:tr w14:paraId="6140DC57">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CE065">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A258A">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6497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3、配件：五金配件，所有五金件做防锈、防腐处理。</w:t>
            </w:r>
          </w:p>
        </w:tc>
      </w:tr>
      <w:tr w14:paraId="474AC945">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6C85A">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FC026">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0C4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4、规格尺寸：1400W*750D*750H（±50mm）</w:t>
            </w:r>
          </w:p>
        </w:tc>
      </w:tr>
      <w:tr w14:paraId="6D248AB9">
        <w:tblPrEx>
          <w:tblCellMar>
            <w:top w:w="0" w:type="dxa"/>
            <w:left w:w="108" w:type="dxa"/>
            <w:bottom w:w="0" w:type="dxa"/>
            <w:right w:w="108" w:type="dxa"/>
          </w:tblCellMar>
        </w:tblPrEx>
        <w:trPr>
          <w:trHeight w:val="135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BA5A9">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365CD">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67872">
            <w:pPr>
              <w:widowControl/>
              <w:jc w:val="lef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▲5、多层板：检验报告依据符合：JC/T 2039-2010《抗菌防霉木质装饰板》标准、QB/T4371-2012《家具抗菌性能的评价》标准。检测结果：抗菌性能：金黄色葡萄球菌、白色念珠菌、肺炎克雷伯氏菌的抑菌率≥99%。提供 2021 年 1 月 1 日以来至投标截止日前具有第三方检测机构出具的具有 CMA 或 CNAS 标识符合检测参数 的“ 多层板 ”检测报告复印件，及全国认证认可信息公共服务平台网站（http://cx.cnca.cn/CertECloud/qts/qts/ qtsPage）查询截图扫描件作为得分依据。（委托单位为投标人或产品制造商，报告原件备查）</w:t>
            </w:r>
          </w:p>
        </w:tc>
      </w:tr>
      <w:tr w14:paraId="01A7E81A">
        <w:tblPrEx>
          <w:tblCellMar>
            <w:top w:w="0" w:type="dxa"/>
            <w:left w:w="108" w:type="dxa"/>
            <w:bottom w:w="0" w:type="dxa"/>
            <w:right w:w="108" w:type="dxa"/>
          </w:tblCellMar>
        </w:tblPrEx>
        <w:trPr>
          <w:trHeight w:val="28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398B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9791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办公椅</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9ACD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1、材质：座面尼龙纤维网布饰面，内衬高密度定型海绵，长时间使用不变形；</w:t>
            </w:r>
          </w:p>
        </w:tc>
      </w:tr>
      <w:tr w14:paraId="635D2FCB">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AC8F3">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AF041">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B991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2、尼龙注塑成型背框、座框，抗冲击、防老化；</w:t>
            </w:r>
          </w:p>
        </w:tc>
      </w:tr>
      <w:tr w14:paraId="6A228A1A">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9C956">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9B292">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AD5B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3、尼龙五星脚，尼龙脚轮，椅子底盘及气压棒。</w:t>
            </w:r>
          </w:p>
        </w:tc>
      </w:tr>
      <w:tr w14:paraId="6CCD382E">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9F1DC">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D47DD">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C55E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4、椅子可倾仰、可旋转、可升降，人性化后仰弹力调整。</w:t>
            </w:r>
          </w:p>
        </w:tc>
      </w:tr>
      <w:tr w14:paraId="0C5B00F7">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22593">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69310">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2A49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5、规格尺寸：常规</w:t>
            </w:r>
          </w:p>
        </w:tc>
      </w:tr>
      <w:tr w14:paraId="3CD93E47">
        <w:tblPrEx>
          <w:tblCellMar>
            <w:top w:w="0" w:type="dxa"/>
            <w:left w:w="108" w:type="dxa"/>
            <w:bottom w:w="0" w:type="dxa"/>
            <w:right w:w="108" w:type="dxa"/>
          </w:tblCellMar>
        </w:tblPrEx>
        <w:trPr>
          <w:trHeight w:val="28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ADC7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1975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文件柜</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2149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1、基材：E0级环保型多层实木板，密度应符合国家标准要求，甲醛含量≤9mg/100g；</w:t>
            </w:r>
          </w:p>
        </w:tc>
      </w:tr>
      <w:tr w14:paraId="690039EC">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D39C3">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23F55">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57BD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2、封边：≥1mm厚PVC封边，热熔胶，经自动调温热压机使板材粘连无丝无缝</w:t>
            </w:r>
          </w:p>
        </w:tc>
      </w:tr>
      <w:tr w14:paraId="691A6E7F">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E81FB">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7D129">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74EA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3、配件：五金配件，所有五金件作防锈、防腐处理。</w:t>
            </w:r>
          </w:p>
        </w:tc>
      </w:tr>
      <w:tr w14:paraId="1814AB81">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05CCC">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61BFD">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4E3F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4、规格尺寸：W900*D400*H2000（±50mm）</w:t>
            </w:r>
          </w:p>
        </w:tc>
      </w:tr>
      <w:tr w14:paraId="01885F31">
        <w:tblPrEx>
          <w:tblCellMar>
            <w:top w:w="0" w:type="dxa"/>
            <w:left w:w="108" w:type="dxa"/>
            <w:bottom w:w="0" w:type="dxa"/>
            <w:right w:w="108" w:type="dxa"/>
          </w:tblCellMar>
        </w:tblPrEx>
        <w:trPr>
          <w:trHeight w:val="154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D36A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F336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音乐放松训练系统</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76B7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一、音乐放松训练系统能影响大脑某些递质如乙酰胆碱和去甲肾上素的释放，从而改善大脑皮层功能，调节训练者情绪，减少焦虑，同时音乐能超越意识直接作用于潜意识，对于人格的整合有极大的帮助。本系统涵盖学习中心、放松中心、音乐中心、记录中心四大模块，全方位打造放松减压平台。</w:t>
            </w:r>
          </w:p>
        </w:tc>
      </w:tr>
      <w:tr w14:paraId="3626EFC7">
        <w:tblPrEx>
          <w:tblCellMar>
            <w:top w:w="0" w:type="dxa"/>
            <w:left w:w="108" w:type="dxa"/>
            <w:bottom w:w="0" w:type="dxa"/>
            <w:right w:w="108" w:type="dxa"/>
          </w:tblCellMar>
        </w:tblPrEx>
        <w:trPr>
          <w:trHeight w:val="906"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B29C0">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14DBD">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531D3">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二、系统软件描述</w:t>
            </w:r>
          </w:p>
          <w:p w14:paraId="3A7109A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1、软件设计：安装简便，易操作。</w:t>
            </w:r>
          </w:p>
          <w:p w14:paraId="548C3B2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2、软件安全：采用MD5加密技术，保证数据信息安全。</w:t>
            </w:r>
          </w:p>
        </w:tc>
      </w:tr>
      <w:tr w14:paraId="2E822028">
        <w:tblPrEx>
          <w:tblCellMar>
            <w:top w:w="0" w:type="dxa"/>
            <w:left w:w="108" w:type="dxa"/>
            <w:bottom w:w="0" w:type="dxa"/>
            <w:right w:w="108" w:type="dxa"/>
          </w:tblCellMar>
        </w:tblPrEx>
        <w:trPr>
          <w:trHeight w:val="3412"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187BC">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3FE7D">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EA15C">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三、功能特点</w:t>
            </w:r>
          </w:p>
          <w:p w14:paraId="78CD3F75">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（一）学习中心</w:t>
            </w:r>
          </w:p>
          <w:p w14:paraId="6A53BFD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具备自助式放松训练功能，包含意念式呼吸法、腹式呼吸法、基本渐进式肌肉放松法 等三种模式，提供专业真人教学视频。</w:t>
            </w:r>
          </w:p>
          <w:p w14:paraId="3D8925E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1）意念式呼吸法：为用户打造舒适、惬意、放松的情景，可以有效地改善个体心理生理状态。</w:t>
            </w:r>
          </w:p>
          <w:p w14:paraId="5163DE7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2）腹式呼吸法：在指导老师的引导下，刺激副交感神经系统，舒缓肩膀、胸、隔肌等部位肌肉，缓解焦虑、愤怒、惊恐等情绪。</w:t>
            </w:r>
          </w:p>
          <w:p w14:paraId="5B5B217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3）基本渐进式肌肉放松法：该训练是一种逐渐的、有序的、使肌肉先紧张后放松的训练方法，易于使用者学习和掌握，可以消除人的生理和心理方面的紧张状态。</w:t>
            </w:r>
          </w:p>
        </w:tc>
      </w:tr>
      <w:tr w14:paraId="7E544A92">
        <w:tblPrEx>
          <w:tblCellMar>
            <w:top w:w="0" w:type="dxa"/>
            <w:left w:w="108" w:type="dxa"/>
            <w:bottom w:w="0" w:type="dxa"/>
            <w:right w:w="108" w:type="dxa"/>
          </w:tblCellMar>
        </w:tblPrEx>
        <w:trPr>
          <w:trHeight w:val="3694"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B44B7">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5C01B">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8E76D">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（二）音乐中心</w:t>
            </w:r>
          </w:p>
          <w:p w14:paraId="33332DC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包含专业音乐、α波音乐、纯音乐三大版块，支持自定义添加音乐，以满足用户可根据自身情况选择合适的音乐聆听，从而缓解精神疲惫，达到身心放松的效果。</w:t>
            </w:r>
          </w:p>
          <w:p w14:paraId="556720A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1、专业音乐： 该版块下设中国古典、外国古典、中国民乐、外国民乐、自选音乐五种分类，每个分类都有20首经典特色的曲目，既包含空灵缥缈的东方音乐，又包含西方经典的世界名曲，缓解用户焦虑、忧伤等情绪。</w:t>
            </w:r>
          </w:p>
          <w:p w14:paraId="695435F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2、α波音乐：α波音乐是一种用来开发大脑、激发潜能、协调身心的。系统中存放了多首α波音乐，管理员可以对音乐进行删除、添加的操作。</w:t>
            </w:r>
          </w:p>
          <w:p w14:paraId="57A4EAC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3、纯音乐：纯音乐拥有可以洗涤人们内心烦躁的功能，舒缓的纯音乐让人可以很好的进行放松。系统中自带了多首经典纯音乐，管理员可以对音乐进行添加、删除的操作。</w:t>
            </w:r>
          </w:p>
        </w:tc>
      </w:tr>
      <w:tr w14:paraId="32A722A2">
        <w:tblPrEx>
          <w:tblCellMar>
            <w:top w:w="0" w:type="dxa"/>
            <w:left w:w="108" w:type="dxa"/>
            <w:bottom w:w="0" w:type="dxa"/>
            <w:right w:w="108" w:type="dxa"/>
          </w:tblCellMar>
        </w:tblPrEx>
        <w:trPr>
          <w:trHeight w:val="1228"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C0C92">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AEEA6">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2A1D5">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（三）放松中心</w:t>
            </w:r>
          </w:p>
          <w:p w14:paraId="688E909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包含了放松方案、放松环境、辅助催眠、系统管理、放松情况、使用帮助6大模块。可以实时监测使用者心率、压力指数、HRV、PNN50等数值，更加深入地分析用户的身心状态。</w:t>
            </w:r>
          </w:p>
        </w:tc>
      </w:tr>
      <w:tr w14:paraId="671D492E">
        <w:tblPrEx>
          <w:tblCellMar>
            <w:top w:w="0" w:type="dxa"/>
            <w:left w:w="108" w:type="dxa"/>
            <w:bottom w:w="0" w:type="dxa"/>
            <w:right w:w="108" w:type="dxa"/>
          </w:tblCellMar>
        </w:tblPrEx>
        <w:trPr>
          <w:trHeight w:val="916"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9A3BA">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AC502">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AEA3C">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1、放松方案：</w:t>
            </w:r>
          </w:p>
          <w:p w14:paraId="6A5B8BE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1）分别针对焦虑、恐怖、情绪低落、抑郁情绪状态研发出每种各8套音乐放松方案，令使用者达到自主神经系统平衡协调状态，缓解或消除焦虑、紧张、抑郁等情绪。</w:t>
            </w:r>
          </w:p>
          <w:p w14:paraId="5E7AB81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2）系统针对不同情绪状态均有详尽的说明，帮助用户了解来源、 特征、缓解方法，减轻内心压力。</w:t>
            </w:r>
          </w:p>
          <w:p w14:paraId="6EB3BE4A">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3）系统软件会根据这些采集到的实时生理数据进行系统分析，并自动为使用者提供最有针对性的放松方案。如果当前音乐对其没有产生放松作用，系统会根据生理采集器数据，自动选择播放适合于放松的音乐。</w:t>
            </w:r>
          </w:p>
          <w:p w14:paraId="13DD344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4）能生成并导出放松报告（可在记录中心查询），并给予放松建议。</w:t>
            </w:r>
          </w:p>
        </w:tc>
      </w:tr>
      <w:tr w14:paraId="57713E08">
        <w:tblPrEx>
          <w:tblCellMar>
            <w:top w:w="0" w:type="dxa"/>
            <w:left w:w="108" w:type="dxa"/>
            <w:bottom w:w="0" w:type="dxa"/>
            <w:right w:w="108" w:type="dxa"/>
          </w:tblCellMar>
        </w:tblPrEx>
        <w:trPr>
          <w:trHeight w:val="1842"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35A84">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11FE3">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4D496">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2、放松环境：</w:t>
            </w:r>
          </w:p>
          <w:p w14:paraId="437B709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1）内含山林幽静、田野夜色、下雨天、小桥流水、海边场景模式，高保真的音频播放让使用者仿佛身临其境，置身于大自然。</w:t>
            </w:r>
          </w:p>
          <w:p w14:paraId="2726844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2）系统支持自定义添加放松环境，从而在舒适的放松环境中，引发使用者的生理、心理、情绪、认知体验，来达到保持、恢复、改善和促进身心健康的目的。</w:t>
            </w:r>
          </w:p>
        </w:tc>
      </w:tr>
      <w:tr w14:paraId="170C6FDE">
        <w:tblPrEx>
          <w:tblCellMar>
            <w:top w:w="0" w:type="dxa"/>
            <w:left w:w="108" w:type="dxa"/>
            <w:bottom w:w="0" w:type="dxa"/>
            <w:right w:w="108" w:type="dxa"/>
          </w:tblCellMar>
        </w:tblPrEx>
        <w:trPr>
          <w:trHeight w:val="1832"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D48F2">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9DAA6">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1EF29">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3、辅助催眠：</w:t>
            </w:r>
          </w:p>
          <w:p w14:paraId="5DD67A1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内置实时语音及载入语音2大模块，可自主选择需要的方式进行辅助。</w:t>
            </w:r>
          </w:p>
          <w:p w14:paraId="5FC56E2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1）实时语音包含：呼吸式放松法、想象式放松法、肌肉式放松引导语音，并可以查看语音文字，帮助心理咨询师更好的开展工作。</w:t>
            </w:r>
          </w:p>
          <w:p w14:paraId="49C245E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2）载入语音包含：意念式呼吸法，按摩式呼吸法，松弛反应，可以自定义添加催眠语音以及文字，极大的丰富了催眠工作的方式。</w:t>
            </w:r>
          </w:p>
        </w:tc>
      </w:tr>
      <w:tr w14:paraId="0F585743">
        <w:tblPrEx>
          <w:tblCellMar>
            <w:top w:w="0" w:type="dxa"/>
            <w:left w:w="108" w:type="dxa"/>
            <w:bottom w:w="0" w:type="dxa"/>
            <w:right w:w="108" w:type="dxa"/>
          </w:tblCellMar>
        </w:tblPrEx>
        <w:trPr>
          <w:trHeight w:val="916"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68C05">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1D0E3">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31FAF">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4、放松情况：</w:t>
            </w:r>
          </w:p>
          <w:p w14:paraId="76A0FC5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可根据放松日期、用户所属查看放松情况，内容包括最大血氧、最大脉率、平均血氧、平均脉率、使用的方案等内容。</w:t>
            </w:r>
          </w:p>
        </w:tc>
      </w:tr>
      <w:tr w14:paraId="7F4B66FD">
        <w:tblPrEx>
          <w:tblCellMar>
            <w:top w:w="0" w:type="dxa"/>
            <w:left w:w="108" w:type="dxa"/>
            <w:bottom w:w="0" w:type="dxa"/>
            <w:right w:w="108" w:type="dxa"/>
          </w:tblCellMar>
        </w:tblPrEx>
        <w:trPr>
          <w:trHeight w:val="916"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1B92D">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058D0">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6394B">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5、系统管理：</w:t>
            </w:r>
          </w:p>
          <w:p w14:paraId="317735E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可以对新用户以及新设备进行系统的管理，不会出现随着训练者的越来越多，无效垃圾越来越多，系统出现混乱的情况，便于管理。</w:t>
            </w:r>
          </w:p>
        </w:tc>
      </w:tr>
      <w:tr w14:paraId="3BCF7DEA">
        <w:tblPrEx>
          <w:tblCellMar>
            <w:top w:w="0" w:type="dxa"/>
            <w:left w:w="108" w:type="dxa"/>
            <w:bottom w:w="0" w:type="dxa"/>
            <w:right w:w="108" w:type="dxa"/>
          </w:tblCellMar>
        </w:tblPrEx>
        <w:trPr>
          <w:trHeight w:val="916"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04032">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BDAF5">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C2690">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6、使用帮助：</w:t>
            </w:r>
          </w:p>
          <w:p w14:paraId="1218F4B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此模块详尽的介绍了音乐疗法的内容、软件安装环境要求、设备连接、系统操作说明等内容，帮助用户更好更快的熟悉本产品。</w:t>
            </w:r>
          </w:p>
        </w:tc>
      </w:tr>
      <w:tr w14:paraId="4BABB22C">
        <w:tblPrEx>
          <w:tblCellMar>
            <w:top w:w="0" w:type="dxa"/>
            <w:left w:w="108" w:type="dxa"/>
            <w:bottom w:w="0" w:type="dxa"/>
            <w:right w:w="108" w:type="dxa"/>
          </w:tblCellMar>
        </w:tblPrEx>
        <w:trPr>
          <w:trHeight w:val="2768"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711D3">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4B523">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1A249">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（四）记录中心</w:t>
            </w:r>
          </w:p>
          <w:p w14:paraId="24B084F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1、可以查询使用者本次及历次使用记录，可根据放松日期、用户名、用户所属进行查询用户训练记录，记录包含最大血氧、最大脉率、平均血氧、平均脉率、使用的方案等内容。</w:t>
            </w:r>
          </w:p>
          <w:p w14:paraId="67D70EF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2、管理员可以对注册用户的用户名、性别、年龄等信息进行编辑、统一管理。支持按照用户名筛选数据，查询用户信息。</w:t>
            </w:r>
          </w:p>
          <w:p w14:paraId="06438D0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3、账号信息修改：为了用户信息管理，管理员用户具有管理所有用户账号信息的权限，可对账号的密码及其他信息进行修改，防止用户遗忘密码无法登录的问题发生。</w:t>
            </w:r>
          </w:p>
        </w:tc>
      </w:tr>
      <w:tr w14:paraId="780DA5CF">
        <w:tblPrEx>
          <w:tblCellMar>
            <w:top w:w="0" w:type="dxa"/>
            <w:left w:w="108" w:type="dxa"/>
            <w:bottom w:w="0" w:type="dxa"/>
            <w:right w:w="108" w:type="dxa"/>
          </w:tblCellMar>
        </w:tblPrEx>
        <w:trPr>
          <w:trHeight w:val="2476"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734F3">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CD479">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D3257">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四、硬件配置</w:t>
            </w:r>
          </w:p>
          <w:p w14:paraId="063060EC">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 无线腕表式心率采集器</w:t>
            </w:r>
          </w:p>
          <w:p w14:paraId="371A1CE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尺寸：约55mm*55mm，显示屏为长24mm*宽度12mm，可以直接显示心率、血氧的实时数值及波形。</w:t>
            </w:r>
          </w:p>
          <w:p w14:paraId="0B4BA7F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红外指套探头，尺寸约为47.5mm*37.5mm，可用于血氧饱和度和脉率的测量，可将脉搏变化信号实时传送并显示。</w:t>
            </w:r>
          </w:p>
          <w:p w14:paraId="067927E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可以实现数据无线传输，随时取读使用者生理数据。使用者如有需要，可以自行在放松室走动，不受有线的束缚。</w:t>
            </w:r>
          </w:p>
        </w:tc>
      </w:tr>
      <w:tr w14:paraId="179F15B2">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D0C56">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B8B18">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A0DC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 外接15英寸液晶全屏触摸式显示器，只需手指轻触屏幕便可完成放松操作流程，设计更人性化，操作，和电脑同步显示。</w:t>
            </w:r>
          </w:p>
        </w:tc>
      </w:tr>
      <w:tr w14:paraId="18C245E9">
        <w:tblPrEx>
          <w:tblCellMar>
            <w:top w:w="0" w:type="dxa"/>
            <w:left w:w="108" w:type="dxa"/>
            <w:bottom w:w="0" w:type="dxa"/>
            <w:right w:w="108" w:type="dxa"/>
          </w:tblCellMar>
        </w:tblPrEx>
        <w:trPr>
          <w:trHeight w:val="152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F8C72">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BDAA0">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2CCA7">
            <w:pPr>
              <w:widowControl/>
              <w:numPr>
                <w:ilvl w:val="0"/>
                <w:numId w:val="1"/>
              </w:numPr>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触摸屏支架固定于电脑操作台上，操作台边缘厚度不少于38mm，支架安装更稳固。</w:t>
            </w:r>
          </w:p>
          <w:p w14:paraId="05345EA2">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支架由铝合金压铸及不锈钢柱构成，立柱高度为20cm，支架臂长为58.5cm，单个支臂为铝合金一次成型。</w:t>
            </w:r>
          </w:p>
          <w:p w14:paraId="248111AA">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支架采取压弹式控制系统，隐藏式束线系统装置。</w:t>
            </w:r>
          </w:p>
          <w:p w14:paraId="50C17D1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支架可以实现 360度无障碍旋转，触摸屏可以实现85-负45度仰俯角调节。</w:t>
            </w:r>
          </w:p>
        </w:tc>
      </w:tr>
      <w:tr w14:paraId="4DAED207">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1B33F">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EBE57">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E24A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4、品牌电脑一台：系统：Windows7或以上；l400G以上硬盘；21.5英寸显示器。</w:t>
            </w:r>
          </w:p>
        </w:tc>
      </w:tr>
      <w:tr w14:paraId="52B3FFB7">
        <w:tblPrEx>
          <w:tblCellMar>
            <w:top w:w="0" w:type="dxa"/>
            <w:left w:w="108" w:type="dxa"/>
            <w:bottom w:w="0" w:type="dxa"/>
            <w:right w:w="108" w:type="dxa"/>
          </w:tblCellMar>
        </w:tblPrEx>
        <w:trPr>
          <w:trHeight w:val="81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770F4">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A0007">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91A0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 音乐放松椅尺寸约为椅长（展开）196cm*宽99cm*高115cm，蓝白皮料，训练椅靠背为蓝白弧形设计。电动多重姿势倾躺，可以满足训练者躺、仰、坐姿势。角度由105度—170度左右自由调整，腿部90度-170度。内置超静音电机，通过控制器控制放松椅升降角度。（可免费增加配置震动按摩功能）</w:t>
            </w:r>
          </w:p>
        </w:tc>
      </w:tr>
      <w:tr w14:paraId="342F31A7">
        <w:tblPrEx>
          <w:tblCellMar>
            <w:top w:w="0" w:type="dxa"/>
            <w:left w:w="108" w:type="dxa"/>
            <w:bottom w:w="0" w:type="dxa"/>
            <w:right w:w="108" w:type="dxa"/>
          </w:tblCellMar>
        </w:tblPrEx>
        <w:trPr>
          <w:trHeight w:val="1822"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97A84">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78302">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E4045">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6、可移动式电脑操作台：电脑显示屏搁置台高出台面2cm。台面下方设计有生理采集器或打印机搁置处。电脑主机放置处边框突出四公分设计。</w:t>
            </w:r>
          </w:p>
          <w:p w14:paraId="34ED4D4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l6.1尺寸：长620mm* 宽550mm *高850mm（±50mm），环保ABS塑料制作；</w:t>
            </w:r>
          </w:p>
          <w:p w14:paraId="0E177E3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l6.2脚轮：灰色胶轮；</w:t>
            </w:r>
          </w:p>
          <w:p w14:paraId="59A6199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l6.3鼠标托：抽拉式 18cm*18cm。</w:t>
            </w:r>
          </w:p>
          <w:p w14:paraId="48FE63B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l6.4底座：蝶形设计。</w:t>
            </w:r>
          </w:p>
        </w:tc>
      </w:tr>
      <w:tr w14:paraId="5D830E26">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209ED">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9E48E">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F300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7、耳机一副。</w:t>
            </w:r>
          </w:p>
        </w:tc>
      </w:tr>
      <w:tr w14:paraId="6D7EAC07">
        <w:tblPrEx>
          <w:tblCellMar>
            <w:top w:w="0" w:type="dxa"/>
            <w:left w:w="108" w:type="dxa"/>
            <w:bottom w:w="0" w:type="dxa"/>
            <w:right w:w="108" w:type="dxa"/>
          </w:tblCellMar>
        </w:tblPrEx>
        <w:trPr>
          <w:trHeight w:val="9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81AB5">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8F98E">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425B4">
            <w:pPr>
              <w:widowControl/>
              <w:jc w:val="lef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▲8、此音乐放松椅为专业放松椅，需提供符合GB 4706.1-2005《家用和类似用途电器安全的通用要求》检测依据的安全监测报告，提供第三方检测机构出具的封面带有CMA或CNAS标志的检测报告扫描件及在全国认证认可信息公共服务平台网站（http://cx.cnca.cn/CertECloud/qts/qts/ qtsPage）查询截图扫描件作为得分依据。（委托单位为投标人或产品制造商，报告原件备查）</w:t>
            </w:r>
          </w:p>
        </w:tc>
      </w:tr>
      <w:tr w14:paraId="31D66E65">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2AF8E">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B14A8">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456A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9、提供具有软件著作权登记证书及软件测评报告，提供相关证书，原件备查。</w:t>
            </w:r>
          </w:p>
        </w:tc>
      </w:tr>
      <w:tr w14:paraId="324BF000">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AA084">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7A16B">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0D94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10、提供软件产品证书，提供相关证书，原件备查。</w:t>
            </w:r>
            <w:r>
              <w:rPr>
                <w:rFonts w:hint="eastAsia" w:ascii="宋体" w:hAnsi="宋体" w:eastAsia="宋体" w:cs="宋体"/>
                <w:b/>
                <w:bCs/>
                <w:color w:val="000000"/>
                <w:kern w:val="0"/>
                <w:szCs w:val="21"/>
                <w:lang w:bidi="ar"/>
              </w:rPr>
              <w:t xml:space="preserve">  </w:t>
            </w:r>
            <w:r>
              <w:rPr>
                <w:rFonts w:hint="eastAsia" w:ascii="宋体" w:hAnsi="宋体" w:eastAsia="宋体" w:cs="宋体"/>
                <w:color w:val="000000"/>
                <w:kern w:val="0"/>
                <w:szCs w:val="21"/>
                <w:lang w:bidi="ar"/>
              </w:rPr>
              <w:t xml:space="preserve">                                                                              </w:t>
            </w:r>
          </w:p>
        </w:tc>
      </w:tr>
      <w:tr w14:paraId="657782A9">
        <w:tblPrEx>
          <w:tblCellMar>
            <w:top w:w="0" w:type="dxa"/>
            <w:left w:w="108" w:type="dxa"/>
            <w:bottom w:w="0" w:type="dxa"/>
            <w:right w:w="108" w:type="dxa"/>
          </w:tblCellMar>
        </w:tblPrEx>
        <w:trPr>
          <w:trHeight w:val="28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DBBE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5170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休闲沙发</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763E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1、基材：采用实木框架，海绵加蒙皮，经防潮、防虫、防腐处理，抗弯力强，不易变形；</w:t>
            </w:r>
          </w:p>
        </w:tc>
      </w:tr>
      <w:tr w14:paraId="6A43A3CC">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486D7">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4CD61">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A857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2、清漆：采用PU全封闭工艺涂装（五底三面）油漆，开放油漆工艺，色泽一致，厚度均匀，交货时，表面油漆干透，淋膜硬度≥4H；</w:t>
            </w:r>
          </w:p>
        </w:tc>
      </w:tr>
      <w:tr w14:paraId="3C64A3C4">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FE59E">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52C7C">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F383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3、连接件：采用五金压铸而成，后抛光加以电镀，表面光滑、亮洁，连接牢固；</w:t>
            </w:r>
          </w:p>
        </w:tc>
      </w:tr>
      <w:tr w14:paraId="47AB9686">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F93D7">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8F12A">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0EBA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4、规格尺寸：单人位</w:t>
            </w:r>
          </w:p>
        </w:tc>
      </w:tr>
      <w:tr w14:paraId="16CF1312">
        <w:tblPrEx>
          <w:tblCellMar>
            <w:top w:w="0" w:type="dxa"/>
            <w:left w:w="108" w:type="dxa"/>
            <w:bottom w:w="0" w:type="dxa"/>
            <w:right w:w="108" w:type="dxa"/>
          </w:tblCellMar>
        </w:tblPrEx>
        <w:trPr>
          <w:trHeight w:val="135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75229">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54D34">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3AB68">
            <w:pPr>
              <w:widowControl/>
              <w:jc w:val="lef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▲5、水性漆：检测报告依据符合QB/T 4371-2012《家具抗菌性能的评价 附录B 贴膜法》。检测结果：大肠杆菌抑菌率&gt;99%，金黄色葡萄球菌抑菌率&gt;99%，白色念珠菌抑菌率&gt;99%，产气肠杆菌抑菌率&gt;99%。提供 2021 年 1 月 1 日以来至投标截止日前具有第三方检测机构出具的具有 CMA 或 CNAS 标识符合检测参数 的“ 水性漆 ”检测报告复印件，及全国认证认可信息公共服务平台网站（http://cx.cnca.cn/CertECloud/qts/qts/ qtsPage）查询截图扫描件作为得分依据。（委托单位为投标人或产品制造商，报告原件备查）</w:t>
            </w:r>
          </w:p>
        </w:tc>
      </w:tr>
      <w:tr w14:paraId="79C69C28">
        <w:tblPrEx>
          <w:tblCellMar>
            <w:top w:w="0" w:type="dxa"/>
            <w:left w:w="108" w:type="dxa"/>
            <w:bottom w:w="0" w:type="dxa"/>
            <w:right w:w="108" w:type="dxa"/>
          </w:tblCellMar>
        </w:tblPrEx>
        <w:trPr>
          <w:trHeight w:val="28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3182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E6BC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休闲茶几</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FCD7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1、基材：采用实木框架，经防潮、防虫、防腐处理，抗弯力强，不易变形；</w:t>
            </w:r>
          </w:p>
        </w:tc>
      </w:tr>
      <w:tr w14:paraId="505BFEF2">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B5654">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C302C">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77C7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2、清漆：采用PU全封闭工艺涂装（五底三面）油漆，开放油漆工艺，色泽一致，厚度均匀，交货时，表面油漆干透，淋膜硬度≥4H；</w:t>
            </w:r>
          </w:p>
        </w:tc>
      </w:tr>
      <w:tr w14:paraId="10DAAC08">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83607">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45DD7">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F340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3、连接件：采用五金压铸而成，后抛光加以电镀，表面光滑、亮洁，连接牢固；</w:t>
            </w:r>
          </w:p>
        </w:tc>
      </w:tr>
      <w:tr w14:paraId="6F915600">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C3230">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D70C0">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41AB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4、规格尺寸：W600*D600*700H（±50mm）</w:t>
            </w:r>
          </w:p>
        </w:tc>
      </w:tr>
      <w:tr w14:paraId="52207C2E">
        <w:tblPrEx>
          <w:tblCellMar>
            <w:top w:w="0" w:type="dxa"/>
            <w:left w:w="108" w:type="dxa"/>
            <w:bottom w:w="0" w:type="dxa"/>
            <w:right w:w="108" w:type="dxa"/>
          </w:tblCellMar>
        </w:tblPrEx>
        <w:trPr>
          <w:trHeight w:val="28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673A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C469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无声挂钟</w:t>
            </w:r>
          </w:p>
        </w:tc>
        <w:tc>
          <w:tcPr>
            <w:tcW w:w="4328" w:type="pct"/>
            <w:tcBorders>
              <w:top w:val="single" w:color="000000" w:sz="4" w:space="0"/>
              <w:left w:val="single" w:color="000000" w:sz="4" w:space="0"/>
              <w:bottom w:val="single" w:color="000000" w:sz="4" w:space="0"/>
              <w:right w:val="single" w:color="000000" w:sz="4" w:space="0"/>
            </w:tcBorders>
            <w:shd w:val="clear" w:color="auto" w:fill="auto"/>
          </w:tcPr>
          <w:p w14:paraId="5BC52164">
            <w:pPr>
              <w:widowControl/>
              <w:jc w:val="left"/>
              <w:textAlignment w:val="top"/>
              <w:rPr>
                <w:rFonts w:hint="eastAsia" w:ascii="宋体" w:hAnsi="宋体" w:eastAsia="宋体" w:cs="宋体"/>
                <w:color w:val="000000"/>
                <w:szCs w:val="21"/>
              </w:rPr>
            </w:pPr>
            <w:r>
              <w:rPr>
                <w:rFonts w:hint="eastAsia" w:ascii="宋体" w:hAnsi="宋体" w:eastAsia="宋体" w:cs="宋体"/>
                <w:color w:val="000000"/>
                <w:kern w:val="0"/>
                <w:szCs w:val="21"/>
                <w:lang w:bidi="ar"/>
              </w:rPr>
              <w:t>1、形状： 圆形尺寸：  14英寸</w:t>
            </w:r>
          </w:p>
        </w:tc>
      </w:tr>
      <w:tr w14:paraId="7A635962">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B3FB4">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89006">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tcPr>
          <w:p w14:paraId="2CA909AE">
            <w:pPr>
              <w:widowControl/>
              <w:jc w:val="left"/>
              <w:textAlignment w:val="top"/>
              <w:rPr>
                <w:rFonts w:hint="eastAsia" w:ascii="宋体" w:hAnsi="宋体" w:eastAsia="宋体" w:cs="宋体"/>
                <w:color w:val="000000"/>
                <w:szCs w:val="21"/>
              </w:rPr>
            </w:pPr>
            <w:r>
              <w:rPr>
                <w:rFonts w:hint="eastAsia" w:ascii="宋体" w:hAnsi="宋体" w:eastAsia="宋体" w:cs="宋体"/>
                <w:color w:val="000000"/>
                <w:kern w:val="0"/>
                <w:szCs w:val="21"/>
                <w:lang w:bidi="ar"/>
              </w:rPr>
              <w:t>2、机芯类型： 扫秒机芯</w:t>
            </w:r>
          </w:p>
        </w:tc>
      </w:tr>
      <w:tr w14:paraId="42375565">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3A5B6">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ADB96">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tcPr>
          <w:p w14:paraId="152125E5">
            <w:pPr>
              <w:widowControl/>
              <w:jc w:val="left"/>
              <w:textAlignment w:val="top"/>
              <w:rPr>
                <w:rFonts w:hint="eastAsia" w:ascii="宋体" w:hAnsi="宋体" w:eastAsia="宋体" w:cs="宋体"/>
                <w:color w:val="000000"/>
                <w:szCs w:val="21"/>
              </w:rPr>
            </w:pPr>
            <w:r>
              <w:rPr>
                <w:rFonts w:hint="eastAsia" w:ascii="宋体" w:hAnsi="宋体" w:eastAsia="宋体" w:cs="宋体"/>
                <w:color w:val="000000"/>
                <w:kern w:val="0"/>
                <w:szCs w:val="21"/>
                <w:lang w:bidi="ar"/>
              </w:rPr>
              <w:t>3、动力类型： 电池</w:t>
            </w:r>
          </w:p>
        </w:tc>
      </w:tr>
      <w:tr w14:paraId="5F9FEAE9">
        <w:tblPrEx>
          <w:tblCellMar>
            <w:top w:w="0" w:type="dxa"/>
            <w:left w:w="108" w:type="dxa"/>
            <w:bottom w:w="0" w:type="dxa"/>
            <w:right w:w="108" w:type="dxa"/>
          </w:tblCellMar>
        </w:tblPrEx>
        <w:trPr>
          <w:trHeight w:val="151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06FD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0DBF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箱庭设备</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E1AC9">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一、设备参数</w:t>
            </w:r>
          </w:p>
          <w:p w14:paraId="55DF5B5D">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1、沙箱：标准个体沙箱一个，材质为松木原木。个体沙箱按照国际标准。</w:t>
            </w:r>
          </w:p>
          <w:p w14:paraId="7356121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1）尺寸：57*72*7cm（±50mm）；</w:t>
            </w:r>
          </w:p>
          <w:p w14:paraId="251EF50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2）颜色为外侧原木本色，内侧为天蓝色。</w:t>
            </w:r>
          </w:p>
        </w:tc>
      </w:tr>
      <w:tr w14:paraId="3D4890A6">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9DE63">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ED70E">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7185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2、沙箱腿：整体为整条方木原木制作结构，材质为松木原木制作。高度70－100cm正好适合于手放置沙具的位置，实用。</w:t>
            </w:r>
          </w:p>
        </w:tc>
      </w:tr>
      <w:tr w14:paraId="60A56713">
        <w:tblPrEx>
          <w:tblCellMar>
            <w:top w:w="0" w:type="dxa"/>
            <w:left w:w="108" w:type="dxa"/>
            <w:bottom w:w="0" w:type="dxa"/>
            <w:right w:w="108" w:type="dxa"/>
          </w:tblCellMar>
        </w:tblPrEx>
        <w:trPr>
          <w:trHeight w:val="3644"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99BD7">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E94F5">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FC75A">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3、沙具：1200个，沙具为树脂、陶瓷、聚氨脂材料制造。包含人物类、交通工具类、动物类、植物类、食品类、家居类、家禽类、宗教类等18大类别。</w:t>
            </w:r>
          </w:p>
          <w:p w14:paraId="0F250D3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人物类：神话人物、动漫人物、科幻人物、职业人物、偶像人物、恐怖人物等系列；</w:t>
            </w:r>
          </w:p>
          <w:p w14:paraId="53E9AC4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交通工具：豪车、飞机、消防、公安、工程、公交、军事系列；</w:t>
            </w:r>
          </w:p>
          <w:p w14:paraId="4DFEA32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动物类：海洋动物、爬行动物、两栖动物、动漫动物、恐龙等系列；</w:t>
            </w:r>
          </w:p>
          <w:p w14:paraId="3E0C33C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植物类：花、草、树、果实、蔬菜等系列；</w:t>
            </w:r>
          </w:p>
          <w:p w14:paraId="54B3E55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建筑类：桥、道路、网吧、公安局、医院、厕所、草房、洋房、别墅等系列；</w:t>
            </w:r>
          </w:p>
          <w:p w14:paraId="3D44736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食品类：包子、馒头、花卷、面包等系列；</w:t>
            </w:r>
          </w:p>
          <w:p w14:paraId="75768F2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家居类：手机、各种家具、家用电器、生活用品等系列；</w:t>
            </w:r>
          </w:p>
          <w:p w14:paraId="462B647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家禽类：鸡、鸭等系列；</w:t>
            </w:r>
          </w:p>
          <w:p w14:paraId="5040313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宗教类：妈祖、大肚佛等系列；</w:t>
            </w:r>
          </w:p>
        </w:tc>
      </w:tr>
      <w:tr w14:paraId="6370B2D0">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2063F">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2B247">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6B57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4、海沙：15公斤，天然黄色细沙、细腻、高温消毒，手握可以带来极柔软感。</w:t>
            </w:r>
          </w:p>
        </w:tc>
      </w:tr>
      <w:tr w14:paraId="6534246E">
        <w:tblPrEx>
          <w:tblCellMar>
            <w:top w:w="0" w:type="dxa"/>
            <w:left w:w="108" w:type="dxa"/>
            <w:bottom w:w="0" w:type="dxa"/>
            <w:right w:w="108" w:type="dxa"/>
          </w:tblCellMar>
        </w:tblPrEx>
        <w:trPr>
          <w:trHeight w:val="54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4718F">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F8CD3">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43F1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5、箱庭活动记录本、《箱庭疗法》；操作手册各一本；箱庭活动记录本、分别为个体箱庭制作过程记录表（6份）、团体箱庭制作（2份 共8张）过程记录表。</w:t>
            </w:r>
          </w:p>
        </w:tc>
      </w:tr>
      <w:tr w14:paraId="7FF6CD93">
        <w:tblPrEx>
          <w:tblCellMar>
            <w:top w:w="0" w:type="dxa"/>
            <w:left w:w="108" w:type="dxa"/>
            <w:bottom w:w="0" w:type="dxa"/>
            <w:right w:w="108" w:type="dxa"/>
          </w:tblCellMar>
        </w:tblPrEx>
        <w:trPr>
          <w:trHeight w:val="227"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9CE35">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FB4D3">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45619">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二、箱庭管理软件</w:t>
            </w:r>
          </w:p>
          <w:p w14:paraId="3B0AEFF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软件安装简便，易操作，可以在本地电脑轻松运行，涵盖沙具管理、个体箱庭、团体箱庭、技术文库、用户管理五大模块。可对个人箱庭、团体箱庭操作过程分别记录，极大的简化了心理咨询师资料记录的工作，以便有更多的精力进行心理个案的研究。</w:t>
            </w:r>
          </w:p>
        </w:tc>
      </w:tr>
      <w:tr w14:paraId="571FC330">
        <w:tblPrEx>
          <w:tblCellMar>
            <w:top w:w="0" w:type="dxa"/>
            <w:left w:w="108" w:type="dxa"/>
            <w:bottom w:w="0" w:type="dxa"/>
            <w:right w:w="108" w:type="dxa"/>
          </w:tblCellMar>
        </w:tblPrEx>
        <w:trPr>
          <w:trHeight w:val="2456"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7BFE2">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71F15">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B5124">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（一）用户管理</w:t>
            </w:r>
          </w:p>
          <w:p w14:paraId="24E283D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用户账号管理：管理员可以对注册用户的用户名、性别、年龄等信息进行编辑、统一管理，不同的角色具有软件使用的不同权限，极大的保证了用户信息安全。支持按照用户名、注册时间筛选数据，查询用户信息。</w:t>
            </w:r>
          </w:p>
          <w:p w14:paraId="5E8F7F8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2）账号信息修改：为了用户信息管理，管理员用户具有管理所有用户账号信息的权限，可对账号的密码及其他信息进行修改，防止用户遗忘密码无法登录的问题发生。</w:t>
            </w:r>
          </w:p>
          <w:p w14:paraId="4596980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3）管理员可以对用户进行添加，也可对来访者进行转介。</w:t>
            </w:r>
          </w:p>
        </w:tc>
      </w:tr>
      <w:tr w14:paraId="3843ED92">
        <w:tblPrEx>
          <w:tblCellMar>
            <w:top w:w="0" w:type="dxa"/>
            <w:left w:w="108" w:type="dxa"/>
            <w:bottom w:w="0" w:type="dxa"/>
            <w:right w:w="108" w:type="dxa"/>
          </w:tblCellMar>
        </w:tblPrEx>
        <w:trPr>
          <w:trHeight w:val="1842"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98521">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5FFE2">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CD7F0">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（二）个体箱庭</w:t>
            </w:r>
          </w:p>
          <w:p w14:paraId="31AFBC2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个体箱庭管理模块内包含了查看详细信息和添加箱庭记录的功能。可以查看、添加箱庭实操的时间、箱庭沙具摆放顺序、完成时间、沙具移动次数、记录照片等功能。操作简单，便于心理咨询师快速熟悉使用本软件。</w:t>
            </w:r>
          </w:p>
          <w:p w14:paraId="41C02FD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2）模块内可以按照用户名对箱庭记录进行检索，心理咨询师在繁杂的数据中快速查找到数据记录，更加系统性的研究数据资料，也可对记录进行删除操作。</w:t>
            </w:r>
          </w:p>
        </w:tc>
      </w:tr>
      <w:tr w14:paraId="58174AF1">
        <w:tblPrEx>
          <w:tblCellMar>
            <w:top w:w="0" w:type="dxa"/>
            <w:left w:w="108" w:type="dxa"/>
            <w:bottom w:w="0" w:type="dxa"/>
            <w:right w:w="108" w:type="dxa"/>
          </w:tblCellMar>
        </w:tblPrEx>
        <w:trPr>
          <w:trHeight w:val="4016"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ED415">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B42D3">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A0773">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（三）团体箱庭</w:t>
            </w:r>
          </w:p>
          <w:p w14:paraId="3C97B01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团体箱庭管理模块内包含了查看详细信息和添加箱庭记录的功能。可以查看和添加制作时间、总用时、见证人、组别/次数、记录照片、第一次沙具或动作到第八次沙具或动作的记录，以及合计沙具数，并记录制作者。充分考虑团体箱庭放松中所需记录的数据种类，保证记录报告的完整性。</w:t>
            </w:r>
          </w:p>
          <w:p w14:paraId="2CA7A1E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模块内也包含了团体箱庭讨论功能，包含了查看详细信息和添加箱庭讨论记录的功能。可以查看和添加制作时间、总用时、见证人、组别/次数、个人主题、讨论内容、制作者的信息等内容。制作者记录团体箱庭活动过程，便于咨询师对于箱庭实操过程的记录。可以记录团体箱庭沙具摆放顺序、意图、感受、构思等讨论内容，心理咨询师深入分析团体在实操过程中的心路历程和成长变化。</w:t>
            </w:r>
          </w:p>
          <w:p w14:paraId="1383C04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3）模块内可以按照用户名、时间范围对箱庭记录进行检索，心理咨询师在繁杂的数据中快速查找到数据记录，更加系统性的研究数据资料。</w:t>
            </w:r>
          </w:p>
        </w:tc>
      </w:tr>
      <w:tr w14:paraId="1297A235">
        <w:tblPrEx>
          <w:tblCellMar>
            <w:top w:w="0" w:type="dxa"/>
            <w:left w:w="108" w:type="dxa"/>
            <w:bottom w:w="0" w:type="dxa"/>
            <w:right w:w="108" w:type="dxa"/>
          </w:tblCellMar>
        </w:tblPrEx>
        <w:trPr>
          <w:trHeight w:val="916"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A6D0C">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FAB5E">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F1FD1">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（四）沙具管理</w:t>
            </w:r>
          </w:p>
          <w:p w14:paraId="37AEFFA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咨询师可以按照自定义类别，添加沙具图片、名称、数量等信息，便于咨询师对沙具的记录和管理；可以用过沙具名来进行搜索。</w:t>
            </w:r>
          </w:p>
        </w:tc>
      </w:tr>
      <w:tr w14:paraId="0F6832AB">
        <w:tblPrEx>
          <w:tblCellMar>
            <w:top w:w="0" w:type="dxa"/>
            <w:left w:w="108" w:type="dxa"/>
            <w:bottom w:w="0" w:type="dxa"/>
            <w:right w:w="108" w:type="dxa"/>
          </w:tblCellMar>
        </w:tblPrEx>
        <w:trPr>
          <w:trHeight w:val="604"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47432">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7B314">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D2798">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（五）技术文库</w:t>
            </w:r>
          </w:p>
          <w:p w14:paraId="599E9C4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支持按照标题、发布时间筛选数据，查询信息。可以添加、修改技术文库，添加、修改封面图片、标题、类别、内容等数据；也可对文库角色进行类别管理。 </w:t>
            </w:r>
          </w:p>
        </w:tc>
      </w:tr>
      <w:tr w14:paraId="1744894A">
        <w:tblPrEx>
          <w:tblCellMar>
            <w:top w:w="0" w:type="dxa"/>
            <w:left w:w="108" w:type="dxa"/>
            <w:bottom w:w="0" w:type="dxa"/>
            <w:right w:w="108" w:type="dxa"/>
          </w:tblCellMar>
        </w:tblPrEx>
        <w:trPr>
          <w:trHeight w:val="10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88478">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BE790">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70773">
            <w:pPr>
              <w:widowControl/>
              <w:jc w:val="left"/>
              <w:textAlignment w:val="center"/>
              <w:rPr>
                <w:rFonts w:hint="eastAsia" w:ascii="宋体" w:hAnsi="宋体" w:eastAsia="宋体" w:cs="宋体"/>
                <w:color w:val="000000"/>
                <w:szCs w:val="21"/>
              </w:rPr>
            </w:pPr>
            <w:r>
              <w:rPr>
                <w:rFonts w:hint="eastAsia" w:ascii="宋体" w:hAnsi="宋体" w:eastAsia="宋体" w:cs="宋体"/>
                <w:b/>
                <w:bCs/>
                <w:color w:val="000000"/>
                <w:kern w:val="0"/>
                <w:szCs w:val="21"/>
                <w:lang w:bidi="ar"/>
              </w:rPr>
              <w:t>▲6、为确保产品安全性，所投产品的“沙具架”“沙盘”“沙盘架”及“沙具架用板”检测标准依据国家标准GB 18584-2001（或更新标准）。提供第三方检测机构出具的封面带有CMA或CNAS标志的检测报告扫描件及在全国认证认可信息公共服务平台网站（http://cx.cnca.cn/CertECloud/qts/qts/ qtsPage）查询截图扫描件作为得分依据。（委托单位为投标人或产品制造商，报告原件备查）</w:t>
            </w:r>
          </w:p>
        </w:tc>
      </w:tr>
      <w:tr w14:paraId="57F1604D">
        <w:tblPrEx>
          <w:tblCellMar>
            <w:top w:w="0" w:type="dxa"/>
            <w:left w:w="108" w:type="dxa"/>
            <w:bottom w:w="0" w:type="dxa"/>
            <w:right w:w="108" w:type="dxa"/>
          </w:tblCellMar>
        </w:tblPrEx>
        <w:trPr>
          <w:trHeight w:val="173"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381FD">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3947A">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45029">
            <w:pPr>
              <w:widowControl/>
              <w:jc w:val="lef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7、为确保产品安全性，所投产品需具有室内空气检测报告（检测项目为：苯、甲醛、氨、TVOC符合检测要求），且报告日期在本项目招标公示日之前。提供第三方检测机构出具的封面带有CMA或CNAS标志的检测报告扫描件及在全国认证认可信息公共服务平台网站（http://cx.cnca.cn/CertECloud/qts/qts/ qtsPage）查询截图扫描件作为得分依据。（委托单位为投标人或产品制造商，报告原件备查）</w:t>
            </w:r>
          </w:p>
        </w:tc>
      </w:tr>
      <w:tr w14:paraId="622825CC">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D1677">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4AD4A">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A9C3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8、箱庭管理软件具有软件著作权登记证书，提供相关证书，原件备查。</w:t>
            </w:r>
          </w:p>
        </w:tc>
      </w:tr>
      <w:tr w14:paraId="039681D8">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4620F">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A9A2A">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57ED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9、箱庭管理软件具有中国软件测评中心出具的检测报告，提供相关证书，原件备查。</w:t>
            </w:r>
          </w:p>
        </w:tc>
      </w:tr>
      <w:tr w14:paraId="772D2C59">
        <w:tblPrEx>
          <w:tblCellMar>
            <w:top w:w="0" w:type="dxa"/>
            <w:left w:w="108" w:type="dxa"/>
            <w:bottom w:w="0" w:type="dxa"/>
            <w:right w:w="108" w:type="dxa"/>
          </w:tblCellMar>
        </w:tblPrEx>
        <w:trPr>
          <w:trHeight w:val="28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1469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3B77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休闲沙发</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1843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1、基材：采用实木框架，海绵加蒙皮，经防潮、防虫、防腐处理，抗弯力强，不易变形；</w:t>
            </w:r>
          </w:p>
        </w:tc>
      </w:tr>
      <w:tr w14:paraId="6D02E8E3">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7D195">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68956">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B756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2、清漆：采用PU全封闭工艺涂装（五底三面）油漆，开放油漆工艺，色泽一致，厚度均匀，交货时，表面油漆干透，淋膜硬度≥4H；</w:t>
            </w:r>
          </w:p>
        </w:tc>
      </w:tr>
      <w:tr w14:paraId="420D8A5A">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C8E94">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D1F86">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4756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3、连接件：采用五金压铸而成，后抛光加以电镀，表面光滑、亮洁，连接牢固；</w:t>
            </w:r>
          </w:p>
        </w:tc>
      </w:tr>
      <w:tr w14:paraId="7DCA450E">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521E5">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B2CD6">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D6FD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4、规格尺寸：单人位</w:t>
            </w:r>
          </w:p>
        </w:tc>
      </w:tr>
      <w:tr w14:paraId="0EA4C1CC">
        <w:tblPrEx>
          <w:tblCellMar>
            <w:top w:w="0" w:type="dxa"/>
            <w:left w:w="108" w:type="dxa"/>
            <w:bottom w:w="0" w:type="dxa"/>
            <w:right w:w="108" w:type="dxa"/>
          </w:tblCellMar>
        </w:tblPrEx>
        <w:trPr>
          <w:trHeight w:val="28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2FF5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A0237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休闲茶几</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6169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1、基材：采用实木框架，经防潮、防虫、防腐处理，抗弯力强，不易变形；</w:t>
            </w:r>
          </w:p>
        </w:tc>
      </w:tr>
      <w:tr w14:paraId="4470F40F">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88C41">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B4D5B">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9538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2、清漆：采用PU全封闭工艺涂装（五底三面）油漆，开放油漆工艺，色泽一致，厚度均匀，交货时，表面油漆干透，淋膜硬度≥4H；</w:t>
            </w:r>
          </w:p>
        </w:tc>
      </w:tr>
      <w:tr w14:paraId="7F4363D9">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66D8F">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A7DD4">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7767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3、连接件：采用五金压铸而成，后抛光加以电镀，表面光滑、亮洁，连接牢固； </w:t>
            </w:r>
          </w:p>
        </w:tc>
      </w:tr>
      <w:tr w14:paraId="1BAE74A2">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8E15D">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3A98D">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C52D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4、规格尺寸：W600*D600*700H（±50mm）</w:t>
            </w:r>
          </w:p>
        </w:tc>
      </w:tr>
      <w:tr w14:paraId="6F7F0948">
        <w:tblPrEx>
          <w:tblCellMar>
            <w:top w:w="0" w:type="dxa"/>
            <w:left w:w="108" w:type="dxa"/>
            <w:bottom w:w="0" w:type="dxa"/>
            <w:right w:w="108" w:type="dxa"/>
          </w:tblCellMar>
        </w:tblPrEx>
        <w:trPr>
          <w:trHeight w:val="28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4E45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E3C1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沙盘工具柜</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ABF8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1、基材：采用实木框架，经防潮、防虫、防腐处理，抗弯力强，不易变形；</w:t>
            </w:r>
          </w:p>
        </w:tc>
      </w:tr>
      <w:tr w14:paraId="0C7B7C82">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A015B">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68D33">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EA94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2、清漆：采用PU全封闭工艺涂装（五底三面）油漆，开放油漆工艺，色泽一致，厚度均匀，交货时，表面油漆干透，淋膜硬度≥4H；</w:t>
            </w:r>
          </w:p>
        </w:tc>
      </w:tr>
      <w:tr w14:paraId="6C988E91">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31046">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806A5">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AEF3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3、连接件：采用五金压铸而成，后抛光加以电镀，表面光滑、亮洁，连接牢固； </w:t>
            </w:r>
          </w:p>
        </w:tc>
      </w:tr>
      <w:tr w14:paraId="783F31C2">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46E3A">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0991D">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1CC2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4、规格尺寸：W1200*D350*H1600mm（±50mm）</w:t>
            </w:r>
          </w:p>
        </w:tc>
      </w:tr>
      <w:tr w14:paraId="26540B88">
        <w:tblPrEx>
          <w:tblCellMar>
            <w:top w:w="0" w:type="dxa"/>
            <w:left w:w="108" w:type="dxa"/>
            <w:bottom w:w="0" w:type="dxa"/>
            <w:right w:w="108" w:type="dxa"/>
          </w:tblCellMar>
        </w:tblPrEx>
        <w:trPr>
          <w:trHeight w:val="2164"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5D78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BE8F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智能体感互动减压平台</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C24AC">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一、产品组件</w:t>
            </w:r>
          </w:p>
          <w:p w14:paraId="7A3AD0ED">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（一）可移动式操作台</w:t>
            </w:r>
          </w:p>
          <w:p w14:paraId="7E21048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电脑显示屏搁置台高出台面2cm。台面下方设计有生理采集器或打印机搁置处。</w:t>
            </w:r>
          </w:p>
          <w:p w14:paraId="421DB25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1、尺寸：620mm* 宽550mm *高850mm(±50mm)，环保ABS塑料制作；</w:t>
            </w:r>
          </w:p>
          <w:p w14:paraId="65E697B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2、脚轮：灰色胶轮；</w:t>
            </w:r>
          </w:p>
          <w:p w14:paraId="70A5BE1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3、鼠标托：抽拉式 18cm*18cm。</w:t>
            </w:r>
          </w:p>
          <w:p w14:paraId="69CBEE5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4、底座：蝶形设计；</w:t>
            </w:r>
          </w:p>
        </w:tc>
      </w:tr>
      <w:tr w14:paraId="110A73F8">
        <w:tblPrEx>
          <w:tblCellMar>
            <w:top w:w="0" w:type="dxa"/>
            <w:left w:w="108" w:type="dxa"/>
            <w:bottom w:w="0" w:type="dxa"/>
            <w:right w:w="108" w:type="dxa"/>
          </w:tblCellMar>
        </w:tblPrEx>
        <w:trPr>
          <w:trHeight w:val="906"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4212A">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8038D">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D4885">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（二）体感机柜</w:t>
            </w:r>
          </w:p>
          <w:p w14:paraId="02C9148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1、冷轧钢制柜体、外表面汽车烤漆、防磁、防静电，内嵌48寸显示屏。</w:t>
            </w:r>
          </w:p>
          <w:p w14:paraId="6D09873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2、柜体整体高度为180公分，头部横径长为118cm，底座为80cm*37cm*15cm。</w:t>
            </w:r>
          </w:p>
        </w:tc>
      </w:tr>
      <w:tr w14:paraId="70406B32">
        <w:tblPrEx>
          <w:tblCellMar>
            <w:top w:w="0" w:type="dxa"/>
            <w:left w:w="108" w:type="dxa"/>
            <w:bottom w:w="0" w:type="dxa"/>
            <w:right w:w="108" w:type="dxa"/>
          </w:tblCellMar>
        </w:tblPrEx>
        <w:trPr>
          <w:trHeight w:val="604"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D635A">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92BDA">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CE91B">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（三）肢体运动采集器</w:t>
            </w:r>
          </w:p>
          <w:p w14:paraId="3AE4F01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1、采用体感探头技术，结合普通摄像头、景深摄像头以及RGB摄像头，形成识别“深度场”。</w:t>
            </w:r>
          </w:p>
          <w:p w14:paraId="5E35449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2、捕捉用户三维动作信息。</w:t>
            </w:r>
          </w:p>
          <w:p w14:paraId="3FD82CB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3、传输至体感互动减压系统进行行为学数据处理。</w:t>
            </w:r>
          </w:p>
        </w:tc>
      </w:tr>
      <w:tr w14:paraId="34AE0337">
        <w:tblPrEx>
          <w:tblCellMar>
            <w:top w:w="0" w:type="dxa"/>
            <w:left w:w="108" w:type="dxa"/>
            <w:bottom w:w="0" w:type="dxa"/>
            <w:right w:w="108" w:type="dxa"/>
          </w:tblCellMar>
        </w:tblPrEx>
        <w:trPr>
          <w:trHeight w:val="3362"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27E02">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0AB90">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23A29">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（四）脑波采集器</w:t>
            </w:r>
          </w:p>
          <w:p w14:paraId="5227088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1、智能脑波采集器呈扁圆形，整体削切技术与包围式设计，由整体开模的采集器和断开按摩头组成，支持不同人群不同头围形状佩戴使用。</w:t>
            </w:r>
          </w:p>
          <w:p w14:paraId="050CC28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2、采集器整体使用蓝黑配色，其中耳夹处用天蓝信号线连接黑色耳夹。</w:t>
            </w:r>
          </w:p>
          <w:p w14:paraId="3574A5D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3、脑波采集位置：前额（FP1）， 采集点尺寸为10mm*10 mm圆形不锈钢采集点。</w:t>
            </w:r>
          </w:p>
          <w:p w14:paraId="1A12AA6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4、脑波设备可输出原始脑电波数据；数据输出频率为512Hz，并可输出δ、θ、α、β、γ等8个EEG频段数据。</w:t>
            </w:r>
          </w:p>
          <w:p w14:paraId="1349F40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5、配备锂电池不少于500mh容量。</w:t>
            </w:r>
          </w:p>
          <w:p w14:paraId="5B765E2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6、前额切削式设计，有三色灯显示，可以显示出不同颜色，分别代表训练状态良好/连接成功、脑波断开连接 、训练效果不佳三种状态。</w:t>
            </w:r>
          </w:p>
        </w:tc>
      </w:tr>
      <w:tr w14:paraId="6B77145F">
        <w:tblPrEx>
          <w:tblCellMar>
            <w:top w:w="0" w:type="dxa"/>
            <w:left w:w="108" w:type="dxa"/>
            <w:bottom w:w="0" w:type="dxa"/>
            <w:right w:w="108" w:type="dxa"/>
          </w:tblCellMar>
        </w:tblPrEx>
        <w:trPr>
          <w:trHeight w:val="916"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F4994">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807E1">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9A1D9">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二、软件管理系统</w:t>
            </w:r>
          </w:p>
          <w:p w14:paraId="4A88EC5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本系统由管理中心、训练中心、减压中心、数据中心等模块组成，帮助用户了解自身情绪控制效果与身心调节状态，锻炼认知能力、生理机能协调性。</w:t>
            </w:r>
          </w:p>
        </w:tc>
      </w:tr>
      <w:tr w14:paraId="1B418798">
        <w:tblPrEx>
          <w:tblCellMar>
            <w:top w:w="0" w:type="dxa"/>
            <w:left w:w="108" w:type="dxa"/>
            <w:bottom w:w="0" w:type="dxa"/>
            <w:right w:w="108" w:type="dxa"/>
          </w:tblCellMar>
        </w:tblPrEx>
        <w:trPr>
          <w:trHeight w:val="4036"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3584F">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D4F1A">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39787">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（一）管理中心</w:t>
            </w:r>
          </w:p>
          <w:p w14:paraId="3325C9C0">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1、用户管理：</w:t>
            </w:r>
          </w:p>
          <w:p w14:paraId="2576976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1）管理员可以对注册用户的用户名、性别、年龄等信息进行编辑、统一管理。不同的用户具有不同的用户管理权限。支持按照用户名筛选数据，查询用户信息。</w:t>
            </w:r>
          </w:p>
          <w:p w14:paraId="6B687F5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2）账号信息修改：可进行用户信息管理，管理员用户具有管理所有用户账号信息的权限，可对账号的密码及其他信息进行修改，防止用户遗忘密码无法登录的问题发生。</w:t>
            </w:r>
          </w:p>
          <w:p w14:paraId="6FF5CD8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3）管理员可以自如添加不同角色分类，满足不同用户群体的使用需求。</w:t>
            </w:r>
          </w:p>
          <w:p w14:paraId="1813717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2、视频管理：管理员可以自如添加视频以及视频分类，拥有编辑视频相关描述、是否推荐等权限。满足多用户群体的使用需求。</w:t>
            </w:r>
          </w:p>
          <w:p w14:paraId="3FE0029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3、音乐管理：管理员可以自如添加音乐以及音乐分类，拥有编辑音乐相关描述、是否推荐等权限。</w:t>
            </w:r>
          </w:p>
        </w:tc>
      </w:tr>
      <w:tr w14:paraId="14570B96">
        <w:tblPrEx>
          <w:tblCellMar>
            <w:top w:w="0" w:type="dxa"/>
            <w:left w:w="108" w:type="dxa"/>
            <w:bottom w:w="0" w:type="dxa"/>
            <w:right w:w="108" w:type="dxa"/>
          </w:tblCellMar>
        </w:tblPrEx>
        <w:trPr>
          <w:trHeight w:val="542"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5D105">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17631">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6D691">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（二）训练中心</w:t>
            </w:r>
          </w:p>
          <w:p w14:paraId="4666CA6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内含身心协调训练、身心娱乐训练、脑电训练模块，生动有趣的训练模式可以缓解训练的枯燥性，使用户积极与系统互动，充分激发潜能。</w:t>
            </w:r>
          </w:p>
          <w:p w14:paraId="53916F7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1、身心协调训练：内含收集快乐、我的成长、平衡训练、勇对挫折训练场景，能够很好的锻炼用户身体协调能力、调节身心平衡。</w:t>
            </w:r>
          </w:p>
          <w:p w14:paraId="26A7DDE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2、身心娱乐训练：内含切水果、拍击气球、急速行动、打地鼠四个场景，让训练者放松身心、愉悦心情，能够很好的锻炼用户反应速度和提高注意力。</w:t>
            </w:r>
          </w:p>
          <w:p w14:paraId="76E4D00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3、脑电训练：内含划船、滑雪训练场景，以及实时监测使用者脑电生理数据的模块。让使用者通过反复训练掌握自身的放松规律。</w:t>
            </w:r>
          </w:p>
          <w:p w14:paraId="4FBC3AD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1）摆脱传统脑电仪复杂的连接模式，采用非侵入式便携脑波带收集脑电信息，传输稳定，简单便捷；</w:t>
            </w:r>
          </w:p>
          <w:p w14:paraId="002DBC7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2）通过实时动态变化的高清反馈画面，反馈监测的人体情绪控制效果与身心调节状态；</w:t>
            </w:r>
          </w:p>
          <w:p w14:paraId="37376BA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3）系统会根据用户当前的生理数据，给予一定的专业指导，使用户学会自我调节，自我放松。</w:t>
            </w:r>
          </w:p>
        </w:tc>
      </w:tr>
      <w:tr w14:paraId="6E138062">
        <w:tblPrEx>
          <w:tblCellMar>
            <w:top w:w="0" w:type="dxa"/>
            <w:left w:w="108" w:type="dxa"/>
            <w:bottom w:w="0" w:type="dxa"/>
            <w:right w:w="108" w:type="dxa"/>
          </w:tblCellMar>
        </w:tblPrEx>
        <w:trPr>
          <w:trHeight w:val="1832"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F77">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379A2">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CEE2B">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（三）减压中心</w:t>
            </w:r>
          </w:p>
          <w:p w14:paraId="1492845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1、包括音乐减压和心理电影两个模块，使用者可以通过浸入式影音装置，感受到身临其境的体验，从而达到缓解心理压力，调节身心状态的效果。</w:t>
            </w:r>
          </w:p>
          <w:p w14:paraId="14F9A64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2、音乐减压：内置轻音乐、α音乐，帮助使用者放松心情，舒缓身心压力。</w:t>
            </w:r>
          </w:p>
          <w:p w14:paraId="2D07B80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3、心理电影：内置经典的心理学相关电影，以寓教于乐的方式，帮助训练使用者了解心理学相关知识。</w:t>
            </w:r>
          </w:p>
        </w:tc>
      </w:tr>
      <w:tr w14:paraId="295C8208">
        <w:tblPrEx>
          <w:tblCellMar>
            <w:top w:w="0" w:type="dxa"/>
            <w:left w:w="108" w:type="dxa"/>
            <w:bottom w:w="0" w:type="dxa"/>
            <w:right w:w="108" w:type="dxa"/>
          </w:tblCellMar>
        </w:tblPrEx>
        <w:trPr>
          <w:trHeight w:val="153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138ED">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7726B">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A6FAE">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（四）数据中心</w:t>
            </w:r>
          </w:p>
          <w:p w14:paraId="6C03784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1、系统支持按照用户名、训练日期进行检索结果，可进行数据比对分析。</w:t>
            </w:r>
          </w:p>
          <w:p w14:paraId="5BBAA34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2、系统可自动对记录数据进行统计分析，报告结果包括训练类型、用户基础信息、测试时间等详情。内容丰富详尽，帮助心理咨询师更加全面的分析训练者的心理状态。</w:t>
            </w:r>
          </w:p>
        </w:tc>
      </w:tr>
      <w:tr w14:paraId="5E5081C9">
        <w:tblPrEx>
          <w:tblCellMar>
            <w:top w:w="0" w:type="dxa"/>
            <w:left w:w="108" w:type="dxa"/>
            <w:bottom w:w="0" w:type="dxa"/>
            <w:right w:w="108" w:type="dxa"/>
          </w:tblCellMar>
        </w:tblPrEx>
        <w:trPr>
          <w:trHeight w:val="916"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6960F">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C0F7E">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5CB06">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（五）帮助中心</w:t>
            </w:r>
          </w:p>
          <w:p w14:paraId="2A9F288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帮助中心包括引言、软件综述、体感设备安装以及平台操作手册等信息，帮助使用者更好地了解和使用体感互动放松系统。</w:t>
            </w:r>
            <w:r>
              <w:rPr>
                <w:rFonts w:hint="eastAsia" w:ascii="宋体" w:hAnsi="宋体" w:eastAsia="宋体" w:cs="宋体"/>
                <w:b/>
                <w:bCs/>
                <w:color w:val="000000"/>
                <w:kern w:val="0"/>
                <w:szCs w:val="21"/>
                <w:lang w:bidi="ar"/>
              </w:rPr>
              <w:t xml:space="preserve"> </w:t>
            </w:r>
            <w:r>
              <w:rPr>
                <w:rFonts w:hint="eastAsia" w:ascii="宋体" w:hAnsi="宋体" w:eastAsia="宋体" w:cs="宋体"/>
                <w:color w:val="000000"/>
                <w:kern w:val="0"/>
                <w:szCs w:val="21"/>
                <w:lang w:bidi="ar"/>
              </w:rPr>
              <w:t xml:space="preserve">                                                                                                  </w:t>
            </w:r>
          </w:p>
        </w:tc>
      </w:tr>
      <w:tr w14:paraId="5917EBEF">
        <w:tblPrEx>
          <w:tblCellMar>
            <w:top w:w="0" w:type="dxa"/>
            <w:left w:w="108" w:type="dxa"/>
            <w:bottom w:w="0" w:type="dxa"/>
            <w:right w:w="108" w:type="dxa"/>
          </w:tblCellMar>
        </w:tblPrEx>
        <w:trPr>
          <w:trHeight w:val="249"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701A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A76F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宣泄人套装</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8504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通过肌体动作宣泄，能够有效分散注意力，化解不良情绪，有心理疏导作用。</w:t>
            </w:r>
          </w:p>
        </w:tc>
      </w:tr>
      <w:tr w14:paraId="0A9FB443">
        <w:tblPrEx>
          <w:tblCellMar>
            <w:top w:w="0" w:type="dxa"/>
            <w:left w:w="108" w:type="dxa"/>
            <w:bottom w:w="0" w:type="dxa"/>
            <w:right w:w="108" w:type="dxa"/>
          </w:tblCellMar>
        </w:tblPrEx>
        <w:trPr>
          <w:trHeight w:val="54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1CAA4">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25FB3">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2E78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宣泄人2个，仿真人形，宣泄主体和固定底座两部分组成。内层为高回弹材料填充，外层高密度环保PU，抗击打，耐变形，具有无反弹无抵触的优点，底座可以充水或充沙。宣泄人高度170cm，外套为三层复合布设计，弹性好、耐击打。可任选蓝色和红色。</w:t>
            </w:r>
          </w:p>
        </w:tc>
      </w:tr>
      <w:tr w14:paraId="5B14F273">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B2FBB">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9E304">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169B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2、宣泄人胳膊长度不少于21cm。</w:t>
            </w:r>
          </w:p>
        </w:tc>
      </w:tr>
      <w:tr w14:paraId="4567D03E">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DF4AB">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89131">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62AD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3、底座高度为不少于70cm，直径为不少于55cm，锥形体设计，更稳固。</w:t>
            </w:r>
          </w:p>
        </w:tc>
      </w:tr>
      <w:tr w14:paraId="513CE174">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8B544">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40956">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181A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4、宣泄人头套4个，分别为不同性别、不同表情。适合针对性的进行不同对象宣泄，使得宣泄更有针对性、更加畅快淋漓。</w:t>
            </w:r>
          </w:p>
        </w:tc>
      </w:tr>
      <w:tr w14:paraId="1A73D9B9">
        <w:tblPrEx>
          <w:tblCellMar>
            <w:top w:w="0" w:type="dxa"/>
            <w:left w:w="108" w:type="dxa"/>
            <w:bottom w:w="0" w:type="dxa"/>
            <w:right w:w="108" w:type="dxa"/>
          </w:tblCellMar>
        </w:tblPrEx>
        <w:trPr>
          <w:trHeight w:val="54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499C6">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E000F">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2142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5、宣泄棒2根，弹性好，有保护性外套，可以保护使用者双手。绿色环保EVA制作，内置抗击打可达200kg的pvc高弹棒。外用高级潜水服面料制作，无需充气、耐击打、环保。总长不少于65cm ，粗端7cm，细端3.5cm，在抓手处有不少于20cm螺旋防滑纹。</w:t>
            </w:r>
          </w:p>
        </w:tc>
      </w:tr>
      <w:tr w14:paraId="4445150F">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271D0">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57803">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15C2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6、立式宣泄球2套，立式不倒，外层高级仿皮材料，高度可调节。</w:t>
            </w:r>
          </w:p>
        </w:tc>
      </w:tr>
      <w:tr w14:paraId="1C3A9121">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47087">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92187">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057A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7、护手套2副：环保材料制作，能保护发泄者手避免受伤。</w:t>
            </w:r>
          </w:p>
        </w:tc>
      </w:tr>
      <w:tr w14:paraId="64DBF645">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D674C">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115FE">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0550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8、宣泄挂图4幅（50*50cm，写真板材质）烘托宣泄氛围，激发宣泄情绪。</w:t>
            </w:r>
          </w:p>
        </w:tc>
      </w:tr>
      <w:tr w14:paraId="7AC17C94">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7F532">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D651F">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10EC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9、储物凳1个，可以随机配送绿色、黑色、棕色、红色这4种颜色，以存放头套及护手套等配套器材。                                          </w:t>
            </w:r>
          </w:p>
        </w:tc>
      </w:tr>
      <w:tr w14:paraId="7E567183">
        <w:tblPrEx>
          <w:tblCellMar>
            <w:top w:w="0" w:type="dxa"/>
            <w:left w:w="108" w:type="dxa"/>
            <w:bottom w:w="0" w:type="dxa"/>
            <w:right w:w="108" w:type="dxa"/>
          </w:tblCellMar>
        </w:tblPrEx>
        <w:trPr>
          <w:trHeight w:val="81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5F355">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CB92A">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413BD">
            <w:pPr>
              <w:widowControl/>
              <w:jc w:val="lef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10、所投产品需有害物质的检测报告指令-SJ/T11365-2006（《电子信息产品中有毒有害物质的检测方法》测试：铅、镉、汞、六价铬等物质检测结果为合格）。提供第三方检测机构出具的封面带有CMA或CNAS标志的检测报告扫描件及在全国认证认可信息公共服务平台网站（http://cx.cnca.cn/CertECloud/qts/qts/ qtsPage）查询截图扫描件作为得分依据。（委托单位为投标人或产品制造商，报告原件备查）</w:t>
            </w:r>
          </w:p>
        </w:tc>
      </w:tr>
      <w:tr w14:paraId="4127215C">
        <w:tblPrEx>
          <w:tblCellMar>
            <w:top w:w="0" w:type="dxa"/>
            <w:left w:w="108" w:type="dxa"/>
            <w:bottom w:w="0" w:type="dxa"/>
            <w:right w:w="108" w:type="dxa"/>
          </w:tblCellMar>
        </w:tblPrEx>
        <w:trPr>
          <w:trHeight w:val="54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7DC5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860D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护眼灯</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7F83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1、LED护眼灯为一体式灯具，整灯尺寸长≤1300mm，宽≤400mm，厚≤120mm；灯具结构采用≤20mm*20mm网格状格栅防眩设计；格栅网面内侧具备防尘板</w:t>
            </w:r>
          </w:p>
        </w:tc>
      </w:tr>
      <w:tr w14:paraId="05FB6527">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877C3">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9F0D9">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2C85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2、2、LED护眼灯额定功率：≤40W。</w:t>
            </w:r>
          </w:p>
        </w:tc>
      </w:tr>
      <w:tr w14:paraId="66E8942F">
        <w:tblPrEx>
          <w:tblCellMar>
            <w:top w:w="0" w:type="dxa"/>
            <w:left w:w="108" w:type="dxa"/>
            <w:bottom w:w="0" w:type="dxa"/>
            <w:right w:w="108" w:type="dxa"/>
          </w:tblCellMar>
        </w:tblPrEx>
        <w:trPr>
          <w:trHeight w:val="54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8643F">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619C6">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6652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3、3、LED护眼灯色温：3300K-5300K；功率因数：≥0.96；显色指数：Ra≥90(R9≥50)；G90-G180占总光通量比例：≥15%；短期闪烁指数PLMst≤0.01，频闪效应可见度SVM≤0.01； </w:t>
            </w:r>
          </w:p>
        </w:tc>
      </w:tr>
      <w:tr w14:paraId="2F85CE6E">
        <w:tblPrEx>
          <w:tblCellMar>
            <w:top w:w="0" w:type="dxa"/>
            <w:left w:w="108" w:type="dxa"/>
            <w:bottom w:w="0" w:type="dxa"/>
            <w:right w:w="108" w:type="dxa"/>
          </w:tblCellMar>
        </w:tblPrEx>
        <w:trPr>
          <w:trHeight w:val="10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3DF59">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45F4D">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24F54">
            <w:pPr>
              <w:widowControl/>
              <w:jc w:val="lef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4、LED教室灯应符合CQC3155-2016及GB/T31831-2015标准规定，光束角（1/2峰值光强夹角）或50%光束角在C0-C180面及C90-C270面的光束角均满足81±3°提供第三方检测机构出具的封面带有CMA或CNAS标志的检测报告扫描件及在全国认证认可信息公共服务平台网站（http://cx.cnca.cn/CertECloud/qts/qts/ qtsPage）查询截图扫描件作为得分依据。（委托单位为投标人或产品制造商，报告原件备查）</w:t>
            </w:r>
          </w:p>
        </w:tc>
      </w:tr>
      <w:tr w14:paraId="627BC4A9">
        <w:tblPrEx>
          <w:tblCellMar>
            <w:top w:w="0" w:type="dxa"/>
            <w:left w:w="108" w:type="dxa"/>
            <w:bottom w:w="0" w:type="dxa"/>
            <w:right w:w="108" w:type="dxa"/>
          </w:tblCellMar>
        </w:tblPrEx>
        <w:trPr>
          <w:trHeight w:val="81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20BB2">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BA8CD">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A842F">
            <w:pPr>
              <w:widowControl/>
              <w:jc w:val="lef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5、LED教室灯满足在50CM处测得的20kHz～10MHz频率范围内测得的值，经加权和累加后得出的因感应外波电场而产生的内部电场的兼容因子F≤0.006。提供第三方检测机构出具的封面带有CMA或CNAS标志的检测报告扫描件及在全国认证认可信息公共服务平台网站（http://cx.cnca.cn/CertECloud/qts/qts/ qtsPage）查询截图扫描件作为得分依据。（委托单位为投标人或产品制造商，报告原件备查）</w:t>
            </w:r>
          </w:p>
        </w:tc>
      </w:tr>
      <w:tr w14:paraId="690645F5">
        <w:tblPrEx>
          <w:tblCellMar>
            <w:top w:w="0" w:type="dxa"/>
            <w:left w:w="108" w:type="dxa"/>
            <w:bottom w:w="0" w:type="dxa"/>
            <w:right w:w="108" w:type="dxa"/>
          </w:tblCellMar>
        </w:tblPrEx>
        <w:trPr>
          <w:trHeight w:val="28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71E1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4D54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造型灯</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65F9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1、采用各种造型的灯具，如云朵灯。</w:t>
            </w:r>
          </w:p>
        </w:tc>
      </w:tr>
      <w:tr w14:paraId="1F20303E">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BEFE2">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BF6E8">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DB67">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2、规格尺寸：定制</w:t>
            </w:r>
          </w:p>
        </w:tc>
      </w:tr>
      <w:tr w14:paraId="177F7486">
        <w:tblPrEx>
          <w:tblCellMar>
            <w:top w:w="0" w:type="dxa"/>
            <w:left w:w="108" w:type="dxa"/>
            <w:bottom w:w="0" w:type="dxa"/>
            <w:right w:w="108" w:type="dxa"/>
          </w:tblCellMar>
        </w:tblPrEx>
        <w:trPr>
          <w:trHeight w:val="28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A5BE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C645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教师研讨桌</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8469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1、基材：采用白蜡木，经防潮、防虫、防腐处理，抗弯力强，不易变形；</w:t>
            </w:r>
          </w:p>
        </w:tc>
      </w:tr>
      <w:tr w14:paraId="4F5C7330">
        <w:tblPrEx>
          <w:tblCellMar>
            <w:top w:w="0" w:type="dxa"/>
            <w:left w:w="108" w:type="dxa"/>
            <w:bottom w:w="0" w:type="dxa"/>
            <w:right w:w="108" w:type="dxa"/>
          </w:tblCellMar>
        </w:tblPrEx>
        <w:trPr>
          <w:trHeight w:val="54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DBE08">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7E7FF">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954A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2、清漆：油漆采用PU全封闭工艺涂装（五底三面）环保油漆，开放油漆工艺，色泽一致，厚度均匀，交货时，表面油漆干透。淋膜硬度≥4H；</w:t>
            </w:r>
          </w:p>
        </w:tc>
      </w:tr>
      <w:tr w14:paraId="55EA019E">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D6027">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A87E1">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E3E2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3、连接件：采用五金压铸而成，后抛光加以电镀，表面光滑、亮洁，连接牢固，承重佳。</w:t>
            </w:r>
          </w:p>
        </w:tc>
      </w:tr>
      <w:tr w14:paraId="21F6761F">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D5318">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88058">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00AE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4、规格尺寸：W3500*D1800*750H（±50mm）</w:t>
            </w:r>
          </w:p>
        </w:tc>
      </w:tr>
      <w:tr w14:paraId="448E4F50">
        <w:tblPrEx>
          <w:tblCellMar>
            <w:top w:w="0" w:type="dxa"/>
            <w:left w:w="108" w:type="dxa"/>
            <w:bottom w:w="0" w:type="dxa"/>
            <w:right w:w="108" w:type="dxa"/>
          </w:tblCellMar>
        </w:tblPrEx>
        <w:trPr>
          <w:trHeight w:val="28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8FCB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31DD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阅览椅</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7711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1、基材：采用白蜡木，经防潮、防虫、防腐处理，抗弯力强，不易变形；</w:t>
            </w:r>
          </w:p>
        </w:tc>
      </w:tr>
      <w:tr w14:paraId="79A60443">
        <w:tblPrEx>
          <w:tblCellMar>
            <w:top w:w="0" w:type="dxa"/>
            <w:left w:w="108" w:type="dxa"/>
            <w:bottom w:w="0" w:type="dxa"/>
            <w:right w:w="108" w:type="dxa"/>
          </w:tblCellMar>
        </w:tblPrEx>
        <w:trPr>
          <w:trHeight w:val="54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2D5F2">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1831C">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DD60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2、清漆：油漆采用PU全封闭工艺涂装（五底三面）环保油漆，开放油漆工艺，色泽一致，厚度均匀，交货时，表面油漆干透。淋膜硬度≥4H；</w:t>
            </w:r>
          </w:p>
        </w:tc>
      </w:tr>
      <w:tr w14:paraId="5C649B12">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FB1B8">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E6F8">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A988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3、连接件：采用五金压铸而成，后抛光加以电镀，表面光滑、亮洁，连接牢固，承重佳。</w:t>
            </w:r>
          </w:p>
        </w:tc>
      </w:tr>
      <w:tr w14:paraId="69407F65">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8925F">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800D7">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CE87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4、规格尺寸：W550*D525*H800（±50mm）</w:t>
            </w:r>
          </w:p>
        </w:tc>
      </w:tr>
      <w:tr w14:paraId="6C5F0A6F">
        <w:tblPrEx>
          <w:tblCellMar>
            <w:top w:w="0" w:type="dxa"/>
            <w:left w:w="108" w:type="dxa"/>
            <w:bottom w:w="0" w:type="dxa"/>
            <w:right w:w="108" w:type="dxa"/>
          </w:tblCellMar>
        </w:tblPrEx>
        <w:trPr>
          <w:trHeight w:val="162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8179C">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27713">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CD726">
            <w:pPr>
              <w:widowControl/>
              <w:jc w:val="left"/>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▲5、环氧树脂静电粉末：检测报告依据符合：GB/T 31402-2015（或更新标准） 塑料 塑料表面抗菌性能试验方法，GB/T 1741-2020 漆膜耐霉菌性测定法；检测参数：抗菌效果中大肠杆菌抗菌性能值≥6.9，抗菌率99.9%，金黄色葡萄球菌抗菌性能值≥5.9，抗菌率99.9%，变形链球菌抗菌性能值≥5.2，抗菌率99.9%。</w:t>
            </w:r>
          </w:p>
          <w:p w14:paraId="5B3527A7">
            <w:pPr>
              <w:widowControl/>
              <w:jc w:val="lef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提供 2021年 1 月 1 日以来至投标截止日前具有第三方检测机构出具的具有 CMA 或 CNAS 标识符合检测参数 的“ 环氧树脂静电粉末”检测报告扫描件及全国认证认可信息公共服务平台网站（http://cx.cnca.cn/CertECloud/qts/qts/ qtsPage）查询截图扫描件作为得分依据。（委托单位为投标人或产品制造商，报告原件备查）</w:t>
            </w:r>
          </w:p>
        </w:tc>
      </w:tr>
      <w:tr w14:paraId="69881BE3">
        <w:tblPrEx>
          <w:tblCellMar>
            <w:top w:w="0" w:type="dxa"/>
            <w:left w:w="108" w:type="dxa"/>
            <w:bottom w:w="0" w:type="dxa"/>
            <w:right w:w="108" w:type="dxa"/>
          </w:tblCellMar>
        </w:tblPrEx>
        <w:trPr>
          <w:trHeight w:val="28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266D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4FD6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休闲沙发</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3239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1、基材：采用实木框架，海绵加蒙皮，经防潮、防虫、防腐处理，抗弯力强，不易变形；</w:t>
            </w:r>
          </w:p>
        </w:tc>
      </w:tr>
      <w:tr w14:paraId="18BE99D8">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50844">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C74FE">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FBF2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2、清漆：采用PU全封闭工艺涂装（五底三面）油漆，开放油漆工艺，色泽一致，厚度均匀，交货时，表面油漆干透，淋膜硬度≥4H；</w:t>
            </w:r>
          </w:p>
        </w:tc>
      </w:tr>
      <w:tr w14:paraId="5EDAE304">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E5562">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53AAE">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9EA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3、连接件：采用五金压铸而成，后抛光加以电镀，表面光滑、亮洁，连接牢固；</w:t>
            </w:r>
          </w:p>
        </w:tc>
      </w:tr>
      <w:tr w14:paraId="0E3FF26A">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D5C86">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F4F9F">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00FE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4、规格尺寸：W800*D750*850H（±50mm）</w:t>
            </w:r>
          </w:p>
        </w:tc>
      </w:tr>
      <w:tr w14:paraId="55A9536C">
        <w:tblPrEx>
          <w:tblCellMar>
            <w:top w:w="0" w:type="dxa"/>
            <w:left w:w="108" w:type="dxa"/>
            <w:bottom w:w="0" w:type="dxa"/>
            <w:right w:w="108" w:type="dxa"/>
          </w:tblCellMar>
        </w:tblPrEx>
        <w:trPr>
          <w:trHeight w:val="28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C97F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D367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休闲茶几</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398F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1、基材：采用实木框架，经防潮、防虫、防腐处理，抗弯力强，不易变形；</w:t>
            </w:r>
          </w:p>
        </w:tc>
      </w:tr>
      <w:tr w14:paraId="546B1322">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BC9E7">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D5314">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7EBA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2、清漆：采用PU全封闭工艺涂装（五底三面）油漆，开放油漆工艺，色泽一致，厚度均匀，交货时，表面油漆干透，淋膜硬度≥4H；</w:t>
            </w:r>
          </w:p>
        </w:tc>
      </w:tr>
      <w:tr w14:paraId="78EE8A26">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4D8A0">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1CC0E">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EFC2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3、连接件：采用五金压铸而成，后抛光加以电镀，表面光滑、亮洁，连接牢固； </w:t>
            </w:r>
          </w:p>
        </w:tc>
      </w:tr>
      <w:tr w14:paraId="2EEB0BCE">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C20CF">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D9B07">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9C43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4、规格尺寸：W800*D800*H700（±50mm）</w:t>
            </w:r>
          </w:p>
        </w:tc>
      </w:tr>
      <w:tr w14:paraId="5E9D1C55">
        <w:tblPrEx>
          <w:tblCellMar>
            <w:top w:w="0" w:type="dxa"/>
            <w:left w:w="108" w:type="dxa"/>
            <w:bottom w:w="0" w:type="dxa"/>
            <w:right w:w="108" w:type="dxa"/>
          </w:tblCellMar>
        </w:tblPrEx>
        <w:trPr>
          <w:trHeight w:val="28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14A8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A36D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矮柜</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D7F6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1、基材：E0级环保型多层实木板，甲醛含量≤9mg/100g；</w:t>
            </w:r>
          </w:p>
        </w:tc>
      </w:tr>
      <w:tr w14:paraId="1CECEC6D">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C3C57">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68230">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50EF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2、封边：≥1mm厚PVC封边，热熔胶，经自动调温热压机使板材粘连无丝无缝</w:t>
            </w:r>
          </w:p>
        </w:tc>
      </w:tr>
      <w:tr w14:paraId="3B0B2AA4">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55BC7">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DCA9A">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088B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3、配件：五金配件，所有五金件做防锈、防腐处理。</w:t>
            </w:r>
          </w:p>
        </w:tc>
      </w:tr>
      <w:tr w14:paraId="6FD330FB">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D9938">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F02BF">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9E5F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4、规格尺寸：W900*D400*H1000（±50mm）</w:t>
            </w:r>
          </w:p>
        </w:tc>
      </w:tr>
      <w:tr w14:paraId="48E0EA6F">
        <w:tblPrEx>
          <w:tblCellMar>
            <w:top w:w="0" w:type="dxa"/>
            <w:left w:w="108" w:type="dxa"/>
            <w:bottom w:w="0" w:type="dxa"/>
            <w:right w:w="108" w:type="dxa"/>
          </w:tblCellMar>
        </w:tblPrEx>
        <w:trPr>
          <w:trHeight w:val="28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7CFF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4594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高柜</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9495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1、基材：E0级环保型多层实木板，甲醛含量≤9mg/100g；</w:t>
            </w:r>
          </w:p>
        </w:tc>
      </w:tr>
      <w:tr w14:paraId="7F052889">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F43F6">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F7BA5">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11FE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2、封边：≥1mm厚PVC封边，热熔胶，经自动调温热压机使板材粘连无丝无缝</w:t>
            </w:r>
          </w:p>
        </w:tc>
      </w:tr>
      <w:tr w14:paraId="466BBA46">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D0FB9">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60A38">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FE48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3、配件：五金配件，所有五金件做防锈、防腐处理。</w:t>
            </w:r>
          </w:p>
        </w:tc>
      </w:tr>
      <w:tr w14:paraId="43603332">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A8682">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61489">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4419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4、规格尺寸：W900*D400*H2000（±50mm）</w:t>
            </w:r>
          </w:p>
        </w:tc>
      </w:tr>
      <w:tr w14:paraId="217391A1">
        <w:tblPrEx>
          <w:tblCellMar>
            <w:top w:w="0" w:type="dxa"/>
            <w:left w:w="108" w:type="dxa"/>
            <w:bottom w:w="0" w:type="dxa"/>
            <w:right w:w="108" w:type="dxa"/>
          </w:tblCellMar>
        </w:tblPrEx>
        <w:trPr>
          <w:trHeight w:val="28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4A4E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4628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定制L形水吧台</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3A85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1、基材：采用多层实木板</w:t>
            </w:r>
          </w:p>
        </w:tc>
      </w:tr>
      <w:tr w14:paraId="47590BD1">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EF4C2">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4D292">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A524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2、操作台及四周：采用石英石制作</w:t>
            </w:r>
          </w:p>
        </w:tc>
      </w:tr>
      <w:tr w14:paraId="2ACFD06A">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790FC">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A9982">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2BAC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3、水龙头：主体铜+陶瓷阀芯</w:t>
            </w:r>
          </w:p>
        </w:tc>
      </w:tr>
      <w:tr w14:paraId="0C5E793A">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63297">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B4399">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A5C8B">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4、规格尺寸：W3000*D600*H950（±50mm）</w:t>
            </w:r>
          </w:p>
        </w:tc>
      </w:tr>
      <w:tr w14:paraId="49B2C5CD">
        <w:tblPrEx>
          <w:tblCellMar>
            <w:top w:w="0" w:type="dxa"/>
            <w:left w:w="108" w:type="dxa"/>
            <w:bottom w:w="0" w:type="dxa"/>
            <w:right w:w="108" w:type="dxa"/>
          </w:tblCellMar>
        </w:tblPrEx>
        <w:trPr>
          <w:trHeight w:val="28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2DD4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02AA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吧台椅</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53A6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1、基材：采用白蜡木，经防潮、防虫、防腐处理，抗弯力强，不易变形；</w:t>
            </w:r>
          </w:p>
        </w:tc>
      </w:tr>
      <w:tr w14:paraId="081D9CCD">
        <w:tblPrEx>
          <w:tblCellMar>
            <w:top w:w="0" w:type="dxa"/>
            <w:left w:w="108" w:type="dxa"/>
            <w:bottom w:w="0" w:type="dxa"/>
            <w:right w:w="108" w:type="dxa"/>
          </w:tblCellMar>
        </w:tblPrEx>
        <w:trPr>
          <w:trHeight w:val="54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E2DFE">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158AB">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D5B9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2、清漆：油漆采用PU全封闭工艺涂装（五底三面）环保油漆，开放油漆工艺，色泽一致，厚度均匀，交货时，表面油漆干透。淋膜硬度≥4H；</w:t>
            </w:r>
          </w:p>
        </w:tc>
      </w:tr>
      <w:tr w14:paraId="67F47552">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33E6D">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566C6">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6565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3、连接件：采用五金压铸而成，后抛光加以电镀，表面光滑、亮洁，连接牢固，承重佳。</w:t>
            </w:r>
          </w:p>
        </w:tc>
      </w:tr>
      <w:tr w14:paraId="3D45A6C0">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DE4A3">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AF3C2">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C743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4、规格尺寸：定制</w:t>
            </w:r>
          </w:p>
        </w:tc>
      </w:tr>
      <w:tr w14:paraId="23CC7A6A">
        <w:tblPrEx>
          <w:tblCellMar>
            <w:top w:w="0" w:type="dxa"/>
            <w:left w:w="108" w:type="dxa"/>
            <w:bottom w:w="0" w:type="dxa"/>
            <w:right w:w="108" w:type="dxa"/>
          </w:tblCellMar>
        </w:tblPrEx>
        <w:trPr>
          <w:trHeight w:val="189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443A2">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C3D78">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03284">
            <w:pPr>
              <w:widowControl/>
              <w:jc w:val="left"/>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▲5、白蜡木原木：检测报告依据符合：GB/T 1927.5-2021《无疵小试样木材物理力学性质试验方法　第5部分：密度测定》，GB/T 1927.4-2021《无疵小试样木材物理力学性质试验方法 第4部分：含水率测定》，SN/T 2145-2008《木材防腐剂与防腐处理木材及其制品中五氯苯酚的测定  气相色谱法》。检测结果：含水率（GB/T 1927.4）检测结果为（0.8～1.2）之间，绝干密度（GB/T 1927.5）检测结果为（0.6～0.8）之间，五氯苯酚含量（SN/T 2145）检测结果为未检出。</w:t>
            </w:r>
          </w:p>
          <w:p w14:paraId="67FC7C91">
            <w:pPr>
              <w:widowControl/>
              <w:jc w:val="lef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提供2021年1月1日以来至投标截止日前具有第三方检测机构出具的具有CMA或CNAS标识符合检测参数的“白蜡木原木”检测报告扫描件及全国认证认可信息公共服务平台网站（http://cx.cnca.cn/CertECloud/qts/qts/ qtsPage）查询截图扫描件作为得分依据。（委托单位为投标人或产品制造商，报告原件备查）</w:t>
            </w:r>
          </w:p>
        </w:tc>
      </w:tr>
      <w:tr w14:paraId="23B6F9AF">
        <w:tblPrEx>
          <w:tblCellMar>
            <w:top w:w="0" w:type="dxa"/>
            <w:left w:w="108" w:type="dxa"/>
            <w:bottom w:w="0" w:type="dxa"/>
            <w:right w:w="108" w:type="dxa"/>
          </w:tblCellMar>
        </w:tblPrEx>
        <w:trPr>
          <w:trHeight w:val="28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11B6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27</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AA3A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地毯</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C7F2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采用麻绒地毯，款式根据学校选择来定。</w:t>
            </w:r>
          </w:p>
        </w:tc>
      </w:tr>
      <w:tr w14:paraId="4A7BDB23">
        <w:tblPrEx>
          <w:tblCellMar>
            <w:top w:w="0" w:type="dxa"/>
            <w:left w:w="108" w:type="dxa"/>
            <w:bottom w:w="0" w:type="dxa"/>
            <w:right w:w="108" w:type="dxa"/>
          </w:tblCellMar>
        </w:tblPrEx>
        <w:trPr>
          <w:trHeight w:val="28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486E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28</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6C1B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懒人沙发</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97EC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采用麻绒布，款式根据学校选择来定。</w:t>
            </w:r>
          </w:p>
        </w:tc>
      </w:tr>
      <w:tr w14:paraId="4A0DBEDE">
        <w:tblPrEx>
          <w:tblCellMar>
            <w:top w:w="0" w:type="dxa"/>
            <w:left w:w="108" w:type="dxa"/>
            <w:bottom w:w="0" w:type="dxa"/>
            <w:right w:w="108" w:type="dxa"/>
          </w:tblCellMar>
        </w:tblPrEx>
        <w:trPr>
          <w:trHeight w:val="54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C551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E064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文化墙板</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8C76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1、采用软木张贴材料，厚度达 8mm 以上自然生长水松软木材料，大颗粒，橡胶型，原材面层平整，可用专用教学挂图钉无限次挂图，贴墙面有带防水加层做加强层，以防止因水松软木材料受潮而变形；</w:t>
            </w:r>
          </w:p>
        </w:tc>
      </w:tr>
      <w:tr w14:paraId="32617ADF">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9048C">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4577C">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9293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2、采用白磁板蒙面，带有磁性，可以用磁石吸住宣传纸张。</w:t>
            </w:r>
          </w:p>
        </w:tc>
      </w:tr>
      <w:tr w14:paraId="493E5BE8">
        <w:tblPrEx>
          <w:tblCellMar>
            <w:top w:w="0" w:type="dxa"/>
            <w:left w:w="108" w:type="dxa"/>
            <w:bottom w:w="0" w:type="dxa"/>
            <w:right w:w="108" w:type="dxa"/>
          </w:tblCellMar>
        </w:tblPrEx>
        <w:trPr>
          <w:trHeight w:val="28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38393">
            <w:pPr>
              <w:jc w:val="center"/>
              <w:rPr>
                <w:rFonts w:hint="eastAsia" w:ascii="宋体" w:hAnsi="宋体" w:eastAsia="宋体" w:cs="宋体"/>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A14E4">
            <w:pPr>
              <w:jc w:val="center"/>
              <w:rPr>
                <w:rFonts w:hint="eastAsia" w:ascii="宋体" w:hAnsi="宋体" w:eastAsia="宋体" w:cs="宋体"/>
                <w:color w:val="000000"/>
                <w:szCs w:val="21"/>
              </w:rPr>
            </w:pP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FB58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3、规格尺寸：W1500*D20*1000H（±50mm）</w:t>
            </w:r>
          </w:p>
        </w:tc>
      </w:tr>
      <w:tr w14:paraId="02F51D41">
        <w:tblPrEx>
          <w:tblCellMar>
            <w:top w:w="0" w:type="dxa"/>
            <w:left w:w="108" w:type="dxa"/>
            <w:bottom w:w="0" w:type="dxa"/>
            <w:right w:w="108" w:type="dxa"/>
          </w:tblCellMar>
        </w:tblPrEx>
        <w:trPr>
          <w:trHeight w:val="28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4428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C467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地面砖</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1A21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地面瓷砖，含人工铺贴、砂浆水泥、地面找平等</w:t>
            </w:r>
          </w:p>
        </w:tc>
      </w:tr>
      <w:tr w14:paraId="5A4F9D14">
        <w:tblPrEx>
          <w:tblCellMar>
            <w:top w:w="0" w:type="dxa"/>
            <w:left w:w="108" w:type="dxa"/>
            <w:bottom w:w="0" w:type="dxa"/>
            <w:right w:w="108" w:type="dxa"/>
          </w:tblCellMar>
        </w:tblPrEx>
        <w:trPr>
          <w:trHeight w:val="28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95C9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31</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9DAE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腻子粉</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7184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制作工艺：刮三遍以上腻子粉，以刮平、打磨平整</w:t>
            </w:r>
          </w:p>
        </w:tc>
      </w:tr>
      <w:tr w14:paraId="7DFDE0B1">
        <w:tblPrEx>
          <w:tblCellMar>
            <w:top w:w="0" w:type="dxa"/>
            <w:left w:w="108" w:type="dxa"/>
            <w:bottom w:w="0" w:type="dxa"/>
            <w:right w:w="108" w:type="dxa"/>
          </w:tblCellMar>
        </w:tblPrEx>
        <w:trPr>
          <w:trHeight w:val="28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40D6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32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B184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乳胶漆</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C10D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刷乳胶漆，一遍明治内墙底漆，打砂纸，两遍面漆</w:t>
            </w:r>
          </w:p>
        </w:tc>
      </w:tr>
      <w:tr w14:paraId="1BE1E06B">
        <w:tblPrEx>
          <w:tblCellMar>
            <w:top w:w="0" w:type="dxa"/>
            <w:left w:w="108" w:type="dxa"/>
            <w:bottom w:w="0" w:type="dxa"/>
            <w:right w:w="108" w:type="dxa"/>
          </w:tblCellMar>
        </w:tblPrEx>
        <w:trPr>
          <w:trHeight w:val="28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B4C7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E7EE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格栅</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3460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采用铝扣板做吊顶，钢筋龙骨固定</w:t>
            </w:r>
          </w:p>
        </w:tc>
      </w:tr>
      <w:tr w14:paraId="6C0524E5">
        <w:tblPrEx>
          <w:tblCellMar>
            <w:top w:w="0" w:type="dxa"/>
            <w:left w:w="108" w:type="dxa"/>
            <w:bottom w:w="0" w:type="dxa"/>
            <w:right w:w="108" w:type="dxa"/>
          </w:tblCellMar>
        </w:tblPrEx>
        <w:trPr>
          <w:trHeight w:val="54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9D5E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D3D0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综合布线</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BF0A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电线为多芯线，镀锌铁线管。含开关、插座、插座底盒、布线、强弱电线。PVC管及底盒，照明线2.5R，插座线用2.5R，空调线插座用4R，含电箱，插座等移位。</w:t>
            </w:r>
          </w:p>
        </w:tc>
      </w:tr>
      <w:tr w14:paraId="14DE78F6">
        <w:tblPrEx>
          <w:tblCellMar>
            <w:top w:w="0" w:type="dxa"/>
            <w:left w:w="108" w:type="dxa"/>
            <w:bottom w:w="0" w:type="dxa"/>
            <w:right w:w="108" w:type="dxa"/>
          </w:tblCellMar>
        </w:tblPrEx>
        <w:trPr>
          <w:trHeight w:val="28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8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15FE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地面保护</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9ECB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原地砖面保护、把垃圾拉到指定位置。</w:t>
            </w:r>
          </w:p>
        </w:tc>
      </w:tr>
      <w:tr w14:paraId="15B51990">
        <w:tblPrEx>
          <w:tblCellMar>
            <w:top w:w="0" w:type="dxa"/>
            <w:left w:w="108" w:type="dxa"/>
            <w:bottom w:w="0" w:type="dxa"/>
            <w:right w:w="108" w:type="dxa"/>
          </w:tblCellMar>
        </w:tblPrEx>
        <w:trPr>
          <w:trHeight w:val="54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5A50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0582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门槛石、窗台石</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E89E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采用天然大理石或者人造石制作，颜色和款式有使用方选择。</w:t>
            </w:r>
          </w:p>
        </w:tc>
      </w:tr>
      <w:tr w14:paraId="5AC459F1">
        <w:tblPrEx>
          <w:tblCellMar>
            <w:top w:w="0" w:type="dxa"/>
            <w:left w:w="108" w:type="dxa"/>
            <w:bottom w:w="0" w:type="dxa"/>
            <w:right w:w="108" w:type="dxa"/>
          </w:tblCellMar>
        </w:tblPrEx>
        <w:trPr>
          <w:trHeight w:val="54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E6D8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37</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38E8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不锈钢踢脚线</w:t>
            </w:r>
          </w:p>
        </w:tc>
        <w:tc>
          <w:tcPr>
            <w:tcW w:w="4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DB8A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多层实木板打底，不锈钢踢脚线制作。</w:t>
            </w:r>
          </w:p>
        </w:tc>
      </w:tr>
    </w:tbl>
    <w:p w14:paraId="7F91CF1D">
      <w:pPr>
        <w:pStyle w:val="9"/>
      </w:pPr>
    </w:p>
    <w:p w14:paraId="7308378C">
      <w:pPr>
        <w:keepNext/>
        <w:keepLines/>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八、报价要求</w:t>
      </w:r>
    </w:p>
    <w:p w14:paraId="653A88FA">
      <w:pPr>
        <w:ind w:firstLine="420" w:firstLineChars="200"/>
        <w:rPr>
          <w:bCs/>
          <w:szCs w:val="21"/>
        </w:rPr>
      </w:pPr>
      <w:r>
        <w:rPr>
          <w:rFonts w:hint="eastAsia"/>
          <w:bCs/>
          <w:szCs w:val="21"/>
        </w:rPr>
        <w:t>1、本项目服务费采用包干制，应包括服务成本、法定税费和利润。由投标人根据采购文件所提供的资料自行测算投标报价；一经中标，投标报价总价作为中标单位与采购单位签订的合同金额，合同期限内不做调整。</w:t>
      </w:r>
    </w:p>
    <w:p w14:paraId="67EF3A8A">
      <w:pPr>
        <w:ind w:firstLine="420" w:firstLineChars="200"/>
        <w:rPr>
          <w:bCs/>
          <w:szCs w:val="21"/>
        </w:rPr>
      </w:pPr>
      <w:r>
        <w:rPr>
          <w:rFonts w:hint="eastAsia"/>
          <w:bCs/>
          <w:szCs w:val="21"/>
        </w:rPr>
        <w:t>2、投标人应根据其成本自行决定报价。评审委员会认为投标人的报价明显低于其他通过符合性审查投标人的报价，有可能影响服务质量或不能诚信履约的，将会要求该投标人在评审现场合理的时间内提供书面说明，必要时提交相关证明材料。投标人不能证明其报价合理性的，评审委员会应将其作为无效投标处理。若评审委员会对是否须由投标人作出报价合理性说明，以及书面说明是否采纳等判断不一致的，按照“少数服从多数”的原则确定评审委员会的意见。</w:t>
      </w:r>
    </w:p>
    <w:p w14:paraId="6F1F74E2">
      <w:pPr>
        <w:ind w:firstLine="420" w:firstLineChars="200"/>
        <w:rPr>
          <w:bCs/>
          <w:szCs w:val="21"/>
        </w:rPr>
      </w:pPr>
      <w:r>
        <w:rPr>
          <w:rFonts w:hint="eastAsia"/>
          <w:bCs/>
          <w:szCs w:val="21"/>
        </w:rPr>
        <w:t>3、如果中标价低于财政预算限额的70%，该项目将被列为优先实施履约检查的项目。</w:t>
      </w:r>
    </w:p>
    <w:p w14:paraId="5F06DDF0">
      <w:pPr>
        <w:ind w:firstLine="420" w:firstLineChars="200"/>
        <w:rPr>
          <w:bCs/>
          <w:szCs w:val="21"/>
        </w:rPr>
      </w:pPr>
      <w:r>
        <w:rPr>
          <w:rFonts w:hint="eastAsia"/>
          <w:bCs/>
          <w:szCs w:val="21"/>
        </w:rPr>
        <w:t>4、投标人的投标报价不得超过财政预算限额，如设投标最高限价的，报价不得超过最高限价；</w:t>
      </w:r>
    </w:p>
    <w:p w14:paraId="6BC6FB5B">
      <w:pPr>
        <w:ind w:firstLine="420" w:firstLineChars="200"/>
        <w:rPr>
          <w:bCs/>
          <w:szCs w:val="21"/>
        </w:rPr>
      </w:pPr>
      <w:r>
        <w:rPr>
          <w:rFonts w:hint="eastAsia"/>
          <w:bCs/>
          <w:szCs w:val="21"/>
        </w:rPr>
        <w:t>5、投标人的投标报价，应是本项目采购范围和采购文件及合同条款上所列的各项内容中所述的全部，不得以任何理由予以重复，并以投标人在中提出的综合单价或总价为依据；</w:t>
      </w:r>
    </w:p>
    <w:p w14:paraId="3599A557">
      <w:pPr>
        <w:ind w:firstLine="420" w:firstLineChars="200"/>
        <w:rPr>
          <w:bCs/>
          <w:szCs w:val="21"/>
        </w:rPr>
      </w:pPr>
      <w:r>
        <w:rPr>
          <w:rFonts w:hint="eastAsia"/>
          <w:bCs/>
          <w:szCs w:val="21"/>
        </w:rPr>
        <w:t>6、除非龙华区教育系统通过修改采购文件予以更正，否则，投标人应毫无例外地按采购文件所列的清单中项目和数量填报综合单价和合价。投标人未填综合单价或合价的项目，视作该项费用已包括在其它有价款的综合单价或合价内；</w:t>
      </w:r>
    </w:p>
    <w:p w14:paraId="69F41D14">
      <w:pPr>
        <w:ind w:firstLine="420" w:firstLineChars="200"/>
        <w:rPr>
          <w:bCs/>
          <w:szCs w:val="21"/>
        </w:rPr>
      </w:pPr>
      <w:r>
        <w:rPr>
          <w:rFonts w:hint="eastAsia"/>
          <w:bCs/>
          <w:szCs w:val="21"/>
        </w:rPr>
        <w:t>7、投标人应先到项目地点踏勘以充分了解项目的位置、情况、道路及任何其它足以影响投标报价的情况，任何因忽视或误解项目情况而导致的索赔或服务期限延长申请将不获批准；</w:t>
      </w:r>
    </w:p>
    <w:p w14:paraId="5F55E71D">
      <w:pPr>
        <w:ind w:firstLine="420" w:firstLineChars="200"/>
        <w:rPr>
          <w:bCs/>
          <w:szCs w:val="21"/>
        </w:rPr>
      </w:pPr>
      <w:r>
        <w:rPr>
          <w:rFonts w:hint="eastAsia"/>
          <w:bCs/>
          <w:szCs w:val="21"/>
        </w:rPr>
        <w:t>8、投标人不得期望通过索赔等方式获取补偿，否则，除可能遭到拒绝外，还可能将被作为不良行为记录在案，并可能影响其以后参加龙华区教育系统自行采购的项目投标。各投标人在投标报价时，应充分考虑投标报价的风险。</w:t>
      </w:r>
    </w:p>
    <w:p w14:paraId="41BE4832">
      <w:pPr>
        <w:keepNext/>
        <w:keepLines/>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其他重要条款</w:t>
      </w:r>
    </w:p>
    <w:p w14:paraId="07A7A8C7">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4979B50B">
      <w:pPr>
        <w:ind w:firstLine="420" w:firstLineChars="200"/>
        <w:rPr>
          <w:bCs/>
          <w:szCs w:val="21"/>
        </w:rPr>
      </w:pPr>
      <w:r>
        <w:rPr>
          <w:rFonts w:hint="eastAsia"/>
          <w:bCs/>
          <w:szCs w:val="21"/>
        </w:rPr>
        <w:t>2、投标人应充分了解项目的位置、情况、道路及任何其它足以影响投标报价的情况，任何因忽视或误解项目情况而导致的索赔或服务期限延长申请将不获批准。</w:t>
      </w:r>
    </w:p>
    <w:p w14:paraId="57F9117F">
      <w:pPr>
        <w:ind w:firstLine="420" w:firstLineChars="200"/>
        <w:rPr>
          <w:bCs/>
          <w:szCs w:val="21"/>
        </w:rPr>
      </w:pPr>
      <w:r>
        <w:rPr>
          <w:rFonts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383AE4DB">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09B6343A">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15FA72D4">
      <w:pPr>
        <w:ind w:firstLine="420" w:firstLineChars="200"/>
        <w:rPr>
          <w:bCs/>
          <w:szCs w:val="21"/>
        </w:rPr>
      </w:pPr>
    </w:p>
    <w:p w14:paraId="0CF2159B">
      <w:pPr>
        <w:ind w:firstLine="420" w:firstLineChars="200"/>
        <w:rPr>
          <w:bCs/>
          <w:szCs w:val="21"/>
        </w:rPr>
      </w:pPr>
    </w:p>
    <w:p w14:paraId="5DA4206B">
      <w:pPr>
        <w:ind w:firstLine="420" w:firstLineChars="200"/>
        <w:rPr>
          <w:bCs/>
          <w:szCs w:val="21"/>
        </w:rPr>
      </w:pPr>
    </w:p>
    <w:p w14:paraId="6992A09D">
      <w:pPr>
        <w:widowControl/>
        <w:jc w:val="left"/>
        <w:rPr>
          <w:rFonts w:hint="eastAsia" w:ascii="宋体" w:hAnsi="宋体" w:eastAsia="黑体" w:cs="Times New Roman"/>
          <w:bCs/>
          <w:kern w:val="44"/>
          <w:sz w:val="28"/>
          <w:szCs w:val="44"/>
        </w:rPr>
      </w:pPr>
    </w:p>
    <w:p w14:paraId="5472347F">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14:paraId="716DBEC2">
      <w:pPr>
        <w:keepNext/>
        <w:keepLines/>
        <w:adjustRightInd w:val="0"/>
        <w:spacing w:line="320" w:lineRule="atLeast"/>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14:paraId="40C43EBD">
      <w:pPr>
        <w:pStyle w:val="9"/>
      </w:pPr>
      <w:bookmarkStart w:id="15" w:name="_Hlk72257167"/>
    </w:p>
    <w:bookmarkEnd w:id="15"/>
    <w:p w14:paraId="6CB14A9E">
      <w:pPr>
        <w:rPr>
          <w:b/>
          <w:bCs/>
          <w:szCs w:val="21"/>
        </w:rPr>
      </w:pPr>
      <w:r>
        <w:rPr>
          <w:rFonts w:hint="eastAsia"/>
          <w:b/>
          <w:bCs/>
          <w:szCs w:val="21"/>
        </w:rPr>
        <w:t>投标文件组成：</w:t>
      </w:r>
      <w:bookmarkStart w:id="16" w:name="_Hlk72257771"/>
    </w:p>
    <w:p w14:paraId="3782DC3C">
      <w:pPr>
        <w:ind w:left="718" w:leftChars="342" w:firstLine="1417" w:firstLineChars="675"/>
        <w:rPr>
          <w:szCs w:val="21"/>
        </w:rPr>
      </w:pPr>
      <w:r>
        <w:rPr>
          <w:rFonts w:hint="eastAsia"/>
          <w:szCs w:val="21"/>
        </w:rPr>
        <w:t>1.投标文件正文，主要包括以下内容：</w:t>
      </w:r>
    </w:p>
    <w:p w14:paraId="570CF740">
      <w:pPr>
        <w:ind w:left="718" w:leftChars="342" w:firstLine="1417" w:firstLineChars="675"/>
        <w:rPr>
          <w:szCs w:val="21"/>
        </w:rPr>
      </w:pPr>
      <w:r>
        <w:rPr>
          <w:rFonts w:hint="eastAsia"/>
          <w:szCs w:val="21"/>
        </w:rPr>
        <w:t>（1）</w:t>
      </w:r>
      <w:bookmarkStart w:id="17" w:name="_Hlk72070784"/>
      <w:r>
        <w:rPr>
          <w:rFonts w:hint="eastAsia"/>
          <w:szCs w:val="21"/>
        </w:rPr>
        <w:t>投标函</w:t>
      </w:r>
      <w:bookmarkEnd w:id="17"/>
    </w:p>
    <w:p w14:paraId="66B299CB">
      <w:pPr>
        <w:ind w:left="718" w:leftChars="342" w:firstLine="1417" w:firstLineChars="675"/>
        <w:rPr>
          <w:szCs w:val="21"/>
        </w:rPr>
      </w:pPr>
      <w:r>
        <w:rPr>
          <w:rFonts w:hint="eastAsia"/>
          <w:szCs w:val="21"/>
        </w:rPr>
        <w:t>（2）</w:t>
      </w:r>
      <w:bookmarkStart w:id="18" w:name="_Hlk72062521"/>
      <w:r>
        <w:rPr>
          <w:rFonts w:hint="eastAsia"/>
          <w:szCs w:val="21"/>
        </w:rPr>
        <w:t>政府采购投标及履约承诺函</w:t>
      </w:r>
      <w:bookmarkEnd w:id="18"/>
    </w:p>
    <w:p w14:paraId="4EB97EEA">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573FE5CE">
      <w:pPr>
        <w:ind w:left="718" w:leftChars="342" w:firstLine="1417" w:firstLineChars="675"/>
        <w:rPr>
          <w:szCs w:val="21"/>
        </w:rPr>
      </w:pPr>
      <w:bookmarkStart w:id="19" w:name="_Hlk72257201"/>
      <w:r>
        <w:rPr>
          <w:rFonts w:hint="eastAsia"/>
          <w:szCs w:val="21"/>
        </w:rPr>
        <w:t>（</w:t>
      </w:r>
      <w:r>
        <w:rPr>
          <w:szCs w:val="21"/>
        </w:rPr>
        <w:t>4</w:t>
      </w:r>
      <w:r>
        <w:rPr>
          <w:rFonts w:hint="eastAsia"/>
          <w:szCs w:val="21"/>
        </w:rPr>
        <w:t>）项目详细报价</w:t>
      </w:r>
    </w:p>
    <w:bookmarkEnd w:id="19"/>
    <w:p w14:paraId="53F89D8B">
      <w:pPr>
        <w:ind w:left="718" w:leftChars="342" w:firstLine="1417" w:firstLineChars="675"/>
        <w:rPr>
          <w:szCs w:val="21"/>
        </w:rPr>
      </w:pPr>
      <w:r>
        <w:rPr>
          <w:rFonts w:hint="eastAsia"/>
          <w:szCs w:val="21"/>
        </w:rPr>
        <w:t>（5）股东构成审查表</w:t>
      </w:r>
    </w:p>
    <w:p w14:paraId="536C5F0E">
      <w:pPr>
        <w:ind w:left="718" w:leftChars="342" w:firstLine="1417" w:firstLineChars="675"/>
        <w:rPr>
          <w:szCs w:val="21"/>
        </w:rPr>
      </w:pPr>
      <w:r>
        <w:rPr>
          <w:rFonts w:hint="eastAsia"/>
          <w:szCs w:val="21"/>
        </w:rPr>
        <w:t>（6）综合实力部分</w:t>
      </w:r>
    </w:p>
    <w:p w14:paraId="21232B8E">
      <w:pPr>
        <w:pStyle w:val="9"/>
      </w:pPr>
    </w:p>
    <w:p w14:paraId="320D2444">
      <w:pPr>
        <w:ind w:left="718" w:leftChars="342" w:firstLine="1417" w:firstLineChars="675"/>
        <w:rPr>
          <w:szCs w:val="21"/>
        </w:rPr>
      </w:pPr>
      <w:r>
        <w:rPr>
          <w:rFonts w:hint="eastAsia"/>
          <w:szCs w:val="21"/>
        </w:rPr>
        <w:t>2.投标文件附件：主要包括以下内容：</w:t>
      </w:r>
    </w:p>
    <w:p w14:paraId="2AE198C6">
      <w:pPr>
        <w:ind w:firstLine="2100" w:firstLineChars="1000"/>
        <w:rPr>
          <w:szCs w:val="21"/>
        </w:rPr>
      </w:pPr>
      <w:r>
        <w:rPr>
          <w:rFonts w:hint="eastAsia"/>
          <w:szCs w:val="21"/>
        </w:rPr>
        <w:t>（1）法定代表人（负责人）证明书</w:t>
      </w:r>
    </w:p>
    <w:p w14:paraId="3C79FE72">
      <w:pPr>
        <w:ind w:left="718" w:leftChars="342" w:firstLine="1417" w:firstLineChars="675"/>
        <w:rPr>
          <w:szCs w:val="21"/>
        </w:rPr>
      </w:pPr>
      <w:r>
        <w:rPr>
          <w:rFonts w:hint="eastAsia"/>
          <w:szCs w:val="21"/>
        </w:rPr>
        <w:t>（2）投标文件签署授权委托书</w:t>
      </w:r>
    </w:p>
    <w:p w14:paraId="3DAF87DB">
      <w:pPr>
        <w:ind w:left="718" w:leftChars="342" w:firstLine="1417" w:firstLineChars="675"/>
        <w:rPr>
          <w:szCs w:val="21"/>
        </w:rPr>
      </w:pPr>
      <w:r>
        <w:rPr>
          <w:rFonts w:hint="eastAsia"/>
          <w:szCs w:val="21"/>
        </w:rPr>
        <w:t>（3）实质性条款响应情况表</w:t>
      </w:r>
    </w:p>
    <w:p w14:paraId="0CFB46C5">
      <w:pPr>
        <w:ind w:left="718" w:leftChars="342" w:firstLine="1417" w:firstLineChars="675"/>
        <w:rPr>
          <w:szCs w:val="21"/>
        </w:rPr>
      </w:pPr>
      <w:r>
        <w:rPr>
          <w:rFonts w:hint="eastAsia"/>
          <w:szCs w:val="21"/>
        </w:rPr>
        <w:t>（</w:t>
      </w:r>
      <w:r>
        <w:rPr>
          <w:szCs w:val="21"/>
        </w:rPr>
        <w:t>4</w:t>
      </w:r>
      <w:r>
        <w:rPr>
          <w:rFonts w:hint="eastAsia"/>
          <w:szCs w:val="21"/>
        </w:rPr>
        <w:t>）商务技术部分</w:t>
      </w:r>
    </w:p>
    <w:p w14:paraId="7986D509">
      <w:pPr>
        <w:ind w:left="718" w:leftChars="342" w:firstLine="1417" w:firstLineChars="675"/>
        <w:rPr>
          <w:szCs w:val="21"/>
        </w:rPr>
      </w:pPr>
      <w:r>
        <w:rPr>
          <w:rFonts w:hint="eastAsia"/>
          <w:szCs w:val="21"/>
        </w:rPr>
        <w:t>（5）投标人认为需要加以说明的其他内容</w:t>
      </w:r>
    </w:p>
    <w:p w14:paraId="49612DF1">
      <w:pPr>
        <w:spacing w:line="320" w:lineRule="atLeast"/>
        <w:rPr>
          <w:rFonts w:hint="eastAsia" w:ascii="宋体" w:hAnsi="宋体"/>
          <w:b/>
          <w:sz w:val="24"/>
          <w:szCs w:val="24"/>
        </w:rPr>
      </w:pPr>
      <w:r>
        <w:rPr>
          <w:rFonts w:hint="eastAsia" w:ascii="宋体" w:hAnsi="宋体"/>
          <w:b/>
          <w:sz w:val="24"/>
          <w:szCs w:val="24"/>
        </w:rPr>
        <w:t>备注：</w:t>
      </w:r>
    </w:p>
    <w:p w14:paraId="0085A8F8">
      <w:pPr>
        <w:snapToGrid w:val="0"/>
        <w:spacing w:line="320" w:lineRule="atLeast"/>
        <w:ind w:firstLine="482" w:firstLineChars="200"/>
        <w:rPr>
          <w:rFonts w:hint="eastAsia"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1.本项目为网上电子投标项目，投标文件不需法人或授权委托人另行签字，无需加盖单位公章，招标文件另有规定的除外。</w:t>
      </w:r>
    </w:p>
    <w:p w14:paraId="65257946">
      <w:pPr>
        <w:snapToGrid w:val="0"/>
        <w:spacing w:after="78" w:afterLines="25"/>
        <w:ind w:firstLine="482" w:firstLineChars="200"/>
        <w:rPr>
          <w:rFonts w:hint="eastAsia" w:ascii="宋体" w:hAnsi="宋体" w:eastAsia="黑体" w:cs="Times New Roman"/>
          <w:bCs/>
          <w:kern w:val="44"/>
          <w:sz w:val="32"/>
          <w:szCs w:val="32"/>
        </w:rPr>
      </w:pPr>
      <w:bookmarkStart w:id="20" w:name="_Hlk72263559"/>
      <w:r>
        <w:rPr>
          <w:rFonts w:hint="eastAsia" w:ascii="宋体" w:hAnsi="宋体"/>
          <w:b/>
          <w:sz w:val="24"/>
          <w:szCs w:val="24"/>
        </w:rPr>
        <w:t>2.关于填写“开标一览表”的说明：“开标一览表”中除“投标总价”外，其他信息不作评审依据。</w:t>
      </w:r>
      <w:bookmarkEnd w:id="16"/>
      <w:bookmarkEnd w:id="20"/>
      <w:r>
        <w:rPr>
          <w:rFonts w:ascii="宋体" w:hAnsi="宋体" w:eastAsia="黑体" w:cs="Times New Roman"/>
          <w:bCs/>
          <w:kern w:val="44"/>
          <w:sz w:val="32"/>
          <w:szCs w:val="32"/>
        </w:rPr>
        <w:br w:type="page"/>
      </w:r>
    </w:p>
    <w:p w14:paraId="2E15614F">
      <w:pPr>
        <w:pStyle w:val="2"/>
        <w:spacing w:after="78"/>
        <w:rPr>
          <w:color w:val="FF0000"/>
          <w:sz w:val="30"/>
          <w:szCs w:val="30"/>
        </w:rPr>
      </w:pPr>
      <w:r>
        <w:rPr>
          <w:rFonts w:hint="eastAsia"/>
          <w:color w:val="FF0000"/>
          <w:sz w:val="30"/>
          <w:szCs w:val="30"/>
        </w:rPr>
        <w:t>（一）投标文件正文</w:t>
      </w:r>
    </w:p>
    <w:p w14:paraId="455477BE">
      <w:pPr>
        <w:pStyle w:val="4"/>
        <w:jc w:val="center"/>
        <w:rPr>
          <w:rFonts w:hint="eastAsia" w:ascii="黑体" w:eastAsia="黑体"/>
          <w:b w:val="0"/>
          <w:sz w:val="24"/>
        </w:rPr>
      </w:pPr>
      <w:r>
        <w:rPr>
          <w:rFonts w:hint="eastAsia" w:ascii="黑体" w:eastAsia="黑体"/>
          <w:b w:val="0"/>
          <w:sz w:val="24"/>
        </w:rPr>
        <w:t>一、投标函</w:t>
      </w:r>
    </w:p>
    <w:p w14:paraId="6FAAE287">
      <w:pPr>
        <w:spacing w:line="360" w:lineRule="auto"/>
        <w:rPr>
          <w:rFonts w:hint="eastAsia" w:ascii="宋体" w:hAnsi="宋体"/>
          <w:szCs w:val="21"/>
        </w:rPr>
      </w:pPr>
      <w:bookmarkStart w:id="21" w:name="_Hlk72257506"/>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74F339CA">
      <w:pPr>
        <w:ind w:firstLine="420" w:firstLineChars="200"/>
        <w:rPr>
          <w:rFonts w:hint="eastAsia" w:ascii="宋体" w:hAnsi="宋体"/>
          <w:szCs w:val="21"/>
        </w:rPr>
      </w:pPr>
      <w:bookmarkStart w:id="22"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w:t>
      </w:r>
      <w:bookmarkStart w:id="23" w:name="_Hlk72263588"/>
      <w:r>
        <w:rPr>
          <w:rFonts w:hint="eastAsia"/>
          <w:szCs w:val="21"/>
        </w:rPr>
        <w:t>愿意按照招标文件要求承包上述项目并修补其任何缺陷。</w:t>
      </w:r>
      <w:bookmarkEnd w:id="23"/>
    </w:p>
    <w:p w14:paraId="6C079ED4">
      <w:pPr>
        <w:ind w:firstLine="420" w:firstLineChars="200"/>
        <w:rPr>
          <w:rFonts w:hint="eastAsia" w:ascii="宋体" w:hAnsi="宋体"/>
          <w:szCs w:val="21"/>
        </w:rPr>
      </w:pPr>
      <w:r>
        <w:rPr>
          <w:rFonts w:ascii="宋体" w:hAnsi="宋体"/>
          <w:szCs w:val="21"/>
        </w:rPr>
        <w:t>2</w:t>
      </w:r>
      <w:r>
        <w:rPr>
          <w:rFonts w:hint="eastAsia" w:ascii="宋体" w:hAnsi="宋体"/>
          <w:szCs w:val="21"/>
        </w:rPr>
        <w:t>、</w:t>
      </w:r>
      <w:bookmarkStart w:id="24" w:name="_Hlk73819847"/>
      <w:r>
        <w:rPr>
          <w:rFonts w:hint="eastAsia" w:ascii="宋体" w:hAnsi="宋体"/>
          <w:szCs w:val="21"/>
        </w:rPr>
        <w:t>投标价格见</w:t>
      </w:r>
      <w:r>
        <w:rPr>
          <w:rFonts w:hint="eastAsia"/>
          <w:szCs w:val="21"/>
        </w:rPr>
        <w:t>投标书编制软件中《开标一览表》中填写的投标总价。</w:t>
      </w:r>
      <w:bookmarkEnd w:id="24"/>
    </w:p>
    <w:p w14:paraId="7FB53A6B">
      <w:pPr>
        <w:ind w:firstLine="420" w:firstLineChars="200"/>
        <w:rPr>
          <w:rFonts w:hint="eastAsia" w:ascii="宋体" w:hAnsi="宋体"/>
          <w:szCs w:val="21"/>
        </w:rPr>
      </w:pPr>
      <w:r>
        <w:rPr>
          <w:rFonts w:hint="eastAsia" w:ascii="宋体" w:hAnsi="宋体"/>
          <w:szCs w:val="21"/>
        </w:rPr>
        <w:t>3、如果我单位中标，我单位将按照招标文件的要求足额提交履约担保。</w:t>
      </w:r>
    </w:p>
    <w:p w14:paraId="5F26DF24">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011E4372">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3E1224F4">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22"/>
    </w:p>
    <w:p w14:paraId="093A1E66">
      <w:pPr>
        <w:ind w:firstLine="422" w:firstLineChars="200"/>
        <w:rPr>
          <w:rFonts w:hint="eastAsia"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7D6FE236">
      <w:pPr>
        <w:ind w:left="420" w:leftChars="200" w:firstLine="210" w:firstLineChars="100"/>
        <w:rPr>
          <w:szCs w:val="21"/>
        </w:rPr>
      </w:pPr>
    </w:p>
    <w:p w14:paraId="04EB7563">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xml:space="preserve">  ；  </w:t>
      </w:r>
    </w:p>
    <w:p w14:paraId="5B1EF57D">
      <w:pPr>
        <w:ind w:left="420" w:leftChars="200" w:firstLine="210" w:firstLineChars="100"/>
        <w:rPr>
          <w:szCs w:val="21"/>
        </w:rPr>
      </w:pPr>
      <w:r>
        <w:rPr>
          <w:rFonts w:hint="eastAsia"/>
          <w:szCs w:val="21"/>
        </w:rPr>
        <w:t>单位地址：</w:t>
      </w:r>
      <w:r>
        <w:rPr>
          <w:rFonts w:hint="eastAsia"/>
          <w:szCs w:val="21"/>
          <w:u w:val="thick"/>
        </w:rPr>
        <w:t xml:space="preserve">                                            </w:t>
      </w:r>
      <w:r>
        <w:rPr>
          <w:rFonts w:hint="eastAsia"/>
          <w:szCs w:val="21"/>
        </w:rPr>
        <w:t>；</w:t>
      </w:r>
    </w:p>
    <w:p w14:paraId="59FF4DAE">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72BC97C0">
      <w:pPr>
        <w:ind w:left="420" w:leftChars="200" w:firstLine="210" w:firstLineChars="100"/>
        <w:rPr>
          <w:szCs w:val="21"/>
        </w:rPr>
      </w:pPr>
      <w:r>
        <w:rPr>
          <w:rFonts w:hint="eastAsia" w:ascii="Times New Roman" w:eastAsia="宋体"/>
          <w:szCs w:val="21"/>
        </w:rPr>
        <w:t>开户银行名称：</w:t>
      </w:r>
      <w:r>
        <w:rPr>
          <w:rFonts w:hint="eastAsia"/>
          <w:szCs w:val="21"/>
          <w:u w:val="thick"/>
        </w:rPr>
        <w:t xml:space="preserve">                        </w:t>
      </w:r>
      <w:r>
        <w:rPr>
          <w:rFonts w:hint="eastAsia"/>
          <w:szCs w:val="21"/>
        </w:rPr>
        <w:t>；</w:t>
      </w:r>
    </w:p>
    <w:p w14:paraId="638E536F">
      <w:pPr>
        <w:ind w:left="420" w:leftChars="200" w:firstLine="210" w:firstLineChars="100"/>
        <w:rPr>
          <w:szCs w:val="21"/>
        </w:rPr>
      </w:pPr>
      <w:r>
        <w:rPr>
          <w:rFonts w:hint="eastAsia" w:ascii="Times New Roman" w:eastAsia="宋体"/>
          <w:szCs w:val="21"/>
        </w:rPr>
        <w:t>开户银行账号：</w:t>
      </w:r>
      <w:r>
        <w:rPr>
          <w:rFonts w:hint="eastAsia"/>
          <w:szCs w:val="21"/>
          <w:u w:val="thick"/>
        </w:rPr>
        <w:t xml:space="preserve">                        </w:t>
      </w:r>
      <w:r>
        <w:rPr>
          <w:rFonts w:hint="eastAsia"/>
          <w:szCs w:val="21"/>
        </w:rPr>
        <w:t>；</w:t>
      </w:r>
    </w:p>
    <w:p w14:paraId="1258DEEC">
      <w:pPr>
        <w:ind w:left="420" w:leftChars="200" w:firstLine="210" w:firstLineChars="100"/>
        <w:rPr>
          <w:szCs w:val="21"/>
        </w:rPr>
      </w:pPr>
      <w:r>
        <w:rPr>
          <w:rFonts w:hint="eastAsia"/>
          <w:szCs w:val="21"/>
        </w:rPr>
        <w:t>邮政编码：</w:t>
      </w:r>
      <w:r>
        <w:rPr>
          <w:rFonts w:hint="eastAsia"/>
          <w:szCs w:val="21"/>
          <w:u w:val="thick"/>
        </w:rPr>
        <w:t xml:space="preserve">          </w:t>
      </w:r>
      <w:r>
        <w:rPr>
          <w:rFonts w:hint="eastAsia"/>
          <w:szCs w:val="21"/>
        </w:rPr>
        <w:t xml:space="preserve">  电话：</w:t>
      </w:r>
      <w:r>
        <w:rPr>
          <w:rFonts w:hint="eastAsia"/>
          <w:szCs w:val="21"/>
          <w:u w:val="thick"/>
        </w:rPr>
        <w:t xml:space="preserve">           </w:t>
      </w:r>
      <w:r>
        <w:rPr>
          <w:rFonts w:hint="eastAsia"/>
          <w:szCs w:val="21"/>
        </w:rPr>
        <w:t xml:space="preserve"> 传真：</w:t>
      </w:r>
      <w:r>
        <w:rPr>
          <w:rFonts w:hint="eastAsia"/>
          <w:szCs w:val="21"/>
          <w:u w:val="thick"/>
        </w:rPr>
        <w:t xml:space="preserve">                            </w:t>
      </w:r>
      <w:r>
        <w:rPr>
          <w:rFonts w:hint="eastAsia"/>
          <w:szCs w:val="21"/>
        </w:rPr>
        <w:t xml:space="preserve">；     </w:t>
      </w:r>
    </w:p>
    <w:p w14:paraId="5829C145">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0147DC7A">
      <w:pPr>
        <w:rPr>
          <w:rFonts w:hint="eastAsia" w:ascii="黑体" w:hAnsi="宋体" w:eastAsia="黑体"/>
        </w:rPr>
      </w:pPr>
    </w:p>
    <w:p w14:paraId="5D06E583">
      <w:pPr>
        <w:rPr>
          <w:rFonts w:hint="eastAsia" w:ascii="黑体" w:hAnsi="宋体" w:eastAsia="黑体"/>
        </w:rPr>
      </w:pPr>
    </w:p>
    <w:bookmarkEnd w:id="21"/>
    <w:p w14:paraId="4787F36E">
      <w:pPr>
        <w:pStyle w:val="4"/>
        <w:jc w:val="center"/>
        <w:rPr>
          <w:rFonts w:hint="eastAsia" w:ascii="黑体" w:eastAsia="黑体"/>
          <w:b w:val="0"/>
          <w:sz w:val="24"/>
        </w:rPr>
      </w:pPr>
      <w:r>
        <w:rPr>
          <w:rFonts w:hint="eastAsia" w:ascii="黑体" w:eastAsia="黑体"/>
          <w:b w:val="0"/>
          <w:sz w:val="24"/>
        </w:rPr>
        <w:t>二、政府采购投标及履约承诺函</w:t>
      </w:r>
    </w:p>
    <w:p w14:paraId="5D4ECAEC">
      <w:pPr>
        <w:rPr>
          <w:rFonts w:hint="eastAsia" w:ascii="宋体" w:hAnsi="宋体"/>
          <w:color w:val="FF0000"/>
          <w:szCs w:val="21"/>
        </w:rPr>
      </w:pPr>
      <w:bookmarkStart w:id="25" w:name="_Hlk72257530"/>
      <w:r>
        <w:rPr>
          <w:rFonts w:hint="eastAsia" w:ascii="宋体" w:hAnsi="宋体"/>
          <w:color w:val="FF0000"/>
          <w:szCs w:val="21"/>
        </w:rPr>
        <w:t>致：</w:t>
      </w:r>
      <w:r>
        <w:rPr>
          <w:rFonts w:hint="eastAsia" w:ascii="宋体" w:hAnsi="宋体"/>
          <w:color w:val="FF0000"/>
          <w:szCs w:val="21"/>
          <w:u w:val="single"/>
        </w:rPr>
        <w:t>深圳公共资源交易中心</w:t>
      </w:r>
    </w:p>
    <w:p w14:paraId="47860859">
      <w:pPr>
        <w:ind w:right="-815" w:firstLine="420" w:firstLineChars="200"/>
        <w:rPr>
          <w:rFonts w:hint="eastAsia" w:ascii="宋体" w:hAnsi="宋体"/>
          <w:szCs w:val="21"/>
        </w:rPr>
      </w:pPr>
      <w:r>
        <w:rPr>
          <w:rFonts w:hint="eastAsia" w:ascii="宋体" w:hAnsi="宋体"/>
          <w:szCs w:val="21"/>
        </w:rPr>
        <w:t>我单位承诺：</w:t>
      </w:r>
    </w:p>
    <w:p w14:paraId="3DBA966F">
      <w:pPr>
        <w:ind w:firstLine="420" w:firstLineChars="200"/>
        <w:rPr>
          <w:rFonts w:hint="eastAsia" w:ascii="宋体" w:hAnsi="宋体"/>
          <w:b/>
          <w:szCs w:val="21"/>
        </w:rPr>
      </w:pPr>
      <w:r>
        <w:rPr>
          <w:rFonts w:hint="eastAsia" w:ascii="宋体" w:hAnsi="宋体"/>
          <w:bCs/>
          <w:szCs w:val="21"/>
        </w:rPr>
        <w:t>1.我单位参与本项目所投标（响应）的货物、工程或服务，不存在侵犯知识产权的情况。</w:t>
      </w:r>
    </w:p>
    <w:p w14:paraId="2E7E05A3">
      <w:pPr>
        <w:ind w:firstLine="420" w:firstLineChars="200"/>
        <w:rPr>
          <w:rFonts w:hint="eastAsia"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1504FC3A">
      <w:pPr>
        <w:ind w:firstLine="420" w:firstLineChars="200"/>
        <w:rPr>
          <w:rFonts w:hint="eastAsia" w:ascii="宋体" w:hAnsi="宋体"/>
          <w:szCs w:val="21"/>
        </w:rPr>
      </w:pPr>
      <w:r>
        <w:rPr>
          <w:rFonts w:hint="eastAsia" w:ascii="宋体" w:hAnsi="宋体"/>
          <w:szCs w:val="21"/>
        </w:rPr>
        <w:t>3.我单位具备《中华人民共和国政府采购法》第二十二条第一款规定的六项条件。</w:t>
      </w:r>
    </w:p>
    <w:p w14:paraId="5737CD33">
      <w:pPr>
        <w:ind w:firstLine="420" w:firstLineChars="200"/>
        <w:rPr>
          <w:rFonts w:eastAsia="宋体"/>
        </w:rPr>
      </w:pPr>
      <w:r>
        <w:rPr>
          <w:rFonts w:hint="eastAsia" w:ascii="宋体" w:hAnsi="宋体"/>
          <w:szCs w:val="21"/>
        </w:rPr>
        <w:t>4.我单位</w:t>
      </w:r>
      <w:r>
        <w:rPr>
          <w:rFonts w:hint="eastAsia"/>
        </w:rPr>
        <w:t xml:space="preserve">未被列入失信被执行人、重大税收违法案件当事人名单、政府采购严重违法失信行为记录名单。 </w:t>
      </w:r>
    </w:p>
    <w:p w14:paraId="31672AD4">
      <w:pPr>
        <w:ind w:firstLine="420" w:firstLineChars="200"/>
        <w:rPr>
          <w:rFonts w:eastAsia="宋体"/>
          <w:color w:val="FF0000"/>
        </w:rPr>
      </w:pPr>
      <w:r>
        <w:rPr>
          <w:rFonts w:hint="eastAsia"/>
          <w:color w:val="FF0000"/>
        </w:rPr>
        <w:t>5.我单位不存在《深圳市财政局政府采购供应商信用信息管理办法》（深财规〔2023〕3号）列明的严重违法失信行为。</w:t>
      </w:r>
    </w:p>
    <w:p w14:paraId="32425172">
      <w:pPr>
        <w:ind w:firstLine="420" w:firstLineChars="200"/>
        <w:rPr>
          <w:rFonts w:hint="eastAsia" w:ascii="宋体" w:hAnsi="宋体"/>
          <w:szCs w:val="21"/>
        </w:rPr>
      </w:pPr>
      <w:r>
        <w:rPr>
          <w:rFonts w:hint="eastAsia" w:ascii="宋体" w:hAnsi="宋体"/>
          <w:szCs w:val="21"/>
        </w:rPr>
        <w:t>6.</w:t>
      </w:r>
      <w:bookmarkStart w:id="26" w:name="_Hlk72587269"/>
      <w:bookmarkStart w:id="27"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6"/>
      <w:r>
        <w:rPr>
          <w:rFonts w:hint="eastAsia" w:ascii="宋体" w:hAnsi="宋体"/>
          <w:szCs w:val="21"/>
        </w:rPr>
        <w:t>。</w:t>
      </w:r>
    </w:p>
    <w:bookmarkEnd w:id="27"/>
    <w:p w14:paraId="1656EF57">
      <w:pPr>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36E0D84">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12C091B">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8060359">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14:paraId="7202B525">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BBF2852">
      <w:pPr>
        <w:ind w:firstLine="420" w:firstLineChars="200"/>
        <w:rPr>
          <w:rFonts w:hint="eastAsia" w:ascii="宋体" w:hAnsi="宋体" w:eastAsia="宋体"/>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工业和信息化部关于印发〈绿色数据中心政府采购需求标准（试行）〉的通知》（财库〔2023〕7号）要求。若所投产品涉及国家强制性标准的，所投产品应符合国家强制性标准相关要求。</w:t>
      </w:r>
    </w:p>
    <w:p w14:paraId="6407B998">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5B032764">
      <w:pPr>
        <w:ind w:firstLine="420" w:firstLineChars="200"/>
        <w:rPr>
          <w:rFonts w:hint="eastAsia" w:ascii="宋体" w:hAnsi="宋体" w:eastAsia="宋体" w:cs="宋体"/>
          <w:b/>
          <w:color w:val="FF0000"/>
          <w:kern w:val="0"/>
          <w:szCs w:val="21"/>
        </w:rPr>
      </w:pPr>
      <w:r>
        <w:rPr>
          <w:rFonts w:hint="eastAsia" w:ascii="宋体" w:hAnsi="宋体"/>
          <w:bCs/>
        </w:rPr>
        <w:t>13</w:t>
      </w:r>
      <w:r>
        <w:rPr>
          <w:rFonts w:ascii="宋体" w:hAnsi="宋体"/>
          <w:bCs/>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14:paraId="239608E1">
      <w:pPr>
        <w:ind w:firstLine="422" w:firstLineChars="200"/>
        <w:rPr>
          <w:rFonts w:hint="eastAsia" w:ascii="宋体" w:hAnsi="宋体"/>
          <w:b/>
          <w:szCs w:val="21"/>
        </w:rPr>
      </w:pPr>
      <w:r>
        <w:rPr>
          <w:rFonts w:hint="eastAsia" w:ascii="宋体" w:hAnsi="宋体"/>
          <w:b/>
        </w:rPr>
        <w:t>14.我单位清楚，如存在违反投标承诺行为情节严重的，将根据《深圳市财政局关于印发〈深圳市财政局政府采购供应商信用信息管理办法〉的通知》，依法被列入失信信息。</w:t>
      </w:r>
    </w:p>
    <w:p w14:paraId="0F5BEC59">
      <w:pPr>
        <w:ind w:firstLine="420" w:firstLineChars="200"/>
        <w:rPr>
          <w:rFonts w:hint="eastAsia" w:ascii="宋体" w:hAnsi="宋体"/>
        </w:rPr>
      </w:pPr>
    </w:p>
    <w:p w14:paraId="797C9AD5">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304DB72D">
      <w:pPr>
        <w:spacing w:before="78" w:beforeLines="25" w:after="78" w:afterLines="25"/>
        <w:ind w:firstLine="5460" w:firstLineChars="2600"/>
        <w:rPr>
          <w:rFonts w:hint="eastAsia" w:ascii="宋体" w:hAnsi="宋体"/>
          <w:szCs w:val="21"/>
        </w:rPr>
      </w:pPr>
      <w:r>
        <w:rPr>
          <w:rFonts w:hint="eastAsia" w:ascii="宋体" w:hAnsi="宋体"/>
          <w:szCs w:val="21"/>
        </w:rPr>
        <w:t xml:space="preserve">                                    </w:t>
      </w:r>
    </w:p>
    <w:bookmarkEnd w:id="25"/>
    <w:p w14:paraId="062713DF">
      <w:pPr>
        <w:spacing w:before="78" w:beforeLines="25" w:after="78" w:afterLines="25"/>
        <w:jc w:val="right"/>
        <w:rPr>
          <w:rFonts w:eastAsia="宋体"/>
          <w:color w:val="FF0000"/>
        </w:rPr>
      </w:pPr>
      <w:r>
        <w:rPr>
          <w:rFonts w:hint="eastAsia"/>
          <w:color w:val="FF0000"/>
          <w:szCs w:val="21"/>
        </w:rPr>
        <w:t>投标人：</w:t>
      </w:r>
      <w:r>
        <w:rPr>
          <w:rFonts w:hint="eastAsia"/>
          <w:color w:val="FF0000"/>
          <w:szCs w:val="21"/>
          <w:u w:val="thick"/>
        </w:rPr>
        <w:t xml:space="preserve">                           </w:t>
      </w:r>
      <w:r>
        <w:rPr>
          <w:rFonts w:hint="eastAsia"/>
          <w:color w:val="FF0000"/>
          <w:szCs w:val="21"/>
        </w:rPr>
        <w:t>.</w:t>
      </w:r>
    </w:p>
    <w:p w14:paraId="79569D2D">
      <w:pPr>
        <w:jc w:val="right"/>
        <w:rPr>
          <w:rFonts w:hint="eastAsia" w:ascii="宋体" w:hAnsi="宋体"/>
          <w:color w:val="FF0000"/>
          <w:szCs w:val="21"/>
        </w:rPr>
      </w:pPr>
      <w:r>
        <w:rPr>
          <w:rFonts w:hint="eastAsia" w:ascii="宋体" w:hAnsi="宋体"/>
          <w:color w:val="FF0000"/>
          <w:szCs w:val="21"/>
        </w:rPr>
        <w:t>日期：</w:t>
      </w:r>
      <w:r>
        <w:rPr>
          <w:rFonts w:hint="eastAsia"/>
          <w:color w:val="FF0000"/>
          <w:szCs w:val="21"/>
          <w:u w:val="thick"/>
        </w:rPr>
        <w:t xml:space="preserve">        </w:t>
      </w:r>
      <w:r>
        <w:rPr>
          <w:rFonts w:hint="eastAsia" w:ascii="宋体" w:hAnsi="宋体"/>
          <w:color w:val="FF0000"/>
          <w:szCs w:val="21"/>
        </w:rPr>
        <w:t>年</w:t>
      </w:r>
      <w:r>
        <w:rPr>
          <w:rFonts w:hint="eastAsia"/>
          <w:color w:val="FF0000"/>
          <w:szCs w:val="21"/>
          <w:u w:val="thick"/>
        </w:rPr>
        <w:t xml:space="preserve">       </w:t>
      </w:r>
      <w:r>
        <w:rPr>
          <w:rFonts w:hint="eastAsia" w:ascii="宋体" w:hAnsi="宋体"/>
          <w:color w:val="FF0000"/>
          <w:szCs w:val="21"/>
        </w:rPr>
        <w:t>月</w:t>
      </w:r>
      <w:r>
        <w:rPr>
          <w:rFonts w:hint="eastAsia"/>
          <w:color w:val="FF0000"/>
          <w:szCs w:val="21"/>
          <w:u w:val="thick"/>
        </w:rPr>
        <w:t xml:space="preserve">       </w:t>
      </w:r>
      <w:r>
        <w:rPr>
          <w:rFonts w:hint="eastAsia" w:ascii="宋体" w:hAnsi="宋体"/>
          <w:color w:val="FF0000"/>
          <w:szCs w:val="21"/>
        </w:rPr>
        <w:t>日</w:t>
      </w:r>
    </w:p>
    <w:p w14:paraId="4658D48A">
      <w:pPr>
        <w:ind w:firstLine="645"/>
        <w:rPr>
          <w:rFonts w:hint="eastAsia" w:ascii="宋体" w:hAnsi="宋体"/>
          <w:szCs w:val="21"/>
        </w:rPr>
      </w:pPr>
    </w:p>
    <w:p w14:paraId="0893F62B">
      <w:pPr>
        <w:pStyle w:val="4"/>
        <w:jc w:val="center"/>
        <w:rPr>
          <w:rFonts w:hint="eastAsia" w:ascii="黑体" w:eastAsia="黑体"/>
          <w:b w:val="0"/>
          <w:sz w:val="24"/>
          <w:szCs w:val="24"/>
        </w:rPr>
      </w:pPr>
      <w:r>
        <w:rPr>
          <w:rFonts w:hint="eastAsia" w:ascii="黑体" w:eastAsia="黑体"/>
          <w:b w:val="0"/>
          <w:sz w:val="24"/>
          <w:szCs w:val="24"/>
        </w:rPr>
        <w:t>三、投标人情况及资格证明文件</w:t>
      </w:r>
    </w:p>
    <w:p w14:paraId="036B7C90">
      <w:pPr>
        <w:rPr>
          <w:b/>
          <w:bCs/>
          <w:sz w:val="24"/>
        </w:rPr>
      </w:pPr>
    </w:p>
    <w:p w14:paraId="3861A4A8">
      <w:pPr>
        <w:ind w:firstLine="2640" w:firstLineChars="1100"/>
        <w:outlineLvl w:val="3"/>
        <w:rPr>
          <w:rFonts w:hint="eastAsia" w:ascii="黑体" w:hAnsi="宋体" w:eastAsia="黑体"/>
          <w:bCs/>
          <w:kern w:val="0"/>
          <w:sz w:val="24"/>
          <w:szCs w:val="32"/>
        </w:rPr>
      </w:pPr>
      <w:bookmarkStart w:id="28" w:name="_Hlk72257590"/>
      <w:r>
        <w:rPr>
          <w:rFonts w:hint="eastAsia" w:ascii="黑体" w:hAnsi="宋体" w:eastAsia="黑体"/>
          <w:bCs/>
          <w:kern w:val="0"/>
          <w:sz w:val="24"/>
          <w:szCs w:val="32"/>
        </w:rPr>
        <w:t>（一）投标人资格证明文件</w:t>
      </w:r>
    </w:p>
    <w:p w14:paraId="6F7E53F0">
      <w:pPr>
        <w:spacing w:before="156"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w:t>
      </w:r>
    </w:p>
    <w:p w14:paraId="11CA2DA3">
      <w:pPr>
        <w:rPr>
          <w:b/>
          <w:bCs/>
          <w:sz w:val="24"/>
        </w:rPr>
      </w:pPr>
    </w:p>
    <w:p w14:paraId="29482941">
      <w:pPr>
        <w:ind w:firstLine="480" w:firstLineChars="200"/>
        <w:outlineLvl w:val="3"/>
        <w:rPr>
          <w:rFonts w:hint="eastAsia" w:ascii="黑体" w:hAnsi="宋体" w:eastAsia="黑体"/>
          <w:bCs/>
          <w:kern w:val="0"/>
          <w:sz w:val="24"/>
          <w:szCs w:val="32"/>
        </w:rPr>
      </w:pPr>
      <w:bookmarkStart w:id="29" w:name="_Hlk72257908"/>
      <w:r>
        <w:rPr>
          <w:rFonts w:hint="eastAsia" w:ascii="黑体" w:hAnsi="宋体" w:eastAsia="黑体"/>
          <w:bCs/>
          <w:kern w:val="0"/>
          <w:sz w:val="24"/>
          <w:szCs w:val="32"/>
        </w:rPr>
        <w:t>（二）中小企业声明函、残疾人福利性单位声明函及监狱企业声明函</w:t>
      </w:r>
      <w:bookmarkEnd w:id="28"/>
    </w:p>
    <w:p w14:paraId="048B8FCE">
      <w:pPr>
        <w:spacing w:before="156" w:beforeLines="50"/>
        <w:ind w:firstLine="422" w:firstLineChars="200"/>
        <w:rPr>
          <w:b/>
          <w:bCs/>
          <w:color w:val="FF0000"/>
        </w:rPr>
      </w:pPr>
      <w:r>
        <w:rPr>
          <w:rFonts w:hint="eastAsia"/>
          <w:b/>
          <w:bCs/>
          <w:color w:val="FF0000"/>
        </w:rPr>
        <w:t>填写指引：</w:t>
      </w:r>
    </w:p>
    <w:p w14:paraId="5DC0397C">
      <w:pPr>
        <w:spacing w:before="156" w:beforeLines="50"/>
        <w:ind w:firstLine="422" w:firstLineChars="200"/>
        <w:rPr>
          <w:b/>
          <w:bCs/>
          <w:color w:val="FF0000"/>
        </w:rPr>
      </w:pPr>
      <w:r>
        <w:rPr>
          <w:rFonts w:hint="eastAsia"/>
          <w:b/>
          <w:bCs/>
          <w:color w:val="FF0000"/>
        </w:rPr>
        <w:t>1、该部分内容由投标人根据自身实际情况填写。投标人提供的声明函不属实的，属于提供虚假资料谋取中标，依照《中华人民共和国政府采购法》等国家有关规定追究相应责任。</w:t>
      </w:r>
    </w:p>
    <w:p w14:paraId="2A407425">
      <w:pPr>
        <w:spacing w:before="156" w:beforeLines="50"/>
        <w:ind w:firstLine="422" w:firstLineChars="200"/>
        <w:rPr>
          <w:b/>
          <w:bCs/>
          <w:color w:val="FF0000"/>
        </w:rPr>
      </w:pPr>
      <w:r>
        <w:rPr>
          <w:rFonts w:hint="eastAsia"/>
          <w:b/>
          <w:bCs/>
          <w:color w:val="FF0000"/>
        </w:rPr>
        <w:t>2、该部分内容填写需要参考的相关文件：</w:t>
      </w:r>
    </w:p>
    <w:p w14:paraId="104A0EFC">
      <w:pPr>
        <w:spacing w:before="156" w:beforeLines="50"/>
        <w:ind w:firstLine="422" w:firstLineChars="200"/>
        <w:rPr>
          <w:b/>
          <w:bCs/>
          <w:color w:val="FF0000"/>
        </w:rPr>
      </w:pPr>
      <w:r>
        <w:rPr>
          <w:rFonts w:hint="eastAsia"/>
          <w:b/>
          <w:bCs/>
          <w:color w:val="FF0000"/>
        </w:rPr>
        <w:t>（1）财政部《政府采购促进中小企业发展管理办法》（财库〔2020〕46号）；</w:t>
      </w:r>
    </w:p>
    <w:p w14:paraId="2386B0DD">
      <w:pPr>
        <w:spacing w:before="156" w:beforeLines="50"/>
        <w:ind w:firstLine="422" w:firstLineChars="200"/>
        <w:rPr>
          <w:b/>
          <w:bCs/>
          <w:color w:val="FF0000"/>
        </w:rPr>
      </w:pPr>
      <w:r>
        <w:rPr>
          <w:rFonts w:hint="eastAsia"/>
          <w:b/>
          <w:bCs/>
          <w:color w:val="FF0000"/>
        </w:rPr>
        <w:t>(2)《工业和信息化部、国家统计局、国家发展和改革委员会、财政部关于印发中小企业划型标准规定的通知》（工信部联企业〔2011〕300 号，以下简称300号文）；</w:t>
      </w:r>
    </w:p>
    <w:p w14:paraId="379643B5">
      <w:pPr>
        <w:spacing w:before="156" w:beforeLines="50"/>
        <w:ind w:firstLine="422" w:firstLineChars="200"/>
        <w:rPr>
          <w:b/>
          <w:bCs/>
          <w:color w:val="FF0000"/>
        </w:rPr>
      </w:pPr>
      <w:r>
        <w:rPr>
          <w:rFonts w:hint="eastAsia"/>
          <w:b/>
          <w:bCs/>
          <w:color w:val="FF0000"/>
        </w:rPr>
        <w:t>(3)《统计上大中小微型企业划分办法（2017）》（国统字〔2017〕213 号）；</w:t>
      </w:r>
    </w:p>
    <w:p w14:paraId="6C550CAA">
      <w:pPr>
        <w:spacing w:before="156" w:beforeLines="50"/>
        <w:ind w:firstLine="422" w:firstLineChars="200"/>
        <w:rPr>
          <w:b/>
          <w:bCs/>
          <w:color w:val="FF0000"/>
        </w:rPr>
      </w:pPr>
      <w:r>
        <w:rPr>
          <w:rFonts w:hint="eastAsia"/>
          <w:b/>
          <w:bCs/>
          <w:color w:val="FF0000"/>
        </w:rPr>
        <w:t>(4)《关于促进残疾人就业政府采购政策的通知》（财库〔2017〕141号）；</w:t>
      </w:r>
    </w:p>
    <w:p w14:paraId="042671AD">
      <w:pPr>
        <w:spacing w:before="156" w:beforeLines="50"/>
        <w:ind w:firstLine="422" w:firstLineChars="200"/>
        <w:rPr>
          <w:b/>
          <w:bCs/>
          <w:color w:val="FF0000"/>
        </w:rPr>
      </w:pPr>
      <w:r>
        <w:rPr>
          <w:rFonts w:hint="eastAsia"/>
          <w:b/>
          <w:bCs/>
          <w:color w:val="FF0000"/>
        </w:rPr>
        <w:t>(5)《关于政府采购支持监狱企业发展有关问题的通知》（财库〔2014〕68号）</w:t>
      </w:r>
    </w:p>
    <w:p w14:paraId="5881A160">
      <w:pPr>
        <w:spacing w:before="156" w:beforeLines="50"/>
        <w:ind w:firstLine="422" w:firstLineChars="200"/>
        <w:rPr>
          <w:b/>
          <w:bCs/>
          <w:color w:val="FF0000"/>
        </w:rPr>
      </w:pPr>
      <w:r>
        <w:rPr>
          <w:rFonts w:hint="eastAsia"/>
          <w:b/>
          <w:bCs/>
          <w:color w:val="FF0000"/>
        </w:rPr>
        <w:t>3、请依照提供的格式和内容填写声明函，不要随意变更格式；声明函不需要盖章或签字；满足多项优惠政策的投标人，不重复享受多项价格扣除政策。</w:t>
      </w:r>
    </w:p>
    <w:p w14:paraId="3C49D5E4">
      <w:pPr>
        <w:spacing w:before="156" w:beforeLines="50"/>
        <w:ind w:firstLine="422" w:firstLineChars="200"/>
        <w:rPr>
          <w:b/>
          <w:bCs/>
          <w:color w:val="FF0000"/>
        </w:rPr>
      </w:pPr>
      <w:r>
        <w:rPr>
          <w:rFonts w:hint="eastAsia"/>
          <w:b/>
          <w:bCs/>
          <w:color w:val="FF0000"/>
        </w:rPr>
        <w:t>4、声明函具体填写要求：</w:t>
      </w:r>
    </w:p>
    <w:p w14:paraId="69D3E80A">
      <w:pPr>
        <w:spacing w:before="156" w:beforeLines="50"/>
        <w:ind w:firstLine="422" w:firstLineChars="200"/>
        <w:rPr>
          <w:b/>
          <w:bCs/>
          <w:color w:val="FF0000"/>
        </w:rPr>
      </w:pPr>
      <w:r>
        <w:rPr>
          <w:rFonts w:hint="eastAsia"/>
          <w:b/>
          <w:bCs/>
          <w:color w:val="FF0000"/>
        </w:rPr>
        <w:t>（1）声明是中小企业须填写《中小企业声明函》的以下内容：</w:t>
      </w:r>
    </w:p>
    <w:p w14:paraId="6A44E1A3">
      <w:pPr>
        <w:spacing w:before="156" w:beforeLines="50"/>
        <w:ind w:firstLine="422" w:firstLineChars="200"/>
        <w:rPr>
          <w:b/>
          <w:bCs/>
          <w:color w:val="FF0000"/>
        </w:rPr>
      </w:pPr>
      <w:r>
        <w:rPr>
          <w:rFonts w:hint="eastAsia"/>
          <w:b/>
          <w:bCs/>
          <w:color w:val="FF0000"/>
        </w:rPr>
        <w:t>第一处，</w:t>
      </w:r>
      <w:r>
        <w:rPr>
          <w:rFonts w:hint="eastAsia"/>
          <w:b/>
          <w:bCs/>
          <w:color w:val="FF0000"/>
          <w:highlight w:val="yellow"/>
        </w:rPr>
        <w:t>在“单位名称”下划线处如实填写采购人名称（深圳公共资源交易中心不是本项目的采购人，而是组织实施机构）</w:t>
      </w:r>
      <w:r>
        <w:rPr>
          <w:rFonts w:hint="eastAsia"/>
          <w:b/>
          <w:bCs/>
          <w:color w:val="FF0000"/>
        </w:rPr>
        <w:t>；</w:t>
      </w:r>
    </w:p>
    <w:p w14:paraId="16C10EDF">
      <w:pPr>
        <w:spacing w:before="156" w:beforeLines="50"/>
        <w:ind w:firstLine="422" w:firstLineChars="200"/>
        <w:rPr>
          <w:b/>
          <w:bCs/>
          <w:color w:val="FF0000"/>
        </w:rPr>
      </w:pPr>
      <w:r>
        <w:rPr>
          <w:rFonts w:hint="eastAsia"/>
          <w:b/>
          <w:bCs/>
          <w:color w:val="FF0000"/>
        </w:rPr>
        <w:t>第二处，在“项目名称”下划线处如实填写采购项目名称；</w:t>
      </w:r>
    </w:p>
    <w:p w14:paraId="1276F4B0">
      <w:pPr>
        <w:spacing w:before="156" w:beforeLines="50"/>
        <w:ind w:firstLine="422" w:firstLineChars="200"/>
        <w:rPr>
          <w:b/>
          <w:bCs/>
          <w:color w:val="FF0000"/>
        </w:rPr>
      </w:pPr>
      <w:r>
        <w:rPr>
          <w:rFonts w:hint="eastAsia"/>
          <w:b/>
          <w:bCs/>
          <w:color w:val="FF0000"/>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26705C9A">
      <w:pPr>
        <w:spacing w:before="156" w:beforeLines="50"/>
        <w:ind w:firstLine="422" w:firstLineChars="200"/>
        <w:rPr>
          <w:b/>
          <w:bCs/>
          <w:color w:val="FF0000"/>
        </w:rPr>
      </w:pPr>
      <w:r>
        <w:rPr>
          <w:rFonts w:hint="eastAsia"/>
          <w:b/>
          <w:bCs/>
          <w:color w:val="FF0000"/>
        </w:rPr>
        <w:t>第四处，</w:t>
      </w:r>
      <w:r>
        <w:rPr>
          <w:rFonts w:hint="eastAsia"/>
          <w:b/>
          <w:bCs/>
          <w:color w:val="FF0000"/>
          <w:highlight w:val="yellow"/>
        </w:rPr>
        <w:t>在“招标文件中明确的所属行业”下划线处填写采购标的对应的中小企业划分标准所属行业</w:t>
      </w:r>
      <w:r>
        <w:rPr>
          <w:rFonts w:hint="eastAsia"/>
          <w:b/>
          <w:bCs/>
          <w:color w:val="FF0000"/>
        </w:rPr>
        <w:t>；</w:t>
      </w:r>
    </w:p>
    <w:p w14:paraId="5F64BD1D">
      <w:pPr>
        <w:spacing w:before="156" w:beforeLines="50"/>
        <w:ind w:firstLine="422" w:firstLineChars="200"/>
        <w:rPr>
          <w:b/>
          <w:bCs/>
          <w:color w:val="FF0000"/>
        </w:rPr>
      </w:pPr>
      <w:r>
        <w:rPr>
          <w:rFonts w:hint="eastAsia"/>
          <w:b/>
          <w:bCs/>
          <w:color w:val="FF0000"/>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1B2D3D95">
      <w:pPr>
        <w:spacing w:before="156" w:beforeLines="50"/>
        <w:ind w:firstLine="422" w:firstLineChars="200"/>
        <w:rPr>
          <w:b/>
          <w:bCs/>
          <w:color w:val="FF0000"/>
        </w:rPr>
      </w:pPr>
      <w:r>
        <w:rPr>
          <w:rFonts w:hint="eastAsia"/>
          <w:b/>
          <w:bCs/>
          <w:color w:val="FF0000"/>
        </w:rPr>
        <w:t>（2）声明是残疾人福利性单位须填写《残疾人福利性单位声明函》的相关内容，具体参照以上《中小企业声明函》填写要求执行。</w:t>
      </w:r>
    </w:p>
    <w:p w14:paraId="0F019FF0">
      <w:pPr>
        <w:spacing w:before="156" w:beforeLines="50"/>
        <w:ind w:firstLine="422" w:firstLineChars="200"/>
        <w:rPr>
          <w:b/>
          <w:bCs/>
          <w:color w:val="FF0000"/>
        </w:rPr>
      </w:pPr>
      <w:r>
        <w:rPr>
          <w:rFonts w:hint="eastAsia"/>
          <w:b/>
          <w:bCs/>
          <w:color w:val="FF0000"/>
        </w:rPr>
        <w:t>（3）声明是监狱企业须填写《监狱企业声明函》的三项内容（填写位置的字体已加粗），具体参照以上《中小企业声明函》填写要求执行。</w:t>
      </w:r>
    </w:p>
    <w:p w14:paraId="0178A9CD">
      <w:pPr>
        <w:spacing w:before="156" w:beforeLines="50"/>
        <w:ind w:firstLine="422" w:firstLineChars="200"/>
        <w:rPr>
          <w:b/>
          <w:bCs/>
          <w:color w:val="FF0000"/>
        </w:rPr>
      </w:pPr>
      <w:r>
        <w:rPr>
          <w:rFonts w:hint="eastAsia"/>
          <w:b/>
          <w:bCs/>
          <w:color w:val="FF0000"/>
        </w:rPr>
        <w:t>5、若本项目属于专门面向中小企业、残疾人福利性单位或监狱企业，则声明函的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46B6228D">
      <w:pPr>
        <w:ind w:firstLine="420" w:firstLineChars="200"/>
      </w:pPr>
    </w:p>
    <w:p w14:paraId="18277294">
      <w:pPr>
        <w:numPr>
          <w:ilvl w:val="0"/>
          <w:numId w:val="2"/>
        </w:numPr>
        <w:jc w:val="center"/>
        <w:outlineLvl w:val="3"/>
        <w:rPr>
          <w:b/>
          <w:sz w:val="24"/>
        </w:rPr>
      </w:pPr>
      <w:r>
        <w:rPr>
          <w:b/>
          <w:sz w:val="24"/>
        </w:rPr>
        <w:t>中小企业声明函（货物）</w:t>
      </w:r>
    </w:p>
    <w:p w14:paraId="2A01920A">
      <w:pPr>
        <w:spacing w:before="156" w:beforeLines="50"/>
        <w:ind w:firstLine="422" w:firstLineChars="200"/>
        <w:rPr>
          <w:rFonts w:hint="eastAsia" w:ascii="宋体" w:hAnsi="宋体" w:eastAsia="宋体" w:cs="宋体"/>
          <w:b/>
          <w:bCs/>
          <w:color w:val="FF0000"/>
          <w:szCs w:val="21"/>
          <w:highlight w:val="yellow"/>
        </w:rPr>
      </w:pPr>
      <w:r>
        <w:rPr>
          <w:rFonts w:hint="eastAsia" w:ascii="宋体" w:hAnsi="宋体" w:eastAsia="宋体" w:cs="宋体"/>
          <w:b/>
          <w:bCs/>
          <w:color w:val="FF0000"/>
          <w:szCs w:val="21"/>
        </w:rPr>
        <w:t>注：关于声明函格式，投标人可根据自身情况选择格式一或者格式二进行填写。</w:t>
      </w:r>
    </w:p>
    <w:p w14:paraId="0F599EC7">
      <w:pPr>
        <w:spacing w:before="156" w:beforeLines="50"/>
        <w:jc w:val="center"/>
      </w:pPr>
      <w:r>
        <w:rPr>
          <w:rFonts w:hint="eastAsia" w:ascii="宋体" w:hAnsi="宋体" w:eastAsia="宋体" w:cs="宋体"/>
          <w:b/>
          <w:bCs/>
          <w:color w:val="FF0000"/>
          <w:sz w:val="28"/>
          <w:szCs w:val="28"/>
          <w:highlight w:val="yellow"/>
        </w:rPr>
        <w:t>格式一</w:t>
      </w:r>
    </w:p>
    <w:p w14:paraId="099A48D0">
      <w:pPr>
        <w:pStyle w:val="13"/>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本公司（联合体）郑重声明，根据《政府采购促进中小企业发展管理办法》（财库﹝2020﹞46号）的规定，本公司（联合体）参加</w:t>
      </w:r>
      <w:r>
        <w:rPr>
          <w:rFonts w:hint="eastAsia" w:asciiTheme="minorEastAsia" w:hAnsiTheme="minorEastAsia" w:cstheme="minorEastAsia"/>
          <w:b/>
          <w:bCs/>
          <w:i/>
          <w:iCs/>
          <w:sz w:val="21"/>
          <w:szCs w:val="21"/>
          <w:u w:val="single"/>
        </w:rPr>
        <w:t xml:space="preserve">    （单位名称）    </w:t>
      </w:r>
      <w:r>
        <w:rPr>
          <w:rFonts w:hint="eastAsia" w:asciiTheme="minorEastAsia" w:hAnsiTheme="minorEastAsia" w:cstheme="minorEastAsia"/>
          <w:sz w:val="21"/>
          <w:szCs w:val="21"/>
        </w:rPr>
        <w:t>的</w:t>
      </w:r>
      <w:r>
        <w:rPr>
          <w:rFonts w:hint="eastAsia" w:asciiTheme="minorEastAsia" w:hAnsiTheme="minorEastAsia" w:cstheme="minorEastAsia"/>
          <w:b/>
          <w:bCs/>
          <w:i/>
          <w:iCs/>
          <w:sz w:val="21"/>
          <w:szCs w:val="21"/>
          <w:u w:val="single"/>
        </w:rPr>
        <w:t xml:space="preserve">    （项目名称）    </w:t>
      </w:r>
      <w:r>
        <w:rPr>
          <w:rFonts w:hint="eastAsia" w:asciiTheme="minorEastAsia" w:hAnsiTheme="minorEastAsia" w:cstheme="minorEastAsia"/>
          <w:sz w:val="21"/>
          <w:szCs w:val="21"/>
        </w:rPr>
        <w:t>采购活动，提供的货物全部由符合政策要求的中小企业制造。相关企业（含联合体中的中小企业、签订分包意向协议的中小企业）的具体情况如下：</w:t>
      </w:r>
    </w:p>
    <w:p w14:paraId="2A88BB46">
      <w:pPr>
        <w:pStyle w:val="13"/>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1.</w:t>
      </w:r>
      <w:r>
        <w:rPr>
          <w:rFonts w:hint="eastAsia" w:asciiTheme="minorEastAsia" w:hAnsiTheme="minorEastAsia" w:cstheme="minorEastAsia"/>
          <w:b/>
          <w:bCs/>
          <w:i/>
          <w:iCs/>
          <w:sz w:val="21"/>
          <w:szCs w:val="21"/>
          <w:u w:val="single"/>
        </w:rPr>
        <w:t xml:space="preserve">    （标的名称）     </w:t>
      </w:r>
      <w:r>
        <w:rPr>
          <w:rFonts w:hint="eastAsia" w:asciiTheme="minorEastAsia" w:hAnsiTheme="minorEastAsia" w:cstheme="minorEastAsia"/>
          <w:sz w:val="21"/>
          <w:szCs w:val="21"/>
        </w:rPr>
        <w:t>，属于</w:t>
      </w:r>
      <w:r>
        <w:rPr>
          <w:rFonts w:hint="eastAsia" w:asciiTheme="minorEastAsia" w:hAnsiTheme="minorEastAsia" w:cstheme="minorEastAsia"/>
          <w:b/>
          <w:bCs/>
          <w:i/>
          <w:iCs/>
          <w:sz w:val="21"/>
          <w:szCs w:val="21"/>
          <w:u w:val="single"/>
        </w:rPr>
        <w:t xml:space="preserve">    （采购文件中明确的所属行业）    </w:t>
      </w:r>
      <w:r>
        <w:rPr>
          <w:rFonts w:hint="eastAsia" w:asciiTheme="minorEastAsia" w:hAnsiTheme="minorEastAsia" w:cstheme="minorEastAsia"/>
          <w:sz w:val="21"/>
          <w:szCs w:val="21"/>
        </w:rPr>
        <w:t>行业；制造商为</w:t>
      </w:r>
      <w:r>
        <w:rPr>
          <w:rFonts w:hint="eastAsia" w:asciiTheme="minorEastAsia" w:hAnsiTheme="minorEastAsia" w:cstheme="minorEastAsia"/>
          <w:b/>
          <w:bCs/>
          <w:i/>
          <w:iCs/>
          <w:sz w:val="21"/>
          <w:szCs w:val="21"/>
          <w:u w:val="single"/>
        </w:rPr>
        <w:t xml:space="preserve">    （企业名称，要求制造商本身所属行业应当与招标文件要求的行业相一致）    </w:t>
      </w:r>
      <w:r>
        <w:rPr>
          <w:rFonts w:hint="eastAsia" w:asciiTheme="minorEastAsia" w:hAnsiTheme="minorEastAsia" w:cstheme="minorEastAsia"/>
          <w:sz w:val="21"/>
          <w:szCs w:val="21"/>
        </w:rPr>
        <w:t>，从业人员</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人，营业收入为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万元，资产总额为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万元，属于</w:t>
      </w:r>
      <w:r>
        <w:rPr>
          <w:rFonts w:hint="eastAsia" w:asciiTheme="minorEastAsia" w:hAnsiTheme="minorEastAsia" w:cstheme="minorEastAsia"/>
          <w:b/>
          <w:bCs/>
          <w:i/>
          <w:iCs/>
          <w:sz w:val="21"/>
          <w:szCs w:val="21"/>
          <w:u w:val="single"/>
        </w:rPr>
        <w:t xml:space="preserve">    （中型企业、小型企业、微型企业）    </w:t>
      </w:r>
      <w:r>
        <w:rPr>
          <w:rFonts w:hint="eastAsia" w:asciiTheme="minorEastAsia" w:hAnsiTheme="minorEastAsia" w:cstheme="minorEastAsia"/>
          <w:sz w:val="21"/>
          <w:szCs w:val="21"/>
        </w:rPr>
        <w:t>；</w:t>
      </w:r>
    </w:p>
    <w:p w14:paraId="42EE89CC">
      <w:pPr>
        <w:pStyle w:val="13"/>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2.</w:t>
      </w:r>
      <w:r>
        <w:rPr>
          <w:rFonts w:hint="eastAsia" w:asciiTheme="minorEastAsia" w:hAnsiTheme="minorEastAsia" w:cstheme="minorEastAsia"/>
          <w:b/>
          <w:bCs/>
          <w:i/>
          <w:iCs/>
          <w:sz w:val="21"/>
          <w:szCs w:val="21"/>
          <w:u w:val="single"/>
        </w:rPr>
        <w:t xml:space="preserve">    （标的名称）     </w:t>
      </w:r>
      <w:r>
        <w:rPr>
          <w:rFonts w:hint="eastAsia" w:asciiTheme="minorEastAsia" w:hAnsiTheme="minorEastAsia" w:cstheme="minorEastAsia"/>
          <w:sz w:val="21"/>
          <w:szCs w:val="21"/>
        </w:rPr>
        <w:t>，属于</w:t>
      </w:r>
      <w:r>
        <w:rPr>
          <w:rFonts w:hint="eastAsia" w:asciiTheme="minorEastAsia" w:hAnsiTheme="minorEastAsia" w:cstheme="minorEastAsia"/>
          <w:b/>
          <w:bCs/>
          <w:i/>
          <w:iCs/>
          <w:sz w:val="21"/>
          <w:szCs w:val="21"/>
          <w:u w:val="single"/>
        </w:rPr>
        <w:t xml:space="preserve">    （采购文件中明确的所属行业）    </w:t>
      </w:r>
      <w:r>
        <w:rPr>
          <w:rFonts w:hint="eastAsia" w:asciiTheme="minorEastAsia" w:hAnsiTheme="minorEastAsia" w:cstheme="minorEastAsia"/>
          <w:sz w:val="21"/>
          <w:szCs w:val="21"/>
        </w:rPr>
        <w:t>行业；制造商为</w:t>
      </w:r>
      <w:r>
        <w:rPr>
          <w:rFonts w:hint="eastAsia" w:asciiTheme="minorEastAsia" w:hAnsiTheme="minorEastAsia" w:cstheme="minorEastAsia"/>
          <w:b/>
          <w:bCs/>
          <w:i/>
          <w:iCs/>
          <w:sz w:val="21"/>
          <w:szCs w:val="21"/>
          <w:u w:val="single"/>
        </w:rPr>
        <w:t xml:space="preserve">    （企业名称，要求制造商本身所属行业应当与招标文件要求的行业相一致）    </w:t>
      </w:r>
      <w:r>
        <w:rPr>
          <w:rFonts w:hint="eastAsia" w:asciiTheme="minorEastAsia" w:hAnsiTheme="minorEastAsia" w:cstheme="minorEastAsia"/>
          <w:sz w:val="21"/>
          <w:szCs w:val="21"/>
        </w:rPr>
        <w:t>，从业人员</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人，营业收入为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万元，资产总额为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万元，属于</w:t>
      </w:r>
      <w:r>
        <w:rPr>
          <w:rFonts w:hint="eastAsia" w:asciiTheme="minorEastAsia" w:hAnsiTheme="minorEastAsia" w:cstheme="minorEastAsia"/>
          <w:b/>
          <w:bCs/>
          <w:i/>
          <w:iCs/>
          <w:sz w:val="21"/>
          <w:szCs w:val="21"/>
          <w:u w:val="single"/>
        </w:rPr>
        <w:t xml:space="preserve">    （中型企业、小型企业、微型企业）    </w:t>
      </w:r>
      <w:r>
        <w:rPr>
          <w:rFonts w:hint="eastAsia" w:asciiTheme="minorEastAsia" w:hAnsiTheme="minorEastAsia" w:cstheme="minorEastAsia"/>
          <w:sz w:val="21"/>
          <w:szCs w:val="21"/>
        </w:rPr>
        <w:t>；</w:t>
      </w:r>
    </w:p>
    <w:p w14:paraId="4FA1289B">
      <w:pPr>
        <w:pStyle w:val="13"/>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w:t>
      </w:r>
    </w:p>
    <w:p w14:paraId="66856B32">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以上企业，不属于大企业的分支机构，不存在控股股东为大企业的情形，也不存在与大企业的负责人为同一人的情形。</w:t>
      </w:r>
    </w:p>
    <w:p w14:paraId="469CF83D">
      <w:pPr>
        <w:spacing w:line="360" w:lineRule="auto"/>
        <w:ind w:firstLine="420" w:firstLineChars="200"/>
        <w:rPr>
          <w:rFonts w:hint="eastAsia" w:asciiTheme="minorEastAsia" w:hAnsiTheme="minorEastAsia" w:cstheme="minorEastAsia"/>
          <w:szCs w:val="21"/>
        </w:rPr>
      </w:pPr>
      <w:bookmarkStart w:id="30" w:name="_Hlk73562203"/>
      <w:r>
        <w:rPr>
          <w:rFonts w:hint="eastAsia" w:asciiTheme="minorEastAsia" w:hAnsiTheme="minorEastAsia" w:cstheme="minorEastAsia"/>
          <w:szCs w:val="21"/>
        </w:rPr>
        <w:t>本投标人对上述声明内容的真实性负责。如有虚假，将依法承担相应责任。</w:t>
      </w:r>
    </w:p>
    <w:p w14:paraId="325288B6">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0"/>
    </w:p>
    <w:p w14:paraId="72398291">
      <w:pPr>
        <w:spacing w:before="156" w:beforeLines="50"/>
        <w:jc w:val="center"/>
        <w:rPr>
          <w:rFonts w:hint="eastAsia" w:ascii="宋体" w:hAnsi="宋体" w:eastAsia="宋体" w:cs="宋体"/>
          <w:b/>
          <w:bCs/>
          <w:color w:val="FF0000"/>
          <w:sz w:val="28"/>
          <w:szCs w:val="28"/>
          <w:highlight w:val="yellow"/>
        </w:rPr>
      </w:pPr>
      <w:r>
        <w:rPr>
          <w:rFonts w:hint="eastAsia" w:ascii="宋体" w:hAnsi="宋体" w:eastAsia="宋体" w:cs="宋体"/>
          <w:b/>
          <w:bCs/>
          <w:color w:val="FF0000"/>
          <w:sz w:val="28"/>
          <w:szCs w:val="28"/>
          <w:highlight w:val="yellow"/>
        </w:rPr>
        <w:t xml:space="preserve">格式二 </w:t>
      </w:r>
    </w:p>
    <w:p w14:paraId="26B54544">
      <w:pPr>
        <w:pStyle w:val="14"/>
        <w:widowControl w:val="0"/>
        <w:spacing w:before="0" w:beforeAutospacing="0" w:afterAutospacing="0" w:line="360" w:lineRule="auto"/>
        <w:ind w:firstLine="420" w:firstLineChars="200"/>
        <w:jc w:val="both"/>
        <w:rPr>
          <w:rFonts w:hint="eastAsia" w:eastAsia="宋体" w:cs="宋体"/>
          <w:sz w:val="21"/>
          <w:szCs w:val="21"/>
        </w:rPr>
      </w:pPr>
      <w:r>
        <w:rPr>
          <w:rFonts w:hint="eastAsia" w:eastAsia="宋体" w:cs="宋体"/>
          <w:sz w:val="21"/>
          <w:szCs w:val="21"/>
        </w:rPr>
        <w:t>本公司（联合体）郑重声明，根据《政府采购促进中小企业发展管理办法》（财库﹝2020﹞46号）的规定，本公司（联合体）参加</w:t>
      </w:r>
      <w:r>
        <w:rPr>
          <w:rFonts w:hint="eastAsia" w:eastAsia="宋体" w:cs="宋体"/>
          <w:b/>
          <w:bCs/>
          <w:i/>
          <w:iCs/>
          <w:sz w:val="21"/>
          <w:szCs w:val="21"/>
          <w:u w:val="single"/>
        </w:rPr>
        <w:t xml:space="preserve">    （单位名称）    </w:t>
      </w:r>
      <w:r>
        <w:rPr>
          <w:rFonts w:hint="eastAsia" w:eastAsia="宋体" w:cs="宋体"/>
          <w:sz w:val="21"/>
          <w:szCs w:val="21"/>
        </w:rPr>
        <w:t>的</w:t>
      </w:r>
      <w:r>
        <w:rPr>
          <w:rFonts w:hint="eastAsia" w:eastAsia="宋体" w:cs="宋体"/>
          <w:b/>
          <w:bCs/>
          <w:i/>
          <w:iCs/>
          <w:sz w:val="21"/>
          <w:szCs w:val="21"/>
          <w:u w:val="single"/>
        </w:rPr>
        <w:t xml:space="preserve">    （项目名称）    </w:t>
      </w:r>
      <w:r>
        <w:rPr>
          <w:rFonts w:hint="eastAsia" w:eastAsia="宋体" w:cs="宋体"/>
          <w:sz w:val="21"/>
          <w:szCs w:val="21"/>
        </w:rPr>
        <w:t>采购活动，</w:t>
      </w:r>
      <w:r>
        <w:rPr>
          <w:rFonts w:hint="eastAsia" w:eastAsia="宋体" w:cs="宋体"/>
          <w:b/>
          <w:bCs/>
          <w:color w:val="FF0000"/>
          <w:sz w:val="21"/>
          <w:szCs w:val="21"/>
          <w:highlight w:val="yellow"/>
        </w:rPr>
        <w:t>提供的货物全部由符合政策要求的中小企业制造。</w:t>
      </w:r>
      <w:r>
        <w:rPr>
          <w:rFonts w:hint="eastAsia" w:eastAsia="宋体" w:cs="宋体"/>
          <w:sz w:val="21"/>
          <w:szCs w:val="21"/>
        </w:rPr>
        <w:t>相关企业（含联合体中的中小企业、签订分包意向协议的中小企业）的具体情况如下：</w:t>
      </w:r>
    </w:p>
    <w:tbl>
      <w:tblPr>
        <w:tblStyle w:val="17"/>
        <w:tblW w:w="55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00"/>
        <w:gridCol w:w="1576"/>
        <w:gridCol w:w="790"/>
        <w:gridCol w:w="1099"/>
        <w:gridCol w:w="1095"/>
        <w:gridCol w:w="1141"/>
        <w:gridCol w:w="1591"/>
      </w:tblGrid>
      <w:tr w14:paraId="0C11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1F6F98D">
            <w:pPr>
              <w:widowControl/>
              <w:ind w:left="420" w:hanging="420"/>
              <w:jc w:val="center"/>
              <w:rPr>
                <w:rFonts w:hint="eastAsia" w:ascii="宋体" w:hAnsi="宋体" w:eastAsia="宋体" w:cs="Times New Roman"/>
                <w:b/>
                <w:bCs/>
                <w:color w:val="000000"/>
                <w:szCs w:val="21"/>
              </w:rPr>
            </w:pPr>
            <w:r>
              <w:rPr>
                <w:rFonts w:hint="eastAsia" w:ascii="宋体" w:hAnsi="宋体" w:eastAsia="宋体" w:cs="宋体"/>
                <w:b/>
                <w:bCs/>
                <w:color w:val="000000"/>
                <w:kern w:val="0"/>
                <w:szCs w:val="21"/>
              </w:rPr>
              <w:t>序号</w:t>
            </w:r>
          </w:p>
        </w:tc>
        <w:tc>
          <w:tcPr>
            <w:tcW w:w="1501" w:type="dxa"/>
            <w:tcBorders>
              <w:top w:val="single" w:color="auto" w:sz="4" w:space="0"/>
              <w:left w:val="nil"/>
              <w:bottom w:val="single" w:color="auto" w:sz="4" w:space="0"/>
              <w:right w:val="single" w:color="auto" w:sz="4" w:space="0"/>
            </w:tcBorders>
            <w:shd w:val="clear" w:color="auto" w:fill="auto"/>
            <w:vAlign w:val="center"/>
          </w:tcPr>
          <w:p w14:paraId="6B20ADF0">
            <w:pPr>
              <w:widowControl/>
              <w:jc w:val="center"/>
              <w:rPr>
                <w:rFonts w:hint="eastAsia" w:ascii="宋体" w:hAnsi="宋体" w:eastAsia="宋体" w:cs="Times New Roman"/>
                <w:b/>
                <w:bCs/>
                <w:color w:val="000000"/>
                <w:kern w:val="0"/>
                <w:szCs w:val="21"/>
              </w:rPr>
            </w:pPr>
            <w:r>
              <w:rPr>
                <w:rFonts w:hint="eastAsia" w:ascii="宋体" w:hAnsi="宋体" w:eastAsia="宋体" w:cs="宋体"/>
                <w:b/>
                <w:bCs/>
                <w:color w:val="000000"/>
                <w:kern w:val="0"/>
                <w:szCs w:val="21"/>
              </w:rPr>
              <w:t>货物名称</w:t>
            </w:r>
          </w:p>
          <w:p w14:paraId="7610447E">
            <w:pPr>
              <w:widowControl/>
              <w:jc w:val="center"/>
              <w:rPr>
                <w:rFonts w:hint="eastAsia" w:ascii="宋体" w:hAnsi="宋体" w:eastAsia="宋体" w:cs="Times New Roman"/>
                <w:b/>
                <w:bCs/>
                <w:color w:val="000000"/>
                <w:kern w:val="0"/>
                <w:szCs w:val="21"/>
              </w:rPr>
            </w:pPr>
            <w:r>
              <w:rPr>
                <w:rFonts w:hint="eastAsia" w:ascii="宋体" w:hAnsi="宋体" w:eastAsia="宋体" w:cs="宋体"/>
                <w:b/>
                <w:bCs/>
                <w:color w:val="000000"/>
                <w:kern w:val="0"/>
                <w:szCs w:val="21"/>
              </w:rPr>
              <w:t>（标的名称）</w:t>
            </w:r>
          </w:p>
        </w:tc>
        <w:tc>
          <w:tcPr>
            <w:tcW w:w="1577" w:type="dxa"/>
            <w:tcBorders>
              <w:top w:val="single" w:color="auto" w:sz="4" w:space="0"/>
              <w:left w:val="nil"/>
              <w:bottom w:val="single" w:color="auto" w:sz="4" w:space="0"/>
              <w:right w:val="single" w:color="auto" w:sz="4" w:space="0"/>
            </w:tcBorders>
            <w:shd w:val="clear" w:color="auto" w:fill="auto"/>
            <w:vAlign w:val="center"/>
          </w:tcPr>
          <w:p w14:paraId="2ECF55BE">
            <w:pPr>
              <w:widowControl/>
              <w:jc w:val="center"/>
              <w:rPr>
                <w:rFonts w:hint="eastAsia" w:ascii="宋体" w:hAnsi="宋体" w:eastAsia="宋体" w:cs="Times New Roman"/>
                <w:b/>
                <w:bCs/>
                <w:color w:val="FF0000"/>
                <w:kern w:val="0"/>
                <w:szCs w:val="21"/>
              </w:rPr>
            </w:pPr>
            <w:r>
              <w:rPr>
                <w:rFonts w:hint="eastAsia" w:ascii="宋体" w:hAnsi="宋体" w:eastAsia="宋体" w:cs="宋体"/>
                <w:b/>
                <w:bCs/>
                <w:color w:val="000000"/>
                <w:kern w:val="0"/>
                <w:szCs w:val="21"/>
              </w:rPr>
              <w:t>采购文件中明确的所属行业</w:t>
            </w:r>
          </w:p>
        </w:tc>
        <w:tc>
          <w:tcPr>
            <w:tcW w:w="791" w:type="dxa"/>
            <w:tcBorders>
              <w:top w:val="single" w:color="auto" w:sz="4" w:space="0"/>
              <w:left w:val="nil"/>
              <w:bottom w:val="single" w:color="auto" w:sz="4" w:space="0"/>
              <w:right w:val="single" w:color="auto" w:sz="4" w:space="0"/>
            </w:tcBorders>
            <w:shd w:val="clear" w:color="auto" w:fill="auto"/>
            <w:vAlign w:val="center"/>
          </w:tcPr>
          <w:p w14:paraId="7E48538D">
            <w:pPr>
              <w:widowControl/>
              <w:jc w:val="center"/>
              <w:rPr>
                <w:rFonts w:hint="eastAsia" w:ascii="宋体" w:hAnsi="宋体" w:eastAsia="宋体" w:cs="Times New Roman"/>
                <w:b/>
                <w:bCs/>
                <w:color w:val="000000"/>
                <w:kern w:val="0"/>
                <w:szCs w:val="21"/>
              </w:rPr>
            </w:pPr>
            <w:r>
              <w:rPr>
                <w:rFonts w:hint="eastAsia" w:ascii="宋体" w:hAnsi="宋体" w:eastAsia="宋体" w:cs="宋体"/>
                <w:b/>
                <w:bCs/>
                <w:color w:val="000000"/>
                <w:kern w:val="0"/>
                <w:szCs w:val="21"/>
              </w:rPr>
              <w:t>制造商</w:t>
            </w:r>
          </w:p>
        </w:tc>
        <w:tc>
          <w:tcPr>
            <w:tcW w:w="1100" w:type="dxa"/>
            <w:tcBorders>
              <w:top w:val="single" w:color="auto" w:sz="4" w:space="0"/>
              <w:left w:val="nil"/>
              <w:bottom w:val="single" w:color="auto" w:sz="4" w:space="0"/>
              <w:right w:val="single" w:color="auto" w:sz="4" w:space="0"/>
            </w:tcBorders>
            <w:shd w:val="clear" w:color="auto" w:fill="auto"/>
            <w:vAlign w:val="center"/>
          </w:tcPr>
          <w:p w14:paraId="5F2F0D1E">
            <w:pPr>
              <w:widowControl/>
              <w:jc w:val="center"/>
              <w:rPr>
                <w:rFonts w:hint="eastAsia" w:ascii="宋体" w:hAnsi="宋体" w:eastAsia="宋体" w:cs="Times New Roman"/>
                <w:b/>
                <w:bCs/>
                <w:color w:val="000000"/>
                <w:kern w:val="0"/>
                <w:szCs w:val="21"/>
              </w:rPr>
            </w:pPr>
            <w:r>
              <w:rPr>
                <w:rFonts w:hint="eastAsia" w:ascii="宋体" w:hAnsi="宋体" w:eastAsia="宋体" w:cs="宋体"/>
                <w:b/>
                <w:bCs/>
                <w:color w:val="000000"/>
                <w:kern w:val="0"/>
                <w:szCs w:val="21"/>
              </w:rPr>
              <w:t>从业人员</w:t>
            </w:r>
          </w:p>
          <w:p w14:paraId="5D46F593">
            <w:pPr>
              <w:widowControl/>
              <w:jc w:val="center"/>
              <w:rPr>
                <w:rFonts w:hint="eastAsia" w:ascii="宋体" w:hAnsi="宋体" w:eastAsia="宋体" w:cs="Times New Roman"/>
                <w:b/>
                <w:bCs/>
                <w:color w:val="000000"/>
                <w:kern w:val="0"/>
                <w:szCs w:val="21"/>
              </w:rPr>
            </w:pPr>
            <w:r>
              <w:rPr>
                <w:rFonts w:hint="eastAsia" w:ascii="宋体" w:hAnsi="宋体" w:eastAsia="宋体" w:cs="宋体"/>
                <w:b/>
                <w:bCs/>
                <w:color w:val="000000"/>
                <w:kern w:val="0"/>
                <w:szCs w:val="21"/>
              </w:rPr>
              <w:t>（人）</w:t>
            </w:r>
          </w:p>
        </w:tc>
        <w:tc>
          <w:tcPr>
            <w:tcW w:w="1096" w:type="dxa"/>
            <w:tcBorders>
              <w:top w:val="single" w:color="auto" w:sz="4" w:space="0"/>
              <w:left w:val="nil"/>
              <w:bottom w:val="single" w:color="auto" w:sz="4" w:space="0"/>
              <w:right w:val="single" w:color="auto" w:sz="4" w:space="0"/>
            </w:tcBorders>
            <w:shd w:val="clear" w:color="auto" w:fill="auto"/>
            <w:vAlign w:val="center"/>
          </w:tcPr>
          <w:p w14:paraId="37896143">
            <w:pPr>
              <w:widowControl/>
              <w:jc w:val="center"/>
              <w:rPr>
                <w:rFonts w:hint="eastAsia" w:ascii="宋体" w:hAnsi="宋体" w:eastAsia="宋体" w:cs="Times New Roman"/>
                <w:b/>
                <w:bCs/>
                <w:color w:val="000000"/>
                <w:kern w:val="0"/>
                <w:szCs w:val="21"/>
              </w:rPr>
            </w:pPr>
            <w:r>
              <w:rPr>
                <w:rFonts w:hint="eastAsia" w:ascii="宋体" w:hAnsi="宋体" w:eastAsia="宋体" w:cs="宋体"/>
                <w:b/>
                <w:bCs/>
                <w:color w:val="000000"/>
                <w:kern w:val="0"/>
                <w:szCs w:val="21"/>
              </w:rPr>
              <w:t>营业收入</w:t>
            </w:r>
          </w:p>
          <w:p w14:paraId="632D52E1">
            <w:pPr>
              <w:widowControl/>
              <w:jc w:val="center"/>
              <w:rPr>
                <w:rFonts w:hint="eastAsia" w:ascii="宋体" w:hAnsi="宋体" w:eastAsia="宋体" w:cs="Times New Roman"/>
                <w:b/>
                <w:bCs/>
                <w:color w:val="000000"/>
                <w:kern w:val="0"/>
                <w:szCs w:val="21"/>
              </w:rPr>
            </w:pPr>
            <w:r>
              <w:rPr>
                <w:rFonts w:hint="eastAsia" w:ascii="宋体" w:hAnsi="宋体" w:eastAsia="宋体" w:cs="宋体"/>
                <w:b/>
                <w:bCs/>
                <w:color w:val="000000"/>
                <w:kern w:val="0"/>
                <w:szCs w:val="21"/>
              </w:rPr>
              <w:t>（万元）</w:t>
            </w:r>
          </w:p>
        </w:tc>
        <w:tc>
          <w:tcPr>
            <w:tcW w:w="1142" w:type="dxa"/>
            <w:tcBorders>
              <w:top w:val="single" w:color="auto" w:sz="4" w:space="0"/>
              <w:left w:val="nil"/>
              <w:bottom w:val="single" w:color="auto" w:sz="4" w:space="0"/>
              <w:right w:val="single" w:color="auto" w:sz="4" w:space="0"/>
            </w:tcBorders>
            <w:shd w:val="clear" w:color="auto" w:fill="auto"/>
            <w:vAlign w:val="center"/>
          </w:tcPr>
          <w:p w14:paraId="04563957">
            <w:pPr>
              <w:widowControl/>
              <w:jc w:val="center"/>
              <w:rPr>
                <w:rFonts w:hint="eastAsia" w:ascii="宋体" w:hAnsi="宋体" w:eastAsia="宋体" w:cs="Times New Roman"/>
                <w:b/>
                <w:bCs/>
                <w:color w:val="000000"/>
                <w:kern w:val="0"/>
                <w:szCs w:val="21"/>
              </w:rPr>
            </w:pPr>
            <w:r>
              <w:rPr>
                <w:rFonts w:hint="eastAsia" w:ascii="宋体" w:hAnsi="宋体" w:eastAsia="宋体" w:cs="宋体"/>
                <w:b/>
                <w:bCs/>
                <w:color w:val="000000"/>
                <w:kern w:val="0"/>
                <w:szCs w:val="21"/>
              </w:rPr>
              <w:t>资产总额</w:t>
            </w:r>
          </w:p>
          <w:p w14:paraId="78BDE8B3">
            <w:pPr>
              <w:widowControl/>
              <w:jc w:val="center"/>
              <w:rPr>
                <w:rFonts w:hint="eastAsia" w:ascii="宋体" w:hAnsi="宋体" w:eastAsia="宋体" w:cs="Times New Roman"/>
                <w:b/>
                <w:bCs/>
                <w:color w:val="000000"/>
                <w:kern w:val="0"/>
                <w:szCs w:val="21"/>
              </w:rPr>
            </w:pPr>
            <w:r>
              <w:rPr>
                <w:rFonts w:hint="eastAsia" w:ascii="宋体" w:hAnsi="宋体" w:eastAsia="宋体" w:cs="宋体"/>
                <w:b/>
                <w:bCs/>
                <w:color w:val="000000"/>
                <w:kern w:val="0"/>
                <w:szCs w:val="21"/>
              </w:rPr>
              <w:t>（万元）</w:t>
            </w:r>
          </w:p>
        </w:tc>
        <w:tc>
          <w:tcPr>
            <w:tcW w:w="1592" w:type="dxa"/>
            <w:tcBorders>
              <w:top w:val="single" w:color="auto" w:sz="4" w:space="0"/>
              <w:left w:val="nil"/>
              <w:bottom w:val="single" w:color="auto" w:sz="4" w:space="0"/>
              <w:right w:val="single" w:color="auto" w:sz="4" w:space="0"/>
            </w:tcBorders>
            <w:shd w:val="clear" w:color="auto" w:fill="auto"/>
            <w:vAlign w:val="center"/>
          </w:tcPr>
          <w:p w14:paraId="6E5434E4">
            <w:pPr>
              <w:widowControl/>
              <w:jc w:val="center"/>
              <w:rPr>
                <w:rFonts w:hint="eastAsia" w:ascii="宋体" w:hAnsi="宋体" w:eastAsia="宋体" w:cs="Times New Roman"/>
                <w:b/>
                <w:bCs/>
                <w:color w:val="000000"/>
                <w:kern w:val="0"/>
                <w:szCs w:val="21"/>
              </w:rPr>
            </w:pPr>
            <w:r>
              <w:rPr>
                <w:rFonts w:hint="eastAsia" w:ascii="宋体" w:hAnsi="宋体" w:eastAsia="宋体" w:cs="宋体"/>
                <w:b/>
                <w:bCs/>
                <w:color w:val="000000"/>
                <w:kern w:val="0"/>
                <w:szCs w:val="21"/>
              </w:rPr>
              <w:t>中型企业或</w:t>
            </w:r>
          </w:p>
          <w:p w14:paraId="3D68D946">
            <w:pPr>
              <w:widowControl/>
              <w:jc w:val="center"/>
              <w:rPr>
                <w:rFonts w:hint="eastAsia" w:ascii="宋体" w:hAnsi="宋体" w:eastAsia="宋体" w:cs="Times New Roman"/>
                <w:b/>
                <w:bCs/>
                <w:color w:val="000000"/>
                <w:kern w:val="0"/>
                <w:szCs w:val="21"/>
              </w:rPr>
            </w:pPr>
            <w:r>
              <w:rPr>
                <w:rFonts w:hint="eastAsia" w:ascii="宋体" w:hAnsi="宋体" w:eastAsia="宋体" w:cs="宋体"/>
                <w:b/>
                <w:bCs/>
                <w:color w:val="000000"/>
                <w:kern w:val="0"/>
                <w:szCs w:val="21"/>
              </w:rPr>
              <w:t>小型企业或</w:t>
            </w:r>
          </w:p>
          <w:p w14:paraId="1BA5768D">
            <w:pPr>
              <w:widowControl/>
              <w:jc w:val="center"/>
              <w:rPr>
                <w:rFonts w:hint="eastAsia" w:ascii="宋体" w:hAnsi="宋体" w:eastAsia="宋体" w:cs="Times New Roman"/>
                <w:b/>
                <w:bCs/>
                <w:color w:val="000000"/>
                <w:kern w:val="0"/>
                <w:szCs w:val="21"/>
              </w:rPr>
            </w:pPr>
            <w:r>
              <w:rPr>
                <w:rFonts w:hint="eastAsia" w:ascii="宋体" w:hAnsi="宋体" w:eastAsia="宋体" w:cs="宋体"/>
                <w:b/>
                <w:bCs/>
                <w:color w:val="000000"/>
                <w:kern w:val="0"/>
                <w:szCs w:val="21"/>
              </w:rPr>
              <w:t>微型企业</w:t>
            </w:r>
          </w:p>
        </w:tc>
      </w:tr>
      <w:tr w14:paraId="01AA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E5E4E4B">
            <w:pPr>
              <w:widowControl/>
              <w:spacing w:line="320" w:lineRule="exact"/>
              <w:jc w:val="center"/>
              <w:rPr>
                <w:rFonts w:hint="eastAsia" w:ascii="宋体" w:hAnsi="宋体" w:eastAsia="宋体" w:cs="Times New Roman"/>
                <w:kern w:val="0"/>
                <w:sz w:val="24"/>
                <w:szCs w:val="24"/>
              </w:rPr>
            </w:pPr>
            <w:r>
              <w:rPr>
                <w:rFonts w:hint="eastAsia" w:ascii="宋体" w:hAnsi="宋体" w:eastAsia="宋体" w:cs="宋体"/>
                <w:color w:val="000000"/>
                <w:kern w:val="0"/>
                <w:sz w:val="22"/>
              </w:rPr>
              <w:t>1</w:t>
            </w:r>
          </w:p>
        </w:tc>
        <w:tc>
          <w:tcPr>
            <w:tcW w:w="1501" w:type="dxa"/>
            <w:tcBorders>
              <w:top w:val="single" w:color="auto" w:sz="4" w:space="0"/>
              <w:left w:val="nil"/>
              <w:bottom w:val="single" w:color="auto" w:sz="4" w:space="0"/>
              <w:right w:val="single" w:color="auto" w:sz="4" w:space="0"/>
            </w:tcBorders>
            <w:shd w:val="clear" w:color="auto" w:fill="auto"/>
            <w:vAlign w:val="center"/>
          </w:tcPr>
          <w:p w14:paraId="737BC2F3">
            <w:pPr>
              <w:widowControl/>
              <w:spacing w:line="320" w:lineRule="exact"/>
              <w:jc w:val="center"/>
              <w:rPr>
                <w:rFonts w:hint="eastAsia" w:ascii="宋体" w:hAnsi="宋体" w:eastAsia="宋体" w:cs="Times New Roman"/>
                <w:b/>
                <w:bCs/>
                <w:color w:val="000000"/>
                <w:kern w:val="0"/>
                <w:sz w:val="24"/>
                <w:szCs w:val="24"/>
              </w:rPr>
            </w:pPr>
          </w:p>
        </w:tc>
        <w:tc>
          <w:tcPr>
            <w:tcW w:w="1577" w:type="dxa"/>
            <w:vMerge w:val="restart"/>
            <w:tcBorders>
              <w:top w:val="nil"/>
              <w:left w:val="nil"/>
              <w:bottom w:val="single" w:color="auto" w:sz="4" w:space="0"/>
              <w:right w:val="single" w:color="auto" w:sz="4" w:space="0"/>
            </w:tcBorders>
            <w:shd w:val="clear" w:color="auto" w:fill="auto"/>
            <w:vAlign w:val="center"/>
          </w:tcPr>
          <w:p w14:paraId="32925BA5">
            <w:pPr>
              <w:widowControl/>
              <w:jc w:val="center"/>
              <w:rPr>
                <w:rFonts w:hint="eastAsia" w:ascii="宋体" w:hAnsi="宋体" w:eastAsia="宋体" w:cs="Times New Roman"/>
                <w:b/>
                <w:bCs/>
                <w:color w:val="FF0000"/>
                <w:kern w:val="0"/>
                <w:szCs w:val="21"/>
              </w:rPr>
            </w:pPr>
            <w:r>
              <w:rPr>
                <w:rFonts w:hint="eastAsia" w:ascii="宋体" w:hAnsi="宋体" w:eastAsia="宋体" w:cs="Times New Roman"/>
                <w:b/>
                <w:bCs/>
                <w:color w:val="FF0000"/>
                <w:kern w:val="0"/>
                <w:szCs w:val="21"/>
              </w:rPr>
              <w:t>工业</w:t>
            </w:r>
          </w:p>
        </w:tc>
        <w:tc>
          <w:tcPr>
            <w:tcW w:w="791" w:type="dxa"/>
            <w:tcBorders>
              <w:top w:val="single" w:color="auto" w:sz="4" w:space="0"/>
              <w:left w:val="nil"/>
              <w:bottom w:val="single" w:color="auto" w:sz="4" w:space="0"/>
              <w:right w:val="single" w:color="auto" w:sz="4" w:space="0"/>
            </w:tcBorders>
            <w:shd w:val="clear" w:color="auto" w:fill="auto"/>
            <w:vAlign w:val="center"/>
          </w:tcPr>
          <w:p w14:paraId="152CF619">
            <w:pPr>
              <w:widowControl/>
              <w:jc w:val="center"/>
              <w:rPr>
                <w:rFonts w:hint="eastAsia" w:ascii="宋体" w:hAnsi="宋体" w:eastAsia="宋体" w:cs="Times New Roman"/>
                <w:b/>
                <w:bCs/>
                <w:color w:val="000000"/>
                <w:kern w:val="0"/>
                <w:sz w:val="24"/>
                <w:szCs w:val="24"/>
              </w:rPr>
            </w:pPr>
          </w:p>
        </w:tc>
        <w:tc>
          <w:tcPr>
            <w:tcW w:w="1100" w:type="dxa"/>
            <w:tcBorders>
              <w:top w:val="single" w:color="auto" w:sz="4" w:space="0"/>
              <w:left w:val="nil"/>
              <w:bottom w:val="single" w:color="auto" w:sz="4" w:space="0"/>
              <w:right w:val="single" w:color="auto" w:sz="4" w:space="0"/>
            </w:tcBorders>
            <w:shd w:val="clear" w:color="auto" w:fill="auto"/>
            <w:vAlign w:val="center"/>
          </w:tcPr>
          <w:p w14:paraId="5166688B">
            <w:pPr>
              <w:widowControl/>
              <w:jc w:val="center"/>
              <w:rPr>
                <w:rFonts w:hint="eastAsia" w:ascii="宋体" w:hAnsi="宋体" w:eastAsia="宋体" w:cs="Times New Roman"/>
                <w:b/>
                <w:bCs/>
                <w:color w:val="000000"/>
                <w:kern w:val="0"/>
                <w:sz w:val="24"/>
                <w:szCs w:val="24"/>
              </w:rPr>
            </w:pPr>
          </w:p>
        </w:tc>
        <w:tc>
          <w:tcPr>
            <w:tcW w:w="1096" w:type="dxa"/>
            <w:tcBorders>
              <w:top w:val="single" w:color="auto" w:sz="4" w:space="0"/>
              <w:left w:val="nil"/>
              <w:bottom w:val="single" w:color="auto" w:sz="4" w:space="0"/>
              <w:right w:val="single" w:color="auto" w:sz="4" w:space="0"/>
            </w:tcBorders>
            <w:shd w:val="clear" w:color="auto" w:fill="auto"/>
            <w:vAlign w:val="center"/>
          </w:tcPr>
          <w:p w14:paraId="7A60536D">
            <w:pPr>
              <w:widowControl/>
              <w:jc w:val="center"/>
              <w:rPr>
                <w:rFonts w:hint="eastAsia" w:ascii="宋体" w:hAnsi="宋体" w:eastAsia="宋体" w:cs="Times New Roman"/>
                <w:b/>
                <w:bCs/>
                <w:color w:val="000000"/>
                <w:kern w:val="0"/>
                <w:sz w:val="24"/>
                <w:szCs w:val="24"/>
              </w:rPr>
            </w:pPr>
          </w:p>
        </w:tc>
        <w:tc>
          <w:tcPr>
            <w:tcW w:w="1142" w:type="dxa"/>
            <w:tcBorders>
              <w:top w:val="single" w:color="auto" w:sz="4" w:space="0"/>
              <w:left w:val="nil"/>
              <w:bottom w:val="single" w:color="auto" w:sz="4" w:space="0"/>
              <w:right w:val="single" w:color="auto" w:sz="4" w:space="0"/>
            </w:tcBorders>
            <w:shd w:val="clear" w:color="auto" w:fill="auto"/>
            <w:vAlign w:val="center"/>
          </w:tcPr>
          <w:p w14:paraId="01C98EED">
            <w:pPr>
              <w:widowControl/>
              <w:jc w:val="center"/>
              <w:rPr>
                <w:rFonts w:hint="eastAsia" w:ascii="宋体" w:hAnsi="宋体" w:eastAsia="宋体" w:cs="Times New Roman"/>
                <w:b/>
                <w:bCs/>
                <w:color w:val="000000"/>
                <w:kern w:val="0"/>
                <w:sz w:val="24"/>
                <w:szCs w:val="24"/>
              </w:rPr>
            </w:pPr>
          </w:p>
        </w:tc>
        <w:tc>
          <w:tcPr>
            <w:tcW w:w="1592" w:type="dxa"/>
            <w:tcBorders>
              <w:top w:val="single" w:color="auto" w:sz="4" w:space="0"/>
              <w:left w:val="nil"/>
              <w:bottom w:val="single" w:color="auto" w:sz="4" w:space="0"/>
              <w:right w:val="single" w:color="auto" w:sz="4" w:space="0"/>
            </w:tcBorders>
            <w:shd w:val="clear" w:color="auto" w:fill="auto"/>
            <w:vAlign w:val="center"/>
          </w:tcPr>
          <w:p w14:paraId="53415253">
            <w:pPr>
              <w:widowControl/>
              <w:jc w:val="center"/>
              <w:rPr>
                <w:rFonts w:hint="eastAsia" w:ascii="宋体" w:hAnsi="宋体" w:eastAsia="宋体" w:cs="Times New Roman"/>
                <w:b/>
                <w:bCs/>
                <w:color w:val="000000"/>
                <w:kern w:val="0"/>
                <w:sz w:val="24"/>
                <w:szCs w:val="24"/>
              </w:rPr>
            </w:pPr>
          </w:p>
        </w:tc>
      </w:tr>
      <w:tr w14:paraId="379A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76C74DA">
            <w:pPr>
              <w:widowControl/>
              <w:spacing w:line="320" w:lineRule="exact"/>
              <w:jc w:val="center"/>
              <w:rPr>
                <w:rFonts w:hint="eastAsia" w:ascii="宋体" w:hAnsi="宋体" w:eastAsia="宋体" w:cs="Times New Roman"/>
                <w:kern w:val="0"/>
                <w:sz w:val="24"/>
                <w:szCs w:val="24"/>
              </w:rPr>
            </w:pPr>
            <w:r>
              <w:rPr>
                <w:rFonts w:hint="eastAsia" w:ascii="宋体" w:hAnsi="宋体" w:eastAsia="宋体" w:cs="宋体"/>
                <w:color w:val="000000"/>
                <w:kern w:val="0"/>
                <w:sz w:val="22"/>
              </w:rPr>
              <w:t>2</w:t>
            </w:r>
          </w:p>
        </w:tc>
        <w:tc>
          <w:tcPr>
            <w:tcW w:w="1501" w:type="dxa"/>
            <w:tcBorders>
              <w:top w:val="single" w:color="auto" w:sz="4" w:space="0"/>
              <w:left w:val="nil"/>
              <w:bottom w:val="single" w:color="auto" w:sz="4" w:space="0"/>
              <w:right w:val="single" w:color="auto" w:sz="4" w:space="0"/>
            </w:tcBorders>
            <w:shd w:val="clear" w:color="auto" w:fill="auto"/>
            <w:vAlign w:val="center"/>
          </w:tcPr>
          <w:p w14:paraId="0707136F">
            <w:pPr>
              <w:widowControl/>
              <w:spacing w:line="320" w:lineRule="exact"/>
              <w:jc w:val="center"/>
              <w:rPr>
                <w:rFonts w:hint="eastAsia" w:ascii="宋体" w:hAnsi="宋体" w:eastAsia="宋体" w:cs="Times New Roman"/>
                <w:b/>
                <w:bCs/>
                <w:color w:val="000000"/>
                <w:kern w:val="0"/>
                <w:sz w:val="24"/>
                <w:szCs w:val="24"/>
              </w:rPr>
            </w:pPr>
          </w:p>
        </w:tc>
        <w:tc>
          <w:tcPr>
            <w:tcW w:w="1577" w:type="dxa"/>
            <w:vMerge w:val="continue"/>
            <w:tcBorders>
              <w:top w:val="nil"/>
              <w:left w:val="nil"/>
              <w:bottom w:val="single" w:color="auto" w:sz="4" w:space="0"/>
              <w:right w:val="single" w:color="auto" w:sz="4" w:space="0"/>
            </w:tcBorders>
            <w:shd w:val="clear" w:color="auto" w:fill="auto"/>
            <w:vAlign w:val="center"/>
          </w:tcPr>
          <w:p w14:paraId="7AAF478D">
            <w:pPr>
              <w:rPr>
                <w:rFonts w:ascii="Times New Roman" w:hAnsi="Times New Roman" w:cs="Times New Roman"/>
                <w:sz w:val="20"/>
                <w:szCs w:val="20"/>
              </w:rPr>
            </w:pPr>
          </w:p>
        </w:tc>
        <w:tc>
          <w:tcPr>
            <w:tcW w:w="791" w:type="dxa"/>
            <w:tcBorders>
              <w:top w:val="single" w:color="auto" w:sz="4" w:space="0"/>
              <w:left w:val="nil"/>
              <w:bottom w:val="single" w:color="auto" w:sz="4" w:space="0"/>
              <w:right w:val="single" w:color="auto" w:sz="4" w:space="0"/>
            </w:tcBorders>
            <w:shd w:val="clear" w:color="auto" w:fill="auto"/>
            <w:vAlign w:val="center"/>
          </w:tcPr>
          <w:p w14:paraId="0541D237">
            <w:pPr>
              <w:widowControl/>
              <w:jc w:val="center"/>
              <w:rPr>
                <w:rFonts w:hint="eastAsia" w:ascii="宋体" w:hAnsi="宋体" w:eastAsia="宋体" w:cs="Times New Roman"/>
                <w:b/>
                <w:bCs/>
                <w:color w:val="000000"/>
                <w:kern w:val="0"/>
                <w:sz w:val="24"/>
                <w:szCs w:val="24"/>
              </w:rPr>
            </w:pPr>
          </w:p>
        </w:tc>
        <w:tc>
          <w:tcPr>
            <w:tcW w:w="1100" w:type="dxa"/>
            <w:tcBorders>
              <w:top w:val="single" w:color="auto" w:sz="4" w:space="0"/>
              <w:left w:val="nil"/>
              <w:bottom w:val="single" w:color="auto" w:sz="4" w:space="0"/>
              <w:right w:val="single" w:color="auto" w:sz="4" w:space="0"/>
            </w:tcBorders>
            <w:shd w:val="clear" w:color="auto" w:fill="auto"/>
            <w:vAlign w:val="center"/>
          </w:tcPr>
          <w:p w14:paraId="33E5DFC3">
            <w:pPr>
              <w:widowControl/>
              <w:jc w:val="center"/>
              <w:rPr>
                <w:rFonts w:hint="eastAsia" w:ascii="宋体" w:hAnsi="宋体" w:eastAsia="宋体" w:cs="Times New Roman"/>
                <w:b/>
                <w:bCs/>
                <w:color w:val="000000"/>
                <w:kern w:val="0"/>
                <w:sz w:val="24"/>
                <w:szCs w:val="24"/>
              </w:rPr>
            </w:pPr>
          </w:p>
        </w:tc>
        <w:tc>
          <w:tcPr>
            <w:tcW w:w="1096" w:type="dxa"/>
            <w:tcBorders>
              <w:top w:val="single" w:color="auto" w:sz="4" w:space="0"/>
              <w:left w:val="nil"/>
              <w:bottom w:val="single" w:color="auto" w:sz="4" w:space="0"/>
              <w:right w:val="single" w:color="auto" w:sz="4" w:space="0"/>
            </w:tcBorders>
            <w:shd w:val="clear" w:color="auto" w:fill="auto"/>
            <w:vAlign w:val="center"/>
          </w:tcPr>
          <w:p w14:paraId="18D7B1CB">
            <w:pPr>
              <w:widowControl/>
              <w:jc w:val="center"/>
              <w:rPr>
                <w:rFonts w:hint="eastAsia" w:ascii="宋体" w:hAnsi="宋体" w:eastAsia="宋体" w:cs="Times New Roman"/>
                <w:b/>
                <w:bCs/>
                <w:color w:val="000000"/>
                <w:kern w:val="0"/>
                <w:sz w:val="24"/>
                <w:szCs w:val="24"/>
              </w:rPr>
            </w:pPr>
          </w:p>
        </w:tc>
        <w:tc>
          <w:tcPr>
            <w:tcW w:w="1142" w:type="dxa"/>
            <w:tcBorders>
              <w:top w:val="single" w:color="auto" w:sz="4" w:space="0"/>
              <w:left w:val="nil"/>
              <w:bottom w:val="single" w:color="auto" w:sz="4" w:space="0"/>
              <w:right w:val="single" w:color="auto" w:sz="4" w:space="0"/>
            </w:tcBorders>
            <w:shd w:val="clear" w:color="auto" w:fill="auto"/>
            <w:vAlign w:val="center"/>
          </w:tcPr>
          <w:p w14:paraId="36B76570">
            <w:pPr>
              <w:widowControl/>
              <w:jc w:val="center"/>
              <w:rPr>
                <w:rFonts w:hint="eastAsia" w:ascii="宋体" w:hAnsi="宋体" w:eastAsia="宋体" w:cs="Times New Roman"/>
                <w:b/>
                <w:bCs/>
                <w:color w:val="000000"/>
                <w:kern w:val="0"/>
                <w:sz w:val="24"/>
                <w:szCs w:val="24"/>
              </w:rPr>
            </w:pPr>
          </w:p>
        </w:tc>
        <w:tc>
          <w:tcPr>
            <w:tcW w:w="1592" w:type="dxa"/>
            <w:tcBorders>
              <w:top w:val="single" w:color="auto" w:sz="4" w:space="0"/>
              <w:left w:val="nil"/>
              <w:bottom w:val="single" w:color="auto" w:sz="4" w:space="0"/>
              <w:right w:val="single" w:color="auto" w:sz="4" w:space="0"/>
            </w:tcBorders>
            <w:shd w:val="clear" w:color="auto" w:fill="auto"/>
            <w:vAlign w:val="center"/>
          </w:tcPr>
          <w:p w14:paraId="125D368C">
            <w:pPr>
              <w:widowControl/>
              <w:jc w:val="center"/>
              <w:rPr>
                <w:rFonts w:hint="eastAsia" w:ascii="宋体" w:hAnsi="宋体" w:eastAsia="宋体" w:cs="Times New Roman"/>
                <w:b/>
                <w:bCs/>
                <w:color w:val="000000"/>
                <w:kern w:val="0"/>
                <w:sz w:val="24"/>
                <w:szCs w:val="24"/>
              </w:rPr>
            </w:pPr>
          </w:p>
        </w:tc>
      </w:tr>
      <w:tr w14:paraId="2595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6CC661E">
            <w:pPr>
              <w:widowControl/>
              <w:spacing w:line="320" w:lineRule="exact"/>
              <w:jc w:val="center"/>
              <w:rPr>
                <w:rFonts w:hint="eastAsia" w:ascii="宋体" w:hAnsi="宋体" w:eastAsia="宋体" w:cs="Times New Roman"/>
                <w:kern w:val="0"/>
                <w:sz w:val="24"/>
                <w:szCs w:val="24"/>
              </w:rPr>
            </w:pPr>
            <w:r>
              <w:rPr>
                <w:rFonts w:hint="eastAsia" w:ascii="宋体" w:hAnsi="宋体" w:eastAsia="宋体" w:cs="宋体"/>
                <w:color w:val="000000"/>
                <w:kern w:val="0"/>
                <w:sz w:val="22"/>
              </w:rPr>
              <w:t>3</w:t>
            </w:r>
          </w:p>
        </w:tc>
        <w:tc>
          <w:tcPr>
            <w:tcW w:w="1501" w:type="dxa"/>
            <w:tcBorders>
              <w:top w:val="single" w:color="auto" w:sz="4" w:space="0"/>
              <w:left w:val="nil"/>
              <w:bottom w:val="single" w:color="auto" w:sz="4" w:space="0"/>
              <w:right w:val="single" w:color="auto" w:sz="4" w:space="0"/>
            </w:tcBorders>
            <w:shd w:val="clear" w:color="auto" w:fill="auto"/>
            <w:vAlign w:val="center"/>
          </w:tcPr>
          <w:p w14:paraId="2B5DDE2D">
            <w:pPr>
              <w:widowControl/>
              <w:spacing w:line="320" w:lineRule="exact"/>
              <w:jc w:val="center"/>
              <w:rPr>
                <w:rFonts w:hint="eastAsia" w:ascii="宋体" w:hAnsi="宋体" w:eastAsia="宋体" w:cs="Times New Roman"/>
                <w:b/>
                <w:bCs/>
                <w:color w:val="000000"/>
                <w:kern w:val="0"/>
                <w:sz w:val="24"/>
                <w:szCs w:val="24"/>
              </w:rPr>
            </w:pPr>
          </w:p>
        </w:tc>
        <w:tc>
          <w:tcPr>
            <w:tcW w:w="1577" w:type="dxa"/>
            <w:vMerge w:val="continue"/>
            <w:tcBorders>
              <w:top w:val="nil"/>
              <w:left w:val="nil"/>
              <w:bottom w:val="single" w:color="auto" w:sz="4" w:space="0"/>
              <w:right w:val="single" w:color="auto" w:sz="4" w:space="0"/>
            </w:tcBorders>
            <w:shd w:val="clear" w:color="auto" w:fill="auto"/>
            <w:vAlign w:val="center"/>
          </w:tcPr>
          <w:p w14:paraId="43113DB2">
            <w:pPr>
              <w:rPr>
                <w:rFonts w:ascii="Times New Roman" w:hAnsi="Times New Roman" w:cs="Times New Roman"/>
                <w:sz w:val="20"/>
                <w:szCs w:val="20"/>
              </w:rPr>
            </w:pPr>
          </w:p>
        </w:tc>
        <w:tc>
          <w:tcPr>
            <w:tcW w:w="791" w:type="dxa"/>
            <w:tcBorders>
              <w:top w:val="single" w:color="auto" w:sz="4" w:space="0"/>
              <w:left w:val="nil"/>
              <w:bottom w:val="single" w:color="auto" w:sz="4" w:space="0"/>
              <w:right w:val="single" w:color="auto" w:sz="4" w:space="0"/>
            </w:tcBorders>
            <w:shd w:val="clear" w:color="auto" w:fill="auto"/>
            <w:vAlign w:val="center"/>
          </w:tcPr>
          <w:p w14:paraId="56472571">
            <w:pPr>
              <w:widowControl/>
              <w:jc w:val="center"/>
              <w:rPr>
                <w:rFonts w:hint="eastAsia" w:ascii="宋体" w:hAnsi="宋体" w:eastAsia="宋体" w:cs="Times New Roman"/>
                <w:b/>
                <w:bCs/>
                <w:color w:val="000000"/>
                <w:kern w:val="0"/>
                <w:sz w:val="24"/>
                <w:szCs w:val="24"/>
              </w:rPr>
            </w:pPr>
          </w:p>
        </w:tc>
        <w:tc>
          <w:tcPr>
            <w:tcW w:w="1100" w:type="dxa"/>
            <w:tcBorders>
              <w:top w:val="single" w:color="auto" w:sz="4" w:space="0"/>
              <w:left w:val="nil"/>
              <w:bottom w:val="single" w:color="auto" w:sz="4" w:space="0"/>
              <w:right w:val="single" w:color="auto" w:sz="4" w:space="0"/>
            </w:tcBorders>
            <w:shd w:val="clear" w:color="auto" w:fill="auto"/>
            <w:vAlign w:val="center"/>
          </w:tcPr>
          <w:p w14:paraId="1922EA59">
            <w:pPr>
              <w:widowControl/>
              <w:jc w:val="center"/>
              <w:rPr>
                <w:rFonts w:hint="eastAsia" w:ascii="宋体" w:hAnsi="宋体" w:eastAsia="宋体" w:cs="Times New Roman"/>
                <w:b/>
                <w:bCs/>
                <w:color w:val="000000"/>
                <w:kern w:val="0"/>
                <w:sz w:val="24"/>
                <w:szCs w:val="24"/>
              </w:rPr>
            </w:pPr>
          </w:p>
        </w:tc>
        <w:tc>
          <w:tcPr>
            <w:tcW w:w="1096" w:type="dxa"/>
            <w:tcBorders>
              <w:top w:val="single" w:color="auto" w:sz="4" w:space="0"/>
              <w:left w:val="nil"/>
              <w:bottom w:val="single" w:color="auto" w:sz="4" w:space="0"/>
              <w:right w:val="single" w:color="auto" w:sz="4" w:space="0"/>
            </w:tcBorders>
            <w:shd w:val="clear" w:color="auto" w:fill="auto"/>
            <w:vAlign w:val="center"/>
          </w:tcPr>
          <w:p w14:paraId="2D9CA396">
            <w:pPr>
              <w:widowControl/>
              <w:jc w:val="center"/>
              <w:rPr>
                <w:rFonts w:hint="eastAsia" w:ascii="宋体" w:hAnsi="宋体" w:eastAsia="宋体" w:cs="Times New Roman"/>
                <w:b/>
                <w:bCs/>
                <w:color w:val="000000"/>
                <w:kern w:val="0"/>
                <w:sz w:val="24"/>
                <w:szCs w:val="24"/>
              </w:rPr>
            </w:pPr>
          </w:p>
        </w:tc>
        <w:tc>
          <w:tcPr>
            <w:tcW w:w="1142" w:type="dxa"/>
            <w:tcBorders>
              <w:top w:val="single" w:color="auto" w:sz="4" w:space="0"/>
              <w:left w:val="nil"/>
              <w:bottom w:val="single" w:color="auto" w:sz="4" w:space="0"/>
              <w:right w:val="single" w:color="auto" w:sz="4" w:space="0"/>
            </w:tcBorders>
            <w:shd w:val="clear" w:color="auto" w:fill="auto"/>
            <w:vAlign w:val="center"/>
          </w:tcPr>
          <w:p w14:paraId="701933F7">
            <w:pPr>
              <w:widowControl/>
              <w:jc w:val="center"/>
              <w:rPr>
                <w:rFonts w:hint="eastAsia" w:ascii="宋体" w:hAnsi="宋体" w:eastAsia="宋体" w:cs="Times New Roman"/>
                <w:b/>
                <w:bCs/>
                <w:color w:val="000000"/>
                <w:kern w:val="0"/>
                <w:sz w:val="24"/>
                <w:szCs w:val="24"/>
              </w:rPr>
            </w:pPr>
          </w:p>
        </w:tc>
        <w:tc>
          <w:tcPr>
            <w:tcW w:w="1592" w:type="dxa"/>
            <w:tcBorders>
              <w:top w:val="single" w:color="auto" w:sz="4" w:space="0"/>
              <w:left w:val="nil"/>
              <w:bottom w:val="single" w:color="auto" w:sz="4" w:space="0"/>
              <w:right w:val="single" w:color="auto" w:sz="4" w:space="0"/>
            </w:tcBorders>
            <w:shd w:val="clear" w:color="auto" w:fill="auto"/>
            <w:vAlign w:val="center"/>
          </w:tcPr>
          <w:p w14:paraId="15F840EF">
            <w:pPr>
              <w:widowControl/>
              <w:jc w:val="center"/>
              <w:rPr>
                <w:rFonts w:hint="eastAsia" w:ascii="宋体" w:hAnsi="宋体" w:eastAsia="宋体" w:cs="Times New Roman"/>
                <w:b/>
                <w:bCs/>
                <w:color w:val="000000"/>
                <w:kern w:val="0"/>
                <w:sz w:val="24"/>
                <w:szCs w:val="24"/>
              </w:rPr>
            </w:pPr>
          </w:p>
        </w:tc>
      </w:tr>
      <w:tr w14:paraId="4C2B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2A8FA7D">
            <w:pPr>
              <w:widowControl/>
              <w:spacing w:line="320" w:lineRule="exact"/>
              <w:jc w:val="center"/>
              <w:rPr>
                <w:rFonts w:hint="eastAsia" w:ascii="宋体" w:hAnsi="宋体" w:eastAsia="宋体" w:cs="Times New Roman"/>
                <w:kern w:val="0"/>
                <w:sz w:val="24"/>
                <w:szCs w:val="24"/>
              </w:rPr>
            </w:pPr>
            <w:r>
              <w:rPr>
                <w:rFonts w:hint="eastAsia" w:ascii="宋体" w:hAnsi="宋体" w:eastAsia="宋体" w:cs="宋体"/>
                <w:color w:val="000000"/>
                <w:kern w:val="0"/>
                <w:sz w:val="22"/>
              </w:rPr>
              <w:t>4</w:t>
            </w:r>
          </w:p>
        </w:tc>
        <w:tc>
          <w:tcPr>
            <w:tcW w:w="1501" w:type="dxa"/>
            <w:tcBorders>
              <w:top w:val="single" w:color="auto" w:sz="4" w:space="0"/>
              <w:left w:val="nil"/>
              <w:bottom w:val="single" w:color="auto" w:sz="4" w:space="0"/>
              <w:right w:val="single" w:color="auto" w:sz="4" w:space="0"/>
            </w:tcBorders>
            <w:shd w:val="clear" w:color="auto" w:fill="auto"/>
            <w:vAlign w:val="center"/>
          </w:tcPr>
          <w:p w14:paraId="7F0CCA8A">
            <w:pPr>
              <w:widowControl/>
              <w:spacing w:line="320" w:lineRule="exact"/>
              <w:jc w:val="center"/>
              <w:rPr>
                <w:rFonts w:hint="eastAsia" w:ascii="宋体" w:hAnsi="宋体" w:eastAsia="宋体" w:cs="Times New Roman"/>
                <w:b/>
                <w:bCs/>
                <w:color w:val="000000"/>
                <w:kern w:val="0"/>
                <w:sz w:val="24"/>
                <w:szCs w:val="24"/>
              </w:rPr>
            </w:pPr>
          </w:p>
        </w:tc>
        <w:tc>
          <w:tcPr>
            <w:tcW w:w="1577" w:type="dxa"/>
            <w:vMerge w:val="continue"/>
            <w:tcBorders>
              <w:top w:val="nil"/>
              <w:left w:val="nil"/>
              <w:bottom w:val="single" w:color="auto" w:sz="4" w:space="0"/>
              <w:right w:val="single" w:color="auto" w:sz="4" w:space="0"/>
            </w:tcBorders>
            <w:shd w:val="clear" w:color="auto" w:fill="auto"/>
            <w:vAlign w:val="center"/>
          </w:tcPr>
          <w:p w14:paraId="2255F591">
            <w:pPr>
              <w:rPr>
                <w:rFonts w:ascii="Times New Roman" w:hAnsi="Times New Roman" w:cs="Times New Roman"/>
                <w:sz w:val="20"/>
                <w:szCs w:val="20"/>
              </w:rPr>
            </w:pPr>
          </w:p>
        </w:tc>
        <w:tc>
          <w:tcPr>
            <w:tcW w:w="791" w:type="dxa"/>
            <w:tcBorders>
              <w:top w:val="single" w:color="auto" w:sz="4" w:space="0"/>
              <w:left w:val="nil"/>
              <w:bottom w:val="single" w:color="auto" w:sz="4" w:space="0"/>
              <w:right w:val="single" w:color="auto" w:sz="4" w:space="0"/>
            </w:tcBorders>
            <w:shd w:val="clear" w:color="auto" w:fill="auto"/>
            <w:vAlign w:val="center"/>
          </w:tcPr>
          <w:p w14:paraId="5345C9A8">
            <w:pPr>
              <w:widowControl/>
              <w:jc w:val="center"/>
              <w:rPr>
                <w:rFonts w:hint="eastAsia" w:ascii="宋体" w:hAnsi="宋体" w:eastAsia="宋体" w:cs="Times New Roman"/>
                <w:b/>
                <w:bCs/>
                <w:color w:val="000000"/>
                <w:kern w:val="0"/>
                <w:sz w:val="24"/>
                <w:szCs w:val="24"/>
              </w:rPr>
            </w:pPr>
          </w:p>
        </w:tc>
        <w:tc>
          <w:tcPr>
            <w:tcW w:w="1100" w:type="dxa"/>
            <w:tcBorders>
              <w:top w:val="single" w:color="auto" w:sz="4" w:space="0"/>
              <w:left w:val="nil"/>
              <w:bottom w:val="single" w:color="auto" w:sz="4" w:space="0"/>
              <w:right w:val="single" w:color="auto" w:sz="4" w:space="0"/>
            </w:tcBorders>
            <w:shd w:val="clear" w:color="auto" w:fill="auto"/>
            <w:vAlign w:val="center"/>
          </w:tcPr>
          <w:p w14:paraId="5C325B6B">
            <w:pPr>
              <w:widowControl/>
              <w:jc w:val="center"/>
              <w:rPr>
                <w:rFonts w:hint="eastAsia" w:ascii="宋体" w:hAnsi="宋体" w:eastAsia="宋体" w:cs="Times New Roman"/>
                <w:b/>
                <w:bCs/>
                <w:color w:val="000000"/>
                <w:kern w:val="0"/>
                <w:sz w:val="24"/>
                <w:szCs w:val="24"/>
              </w:rPr>
            </w:pPr>
          </w:p>
        </w:tc>
        <w:tc>
          <w:tcPr>
            <w:tcW w:w="1096" w:type="dxa"/>
            <w:tcBorders>
              <w:top w:val="single" w:color="auto" w:sz="4" w:space="0"/>
              <w:left w:val="nil"/>
              <w:bottom w:val="single" w:color="auto" w:sz="4" w:space="0"/>
              <w:right w:val="single" w:color="auto" w:sz="4" w:space="0"/>
            </w:tcBorders>
            <w:shd w:val="clear" w:color="auto" w:fill="auto"/>
            <w:vAlign w:val="center"/>
          </w:tcPr>
          <w:p w14:paraId="49C33811">
            <w:pPr>
              <w:widowControl/>
              <w:jc w:val="center"/>
              <w:rPr>
                <w:rFonts w:hint="eastAsia" w:ascii="宋体" w:hAnsi="宋体" w:eastAsia="宋体" w:cs="Times New Roman"/>
                <w:b/>
                <w:bCs/>
                <w:color w:val="000000"/>
                <w:kern w:val="0"/>
                <w:sz w:val="24"/>
                <w:szCs w:val="24"/>
              </w:rPr>
            </w:pPr>
          </w:p>
        </w:tc>
        <w:tc>
          <w:tcPr>
            <w:tcW w:w="1142" w:type="dxa"/>
            <w:tcBorders>
              <w:top w:val="single" w:color="auto" w:sz="4" w:space="0"/>
              <w:left w:val="nil"/>
              <w:bottom w:val="single" w:color="auto" w:sz="4" w:space="0"/>
              <w:right w:val="single" w:color="auto" w:sz="4" w:space="0"/>
            </w:tcBorders>
            <w:shd w:val="clear" w:color="auto" w:fill="auto"/>
            <w:vAlign w:val="center"/>
          </w:tcPr>
          <w:p w14:paraId="2EDA692F">
            <w:pPr>
              <w:widowControl/>
              <w:jc w:val="center"/>
              <w:rPr>
                <w:rFonts w:hint="eastAsia" w:ascii="宋体" w:hAnsi="宋体" w:eastAsia="宋体" w:cs="Times New Roman"/>
                <w:b/>
                <w:bCs/>
                <w:color w:val="000000"/>
                <w:kern w:val="0"/>
                <w:sz w:val="24"/>
                <w:szCs w:val="24"/>
              </w:rPr>
            </w:pPr>
          </w:p>
        </w:tc>
        <w:tc>
          <w:tcPr>
            <w:tcW w:w="1592" w:type="dxa"/>
            <w:tcBorders>
              <w:top w:val="single" w:color="auto" w:sz="4" w:space="0"/>
              <w:left w:val="nil"/>
              <w:bottom w:val="single" w:color="auto" w:sz="4" w:space="0"/>
              <w:right w:val="single" w:color="auto" w:sz="4" w:space="0"/>
            </w:tcBorders>
            <w:shd w:val="clear" w:color="auto" w:fill="auto"/>
            <w:vAlign w:val="center"/>
          </w:tcPr>
          <w:p w14:paraId="1F7D9149">
            <w:pPr>
              <w:widowControl/>
              <w:jc w:val="center"/>
              <w:rPr>
                <w:rFonts w:hint="eastAsia" w:ascii="宋体" w:hAnsi="宋体" w:eastAsia="宋体" w:cs="Times New Roman"/>
                <w:b/>
                <w:bCs/>
                <w:color w:val="000000"/>
                <w:kern w:val="0"/>
                <w:sz w:val="24"/>
                <w:szCs w:val="24"/>
              </w:rPr>
            </w:pPr>
          </w:p>
        </w:tc>
      </w:tr>
      <w:tr w14:paraId="25BA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2AB5AF8">
            <w:pPr>
              <w:widowControl/>
              <w:spacing w:line="320" w:lineRule="exact"/>
              <w:jc w:val="center"/>
              <w:rPr>
                <w:rFonts w:hint="eastAsia" w:ascii="宋体" w:hAnsi="宋体" w:eastAsia="宋体" w:cs="Times New Roman"/>
                <w:kern w:val="0"/>
                <w:sz w:val="24"/>
                <w:szCs w:val="24"/>
              </w:rPr>
            </w:pPr>
            <w:r>
              <w:rPr>
                <w:rFonts w:hint="eastAsia" w:ascii="宋体" w:hAnsi="宋体" w:eastAsia="宋体" w:cs="宋体"/>
                <w:color w:val="000000"/>
                <w:kern w:val="0"/>
                <w:sz w:val="22"/>
              </w:rPr>
              <w:t>5</w:t>
            </w:r>
          </w:p>
        </w:tc>
        <w:tc>
          <w:tcPr>
            <w:tcW w:w="1501" w:type="dxa"/>
            <w:tcBorders>
              <w:top w:val="single" w:color="auto" w:sz="4" w:space="0"/>
              <w:left w:val="nil"/>
              <w:bottom w:val="single" w:color="auto" w:sz="4" w:space="0"/>
              <w:right w:val="single" w:color="auto" w:sz="4" w:space="0"/>
            </w:tcBorders>
            <w:shd w:val="clear" w:color="auto" w:fill="auto"/>
            <w:vAlign w:val="center"/>
          </w:tcPr>
          <w:p w14:paraId="30E46DA2">
            <w:pPr>
              <w:widowControl/>
              <w:spacing w:line="320" w:lineRule="exact"/>
              <w:jc w:val="center"/>
              <w:rPr>
                <w:rFonts w:hint="eastAsia" w:ascii="宋体" w:hAnsi="宋体" w:eastAsia="宋体" w:cs="Times New Roman"/>
                <w:b/>
                <w:bCs/>
                <w:color w:val="000000"/>
                <w:kern w:val="0"/>
                <w:sz w:val="24"/>
                <w:szCs w:val="24"/>
              </w:rPr>
            </w:pPr>
          </w:p>
        </w:tc>
        <w:tc>
          <w:tcPr>
            <w:tcW w:w="1577" w:type="dxa"/>
            <w:vMerge w:val="continue"/>
            <w:tcBorders>
              <w:top w:val="nil"/>
              <w:left w:val="nil"/>
              <w:bottom w:val="single" w:color="auto" w:sz="4" w:space="0"/>
              <w:right w:val="single" w:color="auto" w:sz="4" w:space="0"/>
            </w:tcBorders>
            <w:shd w:val="clear" w:color="auto" w:fill="auto"/>
            <w:vAlign w:val="center"/>
          </w:tcPr>
          <w:p w14:paraId="5F455261">
            <w:pPr>
              <w:rPr>
                <w:rFonts w:ascii="Times New Roman" w:hAnsi="Times New Roman" w:cs="Times New Roman"/>
                <w:sz w:val="20"/>
                <w:szCs w:val="20"/>
              </w:rPr>
            </w:pPr>
          </w:p>
        </w:tc>
        <w:tc>
          <w:tcPr>
            <w:tcW w:w="791" w:type="dxa"/>
            <w:tcBorders>
              <w:top w:val="single" w:color="auto" w:sz="4" w:space="0"/>
              <w:left w:val="nil"/>
              <w:bottom w:val="single" w:color="auto" w:sz="4" w:space="0"/>
              <w:right w:val="single" w:color="auto" w:sz="4" w:space="0"/>
            </w:tcBorders>
            <w:shd w:val="clear" w:color="auto" w:fill="auto"/>
            <w:vAlign w:val="center"/>
          </w:tcPr>
          <w:p w14:paraId="3525D2CB">
            <w:pPr>
              <w:widowControl/>
              <w:jc w:val="center"/>
              <w:rPr>
                <w:rFonts w:hint="eastAsia" w:ascii="宋体" w:hAnsi="宋体" w:eastAsia="宋体" w:cs="Times New Roman"/>
                <w:b/>
                <w:bCs/>
                <w:color w:val="000000"/>
                <w:kern w:val="0"/>
                <w:sz w:val="24"/>
                <w:szCs w:val="24"/>
              </w:rPr>
            </w:pPr>
          </w:p>
        </w:tc>
        <w:tc>
          <w:tcPr>
            <w:tcW w:w="1100" w:type="dxa"/>
            <w:tcBorders>
              <w:top w:val="single" w:color="auto" w:sz="4" w:space="0"/>
              <w:left w:val="nil"/>
              <w:bottom w:val="single" w:color="auto" w:sz="4" w:space="0"/>
              <w:right w:val="single" w:color="auto" w:sz="4" w:space="0"/>
            </w:tcBorders>
            <w:shd w:val="clear" w:color="auto" w:fill="auto"/>
            <w:vAlign w:val="center"/>
          </w:tcPr>
          <w:p w14:paraId="0C7D4F95">
            <w:pPr>
              <w:widowControl/>
              <w:jc w:val="center"/>
              <w:rPr>
                <w:rFonts w:hint="eastAsia" w:ascii="宋体" w:hAnsi="宋体" w:eastAsia="宋体" w:cs="Times New Roman"/>
                <w:b/>
                <w:bCs/>
                <w:color w:val="000000"/>
                <w:kern w:val="0"/>
                <w:sz w:val="24"/>
                <w:szCs w:val="24"/>
              </w:rPr>
            </w:pPr>
          </w:p>
        </w:tc>
        <w:tc>
          <w:tcPr>
            <w:tcW w:w="1096" w:type="dxa"/>
            <w:tcBorders>
              <w:top w:val="single" w:color="auto" w:sz="4" w:space="0"/>
              <w:left w:val="nil"/>
              <w:bottom w:val="single" w:color="auto" w:sz="4" w:space="0"/>
              <w:right w:val="single" w:color="auto" w:sz="4" w:space="0"/>
            </w:tcBorders>
            <w:shd w:val="clear" w:color="auto" w:fill="auto"/>
            <w:vAlign w:val="center"/>
          </w:tcPr>
          <w:p w14:paraId="3AD2B5A5">
            <w:pPr>
              <w:widowControl/>
              <w:jc w:val="center"/>
              <w:rPr>
                <w:rFonts w:hint="eastAsia" w:ascii="宋体" w:hAnsi="宋体" w:eastAsia="宋体" w:cs="Times New Roman"/>
                <w:b/>
                <w:bCs/>
                <w:color w:val="000000"/>
                <w:kern w:val="0"/>
                <w:sz w:val="24"/>
                <w:szCs w:val="24"/>
              </w:rPr>
            </w:pPr>
          </w:p>
        </w:tc>
        <w:tc>
          <w:tcPr>
            <w:tcW w:w="1142" w:type="dxa"/>
            <w:tcBorders>
              <w:top w:val="single" w:color="auto" w:sz="4" w:space="0"/>
              <w:left w:val="nil"/>
              <w:bottom w:val="single" w:color="auto" w:sz="4" w:space="0"/>
              <w:right w:val="single" w:color="auto" w:sz="4" w:space="0"/>
            </w:tcBorders>
            <w:shd w:val="clear" w:color="auto" w:fill="auto"/>
            <w:vAlign w:val="center"/>
          </w:tcPr>
          <w:p w14:paraId="7BD42864">
            <w:pPr>
              <w:widowControl/>
              <w:jc w:val="center"/>
              <w:rPr>
                <w:rFonts w:hint="eastAsia" w:ascii="宋体" w:hAnsi="宋体" w:eastAsia="宋体" w:cs="Times New Roman"/>
                <w:b/>
                <w:bCs/>
                <w:color w:val="000000"/>
                <w:kern w:val="0"/>
                <w:sz w:val="24"/>
                <w:szCs w:val="24"/>
              </w:rPr>
            </w:pPr>
          </w:p>
        </w:tc>
        <w:tc>
          <w:tcPr>
            <w:tcW w:w="1592" w:type="dxa"/>
            <w:tcBorders>
              <w:top w:val="single" w:color="auto" w:sz="4" w:space="0"/>
              <w:left w:val="nil"/>
              <w:bottom w:val="single" w:color="auto" w:sz="4" w:space="0"/>
              <w:right w:val="single" w:color="auto" w:sz="4" w:space="0"/>
            </w:tcBorders>
            <w:shd w:val="clear" w:color="auto" w:fill="auto"/>
            <w:vAlign w:val="center"/>
          </w:tcPr>
          <w:p w14:paraId="61376BEF">
            <w:pPr>
              <w:widowControl/>
              <w:jc w:val="center"/>
              <w:rPr>
                <w:rFonts w:hint="eastAsia" w:ascii="宋体" w:hAnsi="宋体" w:eastAsia="宋体" w:cs="Times New Roman"/>
                <w:b/>
                <w:bCs/>
                <w:color w:val="000000"/>
                <w:kern w:val="0"/>
                <w:sz w:val="24"/>
                <w:szCs w:val="24"/>
              </w:rPr>
            </w:pPr>
          </w:p>
        </w:tc>
      </w:tr>
      <w:tr w14:paraId="5040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7B93A88">
            <w:pPr>
              <w:widowControl/>
              <w:spacing w:line="320" w:lineRule="exact"/>
              <w:jc w:val="center"/>
              <w:rPr>
                <w:rFonts w:hint="eastAsia" w:ascii="宋体" w:hAnsi="宋体" w:eastAsia="宋体" w:cs="Times New Roman"/>
                <w:kern w:val="0"/>
                <w:sz w:val="24"/>
                <w:szCs w:val="24"/>
              </w:rPr>
            </w:pPr>
            <w:r>
              <w:rPr>
                <w:rFonts w:hint="eastAsia" w:ascii="宋体" w:hAnsi="宋体" w:eastAsia="宋体" w:cs="宋体"/>
                <w:color w:val="000000"/>
                <w:kern w:val="0"/>
                <w:sz w:val="22"/>
              </w:rPr>
              <w:t>6</w:t>
            </w:r>
          </w:p>
        </w:tc>
        <w:tc>
          <w:tcPr>
            <w:tcW w:w="1501" w:type="dxa"/>
            <w:tcBorders>
              <w:top w:val="single" w:color="auto" w:sz="4" w:space="0"/>
              <w:left w:val="nil"/>
              <w:bottom w:val="single" w:color="auto" w:sz="4" w:space="0"/>
              <w:right w:val="single" w:color="auto" w:sz="4" w:space="0"/>
            </w:tcBorders>
            <w:shd w:val="clear" w:color="auto" w:fill="auto"/>
            <w:vAlign w:val="center"/>
          </w:tcPr>
          <w:p w14:paraId="6C779BC5">
            <w:pPr>
              <w:widowControl/>
              <w:spacing w:line="320" w:lineRule="exact"/>
              <w:jc w:val="center"/>
              <w:rPr>
                <w:rFonts w:hint="eastAsia" w:ascii="宋体" w:hAnsi="宋体" w:eastAsia="宋体" w:cs="Times New Roman"/>
                <w:b/>
                <w:bCs/>
                <w:color w:val="000000"/>
                <w:kern w:val="0"/>
                <w:sz w:val="24"/>
                <w:szCs w:val="24"/>
              </w:rPr>
            </w:pPr>
          </w:p>
        </w:tc>
        <w:tc>
          <w:tcPr>
            <w:tcW w:w="1577" w:type="dxa"/>
            <w:vMerge w:val="continue"/>
            <w:tcBorders>
              <w:top w:val="nil"/>
              <w:left w:val="nil"/>
              <w:bottom w:val="single" w:color="auto" w:sz="4" w:space="0"/>
              <w:right w:val="single" w:color="auto" w:sz="4" w:space="0"/>
            </w:tcBorders>
            <w:shd w:val="clear" w:color="auto" w:fill="auto"/>
            <w:vAlign w:val="center"/>
          </w:tcPr>
          <w:p w14:paraId="36B50132">
            <w:pPr>
              <w:rPr>
                <w:rFonts w:ascii="Times New Roman" w:hAnsi="Times New Roman" w:cs="Times New Roman"/>
                <w:sz w:val="20"/>
                <w:szCs w:val="20"/>
              </w:rPr>
            </w:pPr>
          </w:p>
        </w:tc>
        <w:tc>
          <w:tcPr>
            <w:tcW w:w="791" w:type="dxa"/>
            <w:tcBorders>
              <w:top w:val="single" w:color="auto" w:sz="4" w:space="0"/>
              <w:left w:val="nil"/>
              <w:bottom w:val="single" w:color="auto" w:sz="4" w:space="0"/>
              <w:right w:val="single" w:color="auto" w:sz="4" w:space="0"/>
            </w:tcBorders>
            <w:shd w:val="clear" w:color="auto" w:fill="auto"/>
            <w:vAlign w:val="center"/>
          </w:tcPr>
          <w:p w14:paraId="7803F1F5">
            <w:pPr>
              <w:widowControl/>
              <w:jc w:val="center"/>
              <w:rPr>
                <w:rFonts w:hint="eastAsia" w:ascii="宋体" w:hAnsi="宋体" w:eastAsia="宋体" w:cs="Times New Roman"/>
                <w:b/>
                <w:bCs/>
                <w:color w:val="000000"/>
                <w:kern w:val="0"/>
                <w:sz w:val="24"/>
                <w:szCs w:val="24"/>
              </w:rPr>
            </w:pPr>
          </w:p>
        </w:tc>
        <w:tc>
          <w:tcPr>
            <w:tcW w:w="1100" w:type="dxa"/>
            <w:tcBorders>
              <w:top w:val="single" w:color="auto" w:sz="4" w:space="0"/>
              <w:left w:val="nil"/>
              <w:bottom w:val="single" w:color="auto" w:sz="4" w:space="0"/>
              <w:right w:val="single" w:color="auto" w:sz="4" w:space="0"/>
            </w:tcBorders>
            <w:shd w:val="clear" w:color="auto" w:fill="auto"/>
            <w:vAlign w:val="center"/>
          </w:tcPr>
          <w:p w14:paraId="3F86ED92">
            <w:pPr>
              <w:widowControl/>
              <w:jc w:val="center"/>
              <w:rPr>
                <w:rFonts w:hint="eastAsia" w:ascii="宋体" w:hAnsi="宋体" w:eastAsia="宋体" w:cs="Times New Roman"/>
                <w:b/>
                <w:bCs/>
                <w:color w:val="000000"/>
                <w:kern w:val="0"/>
                <w:sz w:val="24"/>
                <w:szCs w:val="24"/>
              </w:rPr>
            </w:pPr>
          </w:p>
        </w:tc>
        <w:tc>
          <w:tcPr>
            <w:tcW w:w="1096" w:type="dxa"/>
            <w:tcBorders>
              <w:top w:val="single" w:color="auto" w:sz="4" w:space="0"/>
              <w:left w:val="nil"/>
              <w:bottom w:val="single" w:color="auto" w:sz="4" w:space="0"/>
              <w:right w:val="single" w:color="auto" w:sz="4" w:space="0"/>
            </w:tcBorders>
            <w:shd w:val="clear" w:color="auto" w:fill="auto"/>
            <w:vAlign w:val="center"/>
          </w:tcPr>
          <w:p w14:paraId="5A72E5F8">
            <w:pPr>
              <w:widowControl/>
              <w:jc w:val="center"/>
              <w:rPr>
                <w:rFonts w:hint="eastAsia" w:ascii="宋体" w:hAnsi="宋体" w:eastAsia="宋体" w:cs="Times New Roman"/>
                <w:b/>
                <w:bCs/>
                <w:color w:val="000000"/>
                <w:kern w:val="0"/>
                <w:sz w:val="24"/>
                <w:szCs w:val="24"/>
              </w:rPr>
            </w:pPr>
          </w:p>
        </w:tc>
        <w:tc>
          <w:tcPr>
            <w:tcW w:w="1142" w:type="dxa"/>
            <w:tcBorders>
              <w:top w:val="single" w:color="auto" w:sz="4" w:space="0"/>
              <w:left w:val="nil"/>
              <w:bottom w:val="single" w:color="auto" w:sz="4" w:space="0"/>
              <w:right w:val="single" w:color="auto" w:sz="4" w:space="0"/>
            </w:tcBorders>
            <w:shd w:val="clear" w:color="auto" w:fill="auto"/>
            <w:vAlign w:val="center"/>
          </w:tcPr>
          <w:p w14:paraId="595272FB">
            <w:pPr>
              <w:widowControl/>
              <w:jc w:val="center"/>
              <w:rPr>
                <w:rFonts w:hint="eastAsia" w:ascii="宋体" w:hAnsi="宋体" w:eastAsia="宋体" w:cs="Times New Roman"/>
                <w:b/>
                <w:bCs/>
                <w:color w:val="000000"/>
                <w:kern w:val="0"/>
                <w:sz w:val="24"/>
                <w:szCs w:val="24"/>
              </w:rPr>
            </w:pPr>
          </w:p>
        </w:tc>
        <w:tc>
          <w:tcPr>
            <w:tcW w:w="1592" w:type="dxa"/>
            <w:tcBorders>
              <w:top w:val="single" w:color="auto" w:sz="4" w:space="0"/>
              <w:left w:val="nil"/>
              <w:bottom w:val="single" w:color="auto" w:sz="4" w:space="0"/>
              <w:right w:val="single" w:color="auto" w:sz="4" w:space="0"/>
            </w:tcBorders>
            <w:shd w:val="clear" w:color="auto" w:fill="auto"/>
            <w:vAlign w:val="center"/>
          </w:tcPr>
          <w:p w14:paraId="4F5F9AD1">
            <w:pPr>
              <w:widowControl/>
              <w:jc w:val="center"/>
              <w:rPr>
                <w:rFonts w:hint="eastAsia" w:ascii="宋体" w:hAnsi="宋体" w:eastAsia="宋体" w:cs="Times New Roman"/>
                <w:b/>
                <w:bCs/>
                <w:color w:val="000000"/>
                <w:kern w:val="0"/>
                <w:sz w:val="24"/>
                <w:szCs w:val="24"/>
              </w:rPr>
            </w:pPr>
          </w:p>
        </w:tc>
      </w:tr>
      <w:tr w14:paraId="4F03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30520EB">
            <w:pPr>
              <w:widowControl/>
              <w:spacing w:line="320" w:lineRule="exact"/>
              <w:jc w:val="center"/>
              <w:rPr>
                <w:rFonts w:hint="eastAsia" w:ascii="宋体" w:hAnsi="宋体" w:eastAsia="宋体" w:cs="Times New Roman"/>
                <w:kern w:val="0"/>
                <w:sz w:val="24"/>
                <w:szCs w:val="24"/>
              </w:rPr>
            </w:pPr>
            <w:r>
              <w:rPr>
                <w:rFonts w:hint="eastAsia" w:ascii="宋体" w:hAnsi="宋体" w:eastAsia="宋体" w:cs="宋体"/>
                <w:kern w:val="0"/>
                <w:sz w:val="24"/>
                <w:szCs w:val="24"/>
              </w:rPr>
              <w:t>...</w:t>
            </w:r>
          </w:p>
        </w:tc>
        <w:tc>
          <w:tcPr>
            <w:tcW w:w="1501" w:type="dxa"/>
            <w:tcBorders>
              <w:top w:val="single" w:color="auto" w:sz="4" w:space="0"/>
              <w:left w:val="nil"/>
              <w:bottom w:val="single" w:color="auto" w:sz="4" w:space="0"/>
              <w:right w:val="single" w:color="auto" w:sz="4" w:space="0"/>
            </w:tcBorders>
            <w:shd w:val="clear" w:color="auto" w:fill="auto"/>
            <w:vAlign w:val="center"/>
          </w:tcPr>
          <w:p w14:paraId="3A9E52B6">
            <w:pPr>
              <w:widowControl/>
              <w:spacing w:line="320" w:lineRule="exact"/>
              <w:jc w:val="center"/>
              <w:rPr>
                <w:rFonts w:hint="eastAsia" w:ascii="宋体" w:hAnsi="宋体" w:eastAsia="宋体" w:cs="Times New Roman"/>
                <w:b/>
                <w:bCs/>
                <w:color w:val="000000"/>
                <w:kern w:val="0"/>
                <w:sz w:val="24"/>
                <w:szCs w:val="24"/>
              </w:rPr>
            </w:pPr>
          </w:p>
        </w:tc>
        <w:tc>
          <w:tcPr>
            <w:tcW w:w="1577" w:type="dxa"/>
            <w:vMerge w:val="continue"/>
            <w:tcBorders>
              <w:top w:val="nil"/>
              <w:left w:val="nil"/>
              <w:bottom w:val="single" w:color="auto" w:sz="4" w:space="0"/>
              <w:right w:val="single" w:color="auto" w:sz="4" w:space="0"/>
            </w:tcBorders>
            <w:shd w:val="clear" w:color="auto" w:fill="auto"/>
            <w:vAlign w:val="center"/>
          </w:tcPr>
          <w:p w14:paraId="42BC4C59">
            <w:pPr>
              <w:rPr>
                <w:rFonts w:ascii="Times New Roman" w:hAnsi="Times New Roman" w:cs="Times New Roman"/>
                <w:sz w:val="20"/>
                <w:szCs w:val="20"/>
              </w:rPr>
            </w:pPr>
          </w:p>
        </w:tc>
        <w:tc>
          <w:tcPr>
            <w:tcW w:w="791" w:type="dxa"/>
            <w:tcBorders>
              <w:top w:val="single" w:color="auto" w:sz="4" w:space="0"/>
              <w:left w:val="nil"/>
              <w:bottom w:val="single" w:color="auto" w:sz="4" w:space="0"/>
              <w:right w:val="single" w:color="auto" w:sz="4" w:space="0"/>
            </w:tcBorders>
            <w:shd w:val="clear" w:color="auto" w:fill="auto"/>
            <w:vAlign w:val="center"/>
          </w:tcPr>
          <w:p w14:paraId="10CF7525">
            <w:pPr>
              <w:widowControl/>
              <w:jc w:val="center"/>
              <w:rPr>
                <w:rFonts w:hint="eastAsia" w:ascii="宋体" w:hAnsi="宋体" w:eastAsia="宋体" w:cs="Times New Roman"/>
                <w:b/>
                <w:bCs/>
                <w:color w:val="000000"/>
                <w:kern w:val="0"/>
                <w:sz w:val="24"/>
                <w:szCs w:val="24"/>
              </w:rPr>
            </w:pPr>
          </w:p>
        </w:tc>
        <w:tc>
          <w:tcPr>
            <w:tcW w:w="1100" w:type="dxa"/>
            <w:tcBorders>
              <w:top w:val="single" w:color="auto" w:sz="4" w:space="0"/>
              <w:left w:val="nil"/>
              <w:bottom w:val="single" w:color="auto" w:sz="4" w:space="0"/>
              <w:right w:val="single" w:color="auto" w:sz="4" w:space="0"/>
            </w:tcBorders>
            <w:shd w:val="clear" w:color="auto" w:fill="auto"/>
            <w:vAlign w:val="center"/>
          </w:tcPr>
          <w:p w14:paraId="06F9EAF7">
            <w:pPr>
              <w:widowControl/>
              <w:jc w:val="center"/>
              <w:rPr>
                <w:rFonts w:hint="eastAsia" w:ascii="宋体" w:hAnsi="宋体" w:eastAsia="宋体" w:cs="Times New Roman"/>
                <w:b/>
                <w:bCs/>
                <w:color w:val="000000"/>
                <w:kern w:val="0"/>
                <w:sz w:val="24"/>
                <w:szCs w:val="24"/>
              </w:rPr>
            </w:pPr>
          </w:p>
        </w:tc>
        <w:tc>
          <w:tcPr>
            <w:tcW w:w="1096" w:type="dxa"/>
            <w:tcBorders>
              <w:top w:val="single" w:color="auto" w:sz="4" w:space="0"/>
              <w:left w:val="nil"/>
              <w:bottom w:val="single" w:color="auto" w:sz="4" w:space="0"/>
              <w:right w:val="single" w:color="auto" w:sz="4" w:space="0"/>
            </w:tcBorders>
            <w:shd w:val="clear" w:color="auto" w:fill="auto"/>
            <w:vAlign w:val="center"/>
          </w:tcPr>
          <w:p w14:paraId="72231BFB">
            <w:pPr>
              <w:widowControl/>
              <w:jc w:val="center"/>
              <w:rPr>
                <w:rFonts w:hint="eastAsia" w:ascii="宋体" w:hAnsi="宋体" w:eastAsia="宋体" w:cs="Times New Roman"/>
                <w:b/>
                <w:bCs/>
                <w:color w:val="000000"/>
                <w:kern w:val="0"/>
                <w:sz w:val="24"/>
                <w:szCs w:val="24"/>
              </w:rPr>
            </w:pPr>
          </w:p>
        </w:tc>
        <w:tc>
          <w:tcPr>
            <w:tcW w:w="1142" w:type="dxa"/>
            <w:tcBorders>
              <w:top w:val="single" w:color="auto" w:sz="4" w:space="0"/>
              <w:left w:val="nil"/>
              <w:bottom w:val="single" w:color="auto" w:sz="4" w:space="0"/>
              <w:right w:val="single" w:color="auto" w:sz="4" w:space="0"/>
            </w:tcBorders>
            <w:shd w:val="clear" w:color="auto" w:fill="auto"/>
            <w:vAlign w:val="center"/>
          </w:tcPr>
          <w:p w14:paraId="0B515790">
            <w:pPr>
              <w:widowControl/>
              <w:jc w:val="center"/>
              <w:rPr>
                <w:rFonts w:hint="eastAsia" w:ascii="宋体" w:hAnsi="宋体" w:eastAsia="宋体" w:cs="Times New Roman"/>
                <w:b/>
                <w:bCs/>
                <w:color w:val="000000"/>
                <w:kern w:val="0"/>
                <w:sz w:val="24"/>
                <w:szCs w:val="24"/>
              </w:rPr>
            </w:pPr>
          </w:p>
        </w:tc>
        <w:tc>
          <w:tcPr>
            <w:tcW w:w="1592" w:type="dxa"/>
            <w:tcBorders>
              <w:top w:val="single" w:color="auto" w:sz="4" w:space="0"/>
              <w:left w:val="nil"/>
              <w:bottom w:val="single" w:color="auto" w:sz="4" w:space="0"/>
              <w:right w:val="single" w:color="auto" w:sz="4" w:space="0"/>
            </w:tcBorders>
            <w:shd w:val="clear" w:color="auto" w:fill="auto"/>
            <w:vAlign w:val="center"/>
          </w:tcPr>
          <w:p w14:paraId="0745754D">
            <w:pPr>
              <w:widowControl/>
              <w:jc w:val="center"/>
              <w:rPr>
                <w:rFonts w:hint="eastAsia" w:ascii="宋体" w:hAnsi="宋体" w:eastAsia="宋体" w:cs="Times New Roman"/>
                <w:b/>
                <w:bCs/>
                <w:color w:val="000000"/>
                <w:kern w:val="0"/>
                <w:sz w:val="24"/>
                <w:szCs w:val="24"/>
              </w:rPr>
            </w:pPr>
          </w:p>
        </w:tc>
      </w:tr>
    </w:tbl>
    <w:p w14:paraId="70130D53">
      <w:pPr>
        <w:widowControl/>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36D2EE6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以上企业，不属于大企业的分支机构，不存在控股股东为大企业的情形，也不存在与大企业的负责人为同一人的情形。</w:t>
      </w:r>
    </w:p>
    <w:p w14:paraId="748FA7BC">
      <w:pPr>
        <w:spacing w:line="360" w:lineRule="auto"/>
        <w:ind w:firstLine="420" w:firstLineChars="200"/>
        <w:rPr>
          <w:rFonts w:hint="eastAsia" w:asciiTheme="minorEastAsia" w:hAnsiTheme="minorEastAsia" w:cstheme="minorEastAsia"/>
          <w:szCs w:val="21"/>
        </w:rPr>
      </w:pPr>
      <w:r>
        <w:rPr>
          <w:rFonts w:hint="eastAsia" w:ascii="宋体" w:hAnsi="宋体" w:eastAsia="宋体" w:cs="宋体"/>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7BE18974">
      <w:pPr>
        <w:ind w:firstLine="420" w:firstLineChars="200"/>
      </w:pPr>
    </w:p>
    <w:p w14:paraId="66530E2E">
      <w:pPr>
        <w:jc w:val="center"/>
        <w:outlineLvl w:val="3"/>
        <w:rPr>
          <w:b/>
          <w:sz w:val="24"/>
        </w:rPr>
      </w:pPr>
      <w:r>
        <w:rPr>
          <w:rFonts w:hint="eastAsia"/>
          <w:b/>
          <w:sz w:val="24"/>
        </w:rPr>
        <w:t>2、残疾人福利性单位声明函（货物类）</w:t>
      </w:r>
    </w:p>
    <w:p w14:paraId="54B9EFE0">
      <w:pPr>
        <w:rPr>
          <w:b/>
          <w:bCs/>
        </w:rPr>
      </w:pPr>
    </w:p>
    <w:p w14:paraId="5A10C589">
      <w:pPr>
        <w:spacing w:line="360" w:lineRule="auto"/>
        <w:ind w:firstLine="420" w:firstLineChars="200"/>
        <w:rPr>
          <w:rFonts w:hint="eastAsia" w:asciiTheme="minorEastAsia" w:hAnsiTheme="minorEastAsia" w:cstheme="minorEastAsia"/>
          <w:szCs w:val="21"/>
        </w:rPr>
      </w:pPr>
      <w:bookmarkStart w:id="31" w:name="_Hlk73562331"/>
      <w:bookmarkStart w:id="32" w:name="_Hlk73562245"/>
      <w:r>
        <w:rPr>
          <w:rFonts w:hint="eastAsia" w:asciiTheme="minorEastAsia" w:hAnsi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cstheme="minorEastAsia"/>
          <w:b/>
          <w:bCs/>
          <w:i/>
          <w:iCs/>
          <w:szCs w:val="21"/>
          <w:u w:val="single"/>
        </w:rPr>
        <w:t xml:space="preserve">    （单位名称）    </w:t>
      </w:r>
      <w:r>
        <w:rPr>
          <w:rFonts w:hint="eastAsia" w:asciiTheme="minorEastAsia" w:hAnsiTheme="minorEastAsia" w:cstheme="minorEastAsia"/>
          <w:szCs w:val="21"/>
        </w:rPr>
        <w:t>单位的</w:t>
      </w:r>
      <w:r>
        <w:rPr>
          <w:rFonts w:hint="eastAsia" w:asciiTheme="minorEastAsia" w:hAnsiTheme="minorEastAsia" w:cstheme="minorEastAsia"/>
          <w:b/>
          <w:bCs/>
          <w:i/>
          <w:iCs/>
          <w:szCs w:val="21"/>
          <w:u w:val="single"/>
        </w:rPr>
        <w:t xml:space="preserve">    （项目名称）    </w:t>
      </w:r>
      <w:r>
        <w:rPr>
          <w:rFonts w:hint="eastAsia" w:asciiTheme="minorEastAsia" w:hAnsiTheme="minorEastAsia" w:cstheme="minorEastAsia"/>
          <w:szCs w:val="21"/>
        </w:rPr>
        <w:t>项目采购活动提供本单位制造的货物（由本单位承担工程/提供服务），或者提供其他残疾人福利性单位制造的货物（不包括使用非残疾人福利性单位注册商标的货物）。</w:t>
      </w:r>
    </w:p>
    <w:p w14:paraId="19559866">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本单位对上述声明的真实性负责。如有虚假，将依法承担相应责任。</w:t>
      </w:r>
    </w:p>
    <w:p w14:paraId="771513EE">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bookmarkEnd w:id="31"/>
    </w:p>
    <w:bookmarkEnd w:id="32"/>
    <w:p w14:paraId="695D8B0C">
      <w:pPr>
        <w:ind w:firstLine="420" w:firstLineChars="200"/>
        <w:rPr>
          <w:rFonts w:hint="eastAsia" w:ascii="宋体" w:hAnsi="宋体"/>
          <w:szCs w:val="21"/>
        </w:rPr>
      </w:pPr>
    </w:p>
    <w:p w14:paraId="05FA584F">
      <w:pPr>
        <w:ind w:firstLine="420" w:firstLineChars="200"/>
        <w:rPr>
          <w:rFonts w:hint="eastAsia" w:ascii="宋体" w:hAnsi="宋体"/>
          <w:szCs w:val="21"/>
        </w:rPr>
      </w:pPr>
    </w:p>
    <w:p w14:paraId="77BCDFC8">
      <w:pPr>
        <w:jc w:val="center"/>
        <w:outlineLvl w:val="3"/>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14:paraId="25D93226">
      <w:pPr>
        <w:spacing w:line="360" w:lineRule="auto"/>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szCs w:val="21"/>
        </w:rPr>
        <w:t>参加</w:t>
      </w:r>
      <w:r>
        <w:rPr>
          <w:rFonts w:ascii="宋体" w:hAnsi="宋体"/>
          <w:b/>
          <w:bCs/>
          <w:i/>
          <w:iCs/>
          <w:szCs w:val="21"/>
          <w:u w:val="single"/>
        </w:rPr>
        <w:t>（</w:t>
      </w:r>
      <w:r>
        <w:rPr>
          <w:rFonts w:hint="eastAsia" w:ascii="宋体" w:hAnsi="宋体"/>
          <w:b/>
          <w:bCs/>
          <w:i/>
          <w:iCs/>
          <w:szCs w:val="21"/>
          <w:u w:val="single"/>
        </w:rPr>
        <w:t>采购人</w:t>
      </w:r>
      <w:r>
        <w:rPr>
          <w:rFonts w:ascii="宋体" w:hAnsi="宋体"/>
          <w:b/>
          <w:bCs/>
          <w:i/>
          <w:iCs/>
          <w:szCs w:val="21"/>
          <w:u w:val="single"/>
        </w:rPr>
        <w:t>名称）</w:t>
      </w:r>
      <w:r>
        <w:rPr>
          <w:rFonts w:ascii="宋体" w:hAnsi="宋体"/>
          <w:szCs w:val="21"/>
        </w:rPr>
        <w:t>的</w:t>
      </w:r>
      <w:r>
        <w:rPr>
          <w:rFonts w:ascii="宋体" w:hAnsi="宋体"/>
          <w:b/>
          <w:bCs/>
          <w:i/>
          <w:iCs/>
          <w:szCs w:val="21"/>
          <w:u w:val="single"/>
        </w:rPr>
        <w:t>（项目名称）</w:t>
      </w:r>
      <w:r>
        <w:rPr>
          <w:rFonts w:ascii="宋体" w:hAnsi="宋体"/>
          <w:szCs w:val="21"/>
        </w:rPr>
        <w:t>采购活动，提供的货物全部由符合政策要求的</w:t>
      </w:r>
      <w:r>
        <w:rPr>
          <w:rFonts w:hint="eastAsia" w:ascii="宋体" w:hAnsi="宋体"/>
          <w:szCs w:val="21"/>
        </w:rPr>
        <w:t>监狱企业</w:t>
      </w:r>
      <w:r>
        <w:rPr>
          <w:rFonts w:ascii="宋体" w:hAnsi="宋体"/>
          <w:szCs w:val="21"/>
        </w:rPr>
        <w:t>制造。相关</w:t>
      </w:r>
      <w:r>
        <w:rPr>
          <w:rFonts w:hint="eastAsia" w:ascii="宋体" w:hAnsi="宋体"/>
          <w:szCs w:val="21"/>
        </w:rPr>
        <w:t>监狱企业</w:t>
      </w:r>
      <w:r>
        <w:rPr>
          <w:rFonts w:ascii="宋体" w:hAnsi="宋体"/>
          <w:szCs w:val="21"/>
        </w:rPr>
        <w:t>的具体情况如下：</w:t>
      </w:r>
    </w:p>
    <w:p w14:paraId="3838A168">
      <w:pPr>
        <w:spacing w:line="360" w:lineRule="auto"/>
        <w:ind w:firstLine="420" w:firstLineChars="200"/>
        <w:rPr>
          <w:rFonts w:hint="eastAsia" w:ascii="宋体" w:hAnsi="宋体"/>
          <w:szCs w:val="21"/>
        </w:rPr>
      </w:pPr>
      <w:r>
        <w:rPr>
          <w:rFonts w:ascii="宋体" w:hAnsi="宋体"/>
          <w:szCs w:val="21"/>
        </w:rPr>
        <w:t>1.</w:t>
      </w:r>
      <w:r>
        <w:rPr>
          <w:rFonts w:ascii="宋体" w:hAnsi="宋体"/>
          <w:b/>
          <w:bCs/>
          <w:i/>
          <w:i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（标的名称）</w:t>
      </w:r>
      <w:r>
        <w:rPr>
          <w:rFonts w:hint="eastAsia" w:ascii="宋体" w:hAnsi="宋体"/>
          <w:b/>
          <w:bCs/>
          <w:i/>
          <w:iCs/>
          <w:szCs w:val="21"/>
          <w:u w:val="single"/>
        </w:rPr>
        <w:t xml:space="preserve">    </w:t>
      </w:r>
      <w:r>
        <w:rPr>
          <w:rFonts w:hint="eastAsia" w:ascii="宋体" w:hAnsi="宋体"/>
          <w:szCs w:val="21"/>
        </w:rPr>
        <w:t>，</w:t>
      </w:r>
      <w:r>
        <w:rPr>
          <w:rFonts w:ascii="宋体" w:hAnsi="宋体"/>
          <w:szCs w:val="21"/>
        </w:rPr>
        <w:t>制造商为</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hint="eastAsia" w:ascii="宋体" w:hAnsi="宋体"/>
          <w:b/>
          <w:bCs/>
          <w:i/>
          <w:iCs/>
          <w:szCs w:val="21"/>
          <w:u w:val="single"/>
        </w:rPr>
        <w:t xml:space="preserve">    </w:t>
      </w:r>
      <w:r>
        <w:rPr>
          <w:rFonts w:ascii="宋体" w:hAnsi="宋体"/>
          <w:szCs w:val="21"/>
        </w:rPr>
        <w:t>，属于</w:t>
      </w:r>
      <w:r>
        <w:rPr>
          <w:rFonts w:hint="eastAsia" w:ascii="宋体" w:hAnsi="宋体"/>
          <w:szCs w:val="21"/>
          <w:u w:val="single"/>
        </w:rPr>
        <w:t xml:space="preserve">  </w:t>
      </w:r>
      <w:r>
        <w:rPr>
          <w:rFonts w:hint="eastAsia" w:ascii="宋体" w:hAnsi="宋体"/>
          <w:b/>
          <w:bCs/>
          <w:szCs w:val="21"/>
          <w:u w:val="single"/>
        </w:rPr>
        <w:t xml:space="preserve">监狱企业  </w:t>
      </w:r>
      <w:r>
        <w:rPr>
          <w:rFonts w:ascii="宋体" w:hAnsi="宋体"/>
          <w:szCs w:val="21"/>
        </w:rPr>
        <w:t>；</w:t>
      </w:r>
    </w:p>
    <w:p w14:paraId="0FCCE00B">
      <w:pPr>
        <w:spacing w:line="360" w:lineRule="auto"/>
        <w:ind w:firstLine="420" w:firstLineChars="200"/>
        <w:rPr>
          <w:rFonts w:hint="eastAsia" w:ascii="宋体" w:hAnsi="宋体"/>
          <w:szCs w:val="21"/>
        </w:rPr>
      </w:pPr>
      <w:r>
        <w:rPr>
          <w:rFonts w:ascii="宋体" w:hAnsi="宋体"/>
          <w:szCs w:val="21"/>
        </w:rPr>
        <w:t>2.</w:t>
      </w:r>
      <w:r>
        <w:rPr>
          <w:rFonts w:ascii="宋体" w:hAnsi="宋体"/>
          <w:b/>
          <w:bCs/>
          <w:i/>
          <w:i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（标的名称）</w:t>
      </w:r>
      <w:r>
        <w:rPr>
          <w:rFonts w:hint="eastAsia" w:ascii="宋体" w:hAnsi="宋体"/>
          <w:b/>
          <w:bCs/>
          <w:i/>
          <w:iCs/>
          <w:szCs w:val="21"/>
          <w:u w:val="single"/>
        </w:rPr>
        <w:t xml:space="preserve">    </w:t>
      </w:r>
      <w:r>
        <w:rPr>
          <w:rFonts w:hint="eastAsia" w:ascii="宋体" w:hAnsi="宋体"/>
          <w:szCs w:val="21"/>
        </w:rPr>
        <w:t>，</w:t>
      </w:r>
      <w:r>
        <w:rPr>
          <w:rFonts w:ascii="宋体" w:hAnsi="宋体"/>
          <w:szCs w:val="21"/>
        </w:rPr>
        <w:t>制造商为</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hint="eastAsia" w:ascii="宋体" w:hAnsi="宋体"/>
          <w:b/>
          <w:bCs/>
          <w:i/>
          <w:iCs/>
          <w:szCs w:val="21"/>
          <w:u w:val="single"/>
        </w:rPr>
        <w:t xml:space="preserve">    </w:t>
      </w:r>
      <w:r>
        <w:rPr>
          <w:rFonts w:ascii="宋体" w:hAnsi="宋体"/>
          <w:szCs w:val="21"/>
        </w:rPr>
        <w:t>，属于</w:t>
      </w:r>
      <w:r>
        <w:rPr>
          <w:rFonts w:hint="eastAsia" w:ascii="宋体" w:hAnsi="宋体"/>
          <w:szCs w:val="21"/>
          <w:u w:val="single"/>
        </w:rPr>
        <w:t xml:space="preserve">  </w:t>
      </w:r>
      <w:r>
        <w:rPr>
          <w:rFonts w:hint="eastAsia" w:ascii="宋体" w:hAnsi="宋体"/>
          <w:b/>
          <w:bCs/>
          <w:szCs w:val="21"/>
          <w:u w:val="single"/>
        </w:rPr>
        <w:t xml:space="preserve">监狱企业  </w:t>
      </w:r>
      <w:r>
        <w:rPr>
          <w:rFonts w:hint="eastAsia" w:ascii="宋体" w:hAnsi="宋体"/>
          <w:szCs w:val="21"/>
        </w:rPr>
        <w:t>。</w:t>
      </w:r>
    </w:p>
    <w:p w14:paraId="33AF70DC">
      <w:pPr>
        <w:spacing w:line="360" w:lineRule="auto"/>
        <w:ind w:firstLine="420" w:firstLineChars="200"/>
        <w:rPr>
          <w:rFonts w:hint="eastAsia" w:ascii="宋体" w:hAnsi="宋体"/>
          <w:szCs w:val="21"/>
        </w:rPr>
      </w:pPr>
      <w:r>
        <w:rPr>
          <w:rFonts w:ascii="宋体" w:hAnsi="宋体"/>
          <w:szCs w:val="21"/>
        </w:rPr>
        <w:t xml:space="preserve">…… </w:t>
      </w:r>
    </w:p>
    <w:p w14:paraId="304DB291">
      <w:pPr>
        <w:spacing w:line="360" w:lineRule="auto"/>
        <w:ind w:firstLine="420" w:firstLineChars="200"/>
        <w:rPr>
          <w:rFonts w:hint="eastAsia" w:ascii="宋体" w:hAnsi="宋体"/>
          <w:szCs w:val="21"/>
        </w:rPr>
      </w:pPr>
      <w:r>
        <w:rPr>
          <w:rFonts w:ascii="宋体" w:hAnsi="宋体"/>
          <w:szCs w:val="21"/>
        </w:rPr>
        <w:t>本</w:t>
      </w:r>
      <w:r>
        <w:rPr>
          <w:rFonts w:hint="eastAsia" w:ascii="宋体" w:hAnsi="宋体"/>
          <w:szCs w:val="21"/>
        </w:rPr>
        <w:t>投标人</w:t>
      </w:r>
      <w:r>
        <w:rPr>
          <w:rFonts w:ascii="宋体" w:hAnsi="宋体"/>
          <w:szCs w:val="21"/>
        </w:rPr>
        <w:t>对上述声明内容的真实性负责。如有虚假，将依法承担相应责任。</w:t>
      </w:r>
    </w:p>
    <w:p w14:paraId="5CD22897">
      <w:pPr>
        <w:spacing w:line="360" w:lineRule="auto"/>
        <w:ind w:firstLine="420" w:firstLineChars="200"/>
        <w:rPr>
          <w:b/>
          <w:bCs/>
          <w:color w:val="FF0000"/>
          <w:szCs w:val="21"/>
        </w:rPr>
      </w:pPr>
      <w:r>
        <w:rPr>
          <w:rFonts w:hint="eastAsia" w:ascii="宋体" w:hAnsi="宋体"/>
          <w:szCs w:val="21"/>
        </w:rPr>
        <w:t>附：省级以上监狱管理局、戒毒管理局（含新疆生产建设兵团）出具的监狱企业证明文件。</w:t>
      </w:r>
      <w:bookmarkEnd w:id="29"/>
    </w:p>
    <w:p w14:paraId="795B8671">
      <w:pPr>
        <w:pStyle w:val="4"/>
        <w:jc w:val="center"/>
        <w:rPr>
          <w:rFonts w:hint="eastAsia" w:ascii="黑体" w:eastAsia="黑体"/>
          <w:b w:val="0"/>
          <w:sz w:val="24"/>
          <w:szCs w:val="24"/>
        </w:rPr>
      </w:pPr>
      <w:r>
        <w:rPr>
          <w:rFonts w:hint="eastAsia" w:ascii="黑体" w:eastAsia="黑体"/>
          <w:b w:val="0"/>
          <w:sz w:val="24"/>
          <w:szCs w:val="24"/>
        </w:rPr>
        <w:t>四、分项报价清单</w:t>
      </w:r>
    </w:p>
    <w:p w14:paraId="3DE67CAD">
      <w:pPr>
        <w:spacing w:after="78" w:afterLines="25" w:line="300" w:lineRule="auto"/>
        <w:rPr>
          <w:rFonts w:ascii="Arial" w:hAnsi="Arial" w:eastAsia="宋体" w:cs="Arial"/>
          <w:szCs w:val="24"/>
        </w:rPr>
      </w:pPr>
      <w:r>
        <w:rPr>
          <w:rFonts w:hint="eastAsia" w:ascii="Arial" w:hAnsi="Arial" w:eastAsia="宋体" w:cs="Arial"/>
          <w:color w:val="000000"/>
          <w:szCs w:val="24"/>
        </w:rPr>
        <w:t>投标单位（投标人）名称：</w:t>
      </w:r>
      <w:r>
        <w:rPr>
          <w:rFonts w:ascii="Arial" w:hAnsi="Arial" w:eastAsia="宋体" w:cs="Arial"/>
          <w:color w:val="000000"/>
          <w:szCs w:val="24"/>
          <w:u w:val="single"/>
        </w:rPr>
        <w:t xml:space="preserve">                          </w:t>
      </w:r>
    </w:p>
    <w:p w14:paraId="3D01E366">
      <w:pPr>
        <w:tabs>
          <w:tab w:val="left" w:pos="720"/>
        </w:tabs>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（一）项目报价表</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498"/>
        <w:gridCol w:w="658"/>
        <w:gridCol w:w="775"/>
        <w:gridCol w:w="862"/>
        <w:gridCol w:w="639"/>
        <w:gridCol w:w="441"/>
        <w:gridCol w:w="441"/>
        <w:gridCol w:w="846"/>
        <w:gridCol w:w="859"/>
        <w:gridCol w:w="860"/>
      </w:tblGrid>
      <w:tr w14:paraId="0608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7" w:type="pct"/>
          </w:tcPr>
          <w:p w14:paraId="55AC03DB">
            <w:pPr>
              <w:spacing w:line="300" w:lineRule="auto"/>
              <w:jc w:val="center"/>
              <w:rPr>
                <w:rFonts w:ascii="Arial" w:hAnsi="Arial" w:eastAsia="宋体" w:cs="Times New Roman"/>
                <w:szCs w:val="24"/>
              </w:rPr>
            </w:pPr>
            <w:r>
              <w:rPr>
                <w:rFonts w:hint="eastAsia" w:ascii="Arial" w:hAnsi="Arial" w:eastAsia="宋体" w:cs="Times New Roman"/>
                <w:szCs w:val="24"/>
              </w:rPr>
              <w:t>序号</w:t>
            </w:r>
          </w:p>
        </w:tc>
        <w:tc>
          <w:tcPr>
            <w:tcW w:w="903" w:type="pct"/>
            <w:vAlign w:val="center"/>
          </w:tcPr>
          <w:p w14:paraId="02916E44">
            <w:pPr>
              <w:spacing w:line="300" w:lineRule="auto"/>
              <w:jc w:val="center"/>
              <w:rPr>
                <w:rFonts w:ascii="Arial" w:hAnsi="Arial" w:eastAsia="宋体" w:cs="Times New Roman"/>
                <w:szCs w:val="24"/>
              </w:rPr>
            </w:pPr>
            <w:r>
              <w:rPr>
                <w:rFonts w:hint="eastAsia" w:ascii="Arial" w:hAnsi="Arial" w:eastAsia="宋体" w:cs="Times New Roman"/>
                <w:szCs w:val="24"/>
              </w:rPr>
              <w:t>货物名称</w:t>
            </w:r>
          </w:p>
        </w:tc>
        <w:tc>
          <w:tcPr>
            <w:tcW w:w="409" w:type="pct"/>
            <w:vAlign w:val="center"/>
          </w:tcPr>
          <w:p w14:paraId="2006CF01">
            <w:pPr>
              <w:spacing w:line="300" w:lineRule="auto"/>
              <w:jc w:val="center"/>
              <w:rPr>
                <w:rFonts w:ascii="Arial" w:hAnsi="Arial" w:eastAsia="宋体" w:cs="Times New Roman"/>
                <w:szCs w:val="24"/>
              </w:rPr>
            </w:pPr>
            <w:r>
              <w:rPr>
                <w:rFonts w:hint="eastAsia" w:ascii="Arial" w:hAnsi="Arial" w:eastAsia="宋体" w:cs="Times New Roman"/>
                <w:szCs w:val="24"/>
              </w:rPr>
              <w:t>品牌</w:t>
            </w:r>
          </w:p>
        </w:tc>
        <w:tc>
          <w:tcPr>
            <w:tcW w:w="478" w:type="pct"/>
            <w:vAlign w:val="center"/>
          </w:tcPr>
          <w:p w14:paraId="1CF66980">
            <w:pPr>
              <w:spacing w:line="300" w:lineRule="auto"/>
              <w:jc w:val="center"/>
              <w:rPr>
                <w:rFonts w:ascii="Arial" w:hAnsi="Arial" w:eastAsia="宋体" w:cs="Times New Roman"/>
                <w:szCs w:val="24"/>
              </w:rPr>
            </w:pPr>
            <w:r>
              <w:rPr>
                <w:rFonts w:hint="eastAsia" w:ascii="Arial" w:hAnsi="Arial" w:eastAsia="宋体" w:cs="Times New Roman"/>
                <w:szCs w:val="24"/>
              </w:rPr>
              <w:t>规格/型号</w:t>
            </w:r>
          </w:p>
        </w:tc>
        <w:tc>
          <w:tcPr>
            <w:tcW w:w="529" w:type="pct"/>
            <w:vAlign w:val="center"/>
          </w:tcPr>
          <w:p w14:paraId="73F60BAE">
            <w:pPr>
              <w:spacing w:line="300" w:lineRule="auto"/>
              <w:jc w:val="center"/>
              <w:rPr>
                <w:rFonts w:ascii="Arial" w:hAnsi="Arial" w:eastAsia="宋体" w:cs="Times New Roman"/>
                <w:b/>
                <w:szCs w:val="24"/>
              </w:rPr>
            </w:pPr>
            <w:r>
              <w:rPr>
                <w:rFonts w:hint="eastAsia" w:ascii="Arial" w:hAnsi="Arial" w:eastAsia="宋体" w:cs="Times New Roman"/>
                <w:bCs/>
                <w:szCs w:val="24"/>
              </w:rPr>
              <w:t>制造商名称</w:t>
            </w:r>
          </w:p>
        </w:tc>
        <w:tc>
          <w:tcPr>
            <w:tcW w:w="395" w:type="pct"/>
            <w:vAlign w:val="center"/>
          </w:tcPr>
          <w:p w14:paraId="184748B9">
            <w:pPr>
              <w:spacing w:line="300" w:lineRule="auto"/>
              <w:jc w:val="center"/>
              <w:rPr>
                <w:rFonts w:ascii="Arial" w:hAnsi="Arial" w:eastAsia="宋体" w:cs="Times New Roman"/>
                <w:szCs w:val="24"/>
              </w:rPr>
            </w:pPr>
            <w:r>
              <w:rPr>
                <w:rFonts w:hint="eastAsia" w:ascii="Arial" w:hAnsi="Arial" w:eastAsia="宋体" w:cs="Times New Roman"/>
                <w:szCs w:val="24"/>
              </w:rPr>
              <w:t>原产地</w:t>
            </w:r>
          </w:p>
        </w:tc>
        <w:tc>
          <w:tcPr>
            <w:tcW w:w="282" w:type="pct"/>
            <w:vAlign w:val="center"/>
          </w:tcPr>
          <w:p w14:paraId="3D1126E4">
            <w:pPr>
              <w:spacing w:line="300" w:lineRule="auto"/>
              <w:jc w:val="center"/>
              <w:rPr>
                <w:rFonts w:ascii="Arial" w:hAnsi="Arial" w:eastAsia="宋体" w:cs="Times New Roman"/>
                <w:szCs w:val="24"/>
              </w:rPr>
            </w:pPr>
            <w:r>
              <w:rPr>
                <w:rFonts w:hint="eastAsia" w:ascii="Arial" w:hAnsi="Arial" w:eastAsia="宋体" w:cs="Times New Roman"/>
                <w:szCs w:val="24"/>
              </w:rPr>
              <w:t>数量</w:t>
            </w:r>
          </w:p>
        </w:tc>
        <w:tc>
          <w:tcPr>
            <w:tcW w:w="282" w:type="pct"/>
          </w:tcPr>
          <w:p w14:paraId="169EEDD1">
            <w:pPr>
              <w:spacing w:line="300" w:lineRule="auto"/>
              <w:jc w:val="center"/>
              <w:rPr>
                <w:rFonts w:ascii="Arial" w:hAnsi="Arial" w:eastAsia="宋体" w:cs="Times New Roman"/>
                <w:szCs w:val="24"/>
              </w:rPr>
            </w:pPr>
            <w:r>
              <w:rPr>
                <w:rFonts w:hint="eastAsia" w:ascii="Arial" w:hAnsi="Arial" w:eastAsia="宋体" w:cs="Times New Roman"/>
                <w:szCs w:val="24"/>
              </w:rPr>
              <w:t>单位</w:t>
            </w:r>
          </w:p>
        </w:tc>
        <w:tc>
          <w:tcPr>
            <w:tcW w:w="396" w:type="pct"/>
            <w:vAlign w:val="center"/>
          </w:tcPr>
          <w:p w14:paraId="18F67444">
            <w:pPr>
              <w:spacing w:line="300" w:lineRule="auto"/>
              <w:jc w:val="center"/>
              <w:rPr>
                <w:rFonts w:ascii="Arial" w:hAnsi="Arial" w:eastAsia="宋体" w:cs="Times New Roman"/>
                <w:szCs w:val="24"/>
              </w:rPr>
            </w:pPr>
            <w:r>
              <w:rPr>
                <w:rFonts w:hint="eastAsia" w:ascii="Arial" w:hAnsi="Arial" w:eastAsia="宋体" w:cs="Times New Roman"/>
                <w:szCs w:val="24"/>
              </w:rPr>
              <w:t>单价（元）</w:t>
            </w:r>
          </w:p>
        </w:tc>
        <w:tc>
          <w:tcPr>
            <w:tcW w:w="527" w:type="pct"/>
            <w:vAlign w:val="center"/>
          </w:tcPr>
          <w:p w14:paraId="45A30136">
            <w:pPr>
              <w:spacing w:line="300" w:lineRule="auto"/>
              <w:jc w:val="center"/>
              <w:rPr>
                <w:rFonts w:ascii="Arial" w:hAnsi="Arial" w:eastAsia="宋体" w:cs="Times New Roman"/>
                <w:szCs w:val="24"/>
              </w:rPr>
            </w:pPr>
            <w:r>
              <w:rPr>
                <w:rFonts w:hint="eastAsia" w:ascii="Arial" w:hAnsi="Arial" w:eastAsia="宋体" w:cs="Times New Roman"/>
                <w:szCs w:val="24"/>
              </w:rPr>
              <w:t>合价（元）</w:t>
            </w:r>
          </w:p>
        </w:tc>
        <w:tc>
          <w:tcPr>
            <w:tcW w:w="527" w:type="pct"/>
            <w:vAlign w:val="center"/>
          </w:tcPr>
          <w:p w14:paraId="103E9988">
            <w:pPr>
              <w:spacing w:line="300" w:lineRule="auto"/>
              <w:jc w:val="center"/>
              <w:rPr>
                <w:rFonts w:ascii="Arial" w:hAnsi="Arial" w:eastAsia="宋体" w:cs="Times New Roman"/>
                <w:szCs w:val="24"/>
              </w:rPr>
            </w:pPr>
            <w:r>
              <w:rPr>
                <w:rFonts w:hint="eastAsia" w:ascii="Times New Roman" w:hAnsi="Times New Roman" w:eastAsia="宋体" w:cs="Times New Roman"/>
                <w:szCs w:val="21"/>
              </w:rPr>
              <w:t>备注</w:t>
            </w:r>
          </w:p>
        </w:tc>
      </w:tr>
      <w:tr w14:paraId="069A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 w:type="pct"/>
            <w:vAlign w:val="center"/>
          </w:tcPr>
          <w:p w14:paraId="69DDD86D">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1</w:t>
            </w:r>
          </w:p>
        </w:tc>
        <w:tc>
          <w:tcPr>
            <w:tcW w:w="903" w:type="pct"/>
            <w:vAlign w:val="center"/>
          </w:tcPr>
          <w:p w14:paraId="224D38BE">
            <w:pPr>
              <w:spacing w:after="78" w:afterLines="25" w:line="300" w:lineRule="auto"/>
              <w:rPr>
                <w:rFonts w:ascii="Arial" w:hAnsi="Arial" w:eastAsia="宋体" w:cs="Times New Roman"/>
                <w:b/>
                <w:szCs w:val="24"/>
              </w:rPr>
            </w:pPr>
          </w:p>
        </w:tc>
        <w:tc>
          <w:tcPr>
            <w:tcW w:w="409" w:type="pct"/>
          </w:tcPr>
          <w:p w14:paraId="6138C4DB">
            <w:pPr>
              <w:spacing w:after="78" w:afterLines="25" w:line="300" w:lineRule="auto"/>
              <w:rPr>
                <w:rFonts w:ascii="Arial" w:hAnsi="Arial" w:eastAsia="宋体" w:cs="Times New Roman"/>
                <w:szCs w:val="24"/>
              </w:rPr>
            </w:pPr>
          </w:p>
        </w:tc>
        <w:tc>
          <w:tcPr>
            <w:tcW w:w="478" w:type="pct"/>
          </w:tcPr>
          <w:p w14:paraId="5C5C6D15">
            <w:pPr>
              <w:spacing w:after="78" w:afterLines="25" w:line="300" w:lineRule="auto"/>
              <w:rPr>
                <w:rFonts w:ascii="Arial" w:hAnsi="Arial" w:eastAsia="宋体" w:cs="Times New Roman"/>
                <w:szCs w:val="24"/>
              </w:rPr>
            </w:pPr>
          </w:p>
        </w:tc>
        <w:tc>
          <w:tcPr>
            <w:tcW w:w="529" w:type="pct"/>
          </w:tcPr>
          <w:p w14:paraId="7B6E1113">
            <w:pPr>
              <w:spacing w:after="78" w:afterLines="25" w:line="300" w:lineRule="auto"/>
              <w:rPr>
                <w:rFonts w:ascii="Arial" w:hAnsi="Arial" w:eastAsia="宋体" w:cs="Times New Roman"/>
                <w:szCs w:val="24"/>
              </w:rPr>
            </w:pPr>
          </w:p>
        </w:tc>
        <w:tc>
          <w:tcPr>
            <w:tcW w:w="395" w:type="pct"/>
          </w:tcPr>
          <w:p w14:paraId="73AE05CB">
            <w:pPr>
              <w:spacing w:after="78" w:afterLines="25" w:line="300" w:lineRule="auto"/>
              <w:rPr>
                <w:rFonts w:ascii="Arial" w:hAnsi="Arial" w:eastAsia="宋体" w:cs="Times New Roman"/>
                <w:szCs w:val="24"/>
              </w:rPr>
            </w:pPr>
          </w:p>
        </w:tc>
        <w:tc>
          <w:tcPr>
            <w:tcW w:w="282" w:type="pct"/>
          </w:tcPr>
          <w:p w14:paraId="660D2F86">
            <w:pPr>
              <w:spacing w:after="78" w:afterLines="25" w:line="300" w:lineRule="auto"/>
              <w:rPr>
                <w:rFonts w:ascii="Arial" w:hAnsi="Arial" w:eastAsia="宋体" w:cs="Times New Roman"/>
                <w:szCs w:val="24"/>
              </w:rPr>
            </w:pPr>
          </w:p>
        </w:tc>
        <w:tc>
          <w:tcPr>
            <w:tcW w:w="282" w:type="pct"/>
          </w:tcPr>
          <w:p w14:paraId="2E24539A">
            <w:pPr>
              <w:spacing w:after="78" w:afterLines="25" w:line="300" w:lineRule="auto"/>
              <w:rPr>
                <w:rFonts w:ascii="Arial" w:hAnsi="Arial" w:eastAsia="宋体" w:cs="Times New Roman"/>
                <w:szCs w:val="24"/>
              </w:rPr>
            </w:pPr>
          </w:p>
        </w:tc>
        <w:tc>
          <w:tcPr>
            <w:tcW w:w="396" w:type="pct"/>
          </w:tcPr>
          <w:p w14:paraId="1CC7EE21">
            <w:pPr>
              <w:spacing w:after="78" w:afterLines="25" w:line="300" w:lineRule="auto"/>
              <w:rPr>
                <w:rFonts w:ascii="Arial" w:hAnsi="Arial" w:eastAsia="宋体" w:cs="Times New Roman"/>
                <w:szCs w:val="24"/>
              </w:rPr>
            </w:pPr>
          </w:p>
        </w:tc>
        <w:tc>
          <w:tcPr>
            <w:tcW w:w="527" w:type="pct"/>
          </w:tcPr>
          <w:p w14:paraId="6539758E">
            <w:pPr>
              <w:spacing w:after="78" w:afterLines="25" w:line="300" w:lineRule="auto"/>
              <w:rPr>
                <w:rFonts w:ascii="Arial" w:hAnsi="Arial" w:eastAsia="宋体" w:cs="Times New Roman"/>
                <w:szCs w:val="24"/>
              </w:rPr>
            </w:pPr>
          </w:p>
        </w:tc>
        <w:tc>
          <w:tcPr>
            <w:tcW w:w="527" w:type="pct"/>
            <w:vMerge w:val="restart"/>
          </w:tcPr>
          <w:p w14:paraId="5B8ECEDA">
            <w:pPr>
              <w:spacing w:after="78" w:afterLines="25" w:line="300" w:lineRule="auto"/>
              <w:rPr>
                <w:rFonts w:ascii="Arial" w:hAnsi="Arial" w:eastAsia="宋体" w:cs="Times New Roman"/>
                <w:szCs w:val="24"/>
              </w:rPr>
            </w:pPr>
          </w:p>
        </w:tc>
      </w:tr>
      <w:tr w14:paraId="40FC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7" w:type="pct"/>
          </w:tcPr>
          <w:p w14:paraId="70AB20C9">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2</w:t>
            </w:r>
          </w:p>
        </w:tc>
        <w:tc>
          <w:tcPr>
            <w:tcW w:w="903" w:type="pct"/>
          </w:tcPr>
          <w:p w14:paraId="641762FC">
            <w:pPr>
              <w:spacing w:after="78" w:afterLines="25" w:line="300" w:lineRule="auto"/>
              <w:rPr>
                <w:rFonts w:ascii="Arial" w:hAnsi="Arial" w:eastAsia="宋体" w:cs="Times New Roman"/>
                <w:b/>
                <w:szCs w:val="24"/>
              </w:rPr>
            </w:pPr>
          </w:p>
        </w:tc>
        <w:tc>
          <w:tcPr>
            <w:tcW w:w="409" w:type="pct"/>
          </w:tcPr>
          <w:p w14:paraId="0B232807">
            <w:pPr>
              <w:spacing w:after="78" w:afterLines="25" w:line="300" w:lineRule="auto"/>
              <w:rPr>
                <w:rFonts w:ascii="Arial" w:hAnsi="Arial" w:eastAsia="宋体" w:cs="Times New Roman"/>
                <w:szCs w:val="24"/>
              </w:rPr>
            </w:pPr>
          </w:p>
        </w:tc>
        <w:tc>
          <w:tcPr>
            <w:tcW w:w="478" w:type="pct"/>
          </w:tcPr>
          <w:p w14:paraId="04A543D2">
            <w:pPr>
              <w:spacing w:after="78" w:afterLines="25" w:line="300" w:lineRule="auto"/>
              <w:rPr>
                <w:rFonts w:ascii="Arial" w:hAnsi="Arial" w:eastAsia="宋体" w:cs="Times New Roman"/>
                <w:szCs w:val="24"/>
              </w:rPr>
            </w:pPr>
          </w:p>
        </w:tc>
        <w:tc>
          <w:tcPr>
            <w:tcW w:w="529" w:type="pct"/>
          </w:tcPr>
          <w:p w14:paraId="5BFEC075">
            <w:pPr>
              <w:spacing w:after="78" w:afterLines="25" w:line="300" w:lineRule="auto"/>
              <w:rPr>
                <w:rFonts w:ascii="Arial" w:hAnsi="Arial" w:eastAsia="宋体" w:cs="Times New Roman"/>
                <w:szCs w:val="24"/>
              </w:rPr>
            </w:pPr>
          </w:p>
        </w:tc>
        <w:tc>
          <w:tcPr>
            <w:tcW w:w="395" w:type="pct"/>
          </w:tcPr>
          <w:p w14:paraId="55BEA18E">
            <w:pPr>
              <w:spacing w:after="78" w:afterLines="25" w:line="300" w:lineRule="auto"/>
              <w:rPr>
                <w:rFonts w:ascii="Arial" w:hAnsi="Arial" w:eastAsia="宋体" w:cs="Times New Roman"/>
                <w:szCs w:val="24"/>
              </w:rPr>
            </w:pPr>
          </w:p>
        </w:tc>
        <w:tc>
          <w:tcPr>
            <w:tcW w:w="282" w:type="pct"/>
          </w:tcPr>
          <w:p w14:paraId="6210DB3A">
            <w:pPr>
              <w:spacing w:after="78" w:afterLines="25" w:line="300" w:lineRule="auto"/>
              <w:rPr>
                <w:rFonts w:ascii="Arial" w:hAnsi="Arial" w:eastAsia="宋体" w:cs="Times New Roman"/>
                <w:szCs w:val="24"/>
              </w:rPr>
            </w:pPr>
          </w:p>
        </w:tc>
        <w:tc>
          <w:tcPr>
            <w:tcW w:w="282" w:type="pct"/>
          </w:tcPr>
          <w:p w14:paraId="352C8914">
            <w:pPr>
              <w:spacing w:after="78" w:afterLines="25" w:line="300" w:lineRule="auto"/>
              <w:rPr>
                <w:rFonts w:ascii="Arial" w:hAnsi="Arial" w:eastAsia="宋体" w:cs="Times New Roman"/>
                <w:szCs w:val="24"/>
              </w:rPr>
            </w:pPr>
          </w:p>
        </w:tc>
        <w:tc>
          <w:tcPr>
            <w:tcW w:w="396" w:type="pct"/>
          </w:tcPr>
          <w:p w14:paraId="301DDA29">
            <w:pPr>
              <w:spacing w:after="78" w:afterLines="25" w:line="300" w:lineRule="auto"/>
              <w:rPr>
                <w:rFonts w:ascii="Arial" w:hAnsi="Arial" w:eastAsia="宋体" w:cs="Times New Roman"/>
                <w:szCs w:val="24"/>
              </w:rPr>
            </w:pPr>
          </w:p>
        </w:tc>
        <w:tc>
          <w:tcPr>
            <w:tcW w:w="527" w:type="pct"/>
          </w:tcPr>
          <w:p w14:paraId="00AEC5B1">
            <w:pPr>
              <w:spacing w:after="78" w:afterLines="25" w:line="300" w:lineRule="auto"/>
              <w:rPr>
                <w:rFonts w:ascii="Arial" w:hAnsi="Arial" w:eastAsia="宋体" w:cs="Times New Roman"/>
                <w:szCs w:val="24"/>
              </w:rPr>
            </w:pPr>
          </w:p>
        </w:tc>
        <w:tc>
          <w:tcPr>
            <w:tcW w:w="527" w:type="pct"/>
            <w:vMerge w:val="continue"/>
          </w:tcPr>
          <w:p w14:paraId="56286D93">
            <w:pPr>
              <w:spacing w:after="78" w:afterLines="25" w:line="300" w:lineRule="auto"/>
              <w:rPr>
                <w:rFonts w:ascii="Arial" w:hAnsi="Arial" w:eastAsia="宋体" w:cs="Times New Roman"/>
                <w:szCs w:val="24"/>
              </w:rPr>
            </w:pPr>
          </w:p>
        </w:tc>
      </w:tr>
      <w:tr w14:paraId="5052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67" w:type="pct"/>
          </w:tcPr>
          <w:p w14:paraId="740E13CC">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3</w:t>
            </w:r>
          </w:p>
        </w:tc>
        <w:tc>
          <w:tcPr>
            <w:tcW w:w="903" w:type="pct"/>
          </w:tcPr>
          <w:p w14:paraId="2846158E">
            <w:pPr>
              <w:spacing w:after="78" w:afterLines="25" w:line="300" w:lineRule="auto"/>
              <w:rPr>
                <w:rFonts w:ascii="Arial" w:hAnsi="Arial" w:eastAsia="宋体" w:cs="Times New Roman"/>
                <w:b/>
                <w:szCs w:val="24"/>
              </w:rPr>
            </w:pPr>
          </w:p>
        </w:tc>
        <w:tc>
          <w:tcPr>
            <w:tcW w:w="409" w:type="pct"/>
          </w:tcPr>
          <w:p w14:paraId="0395B0DA">
            <w:pPr>
              <w:spacing w:after="78" w:afterLines="25" w:line="300" w:lineRule="auto"/>
              <w:rPr>
                <w:rFonts w:ascii="Arial" w:hAnsi="Arial" w:eastAsia="宋体" w:cs="Times New Roman"/>
                <w:szCs w:val="24"/>
              </w:rPr>
            </w:pPr>
          </w:p>
        </w:tc>
        <w:tc>
          <w:tcPr>
            <w:tcW w:w="478" w:type="pct"/>
          </w:tcPr>
          <w:p w14:paraId="660D3557">
            <w:pPr>
              <w:spacing w:after="78" w:afterLines="25" w:line="300" w:lineRule="auto"/>
              <w:rPr>
                <w:rFonts w:ascii="Arial" w:hAnsi="Arial" w:eastAsia="宋体" w:cs="Times New Roman"/>
                <w:szCs w:val="24"/>
              </w:rPr>
            </w:pPr>
          </w:p>
        </w:tc>
        <w:tc>
          <w:tcPr>
            <w:tcW w:w="529" w:type="pct"/>
          </w:tcPr>
          <w:p w14:paraId="6DB3400E">
            <w:pPr>
              <w:spacing w:after="78" w:afterLines="25" w:line="300" w:lineRule="auto"/>
              <w:rPr>
                <w:rFonts w:ascii="Arial" w:hAnsi="Arial" w:eastAsia="宋体" w:cs="Times New Roman"/>
                <w:szCs w:val="24"/>
              </w:rPr>
            </w:pPr>
          </w:p>
        </w:tc>
        <w:tc>
          <w:tcPr>
            <w:tcW w:w="395" w:type="pct"/>
          </w:tcPr>
          <w:p w14:paraId="5B9BB23B">
            <w:pPr>
              <w:spacing w:after="78" w:afterLines="25" w:line="300" w:lineRule="auto"/>
              <w:rPr>
                <w:rFonts w:ascii="Arial" w:hAnsi="Arial" w:eastAsia="宋体" w:cs="Times New Roman"/>
                <w:szCs w:val="24"/>
              </w:rPr>
            </w:pPr>
          </w:p>
        </w:tc>
        <w:tc>
          <w:tcPr>
            <w:tcW w:w="282" w:type="pct"/>
          </w:tcPr>
          <w:p w14:paraId="4CFD39AD">
            <w:pPr>
              <w:spacing w:after="78" w:afterLines="25" w:line="300" w:lineRule="auto"/>
              <w:rPr>
                <w:rFonts w:ascii="Arial" w:hAnsi="Arial" w:eastAsia="宋体" w:cs="Times New Roman"/>
                <w:szCs w:val="24"/>
              </w:rPr>
            </w:pPr>
          </w:p>
        </w:tc>
        <w:tc>
          <w:tcPr>
            <w:tcW w:w="282" w:type="pct"/>
          </w:tcPr>
          <w:p w14:paraId="0523B4D8">
            <w:pPr>
              <w:spacing w:after="78" w:afterLines="25" w:line="300" w:lineRule="auto"/>
              <w:rPr>
                <w:rFonts w:ascii="Arial" w:hAnsi="Arial" w:eastAsia="宋体" w:cs="Times New Roman"/>
                <w:szCs w:val="24"/>
              </w:rPr>
            </w:pPr>
          </w:p>
        </w:tc>
        <w:tc>
          <w:tcPr>
            <w:tcW w:w="396" w:type="pct"/>
          </w:tcPr>
          <w:p w14:paraId="041A120E">
            <w:pPr>
              <w:spacing w:after="78" w:afterLines="25" w:line="300" w:lineRule="auto"/>
              <w:rPr>
                <w:rFonts w:ascii="Arial" w:hAnsi="Arial" w:eastAsia="宋体" w:cs="Times New Roman"/>
                <w:szCs w:val="24"/>
              </w:rPr>
            </w:pPr>
          </w:p>
        </w:tc>
        <w:tc>
          <w:tcPr>
            <w:tcW w:w="527" w:type="pct"/>
          </w:tcPr>
          <w:p w14:paraId="1ACD56B6">
            <w:pPr>
              <w:spacing w:after="78" w:afterLines="25" w:line="300" w:lineRule="auto"/>
              <w:rPr>
                <w:rFonts w:ascii="Arial" w:hAnsi="Arial" w:eastAsia="宋体" w:cs="Times New Roman"/>
                <w:szCs w:val="24"/>
              </w:rPr>
            </w:pPr>
          </w:p>
        </w:tc>
        <w:tc>
          <w:tcPr>
            <w:tcW w:w="527" w:type="pct"/>
            <w:vMerge w:val="continue"/>
          </w:tcPr>
          <w:p w14:paraId="5666F744">
            <w:pPr>
              <w:spacing w:after="78" w:afterLines="25" w:line="300" w:lineRule="auto"/>
              <w:rPr>
                <w:rFonts w:ascii="Arial" w:hAnsi="Arial" w:eastAsia="宋体" w:cs="Times New Roman"/>
                <w:szCs w:val="24"/>
              </w:rPr>
            </w:pPr>
          </w:p>
        </w:tc>
      </w:tr>
      <w:tr w14:paraId="38A0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67" w:type="pct"/>
          </w:tcPr>
          <w:p w14:paraId="08F1F138">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w:t>
            </w:r>
          </w:p>
        </w:tc>
        <w:tc>
          <w:tcPr>
            <w:tcW w:w="903" w:type="pct"/>
          </w:tcPr>
          <w:p w14:paraId="184EEBDE">
            <w:pPr>
              <w:spacing w:after="78" w:afterLines="25" w:line="300" w:lineRule="auto"/>
              <w:rPr>
                <w:rFonts w:ascii="Arial" w:hAnsi="Arial" w:eastAsia="宋体" w:cs="Times New Roman"/>
                <w:b/>
                <w:szCs w:val="24"/>
              </w:rPr>
            </w:pPr>
          </w:p>
        </w:tc>
        <w:tc>
          <w:tcPr>
            <w:tcW w:w="409" w:type="pct"/>
          </w:tcPr>
          <w:p w14:paraId="15E89F1F">
            <w:pPr>
              <w:spacing w:after="78" w:afterLines="25" w:line="300" w:lineRule="auto"/>
              <w:rPr>
                <w:rFonts w:ascii="Arial" w:hAnsi="Arial" w:eastAsia="宋体" w:cs="Times New Roman"/>
                <w:szCs w:val="24"/>
              </w:rPr>
            </w:pPr>
          </w:p>
        </w:tc>
        <w:tc>
          <w:tcPr>
            <w:tcW w:w="478" w:type="pct"/>
          </w:tcPr>
          <w:p w14:paraId="0CEA7273">
            <w:pPr>
              <w:spacing w:after="78" w:afterLines="25" w:line="300" w:lineRule="auto"/>
              <w:rPr>
                <w:rFonts w:ascii="Arial" w:hAnsi="Arial" w:eastAsia="宋体" w:cs="Times New Roman"/>
                <w:szCs w:val="24"/>
              </w:rPr>
            </w:pPr>
          </w:p>
        </w:tc>
        <w:tc>
          <w:tcPr>
            <w:tcW w:w="529" w:type="pct"/>
          </w:tcPr>
          <w:p w14:paraId="022FC796">
            <w:pPr>
              <w:spacing w:after="78" w:afterLines="25" w:line="300" w:lineRule="auto"/>
              <w:rPr>
                <w:rFonts w:ascii="Arial" w:hAnsi="Arial" w:eastAsia="宋体" w:cs="Times New Roman"/>
                <w:szCs w:val="24"/>
              </w:rPr>
            </w:pPr>
          </w:p>
        </w:tc>
        <w:tc>
          <w:tcPr>
            <w:tcW w:w="395" w:type="pct"/>
          </w:tcPr>
          <w:p w14:paraId="3ECDCF2E">
            <w:pPr>
              <w:spacing w:after="78" w:afterLines="25" w:line="300" w:lineRule="auto"/>
              <w:rPr>
                <w:rFonts w:ascii="Arial" w:hAnsi="Arial" w:eastAsia="宋体" w:cs="Times New Roman"/>
                <w:szCs w:val="24"/>
              </w:rPr>
            </w:pPr>
          </w:p>
        </w:tc>
        <w:tc>
          <w:tcPr>
            <w:tcW w:w="282" w:type="pct"/>
          </w:tcPr>
          <w:p w14:paraId="6F7F3CCC">
            <w:pPr>
              <w:spacing w:after="78" w:afterLines="25" w:line="300" w:lineRule="auto"/>
              <w:rPr>
                <w:rFonts w:ascii="Arial" w:hAnsi="Arial" w:eastAsia="宋体" w:cs="Times New Roman"/>
                <w:szCs w:val="24"/>
              </w:rPr>
            </w:pPr>
          </w:p>
        </w:tc>
        <w:tc>
          <w:tcPr>
            <w:tcW w:w="282" w:type="pct"/>
          </w:tcPr>
          <w:p w14:paraId="11F7810A">
            <w:pPr>
              <w:spacing w:after="78" w:afterLines="25" w:line="300" w:lineRule="auto"/>
              <w:rPr>
                <w:rFonts w:ascii="Arial" w:hAnsi="Arial" w:eastAsia="宋体" w:cs="Times New Roman"/>
                <w:szCs w:val="24"/>
              </w:rPr>
            </w:pPr>
          </w:p>
        </w:tc>
        <w:tc>
          <w:tcPr>
            <w:tcW w:w="396" w:type="pct"/>
          </w:tcPr>
          <w:p w14:paraId="7205E7D2">
            <w:pPr>
              <w:spacing w:after="78" w:afterLines="25" w:line="300" w:lineRule="auto"/>
              <w:rPr>
                <w:rFonts w:ascii="Arial" w:hAnsi="Arial" w:eastAsia="宋体" w:cs="Times New Roman"/>
                <w:szCs w:val="24"/>
              </w:rPr>
            </w:pPr>
          </w:p>
        </w:tc>
        <w:tc>
          <w:tcPr>
            <w:tcW w:w="527" w:type="pct"/>
          </w:tcPr>
          <w:p w14:paraId="06E6D3C4">
            <w:pPr>
              <w:spacing w:after="78" w:afterLines="25" w:line="300" w:lineRule="auto"/>
              <w:rPr>
                <w:rFonts w:ascii="Arial" w:hAnsi="Arial" w:eastAsia="宋体" w:cs="Times New Roman"/>
                <w:szCs w:val="24"/>
              </w:rPr>
            </w:pPr>
          </w:p>
        </w:tc>
        <w:tc>
          <w:tcPr>
            <w:tcW w:w="527" w:type="pct"/>
            <w:vMerge w:val="continue"/>
          </w:tcPr>
          <w:p w14:paraId="471C1731">
            <w:pPr>
              <w:spacing w:after="78" w:afterLines="25" w:line="300" w:lineRule="auto"/>
              <w:rPr>
                <w:rFonts w:ascii="Arial" w:hAnsi="Arial" w:eastAsia="宋体" w:cs="Times New Roman"/>
                <w:szCs w:val="24"/>
              </w:rPr>
            </w:pPr>
          </w:p>
        </w:tc>
      </w:tr>
      <w:tr w14:paraId="5BA5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984" w:type="pct"/>
            <w:gridSpan w:val="6"/>
          </w:tcPr>
          <w:p w14:paraId="3809E4DF">
            <w:pPr>
              <w:spacing w:after="78" w:afterLines="25" w:line="300" w:lineRule="auto"/>
              <w:jc w:val="center"/>
              <w:rPr>
                <w:rFonts w:ascii="Arial" w:hAnsi="Arial" w:eastAsia="宋体" w:cs="Times New Roman"/>
                <w:szCs w:val="24"/>
              </w:rPr>
            </w:pPr>
            <w:r>
              <w:rPr>
                <w:rFonts w:hint="eastAsia" w:ascii="Arial" w:hAnsi="Arial" w:eastAsia="宋体" w:cs="Times New Roman"/>
                <w:b/>
                <w:szCs w:val="24"/>
              </w:rPr>
              <w:t>投标总价</w:t>
            </w:r>
            <w:r>
              <w:rPr>
                <w:rFonts w:hint="eastAsia" w:ascii="Arial" w:hAnsi="Arial" w:eastAsia="宋体" w:cs="Times New Roman"/>
                <w:szCs w:val="24"/>
              </w:rPr>
              <w:t>（以上各项之和；币种：人民币；单位：元）</w:t>
            </w:r>
          </w:p>
        </w:tc>
        <w:tc>
          <w:tcPr>
            <w:tcW w:w="2015" w:type="pct"/>
            <w:gridSpan w:val="5"/>
          </w:tcPr>
          <w:p w14:paraId="4B60AE73">
            <w:pPr>
              <w:spacing w:after="78" w:afterLines="25" w:line="300" w:lineRule="auto"/>
              <w:rPr>
                <w:rFonts w:ascii="Arial" w:hAnsi="Arial" w:eastAsia="宋体" w:cs="Times New Roman"/>
                <w:szCs w:val="24"/>
              </w:rPr>
            </w:pPr>
          </w:p>
        </w:tc>
      </w:tr>
    </w:tbl>
    <w:p w14:paraId="3D7A5765">
      <w:pPr>
        <w:snapToGrid w:val="0"/>
        <w:rPr>
          <w:rFonts w:hint="eastAsia" w:cs="Times New Roman" w:asciiTheme="minorEastAsia" w:hAnsiTheme="minorEastAsia"/>
          <w:b/>
          <w:szCs w:val="24"/>
        </w:rPr>
      </w:pPr>
      <w:r>
        <w:rPr>
          <w:rFonts w:hint="eastAsia" w:cs="Times New Roman" w:asciiTheme="minorEastAsia" w:hAnsiTheme="minorEastAsia"/>
          <w:b/>
          <w:szCs w:val="24"/>
        </w:rPr>
        <w:t>填写说明：</w:t>
      </w:r>
    </w:p>
    <w:p w14:paraId="2E67F2B1">
      <w:pPr>
        <w:snapToGrid w:val="0"/>
        <w:rPr>
          <w:rFonts w:hint="eastAsia" w:cs="Times New Roman" w:asciiTheme="minorEastAsia" w:hAnsiTheme="minorEastAsia"/>
          <w:b/>
          <w:szCs w:val="24"/>
        </w:rPr>
      </w:pPr>
      <w:r>
        <w:rPr>
          <w:rFonts w:hint="eastAsia" w:cs="Times New Roman" w:asciiTheme="minorEastAsia" w:hAnsiTheme="minorEastAsia"/>
          <w:b/>
          <w:szCs w:val="24"/>
        </w:rPr>
        <w:t>1.本表可按同样格式扩展。</w:t>
      </w:r>
    </w:p>
    <w:p w14:paraId="2770ABD4">
      <w:pPr>
        <w:snapToGrid w:val="0"/>
        <w:rPr>
          <w:rFonts w:hint="eastAsia" w:cs="Times New Roman" w:asciiTheme="minorEastAsia" w:hAnsiTheme="minorEastAsia"/>
          <w:b/>
          <w:szCs w:val="24"/>
        </w:rPr>
      </w:pPr>
      <w:r>
        <w:rPr>
          <w:rFonts w:hint="eastAsia" w:cs="Times New Roman" w:asciiTheme="minorEastAsia" w:hAnsiTheme="minorEastAsia"/>
          <w:b/>
          <w:szCs w:val="24"/>
        </w:rPr>
        <w:t>2. “品牌”可以与商标一致，也可以填写便于区分其他公司商品的制造商简称或者制造商认可的品牌名称。</w:t>
      </w:r>
    </w:p>
    <w:p w14:paraId="0FE01741">
      <w:pPr>
        <w:snapToGrid w:val="0"/>
        <w:rPr>
          <w:rFonts w:hint="eastAsia" w:cs="Times New Roman" w:asciiTheme="minorEastAsia" w:hAnsiTheme="minorEastAsia"/>
          <w:b/>
          <w:szCs w:val="24"/>
        </w:rPr>
      </w:pPr>
      <w:r>
        <w:rPr>
          <w:rFonts w:hint="eastAsia" w:cs="Times New Roman" w:asciiTheme="minorEastAsia" w:hAnsiTheme="minorEastAsia"/>
          <w:b/>
          <w:szCs w:val="24"/>
        </w:rPr>
        <w:t>3.如所投货物属于定制类的非量产货物或无具体型号的货物，可以在“规格/型号”一栏仅填写规格信息而不填写型号信息（型号信息用“定制”描述即可）；</w:t>
      </w:r>
      <w:bookmarkStart w:id="33" w:name="_Hlk73646428"/>
      <w:r>
        <w:rPr>
          <w:rFonts w:hint="eastAsia" w:cs="Times New Roman" w:asciiTheme="minorEastAsia" w:hAnsiTheme="minorEastAsia"/>
          <w:b/>
          <w:szCs w:val="24"/>
        </w:rPr>
        <w:t>此类填写错误或缺漏（所投货物为定制类的非量产货物但供应商却错误填报了型号）可能带来的不利后果由供应商承担。</w:t>
      </w:r>
      <w:bookmarkEnd w:id="33"/>
    </w:p>
    <w:p w14:paraId="6419BF61">
      <w:pPr>
        <w:snapToGrid w:val="0"/>
        <w:rPr>
          <w:rFonts w:hint="eastAsia" w:cs="Times New Roman" w:asciiTheme="minorEastAsia" w:hAnsiTheme="minorEastAsia"/>
          <w:b/>
          <w:szCs w:val="24"/>
        </w:rPr>
      </w:pPr>
      <w:r>
        <w:rPr>
          <w:rFonts w:hint="eastAsia" w:cs="Times New Roman" w:asciiTheme="minorEastAsia" w:hAnsiTheme="minorEastAsia"/>
          <w:b/>
          <w:szCs w:val="24"/>
        </w:rPr>
        <w:t>4.</w:t>
      </w:r>
      <w:bookmarkStart w:id="34" w:name="_Hlk72074795"/>
      <w:r>
        <w:rPr>
          <w:rFonts w:hint="eastAsia" w:cs="Times New Roman" w:asciiTheme="minorEastAsia" w:hAnsiTheme="minorEastAsia"/>
          <w:b/>
          <w:szCs w:val="24"/>
        </w:rPr>
        <w:t>“原产地”是指该货物的实际生产加工地，而非品牌所在地</w:t>
      </w:r>
      <w:bookmarkEnd w:id="34"/>
      <w:r>
        <w:rPr>
          <w:rFonts w:hint="eastAsia" w:cs="Times New Roman" w:asciiTheme="minorEastAsia" w:hAnsiTheme="minorEastAsia"/>
          <w:b/>
          <w:szCs w:val="24"/>
        </w:rPr>
        <w:t>。</w:t>
      </w:r>
    </w:p>
    <w:p w14:paraId="0B8D5BE7">
      <w:pPr>
        <w:snapToGrid w:val="0"/>
        <w:rPr>
          <w:rFonts w:hint="eastAsia" w:cs="Times New Roman" w:asciiTheme="minorEastAsia" w:hAnsiTheme="minorEastAsia"/>
          <w:b/>
          <w:szCs w:val="24"/>
        </w:rPr>
      </w:pPr>
      <w:r>
        <w:rPr>
          <w:rFonts w:hint="eastAsia" w:cs="Times New Roman" w:asciiTheme="minorEastAsia" w:hAnsiTheme="minorEastAsia"/>
          <w:b/>
          <w:szCs w:val="24"/>
        </w:rPr>
        <w:t>5.所投货物均应填写制造商名称。“制造商”是指产品制造厂商，产品代工制造的，应填写接受委托生产制造的制造商。</w:t>
      </w:r>
    </w:p>
    <w:p w14:paraId="5566A869">
      <w:pPr>
        <w:snapToGrid w:val="0"/>
        <w:rPr>
          <w:rFonts w:hint="eastAsia" w:cs="Times New Roman" w:asciiTheme="minorEastAsia" w:hAnsiTheme="minorEastAsia"/>
          <w:b/>
          <w:szCs w:val="24"/>
        </w:rPr>
      </w:pPr>
      <w:r>
        <w:rPr>
          <w:rFonts w:hint="eastAsia" w:cs="Times New Roman" w:asciiTheme="minorEastAsia" w:hAnsiTheme="minorEastAsia"/>
          <w:b/>
          <w:szCs w:val="24"/>
        </w:rPr>
        <w:t>6.以上分项报价表的投标总价应当与开标一览表的投标总价一致。</w:t>
      </w:r>
    </w:p>
    <w:p w14:paraId="10FE996A">
      <w:pPr>
        <w:snapToGrid w:val="0"/>
        <w:rPr>
          <w:rFonts w:hint="eastAsia" w:cs="Times New Roman" w:asciiTheme="minorEastAsia" w:hAnsiTheme="minorEastAsia"/>
          <w:b/>
          <w:szCs w:val="24"/>
        </w:rPr>
      </w:pPr>
      <w:r>
        <w:rPr>
          <w:rFonts w:hint="eastAsia" w:cs="Times New Roman" w:asciiTheme="minorEastAsia" w:hAnsiTheme="minorEastAsia"/>
          <w:b/>
          <w:szCs w:val="24"/>
        </w:rPr>
        <w:t>7.单价、合价和投标总价为包干价，即三者均应包含货物的价款、包装、运输、装卸、安装、调试、技术指导、培训、咨询、服务、保险、税费、检测、验收合格交付使用之前以及技术和售后服务等其他各项有关费用。</w:t>
      </w:r>
    </w:p>
    <w:p w14:paraId="7483CF9F">
      <w:pPr>
        <w:snapToGrid w:val="0"/>
        <w:rPr>
          <w:rFonts w:hint="eastAsia" w:cs="Times New Roman" w:asciiTheme="minorEastAsia" w:hAnsiTheme="minorEastAsia"/>
          <w:b/>
          <w:szCs w:val="24"/>
        </w:rPr>
      </w:pPr>
      <w:r>
        <w:rPr>
          <w:rFonts w:hint="eastAsia" w:cs="Times New Roman" w:asciiTheme="minorEastAsia" w:hAnsiTheme="minorEastAsia"/>
          <w:b/>
          <w:szCs w:val="24"/>
        </w:rPr>
        <w:t>8.所有价格应按“招标文件”中规定的货币单位填写；投标总价应为以上各分项价格之和；投标总价和项目报价表中单个采购预算条目报价均不得超过对应的财政预算限额，否则将导致投标无效。</w:t>
      </w:r>
    </w:p>
    <w:p w14:paraId="40D0CB52">
      <w:pPr>
        <w:snapToGrid w:val="0"/>
        <w:rPr>
          <w:rFonts w:hint="eastAsia" w:cs="Times New Roman" w:asciiTheme="minorEastAsia" w:hAnsiTheme="minorEastAsia"/>
          <w:b/>
          <w:szCs w:val="24"/>
        </w:rPr>
      </w:pPr>
    </w:p>
    <w:p w14:paraId="1C1BDB86">
      <w:pPr>
        <w:tabs>
          <w:tab w:val="left" w:pos="720"/>
        </w:tabs>
        <w:rPr>
          <w:rFonts w:ascii="Times New Roman" w:hAnsi="Times New Roman" w:eastAsia="宋体" w:cs="Times New Roman"/>
          <w:b/>
          <w:sz w:val="24"/>
          <w:szCs w:val="24"/>
        </w:rPr>
      </w:pPr>
    </w:p>
    <w:p w14:paraId="1D5AC866">
      <w:pPr>
        <w:tabs>
          <w:tab w:val="left" w:pos="720"/>
        </w:tabs>
        <w:rPr>
          <w:rFonts w:ascii="Times New Roman" w:hAnsi="Times New Roman" w:eastAsia="宋体" w:cs="Times New Roman"/>
          <w:b/>
          <w:color w:val="FF0000"/>
          <w:sz w:val="24"/>
          <w:szCs w:val="24"/>
        </w:rPr>
      </w:pPr>
      <w:r>
        <w:rPr>
          <w:rFonts w:hint="eastAsia" w:ascii="Times New Roman" w:hAnsi="Times New Roman" w:eastAsia="宋体" w:cs="Times New Roman"/>
          <w:b/>
          <w:color w:val="FF0000"/>
          <w:sz w:val="24"/>
          <w:szCs w:val="24"/>
        </w:rPr>
        <w:t>（二）核心产品品牌</w:t>
      </w:r>
    </w:p>
    <w:p w14:paraId="1E59C62C">
      <w:pPr>
        <w:rPr>
          <w:rFonts w:ascii="Times New Roman" w:hAnsi="Times New Roman" w:eastAsia="宋体" w:cs="Times New Roman"/>
          <w:color w:val="FF0000"/>
          <w:sz w:val="24"/>
          <w:szCs w:val="24"/>
        </w:rPr>
      </w:pPr>
      <w:r>
        <w:rPr>
          <w:rFonts w:hint="eastAsia" w:ascii="Times New Roman" w:hAnsi="Times New Roman" w:eastAsia="宋体" w:cs="Times New Roman"/>
          <w:b/>
          <w:color w:val="FF0000"/>
          <w:sz w:val="24"/>
          <w:szCs w:val="24"/>
        </w:rPr>
        <w:t>我单位所投核心产品的品牌为：</w:t>
      </w:r>
      <w:r>
        <w:rPr>
          <w:rFonts w:hint="eastAsia" w:ascii="Times New Roman" w:hAnsi="Times New Roman" w:eastAsia="宋体" w:cs="Times New Roman"/>
          <w:color w:val="FF0000"/>
          <w:sz w:val="24"/>
          <w:szCs w:val="24"/>
          <w:u w:val="single"/>
        </w:rPr>
        <w:t xml:space="preserve">               </w:t>
      </w:r>
      <w:r>
        <w:rPr>
          <w:rFonts w:hint="eastAsia" w:ascii="Times New Roman" w:hAnsi="Times New Roman" w:eastAsia="宋体" w:cs="Times New Roman"/>
          <w:color w:val="FF0000"/>
          <w:sz w:val="24"/>
          <w:szCs w:val="24"/>
        </w:rPr>
        <w:t>。</w:t>
      </w:r>
    </w:p>
    <w:p w14:paraId="4CD5A377">
      <w:pPr>
        <w:rPr>
          <w:rFonts w:ascii="Arial" w:hAnsi="Arial" w:eastAsia="宋体" w:cs="Times New Roman"/>
          <w:b/>
          <w:szCs w:val="24"/>
        </w:rPr>
      </w:pPr>
      <w:r>
        <w:rPr>
          <w:rFonts w:hint="eastAsia" w:ascii="宋体" w:hAnsi="宋体" w:eastAsia="宋体" w:cs="Times New Roman"/>
          <w:color w:val="FF0000"/>
          <w:sz w:val="24"/>
          <w:szCs w:val="24"/>
        </w:rPr>
        <w:t>备注：单一产品采购项目，核心产品即为该单一产品。</w:t>
      </w:r>
    </w:p>
    <w:p w14:paraId="6ED47A95">
      <w:pPr>
        <w:spacing w:after="78" w:afterLines="25" w:line="300" w:lineRule="auto"/>
        <w:rPr>
          <w:rFonts w:ascii="Arial" w:hAnsi="Arial" w:eastAsia="宋体" w:cs="Times New Roman"/>
          <w:b/>
          <w:szCs w:val="24"/>
        </w:rPr>
      </w:pPr>
    </w:p>
    <w:p w14:paraId="57AC2EE0">
      <w:pPr>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（三）可选配件报价清单（非项目需求要求的必备配件，此部分不包括在总报价内）</w:t>
      </w:r>
    </w:p>
    <w:p w14:paraId="3BCB1E01">
      <w:pPr>
        <w:ind w:firstLine="422" w:firstLineChars="200"/>
        <w:rPr>
          <w:rFonts w:hint="eastAsia" w:hAnsi="宋体"/>
          <w:b/>
          <w:bCs/>
          <w:szCs w:val="21"/>
        </w:rPr>
      </w:pPr>
      <w:r>
        <w:rPr>
          <w:rFonts w:hint="eastAsia" w:hAnsi="宋体"/>
          <w:b/>
          <w:bCs/>
          <w:szCs w:val="21"/>
        </w:rPr>
        <w:t>注：格式可以参照《（一）项目报价表》表格，并提供相应的品牌/规格/型号、原产地、制造商信息（没有品牌、型号的，用“定制”描述即可）、单价等详细信息</w:t>
      </w:r>
    </w:p>
    <w:p w14:paraId="7E7BBAC7">
      <w:pPr>
        <w:ind w:firstLine="422" w:firstLineChars="200"/>
        <w:rPr>
          <w:rFonts w:hint="eastAsia" w:hAnsi="宋体"/>
          <w:b/>
          <w:bCs/>
          <w:szCs w:val="21"/>
        </w:rPr>
      </w:pPr>
    </w:p>
    <w:p w14:paraId="714D365E">
      <w:pPr>
        <w:spacing w:after="78" w:afterLines="25" w:line="300" w:lineRule="auto"/>
        <w:rPr>
          <w:b/>
          <w:bCs/>
          <w:color w:val="FF0000"/>
          <w:sz w:val="24"/>
        </w:rPr>
      </w:pPr>
      <w:r>
        <w:rPr>
          <w:rFonts w:hint="eastAsia" w:ascii="Arial" w:hAnsi="Arial" w:eastAsia="宋体" w:cs="Times New Roman"/>
          <w:b/>
          <w:sz w:val="24"/>
          <w:szCs w:val="24"/>
        </w:rPr>
        <w:t>（四）供应商认为需要涉及的其他内容报价清单</w:t>
      </w:r>
    </w:p>
    <w:p w14:paraId="37178172">
      <w:pPr>
        <w:rPr>
          <w:b/>
          <w:bCs/>
          <w:color w:val="FF0000"/>
          <w:sz w:val="24"/>
        </w:rPr>
      </w:pPr>
    </w:p>
    <w:p w14:paraId="73D4408D">
      <w:pPr>
        <w:pStyle w:val="4"/>
        <w:jc w:val="center"/>
        <w:rPr>
          <w:rFonts w:hint="eastAsia" w:ascii="黑体" w:eastAsia="黑体"/>
          <w:b w:val="0"/>
          <w:sz w:val="24"/>
          <w:szCs w:val="24"/>
        </w:rPr>
      </w:pPr>
      <w:r>
        <w:rPr>
          <w:rFonts w:hint="eastAsia" w:ascii="黑体" w:eastAsia="黑体"/>
          <w:b w:val="0"/>
          <w:sz w:val="24"/>
          <w:szCs w:val="24"/>
        </w:rPr>
        <w:t>★五、股东构成审查表</w:t>
      </w:r>
    </w:p>
    <w:p w14:paraId="05A1B2DC">
      <w:pPr>
        <w:jc w:val="left"/>
        <w:outlineLvl w:val="3"/>
        <w:rPr>
          <w:rFonts w:hint="eastAsia" w:ascii="宋体" w:hAnsi="宋体" w:eastAsia="宋体" w:cs="宋体"/>
          <w:bCs/>
          <w:kern w:val="0"/>
          <w:sz w:val="24"/>
          <w:szCs w:val="32"/>
        </w:rPr>
      </w:pPr>
      <w:r>
        <w:rPr>
          <w:rFonts w:hint="eastAsia" w:ascii="宋体" w:hAnsi="宋体" w:eastAsia="宋体" w:cs="宋体"/>
          <w:bCs/>
          <w:kern w:val="0"/>
          <w:sz w:val="24"/>
          <w:szCs w:val="32"/>
        </w:rPr>
        <w:t>1、提供投标人所在地的市场监督管理部门“商事登记簿查询（商事主体登记及备案信息查询）”查询截图；参考示例“深圳市市场监督管理局——商事登记簿查询（商事主体登记及备案信息查询）：</w:t>
      </w:r>
      <w:r>
        <w:fldChar w:fldCharType="begin"/>
      </w:r>
      <w:r>
        <w:instrText xml:space="preserve"> HYPERLINK "https://amr.sz.gov.cn/outer/entSelect/gs.html" </w:instrText>
      </w:r>
      <w:r>
        <w:fldChar w:fldCharType="separate"/>
      </w:r>
      <w:r>
        <w:rPr>
          <w:rFonts w:hint="eastAsia" w:ascii="宋体" w:hAnsi="宋体" w:eastAsia="宋体" w:cs="宋体"/>
          <w:bCs/>
          <w:kern w:val="0"/>
          <w:sz w:val="24"/>
          <w:szCs w:val="32"/>
        </w:rPr>
        <w:t>https://amr.sz.gov.cn/outer/entSelect/gs.html”。</w:t>
      </w:r>
      <w:r>
        <w:rPr>
          <w:rFonts w:hint="eastAsia" w:ascii="宋体" w:hAnsi="宋体" w:eastAsia="宋体" w:cs="宋体"/>
          <w:bCs/>
          <w:kern w:val="0"/>
          <w:sz w:val="24"/>
          <w:szCs w:val="32"/>
        </w:rPr>
        <w:fldChar w:fldCharType="end"/>
      </w:r>
    </w:p>
    <w:p w14:paraId="457224D1">
      <w:pPr>
        <w:rPr>
          <w:bCs/>
        </w:rPr>
      </w:pPr>
      <w:r>
        <w:rPr>
          <w:rFonts w:hint="eastAsia"/>
          <w:bCs/>
          <w:color w:val="FF0000"/>
          <w:highlight w:val="yellow"/>
        </w:rPr>
        <w:t>提示：如果投标供应商</w:t>
      </w:r>
      <w:r>
        <w:rPr>
          <w:rFonts w:ascii="宋体" w:hAnsi="宋体"/>
          <w:bCs/>
          <w:color w:val="FF0000"/>
          <w:highlight w:val="yellow"/>
        </w:rPr>
        <w:t>存在单位负责人为同一人</w:t>
      </w:r>
      <w:r>
        <w:rPr>
          <w:rFonts w:hint="eastAsia" w:ascii="宋体" w:hAnsi="宋体"/>
          <w:bCs/>
          <w:color w:val="FF0000"/>
          <w:highlight w:val="yellow"/>
        </w:rPr>
        <w:t>，</w:t>
      </w:r>
      <w:r>
        <w:rPr>
          <w:rFonts w:ascii="宋体" w:hAnsi="宋体"/>
          <w:bCs/>
          <w:color w:val="FF0000"/>
          <w:highlight w:val="yellow"/>
        </w:rPr>
        <w:t>或者存在直接控股、</w:t>
      </w:r>
      <w:r>
        <w:rPr>
          <w:rFonts w:hint="eastAsia" w:ascii="宋体" w:hAnsi="宋体"/>
          <w:bCs/>
          <w:color w:val="FF0000"/>
          <w:highlight w:val="yellow"/>
        </w:rPr>
        <w:t>间接控股、</w:t>
      </w:r>
      <w:r>
        <w:rPr>
          <w:rFonts w:ascii="宋体" w:hAnsi="宋体"/>
          <w:bCs/>
          <w:color w:val="FF0000"/>
          <w:highlight w:val="yellow"/>
        </w:rPr>
        <w:t>管理关系</w:t>
      </w:r>
      <w:r>
        <w:rPr>
          <w:rFonts w:hint="eastAsia" w:ascii="宋体" w:hAnsi="宋体"/>
          <w:bCs/>
          <w:color w:val="FF0000"/>
          <w:highlight w:val="yellow"/>
        </w:rPr>
        <w:t>等情形，将被纳入交易监管平台产生示警信息，由此产生的负面影响，由投标人自行承担。</w:t>
      </w:r>
    </w:p>
    <w:p w14:paraId="79065DE2">
      <w:pPr>
        <w:jc w:val="left"/>
        <w:outlineLvl w:val="3"/>
        <w:rPr>
          <w:rFonts w:hint="eastAsia" w:ascii="宋体" w:hAnsi="宋体" w:eastAsia="宋体" w:cs="宋体"/>
          <w:bCs/>
          <w:kern w:val="0"/>
          <w:sz w:val="24"/>
          <w:szCs w:val="32"/>
        </w:rPr>
      </w:pPr>
      <w:r>
        <w:rPr>
          <w:rFonts w:hint="eastAsia" w:ascii="宋体" w:hAnsi="宋体" w:eastAsia="宋体" w:cs="宋体"/>
          <w:bCs/>
          <w:kern w:val="0"/>
          <w:sz w:val="24"/>
          <w:szCs w:val="32"/>
        </w:rPr>
        <w:t>2、股东构成审查表</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4"/>
        <w:gridCol w:w="6315"/>
      </w:tblGrid>
      <w:tr w14:paraId="60B5E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3A643861">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投标人名称</w:t>
            </w:r>
          </w:p>
        </w:tc>
        <w:tc>
          <w:tcPr>
            <w:tcW w:w="6315" w:type="dxa"/>
            <w:tcBorders>
              <w:top w:val="single" w:color="000000" w:sz="4" w:space="0"/>
              <w:left w:val="single" w:color="000000" w:sz="4" w:space="0"/>
              <w:bottom w:val="single" w:color="000000" w:sz="4" w:space="0"/>
              <w:right w:val="single" w:color="000000" w:sz="4" w:space="0"/>
            </w:tcBorders>
            <w:vAlign w:val="center"/>
          </w:tcPr>
          <w:p w14:paraId="52684988">
            <w:pPr>
              <w:autoSpaceDE w:val="0"/>
              <w:autoSpaceDN w:val="0"/>
              <w:adjustRightInd w:val="0"/>
              <w:snapToGrid w:val="0"/>
              <w:jc w:val="left"/>
              <w:rPr>
                <w:rFonts w:hint="eastAsia" w:ascii="宋体" w:hAnsi="宋体" w:cs="Segoe UI Symbol"/>
                <w:color w:val="000000"/>
                <w:kern w:val="0"/>
                <w:szCs w:val="21"/>
              </w:rPr>
            </w:pPr>
          </w:p>
        </w:tc>
      </w:tr>
      <w:tr w14:paraId="6EB3F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6AE64045">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本单位负责人（法定代表人）姓名</w:t>
            </w:r>
          </w:p>
        </w:tc>
        <w:tc>
          <w:tcPr>
            <w:tcW w:w="6315" w:type="dxa"/>
            <w:tcBorders>
              <w:top w:val="single" w:color="000000" w:sz="4" w:space="0"/>
              <w:left w:val="single" w:color="000000" w:sz="4" w:space="0"/>
              <w:bottom w:val="single" w:color="000000" w:sz="4" w:space="0"/>
              <w:right w:val="single" w:color="000000" w:sz="4" w:space="0"/>
            </w:tcBorders>
            <w:vAlign w:val="center"/>
          </w:tcPr>
          <w:p w14:paraId="1F631ED2">
            <w:pPr>
              <w:autoSpaceDE w:val="0"/>
              <w:autoSpaceDN w:val="0"/>
              <w:adjustRightInd w:val="0"/>
              <w:snapToGrid w:val="0"/>
              <w:jc w:val="left"/>
              <w:rPr>
                <w:rFonts w:hint="eastAsia" w:ascii="宋体" w:hAnsi="宋体" w:cs="Segoe UI Symbol"/>
                <w:color w:val="000000"/>
                <w:kern w:val="0"/>
                <w:szCs w:val="21"/>
              </w:rPr>
            </w:pPr>
          </w:p>
        </w:tc>
      </w:tr>
      <w:tr w14:paraId="23AF4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644A5EBE">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是否存在本单位的控股股东</w:t>
            </w:r>
          </w:p>
        </w:tc>
        <w:tc>
          <w:tcPr>
            <w:tcW w:w="6315" w:type="dxa"/>
            <w:tcBorders>
              <w:top w:val="single" w:color="000000" w:sz="4" w:space="0"/>
              <w:left w:val="single" w:color="000000" w:sz="4" w:space="0"/>
              <w:bottom w:val="single" w:color="000000" w:sz="4" w:space="0"/>
              <w:right w:val="single" w:color="000000" w:sz="4" w:space="0"/>
            </w:tcBorders>
            <w:vAlign w:val="center"/>
          </w:tcPr>
          <w:p w14:paraId="2FF2FDC8">
            <w:pPr>
              <w:autoSpaceDE w:val="0"/>
              <w:autoSpaceDN w:val="0"/>
              <w:adjustRightInd w:val="0"/>
              <w:snapToGrid w:val="0"/>
              <w:jc w:val="left"/>
              <w:rPr>
                <w:rFonts w:hint="eastAsia" w:ascii="宋体" w:hAnsi="宋体" w:cs="Segoe UI Symbol"/>
                <w:color w:val="000000"/>
                <w:kern w:val="0"/>
                <w:szCs w:val="21"/>
                <w:u w:val="single"/>
              </w:rPr>
            </w:pPr>
            <w:r>
              <w:rPr>
                <w:rFonts w:hint="eastAsia" w:ascii="宋体" w:hAnsi="宋体" w:cs="Segoe UI Symbol"/>
                <w:color w:val="000000"/>
                <w:kern w:val="0"/>
                <w:szCs w:val="21"/>
              </w:rPr>
              <w:t>□是，其控股股东为：</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，股份占比：</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w:t>
            </w:r>
          </w:p>
          <w:p w14:paraId="05C34736">
            <w:pPr>
              <w:autoSpaceDE w:val="0"/>
              <w:autoSpaceDN w:val="0"/>
              <w:adjustRightInd w:val="0"/>
              <w:snapToGrid w:val="0"/>
              <w:jc w:val="left"/>
              <w:rPr>
                <w:rFonts w:hint="eastAsia" w:ascii="宋体" w:hAnsi="宋体" w:cs="Segoe UI Symbol"/>
                <w:color w:val="000000"/>
                <w:kern w:val="0"/>
                <w:szCs w:val="21"/>
              </w:rPr>
            </w:pPr>
            <w:r>
              <w:rPr>
                <w:rFonts w:hint="eastAsia" w:ascii="宋体" w:hAnsi="宋体" w:cs="Segoe UI Symbol"/>
                <w:color w:val="000000"/>
                <w:kern w:val="0"/>
                <w:szCs w:val="21"/>
              </w:rPr>
              <w:t>其他主要股东及其股份占比：</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w:t>
            </w:r>
          </w:p>
          <w:p w14:paraId="3B2C899C">
            <w:pPr>
              <w:autoSpaceDE w:val="0"/>
              <w:autoSpaceDN w:val="0"/>
              <w:adjustRightInd w:val="0"/>
              <w:snapToGrid w:val="0"/>
              <w:jc w:val="left"/>
              <w:rPr>
                <w:rFonts w:hint="eastAsia" w:ascii="宋体" w:hAnsi="宋体"/>
                <w:b/>
                <w:bCs/>
                <w:color w:val="000000"/>
                <w:szCs w:val="21"/>
              </w:rPr>
            </w:pPr>
            <w:r>
              <w:rPr>
                <w:rFonts w:hint="eastAsia" w:ascii="宋体" w:hAnsi="宋体" w:cs="Segoe UI Symbol"/>
                <w:color w:val="000000"/>
                <w:kern w:val="0"/>
                <w:szCs w:val="21"/>
              </w:rPr>
              <w:t>□否</w:t>
            </w:r>
          </w:p>
        </w:tc>
      </w:tr>
      <w:tr w14:paraId="0CB35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5CCBFBD4">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是否存在“与本单位存在管理关系的单位”</w:t>
            </w:r>
          </w:p>
        </w:tc>
        <w:tc>
          <w:tcPr>
            <w:tcW w:w="6315" w:type="dxa"/>
            <w:tcBorders>
              <w:top w:val="single" w:color="000000" w:sz="4" w:space="0"/>
              <w:left w:val="single" w:color="000000" w:sz="4" w:space="0"/>
              <w:bottom w:val="single" w:color="000000" w:sz="4" w:space="0"/>
              <w:right w:val="single" w:color="000000" w:sz="4" w:space="0"/>
            </w:tcBorders>
            <w:vAlign w:val="center"/>
          </w:tcPr>
          <w:p w14:paraId="33F939A8">
            <w:pPr>
              <w:autoSpaceDE w:val="0"/>
              <w:autoSpaceDN w:val="0"/>
              <w:adjustRightInd w:val="0"/>
              <w:snapToGrid w:val="0"/>
              <w:jc w:val="left"/>
              <w:rPr>
                <w:rFonts w:hint="eastAsia" w:ascii="宋体" w:hAnsi="宋体" w:cs="Segoe UI Symbol"/>
                <w:color w:val="000000"/>
                <w:kern w:val="0"/>
                <w:szCs w:val="21"/>
                <w:u w:val="single"/>
              </w:rPr>
            </w:pPr>
            <w:r>
              <w:rPr>
                <w:rFonts w:hint="eastAsia" w:ascii="宋体" w:hAnsi="宋体" w:cs="Segoe UI Symbol"/>
                <w:color w:val="000000"/>
                <w:kern w:val="0"/>
                <w:szCs w:val="21"/>
              </w:rPr>
              <w:t>□是，该单位为：</w:t>
            </w:r>
            <w:r>
              <w:rPr>
                <w:rFonts w:hint="eastAsia" w:ascii="宋体" w:hAnsi="宋体" w:cs="Segoe UI Symbol"/>
                <w:color w:val="000000"/>
                <w:kern w:val="0"/>
                <w:szCs w:val="21"/>
                <w:u w:val="single"/>
              </w:rPr>
              <w:t xml:space="preserve">                                          </w:t>
            </w:r>
          </w:p>
          <w:p w14:paraId="6EB6A64E">
            <w:pPr>
              <w:autoSpaceDE w:val="0"/>
              <w:autoSpaceDN w:val="0"/>
              <w:adjustRightInd w:val="0"/>
              <w:snapToGrid w:val="0"/>
              <w:jc w:val="left"/>
              <w:rPr>
                <w:rFonts w:hint="eastAsia" w:ascii="宋体" w:hAnsi="宋体"/>
                <w:b/>
                <w:bCs/>
                <w:color w:val="000000"/>
                <w:szCs w:val="21"/>
              </w:rPr>
            </w:pPr>
            <w:r>
              <w:rPr>
                <w:rFonts w:hint="eastAsia" w:ascii="宋体" w:hAnsi="宋体" w:cs="Segoe UI Symbol"/>
                <w:color w:val="000000"/>
                <w:kern w:val="0"/>
                <w:szCs w:val="21"/>
              </w:rPr>
              <w:t>□否</w:t>
            </w:r>
          </w:p>
        </w:tc>
      </w:tr>
      <w:tr w14:paraId="67F8A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28000A0F">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是否存在“与招标人有利害关系”的情况</w:t>
            </w:r>
          </w:p>
        </w:tc>
        <w:tc>
          <w:tcPr>
            <w:tcW w:w="6315" w:type="dxa"/>
            <w:tcBorders>
              <w:top w:val="single" w:color="000000" w:sz="4" w:space="0"/>
              <w:left w:val="single" w:color="000000" w:sz="4" w:space="0"/>
              <w:bottom w:val="single" w:color="000000" w:sz="4" w:space="0"/>
              <w:right w:val="single" w:color="000000" w:sz="4" w:space="0"/>
            </w:tcBorders>
            <w:vAlign w:val="center"/>
          </w:tcPr>
          <w:p w14:paraId="40636CD0">
            <w:pPr>
              <w:autoSpaceDE w:val="0"/>
              <w:autoSpaceDN w:val="0"/>
              <w:adjustRightInd w:val="0"/>
              <w:snapToGrid w:val="0"/>
              <w:jc w:val="left"/>
              <w:rPr>
                <w:rFonts w:hint="eastAsia" w:ascii="宋体" w:hAnsi="宋体" w:cs="Segoe UI Symbol"/>
                <w:color w:val="000000"/>
                <w:kern w:val="0"/>
                <w:szCs w:val="21"/>
                <w:u w:val="single"/>
              </w:rPr>
            </w:pPr>
            <w:r>
              <w:rPr>
                <w:rFonts w:hint="eastAsia" w:ascii="宋体" w:hAnsi="宋体" w:cs="Segoe UI Symbol"/>
                <w:color w:val="000000"/>
                <w:kern w:val="0"/>
                <w:szCs w:val="21"/>
              </w:rPr>
              <w:t>□是，与招标人的关系为：</w:t>
            </w:r>
            <w:r>
              <w:rPr>
                <w:rFonts w:hint="eastAsia" w:ascii="宋体" w:hAnsi="宋体" w:cs="Segoe UI Symbol"/>
                <w:color w:val="000000"/>
                <w:kern w:val="0"/>
                <w:szCs w:val="21"/>
                <w:u w:val="single"/>
              </w:rPr>
              <w:t xml:space="preserve">                                   </w:t>
            </w:r>
          </w:p>
          <w:p w14:paraId="23AB9D60">
            <w:pPr>
              <w:autoSpaceDE w:val="0"/>
              <w:autoSpaceDN w:val="0"/>
              <w:adjustRightInd w:val="0"/>
              <w:snapToGrid w:val="0"/>
              <w:jc w:val="left"/>
              <w:rPr>
                <w:rFonts w:hint="eastAsia" w:ascii="宋体" w:hAnsi="宋体" w:cs="Segoe UI Symbol"/>
                <w:color w:val="000000"/>
                <w:kern w:val="0"/>
                <w:szCs w:val="21"/>
              </w:rPr>
            </w:pPr>
            <w:r>
              <w:rPr>
                <w:rFonts w:hint="eastAsia" w:ascii="宋体" w:hAnsi="宋体" w:cs="Segoe UI Symbol"/>
                <w:color w:val="000000"/>
                <w:kern w:val="0"/>
                <w:szCs w:val="21"/>
              </w:rPr>
              <w:t>□否</w:t>
            </w:r>
          </w:p>
        </w:tc>
      </w:tr>
    </w:tbl>
    <w:p w14:paraId="1092B74F">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注：</w:t>
      </w:r>
    </w:p>
    <w:p w14:paraId="4A07AA6C">
      <w:pPr>
        <w:autoSpaceDE w:val="0"/>
        <w:autoSpaceDN w:val="0"/>
        <w:adjustRightInd w:val="0"/>
        <w:snapToGrid w:val="0"/>
        <w:jc w:val="left"/>
        <w:rPr>
          <w:rFonts w:hint="eastAsia" w:ascii="宋体" w:hAnsi="宋体"/>
          <w:bCs/>
          <w:color w:val="000000"/>
          <w:szCs w:val="21"/>
        </w:rPr>
      </w:pPr>
      <w:r>
        <w:rPr>
          <w:rFonts w:hint="eastAsia" w:ascii="宋体" w:hAnsi="宋体"/>
          <w:bCs/>
          <w:color w:val="000000"/>
          <w:szCs w:val="21"/>
        </w:rPr>
        <w:t>1、控股是指：其出资额占有限责任公司资本总额百分之五十以上或其持有的股份占股份有限公司股本总额百分之五十以上的股东；出资额或者持有股份的比例虽然不足百分之五十，但依其出资额或者其持有的股份享有的表决权已足以对股东会、股东大会的决议产生重大影响的股东；</w:t>
      </w:r>
    </w:p>
    <w:p w14:paraId="3EA172A8">
      <w:pPr>
        <w:autoSpaceDE w:val="0"/>
        <w:autoSpaceDN w:val="0"/>
        <w:adjustRightInd w:val="0"/>
        <w:snapToGrid w:val="0"/>
        <w:jc w:val="left"/>
        <w:rPr>
          <w:rFonts w:hint="eastAsia" w:ascii="宋体" w:hAnsi="宋体"/>
          <w:bCs/>
          <w:color w:val="000000"/>
          <w:szCs w:val="21"/>
        </w:rPr>
      </w:pPr>
      <w:r>
        <w:rPr>
          <w:rFonts w:hint="eastAsia" w:ascii="宋体" w:hAnsi="宋体"/>
          <w:bCs/>
          <w:color w:val="000000"/>
          <w:szCs w:val="21"/>
        </w:rPr>
        <w:t>2、投标人需如实填写上述信息，如查实上述信息与实际不符，视为提供虚假证明材料骗取中标，投标人应承担相应法律后果。</w:t>
      </w:r>
    </w:p>
    <w:p w14:paraId="74342DB1">
      <w:pPr>
        <w:rPr>
          <w:rFonts w:hint="eastAsia" w:ascii="宋体" w:hAnsi="宋体"/>
        </w:rPr>
      </w:pPr>
    </w:p>
    <w:p w14:paraId="7D614995">
      <w:pPr>
        <w:pStyle w:val="4"/>
        <w:jc w:val="center"/>
        <w:rPr>
          <w:rFonts w:ascii="Arial" w:hAnsi="Arial" w:cs="Times New Roman"/>
          <w:sz w:val="24"/>
          <w:szCs w:val="24"/>
        </w:rPr>
      </w:pPr>
      <w:r>
        <w:rPr>
          <w:rFonts w:hint="eastAsia" w:ascii="黑体" w:eastAsia="黑体"/>
          <w:b w:val="0"/>
          <w:sz w:val="24"/>
          <w:szCs w:val="24"/>
        </w:rPr>
        <w:t>六、综合实力部分</w:t>
      </w:r>
    </w:p>
    <w:p w14:paraId="042337B1">
      <w:pPr>
        <w:numPr>
          <w:ilvl w:val="0"/>
          <w:numId w:val="3"/>
        </w:numPr>
        <w:jc w:val="center"/>
        <w:outlineLvl w:val="3"/>
        <w:rPr>
          <w:rFonts w:hint="eastAsia" w:ascii="黑体" w:hAnsi="宋体" w:eastAsia="黑体"/>
          <w:bCs/>
          <w:kern w:val="0"/>
          <w:sz w:val="24"/>
          <w:szCs w:val="32"/>
        </w:rPr>
      </w:pPr>
      <w:r>
        <w:rPr>
          <w:rFonts w:hint="eastAsia" w:ascii="黑体" w:hAnsi="宋体" w:eastAsia="黑体"/>
          <w:bCs/>
          <w:kern w:val="0"/>
          <w:sz w:val="24"/>
          <w:szCs w:val="32"/>
        </w:rPr>
        <w:t>同类项目业绩</w:t>
      </w:r>
    </w:p>
    <w:p w14:paraId="10653948">
      <w:pPr>
        <w:numPr>
          <w:ilvl w:val="0"/>
          <w:numId w:val="3"/>
        </w:numPr>
        <w:jc w:val="center"/>
        <w:outlineLvl w:val="3"/>
        <w:rPr>
          <w:rFonts w:hint="eastAsia" w:ascii="黑体" w:hAnsi="宋体" w:eastAsia="黑体"/>
          <w:bCs/>
          <w:kern w:val="0"/>
          <w:sz w:val="24"/>
          <w:szCs w:val="32"/>
        </w:rPr>
      </w:pPr>
      <w:r>
        <w:rPr>
          <w:rFonts w:hint="eastAsia" w:ascii="黑体" w:hAnsi="宋体" w:eastAsia="黑体"/>
          <w:bCs/>
          <w:kern w:val="0"/>
          <w:sz w:val="24"/>
          <w:szCs w:val="32"/>
        </w:rPr>
        <w:t>履约评价情况</w:t>
      </w:r>
    </w:p>
    <w:p w14:paraId="30B956F7">
      <w:pPr>
        <w:numPr>
          <w:ilvl w:val="0"/>
          <w:numId w:val="3"/>
        </w:numPr>
        <w:jc w:val="center"/>
        <w:outlineLvl w:val="3"/>
        <w:rPr>
          <w:rFonts w:hint="eastAsia" w:ascii="黑体" w:hAnsi="宋体" w:eastAsia="黑体"/>
          <w:bCs/>
          <w:kern w:val="0"/>
          <w:sz w:val="24"/>
          <w:szCs w:val="32"/>
        </w:rPr>
      </w:pPr>
      <w:r>
        <w:rPr>
          <w:rFonts w:hint="eastAsia" w:ascii="黑体" w:hAnsi="宋体" w:eastAsia="黑体"/>
          <w:bCs/>
          <w:kern w:val="0"/>
          <w:sz w:val="24"/>
          <w:szCs w:val="32"/>
        </w:rPr>
        <w:t>认证证书</w:t>
      </w:r>
    </w:p>
    <w:p w14:paraId="1FC6B7BF">
      <w:pPr>
        <w:pStyle w:val="9"/>
      </w:pPr>
    </w:p>
    <w:p w14:paraId="71CB15C1">
      <w:pPr>
        <w:widowControl/>
        <w:jc w:val="center"/>
        <w:rPr>
          <w:rFonts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14:paraId="6F443258">
      <w:pPr>
        <w:widowControl/>
        <w:jc w:val="center"/>
        <w:rPr>
          <w:rFonts w:ascii="Arial" w:hAnsi="Arial" w:eastAsia="宋体" w:cs="Times New Roman"/>
          <w:szCs w:val="24"/>
        </w:rPr>
      </w:pPr>
      <w:r>
        <w:rPr>
          <w:rFonts w:ascii="Arial" w:hAnsi="Arial" w:eastAsia="宋体" w:cs="Times New Roman"/>
          <w:szCs w:val="24"/>
        </w:rPr>
        <w:br w:type="page"/>
      </w:r>
    </w:p>
    <w:p w14:paraId="514EB8CB">
      <w:pPr>
        <w:pStyle w:val="2"/>
        <w:spacing w:after="78"/>
        <w:rPr>
          <w:color w:val="FF0000"/>
          <w:sz w:val="30"/>
          <w:szCs w:val="30"/>
        </w:rPr>
      </w:pPr>
      <w:r>
        <w:rPr>
          <w:rFonts w:hint="eastAsia"/>
          <w:color w:val="FF0000"/>
          <w:sz w:val="30"/>
          <w:szCs w:val="30"/>
        </w:rPr>
        <w:t>（二）投标文件附件</w:t>
      </w:r>
    </w:p>
    <w:p w14:paraId="099D97D6">
      <w:pPr>
        <w:pStyle w:val="4"/>
        <w:jc w:val="center"/>
        <w:rPr>
          <w:rFonts w:hint="eastAsia" w:ascii="黑体" w:eastAsia="黑体"/>
          <w:b w:val="0"/>
          <w:sz w:val="24"/>
        </w:rPr>
      </w:pPr>
      <w:r>
        <w:rPr>
          <w:rFonts w:hint="eastAsia" w:ascii="黑体" w:eastAsia="黑体"/>
          <w:b w:val="0"/>
          <w:sz w:val="24"/>
        </w:rPr>
        <w:t>一、</w:t>
      </w:r>
      <w:bookmarkStart w:id="35" w:name="_Hlk72092499"/>
      <w:r>
        <w:rPr>
          <w:rFonts w:hint="eastAsia" w:ascii="黑体" w:eastAsia="黑体"/>
          <w:b w:val="0"/>
          <w:sz w:val="24"/>
        </w:rPr>
        <w:t>法定代表人（负责人）证明书</w:t>
      </w:r>
      <w:bookmarkEnd w:id="35"/>
    </w:p>
    <w:p w14:paraId="6D185B80">
      <w:pPr>
        <w:rPr>
          <w:sz w:val="24"/>
        </w:rPr>
      </w:pPr>
    </w:p>
    <w:p w14:paraId="05C09F6F">
      <w:pPr>
        <w:spacing w:line="360" w:lineRule="auto"/>
        <w:ind w:firstLine="420" w:firstLineChars="200"/>
        <w:rPr>
          <w:rFonts w:eastAsia="宋体"/>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3060A886">
      <w:pPr>
        <w:spacing w:line="360" w:lineRule="auto"/>
        <w:ind w:firstLine="420" w:firstLineChars="200"/>
        <w:rPr>
          <w:szCs w:val="21"/>
        </w:rPr>
      </w:pPr>
      <w:r>
        <w:rPr>
          <w:rFonts w:hint="eastAsia"/>
          <w:szCs w:val="21"/>
        </w:rPr>
        <w:t>特此证明。</w:t>
      </w:r>
    </w:p>
    <w:p w14:paraId="430C4A29">
      <w:pPr>
        <w:spacing w:line="360" w:lineRule="auto"/>
        <w:ind w:firstLine="420" w:firstLineChars="200"/>
        <w:rPr>
          <w:szCs w:val="21"/>
        </w:rPr>
      </w:pPr>
      <w:r>
        <w:rPr>
          <w:rFonts w:hint="eastAsia"/>
          <w:szCs w:val="21"/>
        </w:rPr>
        <w:t>说明：1、法定代表人为投标人（企业事业单位、国家机关、社会团体）的主要行政负责人。</w:t>
      </w:r>
    </w:p>
    <w:p w14:paraId="18D11589">
      <w:pPr>
        <w:numPr>
          <w:ilvl w:val="0"/>
          <w:numId w:val="4"/>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4923D331">
      <w:pPr>
        <w:numPr>
          <w:ilvl w:val="0"/>
          <w:numId w:val="4"/>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32DB6DDA">
      <w:pPr>
        <w:numPr>
          <w:ilvl w:val="0"/>
          <w:numId w:val="4"/>
        </w:numPr>
        <w:spacing w:line="360" w:lineRule="auto"/>
        <w:ind w:firstLine="420" w:firstLineChars="200"/>
        <w:rPr>
          <w:szCs w:val="21"/>
        </w:rPr>
      </w:pPr>
      <w:r>
        <w:rPr>
          <w:rFonts w:hint="eastAsia"/>
          <w:szCs w:val="21"/>
        </w:rPr>
        <w:t>内容必须填写真实、清楚，涂改无效，不得转让、买卖。</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581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639D546">
            <w:pPr>
              <w:jc w:val="center"/>
            </w:pPr>
            <w:r>
              <w:rPr>
                <w:rFonts w:hint="eastAsia"/>
              </w:rPr>
              <w:t>证件扫描件正面</w:t>
            </w:r>
          </w:p>
          <w:p w14:paraId="1DA38F5B">
            <w:pPr>
              <w:pStyle w:val="9"/>
              <w:jc w:val="center"/>
            </w:pPr>
          </w:p>
          <w:p w14:paraId="7F146B67">
            <w:pPr>
              <w:pStyle w:val="13"/>
              <w:jc w:val="center"/>
            </w:pPr>
          </w:p>
        </w:tc>
        <w:tc>
          <w:tcPr>
            <w:tcW w:w="4265" w:type="dxa"/>
          </w:tcPr>
          <w:p w14:paraId="0A42AC57">
            <w:pPr>
              <w:jc w:val="center"/>
            </w:pPr>
            <w:r>
              <w:rPr>
                <w:rFonts w:hint="eastAsia"/>
              </w:rPr>
              <w:t>证件扫描件反面</w:t>
            </w:r>
          </w:p>
          <w:p w14:paraId="48D6A68A">
            <w:pPr>
              <w:pStyle w:val="9"/>
              <w:jc w:val="center"/>
            </w:pPr>
          </w:p>
          <w:p w14:paraId="56821182">
            <w:pPr>
              <w:pStyle w:val="13"/>
              <w:jc w:val="center"/>
            </w:pPr>
          </w:p>
        </w:tc>
      </w:tr>
    </w:tbl>
    <w:p w14:paraId="38C6435D">
      <w:pPr>
        <w:rPr>
          <w:sz w:val="24"/>
        </w:rPr>
      </w:pPr>
    </w:p>
    <w:p w14:paraId="664CBD93">
      <w:pPr>
        <w:pStyle w:val="4"/>
        <w:spacing w:before="120" w:after="120"/>
        <w:jc w:val="center"/>
        <w:rPr>
          <w:rFonts w:hint="eastAsia" w:ascii="黑体" w:eastAsia="黑体"/>
          <w:b w:val="0"/>
          <w:sz w:val="24"/>
        </w:rPr>
      </w:pPr>
      <w:r>
        <w:rPr>
          <w:rFonts w:hint="eastAsia" w:ascii="黑体" w:eastAsia="黑体"/>
          <w:b w:val="0"/>
          <w:sz w:val="24"/>
        </w:rPr>
        <w:t>二、投标文件签署授权委托书</w:t>
      </w:r>
    </w:p>
    <w:p w14:paraId="1261EE33">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2F22DCE2">
      <w:pPr>
        <w:spacing w:line="360" w:lineRule="auto"/>
        <w:ind w:firstLine="420" w:firstLineChars="200"/>
        <w:rPr>
          <w:szCs w:val="21"/>
        </w:rPr>
      </w:pPr>
      <w:r>
        <w:rPr>
          <w:rFonts w:hint="eastAsia"/>
          <w:szCs w:val="21"/>
        </w:rPr>
        <w:t>代理人无转委托权，特此委托。</w:t>
      </w:r>
    </w:p>
    <w:p w14:paraId="39B76100">
      <w:pPr>
        <w:spacing w:line="360" w:lineRule="auto"/>
        <w:ind w:firstLine="420" w:firstLineChars="200"/>
        <w:rPr>
          <w:szCs w:val="21"/>
        </w:rPr>
      </w:pPr>
    </w:p>
    <w:p w14:paraId="460CCC9F">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4AFAE233">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7EB844BA">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eastAsia="宋体"/>
          <w:szCs w:val="21"/>
        </w:rPr>
        <w:t>；</w:t>
      </w:r>
    </w:p>
    <w:p w14:paraId="7E174BAA">
      <w:pPr>
        <w:spacing w:line="360" w:lineRule="auto"/>
        <w:ind w:firstLine="420" w:firstLineChars="200"/>
        <w:rPr>
          <w:rFonts w:eastAsia="宋体"/>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6280E33D">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5D1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5BB0EBB">
            <w:pPr>
              <w:jc w:val="center"/>
            </w:pPr>
            <w:r>
              <w:rPr>
                <w:rFonts w:hint="eastAsia" w:ascii="Times New Roman" w:eastAsia="宋体"/>
              </w:rPr>
              <w:t>证件扫描件正面</w:t>
            </w:r>
          </w:p>
          <w:p w14:paraId="152A212E">
            <w:pPr>
              <w:pStyle w:val="9"/>
              <w:jc w:val="center"/>
            </w:pPr>
          </w:p>
          <w:p w14:paraId="5B7B1F05">
            <w:pPr>
              <w:pStyle w:val="13"/>
              <w:jc w:val="center"/>
            </w:pPr>
          </w:p>
        </w:tc>
        <w:tc>
          <w:tcPr>
            <w:tcW w:w="4265" w:type="dxa"/>
          </w:tcPr>
          <w:p w14:paraId="124CA31A">
            <w:pPr>
              <w:jc w:val="center"/>
            </w:pPr>
            <w:r>
              <w:rPr>
                <w:rFonts w:hint="eastAsia" w:ascii="Times New Roman" w:eastAsia="宋体"/>
              </w:rPr>
              <w:t>证件扫描件反面</w:t>
            </w:r>
          </w:p>
          <w:p w14:paraId="495B596C">
            <w:pPr>
              <w:pStyle w:val="9"/>
              <w:jc w:val="center"/>
            </w:pPr>
          </w:p>
          <w:p w14:paraId="42694F33">
            <w:pPr>
              <w:pStyle w:val="13"/>
              <w:jc w:val="center"/>
            </w:pPr>
          </w:p>
        </w:tc>
      </w:tr>
    </w:tbl>
    <w:p w14:paraId="09656277">
      <w:pPr>
        <w:tabs>
          <w:tab w:val="left" w:pos="651"/>
        </w:tabs>
        <w:snapToGrid w:val="0"/>
        <w:rPr>
          <w:rFonts w:ascii="黑体" w:eastAsia="黑体"/>
          <w:kern w:val="0"/>
          <w:sz w:val="24"/>
          <w:szCs w:val="24"/>
        </w:rPr>
      </w:pPr>
    </w:p>
    <w:p w14:paraId="2ED4DD66">
      <w:pPr>
        <w:tabs>
          <w:tab w:val="left" w:pos="651"/>
        </w:tabs>
        <w:snapToGrid w:val="0"/>
        <w:jc w:val="center"/>
        <w:rPr>
          <w:rFonts w:ascii="黑体" w:eastAsia="黑体"/>
          <w:kern w:val="0"/>
          <w:sz w:val="24"/>
          <w:szCs w:val="24"/>
        </w:rPr>
      </w:pPr>
    </w:p>
    <w:p w14:paraId="280CB1A3">
      <w:pPr>
        <w:pStyle w:val="4"/>
        <w:spacing w:before="120" w:after="120"/>
        <w:jc w:val="center"/>
        <w:rPr>
          <w:rFonts w:hint="eastAsia" w:ascii="黑体" w:eastAsia="黑体"/>
          <w:b w:val="0"/>
          <w:sz w:val="24"/>
        </w:rPr>
      </w:pPr>
      <w:r>
        <w:rPr>
          <w:rFonts w:hint="eastAsia" w:ascii="黑体" w:eastAsia="黑体"/>
          <w:b w:val="0"/>
          <w:sz w:val="24"/>
        </w:rPr>
        <w:t>三、</w:t>
      </w:r>
      <w:bookmarkStart w:id="36" w:name="_Hlk72092634"/>
      <w:r>
        <w:rPr>
          <w:rFonts w:hint="eastAsia" w:ascii="黑体" w:eastAsia="黑体"/>
          <w:b w:val="0"/>
          <w:sz w:val="24"/>
        </w:rPr>
        <w:t>实质性条款响应情况表</w:t>
      </w:r>
      <w:bookmarkEnd w:id="36"/>
    </w:p>
    <w:p w14:paraId="7BB28649">
      <w:pPr>
        <w:snapToGrid w:val="0"/>
        <w:rPr>
          <w:rFonts w:ascii="Arial" w:hAnsi="Arial" w:eastAsia="宋体" w:cs="Arial"/>
          <w:sz w:val="24"/>
          <w:szCs w:val="24"/>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14:paraId="1556F851">
      <w:pPr>
        <w:snapToGrid w:val="0"/>
        <w:rPr>
          <w:rFonts w:hint="eastAsia" w:cs="Times New Roman" w:asciiTheme="minorEastAsia" w:hAnsiTheme="minorEastAsia"/>
          <w:b/>
          <w:sz w:val="24"/>
          <w:szCs w:val="24"/>
        </w:rPr>
      </w:pPr>
    </w:p>
    <w:tbl>
      <w:tblPr>
        <w:tblStyle w:val="16"/>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14:paraId="05550C6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14:paraId="0E4418F5">
            <w:pPr>
              <w:jc w:val="center"/>
              <w:rPr>
                <w:rFonts w:hint="eastAsia" w:ascii="宋体" w:hAnsi="宋体" w:eastAsia="宋体" w:cs="Arial"/>
                <w:b/>
                <w:szCs w:val="21"/>
              </w:rPr>
            </w:pPr>
            <w:r>
              <w:rPr>
                <w:rFonts w:hint="eastAsia" w:ascii="宋体" w:hAnsi="宋体" w:eastAsia="宋体" w:cs="Arial"/>
                <w:b/>
                <w:szCs w:val="21"/>
              </w:rPr>
              <w:t>序号</w:t>
            </w:r>
          </w:p>
        </w:tc>
        <w:tc>
          <w:tcPr>
            <w:tcW w:w="3901" w:type="dxa"/>
            <w:vAlign w:val="center"/>
          </w:tcPr>
          <w:p w14:paraId="4DB4CA51">
            <w:pPr>
              <w:jc w:val="center"/>
              <w:rPr>
                <w:rFonts w:hint="eastAsia"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14:paraId="0021DA0C">
            <w:pPr>
              <w:jc w:val="center"/>
              <w:rPr>
                <w:rFonts w:hint="eastAsia" w:ascii="宋体" w:hAnsi="宋体" w:eastAsia="宋体" w:cs="Arial"/>
                <w:b/>
                <w:szCs w:val="21"/>
              </w:rPr>
            </w:pPr>
            <w:r>
              <w:rPr>
                <w:rFonts w:hint="eastAsia" w:ascii="宋体" w:hAnsi="宋体" w:eastAsia="宋体" w:cs="Arial"/>
                <w:b/>
                <w:szCs w:val="21"/>
              </w:rPr>
              <w:t>投标文件响应</w:t>
            </w:r>
          </w:p>
        </w:tc>
        <w:tc>
          <w:tcPr>
            <w:tcW w:w="1732" w:type="dxa"/>
          </w:tcPr>
          <w:p w14:paraId="7734DD80">
            <w:pPr>
              <w:spacing w:before="156" w:beforeLines="50"/>
              <w:jc w:val="center"/>
              <w:rPr>
                <w:rFonts w:hint="eastAsia" w:ascii="宋体" w:hAnsi="宋体" w:eastAsia="宋体" w:cs="Arial"/>
                <w:b/>
                <w:szCs w:val="21"/>
              </w:rPr>
            </w:pPr>
            <w:r>
              <w:rPr>
                <w:rFonts w:hint="eastAsia" w:ascii="宋体" w:hAnsi="宋体" w:eastAsia="宋体" w:cs="Arial"/>
                <w:b/>
                <w:szCs w:val="21"/>
              </w:rPr>
              <w:t>偏离情况</w:t>
            </w:r>
          </w:p>
        </w:tc>
        <w:tc>
          <w:tcPr>
            <w:tcW w:w="992" w:type="dxa"/>
            <w:vAlign w:val="center"/>
          </w:tcPr>
          <w:p w14:paraId="0C62895A">
            <w:pPr>
              <w:jc w:val="center"/>
              <w:rPr>
                <w:rFonts w:hint="eastAsia" w:ascii="宋体" w:hAnsi="宋体" w:eastAsia="宋体" w:cs="Arial"/>
                <w:b/>
                <w:szCs w:val="21"/>
              </w:rPr>
            </w:pPr>
            <w:r>
              <w:rPr>
                <w:rFonts w:hint="eastAsia" w:ascii="宋体" w:hAnsi="宋体" w:eastAsia="宋体" w:cs="Arial"/>
                <w:b/>
                <w:szCs w:val="21"/>
              </w:rPr>
              <w:t>说明</w:t>
            </w:r>
          </w:p>
        </w:tc>
      </w:tr>
      <w:tr w14:paraId="6CB61E2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14:paraId="284F7345">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1</w:t>
            </w:r>
          </w:p>
        </w:tc>
        <w:tc>
          <w:tcPr>
            <w:tcW w:w="3901" w:type="dxa"/>
            <w:vAlign w:val="center"/>
          </w:tcPr>
          <w:p w14:paraId="2FCD24F9">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本项目招标文件中所有带★号条款内容</w:t>
            </w:r>
          </w:p>
        </w:tc>
        <w:tc>
          <w:tcPr>
            <w:tcW w:w="2176" w:type="dxa"/>
            <w:vAlign w:val="center"/>
          </w:tcPr>
          <w:p w14:paraId="0812B7DA">
            <w:pPr>
              <w:spacing w:line="300" w:lineRule="auto"/>
              <w:jc w:val="center"/>
              <w:rPr>
                <w:rFonts w:hint="eastAsia" w:ascii="宋体" w:hAnsi="宋体" w:eastAsia="宋体" w:cs="Times New Roman"/>
                <w:b/>
                <w:kern w:val="0"/>
                <w:szCs w:val="21"/>
              </w:rPr>
            </w:pPr>
          </w:p>
        </w:tc>
        <w:tc>
          <w:tcPr>
            <w:tcW w:w="1732" w:type="dxa"/>
            <w:vAlign w:val="center"/>
          </w:tcPr>
          <w:p w14:paraId="064EDD03">
            <w:pPr>
              <w:spacing w:line="300" w:lineRule="auto"/>
              <w:jc w:val="center"/>
              <w:rPr>
                <w:rFonts w:hint="eastAsia" w:ascii="宋体" w:hAnsi="宋体" w:eastAsia="宋体" w:cs="Times New Roman"/>
                <w:b/>
                <w:kern w:val="0"/>
                <w:szCs w:val="21"/>
              </w:rPr>
            </w:pPr>
          </w:p>
        </w:tc>
        <w:tc>
          <w:tcPr>
            <w:tcW w:w="992" w:type="dxa"/>
            <w:vAlign w:val="center"/>
          </w:tcPr>
          <w:p w14:paraId="5601705B">
            <w:pPr>
              <w:spacing w:line="300" w:lineRule="auto"/>
              <w:jc w:val="center"/>
              <w:rPr>
                <w:rFonts w:hint="eastAsia" w:ascii="宋体" w:hAnsi="宋体" w:eastAsia="宋体" w:cs="Times New Roman"/>
                <w:b/>
                <w:color w:val="FF0000"/>
                <w:kern w:val="0"/>
                <w:szCs w:val="21"/>
              </w:rPr>
            </w:pPr>
          </w:p>
        </w:tc>
      </w:tr>
    </w:tbl>
    <w:p w14:paraId="5595815F">
      <w:pPr>
        <w:snapToGrid w:val="0"/>
        <w:rPr>
          <w:rFonts w:hint="eastAsia" w:cs="Times New Roman" w:asciiTheme="minorEastAsia" w:hAnsiTheme="minorEastAsia"/>
          <w:sz w:val="24"/>
          <w:szCs w:val="24"/>
        </w:rPr>
      </w:pPr>
    </w:p>
    <w:p w14:paraId="189CC1CE">
      <w:pPr>
        <w:snapToGrid w:val="0"/>
        <w:rPr>
          <w:rFonts w:hint="eastAsia" w:cs="Times New Roman" w:asciiTheme="minorEastAsia" w:hAnsiTheme="minorEastAsia"/>
          <w:b/>
          <w:sz w:val="24"/>
          <w:szCs w:val="24"/>
        </w:rPr>
      </w:pPr>
      <w:r>
        <w:rPr>
          <w:rFonts w:hint="eastAsia" w:ascii="宋体" w:hAnsi="宋体" w:eastAsia="宋体" w:cs="Times New Roman"/>
          <w:b/>
          <w:sz w:val="24"/>
          <w:szCs w:val="24"/>
        </w:rPr>
        <w:t>填写说明：</w:t>
      </w:r>
    </w:p>
    <w:p w14:paraId="08103C75">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1、上表所列各项均为不可负偏离条款。</w:t>
      </w:r>
    </w:p>
    <w:p w14:paraId="5ABB59A7">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2、“投标文件响应”一栏应当详细填写投标人自身响应情况，而不能不合理照搬照抄招标文件实质性条款具体内容。</w:t>
      </w:r>
      <w:r>
        <w:rPr>
          <w:rFonts w:hint="eastAsia" w:ascii="宋体" w:hAnsi="宋体" w:cs="宋体"/>
          <w:b/>
          <w:bCs/>
          <w:sz w:val="24"/>
          <w:szCs w:val="24"/>
        </w:rPr>
        <w:t>如完全满足实质性条款具体内容可填写“完全响应”，除招标文件另有注明外，不强制要求逐条列出响应。</w:t>
      </w:r>
    </w:p>
    <w:p w14:paraId="6982E427">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3、“偏离情况”一栏应填写</w:t>
      </w:r>
      <w:r>
        <w:rPr>
          <w:rFonts w:hint="eastAsia" w:ascii="宋体" w:hAnsi="宋体" w:cs="宋体"/>
          <w:sz w:val="24"/>
          <w:szCs w:val="24"/>
        </w:rPr>
        <w:t>“</w:t>
      </w:r>
      <w:r>
        <w:rPr>
          <w:rFonts w:hint="eastAsia" w:ascii="宋体" w:hAnsi="宋体" w:cs="宋体"/>
          <w:b/>
          <w:bCs/>
          <w:sz w:val="24"/>
          <w:szCs w:val="24"/>
        </w:rPr>
        <w:t>正偏离</w:t>
      </w:r>
      <w:r>
        <w:rPr>
          <w:rFonts w:hint="eastAsia" w:ascii="宋体" w:hAnsi="宋体" w:cs="宋体"/>
          <w:sz w:val="24"/>
          <w:szCs w:val="24"/>
        </w:rPr>
        <w:t>”或“</w:t>
      </w:r>
      <w:r>
        <w:rPr>
          <w:rFonts w:hint="eastAsia" w:ascii="宋体" w:hAnsi="宋体" w:cs="宋体"/>
          <w:b/>
          <w:bCs/>
          <w:sz w:val="24"/>
          <w:szCs w:val="24"/>
        </w:rPr>
        <w:t>负偏离</w:t>
      </w:r>
      <w:r>
        <w:rPr>
          <w:rFonts w:hint="eastAsia" w:ascii="宋体" w:hAnsi="宋体" w:cs="宋体"/>
          <w:sz w:val="24"/>
          <w:szCs w:val="24"/>
        </w:rPr>
        <w:t>”或“</w:t>
      </w:r>
      <w:r>
        <w:rPr>
          <w:rFonts w:hint="eastAsia" w:ascii="宋体" w:hAnsi="宋体" w:cs="宋体"/>
          <w:b/>
          <w:bCs/>
          <w:sz w:val="24"/>
          <w:szCs w:val="24"/>
        </w:rPr>
        <w:t>无偏离</w:t>
      </w:r>
      <w:r>
        <w:rPr>
          <w:rFonts w:hint="eastAsia" w:ascii="宋体" w:hAnsi="宋体" w:cs="宋体"/>
          <w:sz w:val="24"/>
          <w:szCs w:val="24"/>
        </w:rPr>
        <w:t>”</w:t>
      </w:r>
      <w:r>
        <w:rPr>
          <w:rFonts w:hint="eastAsia" w:ascii="宋体" w:hAnsi="宋体" w:cs="宋体"/>
          <w:bCs/>
          <w:sz w:val="24"/>
          <w:szCs w:val="24"/>
        </w:rPr>
        <w:t>，“正偏离”表示“投标响应优于实质性条款具体内容要求”，“负偏离”表示“投标响应不满足实质性条款具体内容要求”，“无偏离”表示“投标响应与实质性条款具体内容要求一致”。</w:t>
      </w:r>
    </w:p>
    <w:p w14:paraId="1F041901">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4、评审委员会有权对投标响应情况作出判断。</w:t>
      </w:r>
    </w:p>
    <w:p w14:paraId="3534EAB8">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5、实质性响应条款“投标响应情况”与投标文件其它内容冲突的，以实质性响应条款“投标响应情况”为准。</w:t>
      </w:r>
    </w:p>
    <w:p w14:paraId="4E508ECD">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6、以上实质性条款中要求提供证明材料，需如实提供证明材料扫描件，在“说明”一栏中列明证明材料的位置，以便评审；未要求提供证明材料的，投标人可以不提供。</w:t>
      </w:r>
    </w:p>
    <w:p w14:paraId="463E3417">
      <w:pPr>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br w:type="page"/>
      </w:r>
    </w:p>
    <w:p w14:paraId="04DEDA97">
      <w:pPr>
        <w:pStyle w:val="4"/>
        <w:jc w:val="center"/>
        <w:rPr>
          <w:rFonts w:hint="eastAsia" w:ascii="黑体" w:eastAsia="黑体"/>
          <w:b w:val="0"/>
          <w:bCs w:val="0"/>
          <w:sz w:val="24"/>
          <w:szCs w:val="20"/>
        </w:rPr>
      </w:pPr>
      <w:r>
        <w:rPr>
          <w:rFonts w:hint="eastAsia" w:ascii="黑体" w:eastAsia="黑体"/>
          <w:b w:val="0"/>
          <w:bCs w:val="0"/>
          <w:sz w:val="24"/>
          <w:szCs w:val="20"/>
        </w:rPr>
        <w:t>四、商务技术部分</w:t>
      </w:r>
    </w:p>
    <w:p w14:paraId="3F0E70FB">
      <w:pPr>
        <w:numPr>
          <w:ilvl w:val="0"/>
          <w:numId w:val="5"/>
        </w:numPr>
        <w:jc w:val="center"/>
        <w:outlineLvl w:val="3"/>
        <w:rPr>
          <w:rFonts w:hint="eastAsia" w:ascii="黑体" w:hAnsi="宋体" w:eastAsia="黑体"/>
          <w:bCs/>
          <w:kern w:val="0"/>
          <w:sz w:val="24"/>
          <w:szCs w:val="32"/>
        </w:rPr>
      </w:pPr>
      <w:r>
        <w:rPr>
          <w:rFonts w:hint="eastAsia" w:ascii="黑体" w:hAnsi="宋体" w:eastAsia="黑体"/>
          <w:bCs/>
          <w:kern w:val="0"/>
          <w:sz w:val="24"/>
          <w:szCs w:val="32"/>
        </w:rPr>
        <w:t>技术保障措施</w:t>
      </w:r>
    </w:p>
    <w:p w14:paraId="50FD15B0">
      <w:pPr>
        <w:numPr>
          <w:ilvl w:val="0"/>
          <w:numId w:val="5"/>
        </w:numPr>
        <w:jc w:val="center"/>
        <w:outlineLvl w:val="3"/>
        <w:rPr>
          <w:rFonts w:hint="eastAsia" w:ascii="黑体" w:hAnsi="宋体" w:eastAsia="黑体"/>
          <w:bCs/>
          <w:kern w:val="0"/>
          <w:sz w:val="24"/>
          <w:szCs w:val="32"/>
        </w:rPr>
      </w:pPr>
      <w:r>
        <w:rPr>
          <w:rFonts w:hint="eastAsia" w:ascii="黑体" w:hAnsi="宋体" w:eastAsia="黑体"/>
          <w:bCs/>
          <w:kern w:val="0"/>
          <w:sz w:val="24"/>
          <w:szCs w:val="32"/>
        </w:rPr>
        <w:t>技术要求偏离表</w:t>
      </w:r>
    </w:p>
    <w:tbl>
      <w:tblPr>
        <w:tblStyle w:val="16"/>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72"/>
        <w:gridCol w:w="3795"/>
        <w:gridCol w:w="2623"/>
        <w:gridCol w:w="710"/>
        <w:gridCol w:w="390"/>
      </w:tblGrid>
      <w:tr w14:paraId="5C45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4" w:type="dxa"/>
            <w:vAlign w:val="center"/>
          </w:tcPr>
          <w:p w14:paraId="3225A35B">
            <w:pPr>
              <w:jc w:val="center"/>
              <w:rPr>
                <w:color w:val="000000" w:themeColor="text1"/>
                <w:szCs w:val="21"/>
                <w14:textFill>
                  <w14:solidFill>
                    <w14:schemeClr w14:val="tx1"/>
                  </w14:solidFill>
                </w14:textFill>
              </w:rPr>
            </w:pPr>
            <w:r>
              <w:rPr>
                <w:rFonts w:hint="eastAsia"/>
                <w:sz w:val="24"/>
              </w:rPr>
              <w:t>序号</w:t>
            </w:r>
          </w:p>
        </w:tc>
        <w:tc>
          <w:tcPr>
            <w:tcW w:w="772" w:type="dxa"/>
            <w:vAlign w:val="center"/>
          </w:tcPr>
          <w:p w14:paraId="42C55A7B">
            <w:pPr>
              <w:jc w:val="center"/>
              <w:rPr>
                <w:color w:val="000000" w:themeColor="text1"/>
                <w:szCs w:val="21"/>
                <w14:textFill>
                  <w14:solidFill>
                    <w14:schemeClr w14:val="tx1"/>
                  </w14:solidFill>
                </w14:textFill>
              </w:rPr>
            </w:pPr>
            <w:r>
              <w:rPr>
                <w:rFonts w:hint="eastAsia"/>
                <w:sz w:val="24"/>
              </w:rPr>
              <w:t>货物名称</w:t>
            </w:r>
          </w:p>
        </w:tc>
        <w:tc>
          <w:tcPr>
            <w:tcW w:w="3795" w:type="dxa"/>
            <w:vAlign w:val="center"/>
          </w:tcPr>
          <w:p w14:paraId="2FAD9610">
            <w:pPr>
              <w:jc w:val="center"/>
              <w:rPr>
                <w:color w:val="000000" w:themeColor="text1"/>
                <w:szCs w:val="21"/>
                <w14:textFill>
                  <w14:solidFill>
                    <w14:schemeClr w14:val="tx1"/>
                  </w14:solidFill>
                </w14:textFill>
              </w:rPr>
            </w:pPr>
            <w:r>
              <w:rPr>
                <w:rFonts w:hint="eastAsia"/>
                <w:sz w:val="24"/>
              </w:rPr>
              <w:t>招标技术要求</w:t>
            </w:r>
          </w:p>
        </w:tc>
        <w:tc>
          <w:tcPr>
            <w:tcW w:w="2623" w:type="dxa"/>
            <w:vAlign w:val="center"/>
          </w:tcPr>
          <w:p w14:paraId="2A5A439B">
            <w:pPr>
              <w:jc w:val="center"/>
              <w:rPr>
                <w:color w:val="000000" w:themeColor="text1"/>
                <w:szCs w:val="21"/>
                <w14:textFill>
                  <w14:solidFill>
                    <w14:schemeClr w14:val="tx1"/>
                  </w14:solidFill>
                </w14:textFill>
              </w:rPr>
            </w:pPr>
            <w:r>
              <w:rPr>
                <w:rFonts w:hint="eastAsia"/>
                <w:sz w:val="24"/>
              </w:rPr>
              <w:t>投标技术响应</w:t>
            </w:r>
          </w:p>
        </w:tc>
        <w:tc>
          <w:tcPr>
            <w:tcW w:w="710" w:type="dxa"/>
            <w:vAlign w:val="center"/>
          </w:tcPr>
          <w:p w14:paraId="4320A923">
            <w:pPr>
              <w:jc w:val="center"/>
              <w:rPr>
                <w:color w:val="000000" w:themeColor="text1"/>
                <w:szCs w:val="21"/>
                <w14:textFill>
                  <w14:solidFill>
                    <w14:schemeClr w14:val="tx1"/>
                  </w14:solidFill>
                </w14:textFill>
              </w:rPr>
            </w:pPr>
            <w:r>
              <w:rPr>
                <w:rFonts w:hint="eastAsia"/>
                <w:sz w:val="24"/>
              </w:rPr>
              <w:t>偏离情况</w:t>
            </w:r>
          </w:p>
        </w:tc>
        <w:tc>
          <w:tcPr>
            <w:tcW w:w="390" w:type="dxa"/>
            <w:vAlign w:val="center"/>
          </w:tcPr>
          <w:p w14:paraId="7A092A0D">
            <w:pPr>
              <w:jc w:val="center"/>
              <w:rPr>
                <w:color w:val="000000" w:themeColor="text1"/>
                <w:szCs w:val="21"/>
                <w14:textFill>
                  <w14:solidFill>
                    <w14:schemeClr w14:val="tx1"/>
                  </w14:solidFill>
                </w14:textFill>
              </w:rPr>
            </w:pPr>
            <w:r>
              <w:rPr>
                <w:rFonts w:hint="eastAsia"/>
                <w:sz w:val="24"/>
              </w:rPr>
              <w:t>说明</w:t>
            </w:r>
          </w:p>
        </w:tc>
      </w:tr>
      <w:tr w14:paraId="0BB6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64" w:type="dxa"/>
            <w:vMerge w:val="restart"/>
            <w:vAlign w:val="center"/>
          </w:tcPr>
          <w:p w14:paraId="022F4D5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72" w:type="dxa"/>
            <w:vMerge w:val="restart"/>
            <w:vAlign w:val="center"/>
          </w:tcPr>
          <w:p w14:paraId="56E3FB2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设备</w:t>
            </w:r>
          </w:p>
        </w:tc>
        <w:tc>
          <w:tcPr>
            <w:tcW w:w="3795" w:type="dxa"/>
          </w:tcPr>
          <w:p w14:paraId="16A2C408">
            <w:pPr>
              <w:jc w:val="center"/>
              <w:rPr>
                <w:color w:val="000000" w:themeColor="text1"/>
                <w:szCs w:val="21"/>
                <w14:textFill>
                  <w14:solidFill>
                    <w14:schemeClr w14:val="tx1"/>
                  </w14:solidFill>
                </w14:textFill>
              </w:rPr>
            </w:pPr>
            <w:r>
              <w:rPr>
                <w:rFonts w:hint="eastAsia"/>
              </w:rPr>
              <w:t>（填写相关内容）</w:t>
            </w:r>
          </w:p>
        </w:tc>
        <w:tc>
          <w:tcPr>
            <w:tcW w:w="2623" w:type="dxa"/>
          </w:tcPr>
          <w:p w14:paraId="2EE60095">
            <w:pPr>
              <w:rPr>
                <w:color w:val="000000" w:themeColor="text1"/>
                <w:szCs w:val="21"/>
                <w14:textFill>
                  <w14:solidFill>
                    <w14:schemeClr w14:val="tx1"/>
                  </w14:solidFill>
                </w14:textFill>
              </w:rPr>
            </w:pPr>
          </w:p>
        </w:tc>
        <w:tc>
          <w:tcPr>
            <w:tcW w:w="710" w:type="dxa"/>
          </w:tcPr>
          <w:p w14:paraId="473D98A4">
            <w:pPr>
              <w:rPr>
                <w:color w:val="000000" w:themeColor="text1"/>
                <w:szCs w:val="21"/>
                <w14:textFill>
                  <w14:solidFill>
                    <w14:schemeClr w14:val="tx1"/>
                  </w14:solidFill>
                </w14:textFill>
              </w:rPr>
            </w:pPr>
          </w:p>
        </w:tc>
        <w:tc>
          <w:tcPr>
            <w:tcW w:w="390" w:type="dxa"/>
          </w:tcPr>
          <w:p w14:paraId="29FFACE2">
            <w:pPr>
              <w:rPr>
                <w:color w:val="000000" w:themeColor="text1"/>
                <w:szCs w:val="21"/>
                <w14:textFill>
                  <w14:solidFill>
                    <w14:schemeClr w14:val="tx1"/>
                  </w14:solidFill>
                </w14:textFill>
              </w:rPr>
            </w:pPr>
          </w:p>
        </w:tc>
      </w:tr>
      <w:tr w14:paraId="2FCA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64" w:type="dxa"/>
            <w:vMerge w:val="continue"/>
            <w:vAlign w:val="center"/>
          </w:tcPr>
          <w:p w14:paraId="155AF64A">
            <w:pPr>
              <w:jc w:val="center"/>
              <w:rPr>
                <w:color w:val="000000" w:themeColor="text1"/>
                <w:szCs w:val="21"/>
                <w14:textFill>
                  <w14:solidFill>
                    <w14:schemeClr w14:val="tx1"/>
                  </w14:solidFill>
                </w14:textFill>
              </w:rPr>
            </w:pPr>
          </w:p>
        </w:tc>
        <w:tc>
          <w:tcPr>
            <w:tcW w:w="772" w:type="dxa"/>
            <w:vMerge w:val="continue"/>
            <w:vAlign w:val="center"/>
          </w:tcPr>
          <w:p w14:paraId="5381C255">
            <w:pPr>
              <w:jc w:val="center"/>
              <w:rPr>
                <w:color w:val="000000" w:themeColor="text1"/>
                <w:szCs w:val="21"/>
                <w14:textFill>
                  <w14:solidFill>
                    <w14:schemeClr w14:val="tx1"/>
                  </w14:solidFill>
                </w14:textFill>
              </w:rPr>
            </w:pPr>
          </w:p>
        </w:tc>
        <w:tc>
          <w:tcPr>
            <w:tcW w:w="3795" w:type="dxa"/>
          </w:tcPr>
          <w:p w14:paraId="5F071A46">
            <w:pPr>
              <w:jc w:val="center"/>
              <w:rPr>
                <w:color w:val="000000" w:themeColor="text1"/>
                <w:szCs w:val="21"/>
                <w14:textFill>
                  <w14:solidFill>
                    <w14:schemeClr w14:val="tx1"/>
                  </w14:solidFill>
                </w14:textFill>
              </w:rPr>
            </w:pPr>
            <w:r>
              <w:rPr>
                <w:rFonts w:hint="eastAsia"/>
              </w:rPr>
              <w:t>（填写相关内容）</w:t>
            </w:r>
          </w:p>
        </w:tc>
        <w:tc>
          <w:tcPr>
            <w:tcW w:w="2623" w:type="dxa"/>
          </w:tcPr>
          <w:p w14:paraId="41EAEF13">
            <w:pPr>
              <w:rPr>
                <w:color w:val="000000" w:themeColor="text1"/>
                <w:szCs w:val="21"/>
                <w14:textFill>
                  <w14:solidFill>
                    <w14:schemeClr w14:val="tx1"/>
                  </w14:solidFill>
                </w14:textFill>
              </w:rPr>
            </w:pPr>
          </w:p>
        </w:tc>
        <w:tc>
          <w:tcPr>
            <w:tcW w:w="710" w:type="dxa"/>
          </w:tcPr>
          <w:p w14:paraId="686444B3">
            <w:pPr>
              <w:rPr>
                <w:color w:val="000000" w:themeColor="text1"/>
                <w:szCs w:val="21"/>
                <w14:textFill>
                  <w14:solidFill>
                    <w14:schemeClr w14:val="tx1"/>
                  </w14:solidFill>
                </w14:textFill>
              </w:rPr>
            </w:pPr>
          </w:p>
        </w:tc>
        <w:tc>
          <w:tcPr>
            <w:tcW w:w="390" w:type="dxa"/>
          </w:tcPr>
          <w:p w14:paraId="2AAC28C8">
            <w:pPr>
              <w:rPr>
                <w:color w:val="000000" w:themeColor="text1"/>
                <w:szCs w:val="21"/>
                <w14:textFill>
                  <w14:solidFill>
                    <w14:schemeClr w14:val="tx1"/>
                  </w14:solidFill>
                </w14:textFill>
              </w:rPr>
            </w:pPr>
          </w:p>
        </w:tc>
      </w:tr>
      <w:tr w14:paraId="77D9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64" w:type="dxa"/>
            <w:vMerge w:val="continue"/>
            <w:vAlign w:val="center"/>
          </w:tcPr>
          <w:p w14:paraId="05CFF747">
            <w:pPr>
              <w:jc w:val="center"/>
              <w:rPr>
                <w:color w:val="000000" w:themeColor="text1"/>
                <w:szCs w:val="21"/>
                <w14:textFill>
                  <w14:solidFill>
                    <w14:schemeClr w14:val="tx1"/>
                  </w14:solidFill>
                </w14:textFill>
              </w:rPr>
            </w:pPr>
          </w:p>
        </w:tc>
        <w:tc>
          <w:tcPr>
            <w:tcW w:w="772" w:type="dxa"/>
            <w:vMerge w:val="continue"/>
            <w:vAlign w:val="center"/>
          </w:tcPr>
          <w:p w14:paraId="3F705D5E">
            <w:pPr>
              <w:jc w:val="center"/>
              <w:rPr>
                <w:color w:val="000000" w:themeColor="text1"/>
                <w:szCs w:val="21"/>
                <w14:textFill>
                  <w14:solidFill>
                    <w14:schemeClr w14:val="tx1"/>
                  </w14:solidFill>
                </w14:textFill>
              </w:rPr>
            </w:pPr>
          </w:p>
        </w:tc>
        <w:tc>
          <w:tcPr>
            <w:tcW w:w="3795" w:type="dxa"/>
          </w:tcPr>
          <w:p w14:paraId="0D64727C">
            <w:pPr>
              <w:jc w:val="center"/>
              <w:rPr>
                <w:color w:val="000000" w:themeColor="text1"/>
                <w:szCs w:val="21"/>
                <w14:textFill>
                  <w14:solidFill>
                    <w14:schemeClr w14:val="tx1"/>
                  </w14:solidFill>
                </w14:textFill>
              </w:rPr>
            </w:pPr>
            <w:r>
              <w:rPr>
                <w:rFonts w:hint="eastAsia"/>
              </w:rPr>
              <w:t>（填写相关内容）</w:t>
            </w:r>
          </w:p>
        </w:tc>
        <w:tc>
          <w:tcPr>
            <w:tcW w:w="2623" w:type="dxa"/>
          </w:tcPr>
          <w:p w14:paraId="2585F577">
            <w:pPr>
              <w:rPr>
                <w:color w:val="000000" w:themeColor="text1"/>
                <w:szCs w:val="21"/>
                <w14:textFill>
                  <w14:solidFill>
                    <w14:schemeClr w14:val="tx1"/>
                  </w14:solidFill>
                </w14:textFill>
              </w:rPr>
            </w:pPr>
          </w:p>
        </w:tc>
        <w:tc>
          <w:tcPr>
            <w:tcW w:w="710" w:type="dxa"/>
          </w:tcPr>
          <w:p w14:paraId="35CFC7F1">
            <w:pPr>
              <w:rPr>
                <w:color w:val="000000" w:themeColor="text1"/>
                <w:szCs w:val="21"/>
                <w14:textFill>
                  <w14:solidFill>
                    <w14:schemeClr w14:val="tx1"/>
                  </w14:solidFill>
                </w14:textFill>
              </w:rPr>
            </w:pPr>
          </w:p>
        </w:tc>
        <w:tc>
          <w:tcPr>
            <w:tcW w:w="390" w:type="dxa"/>
          </w:tcPr>
          <w:p w14:paraId="12B23477">
            <w:pPr>
              <w:rPr>
                <w:color w:val="000000" w:themeColor="text1"/>
                <w:szCs w:val="21"/>
                <w14:textFill>
                  <w14:solidFill>
                    <w14:schemeClr w14:val="tx1"/>
                  </w14:solidFill>
                </w14:textFill>
              </w:rPr>
            </w:pPr>
          </w:p>
        </w:tc>
      </w:tr>
      <w:tr w14:paraId="2345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64" w:type="dxa"/>
            <w:vMerge w:val="continue"/>
            <w:vAlign w:val="center"/>
          </w:tcPr>
          <w:p w14:paraId="5BA3C2C5">
            <w:pPr>
              <w:jc w:val="center"/>
              <w:rPr>
                <w:color w:val="000000" w:themeColor="text1"/>
                <w:szCs w:val="21"/>
                <w14:textFill>
                  <w14:solidFill>
                    <w14:schemeClr w14:val="tx1"/>
                  </w14:solidFill>
                </w14:textFill>
              </w:rPr>
            </w:pPr>
          </w:p>
        </w:tc>
        <w:tc>
          <w:tcPr>
            <w:tcW w:w="772" w:type="dxa"/>
            <w:vMerge w:val="continue"/>
            <w:vAlign w:val="center"/>
          </w:tcPr>
          <w:p w14:paraId="7F1B58FE">
            <w:pPr>
              <w:jc w:val="center"/>
              <w:rPr>
                <w:color w:val="000000" w:themeColor="text1"/>
                <w:szCs w:val="21"/>
                <w14:textFill>
                  <w14:solidFill>
                    <w14:schemeClr w14:val="tx1"/>
                  </w14:solidFill>
                </w14:textFill>
              </w:rPr>
            </w:pPr>
          </w:p>
        </w:tc>
        <w:tc>
          <w:tcPr>
            <w:tcW w:w="3795" w:type="dxa"/>
          </w:tcPr>
          <w:p w14:paraId="450005C0">
            <w:pPr>
              <w:jc w:val="center"/>
              <w:rPr>
                <w:color w:val="000000" w:themeColor="text1"/>
                <w:szCs w:val="21"/>
                <w14:textFill>
                  <w14:solidFill>
                    <w14:schemeClr w14:val="tx1"/>
                  </w14:solidFill>
                </w14:textFill>
              </w:rPr>
            </w:pPr>
            <w:r>
              <w:rPr>
                <w:rFonts w:hint="eastAsia"/>
              </w:rPr>
              <w:t>（填写相关内容）</w:t>
            </w:r>
          </w:p>
        </w:tc>
        <w:tc>
          <w:tcPr>
            <w:tcW w:w="2623" w:type="dxa"/>
          </w:tcPr>
          <w:p w14:paraId="2E23756D">
            <w:pPr>
              <w:rPr>
                <w:color w:val="000000" w:themeColor="text1"/>
                <w:szCs w:val="21"/>
                <w14:textFill>
                  <w14:solidFill>
                    <w14:schemeClr w14:val="tx1"/>
                  </w14:solidFill>
                </w14:textFill>
              </w:rPr>
            </w:pPr>
          </w:p>
        </w:tc>
        <w:tc>
          <w:tcPr>
            <w:tcW w:w="710" w:type="dxa"/>
          </w:tcPr>
          <w:p w14:paraId="3064122A">
            <w:pPr>
              <w:rPr>
                <w:color w:val="000000" w:themeColor="text1"/>
                <w:szCs w:val="21"/>
                <w14:textFill>
                  <w14:solidFill>
                    <w14:schemeClr w14:val="tx1"/>
                  </w14:solidFill>
                </w14:textFill>
              </w:rPr>
            </w:pPr>
          </w:p>
        </w:tc>
        <w:tc>
          <w:tcPr>
            <w:tcW w:w="390" w:type="dxa"/>
          </w:tcPr>
          <w:p w14:paraId="28FDE3B1">
            <w:pPr>
              <w:rPr>
                <w:color w:val="000000" w:themeColor="text1"/>
                <w:szCs w:val="21"/>
                <w14:textFill>
                  <w14:solidFill>
                    <w14:schemeClr w14:val="tx1"/>
                  </w14:solidFill>
                </w14:textFill>
              </w:rPr>
            </w:pPr>
          </w:p>
        </w:tc>
      </w:tr>
      <w:tr w14:paraId="1B21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64" w:type="dxa"/>
            <w:vMerge w:val="continue"/>
            <w:vAlign w:val="center"/>
          </w:tcPr>
          <w:p w14:paraId="1EAE6704">
            <w:pPr>
              <w:jc w:val="center"/>
              <w:rPr>
                <w:color w:val="000000" w:themeColor="text1"/>
                <w:szCs w:val="21"/>
                <w14:textFill>
                  <w14:solidFill>
                    <w14:schemeClr w14:val="tx1"/>
                  </w14:solidFill>
                </w14:textFill>
              </w:rPr>
            </w:pPr>
          </w:p>
        </w:tc>
        <w:tc>
          <w:tcPr>
            <w:tcW w:w="772" w:type="dxa"/>
            <w:vMerge w:val="continue"/>
            <w:vAlign w:val="center"/>
          </w:tcPr>
          <w:p w14:paraId="297C5411">
            <w:pPr>
              <w:jc w:val="center"/>
              <w:rPr>
                <w:color w:val="000000" w:themeColor="text1"/>
                <w:szCs w:val="21"/>
                <w14:textFill>
                  <w14:solidFill>
                    <w14:schemeClr w14:val="tx1"/>
                  </w14:solidFill>
                </w14:textFill>
              </w:rPr>
            </w:pPr>
          </w:p>
        </w:tc>
        <w:tc>
          <w:tcPr>
            <w:tcW w:w="3795" w:type="dxa"/>
          </w:tcPr>
          <w:p w14:paraId="44D1974E">
            <w:pPr>
              <w:jc w:val="center"/>
              <w:rPr>
                <w:color w:val="000000" w:themeColor="text1"/>
                <w:szCs w:val="21"/>
                <w14:textFill>
                  <w14:solidFill>
                    <w14:schemeClr w14:val="tx1"/>
                  </w14:solidFill>
                </w14:textFill>
              </w:rPr>
            </w:pPr>
            <w:r>
              <w:rPr>
                <w:rFonts w:hint="eastAsia"/>
              </w:rPr>
              <w:t>（填写相关内容）</w:t>
            </w:r>
          </w:p>
        </w:tc>
        <w:tc>
          <w:tcPr>
            <w:tcW w:w="2623" w:type="dxa"/>
          </w:tcPr>
          <w:p w14:paraId="2A1C165E">
            <w:pPr>
              <w:rPr>
                <w:rStyle w:val="19"/>
                <w:b w:val="0"/>
                <w:bCs w:val="0"/>
                <w:color w:val="000000" w:themeColor="text1"/>
                <w:szCs w:val="21"/>
                <w14:textFill>
                  <w14:solidFill>
                    <w14:schemeClr w14:val="tx1"/>
                  </w14:solidFill>
                </w14:textFill>
              </w:rPr>
            </w:pPr>
          </w:p>
        </w:tc>
        <w:tc>
          <w:tcPr>
            <w:tcW w:w="710" w:type="dxa"/>
          </w:tcPr>
          <w:p w14:paraId="2EF4C422">
            <w:pPr>
              <w:rPr>
                <w:rStyle w:val="19"/>
                <w:b w:val="0"/>
                <w:bCs w:val="0"/>
                <w:color w:val="000000" w:themeColor="text1"/>
                <w:szCs w:val="21"/>
                <w14:textFill>
                  <w14:solidFill>
                    <w14:schemeClr w14:val="tx1"/>
                  </w14:solidFill>
                </w14:textFill>
              </w:rPr>
            </w:pPr>
          </w:p>
        </w:tc>
        <w:tc>
          <w:tcPr>
            <w:tcW w:w="390" w:type="dxa"/>
          </w:tcPr>
          <w:p w14:paraId="33352A2C">
            <w:pPr>
              <w:rPr>
                <w:rStyle w:val="19"/>
                <w:b w:val="0"/>
                <w:bCs w:val="0"/>
                <w:color w:val="000000" w:themeColor="text1"/>
                <w:szCs w:val="21"/>
                <w14:textFill>
                  <w14:solidFill>
                    <w14:schemeClr w14:val="tx1"/>
                  </w14:solidFill>
                </w14:textFill>
              </w:rPr>
            </w:pPr>
          </w:p>
        </w:tc>
      </w:tr>
      <w:tr w14:paraId="22AB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64" w:type="dxa"/>
            <w:vMerge w:val="continue"/>
            <w:vAlign w:val="center"/>
          </w:tcPr>
          <w:p w14:paraId="71E3ECF0">
            <w:pPr>
              <w:jc w:val="center"/>
              <w:rPr>
                <w:color w:val="000000" w:themeColor="text1"/>
                <w:szCs w:val="21"/>
                <w14:textFill>
                  <w14:solidFill>
                    <w14:schemeClr w14:val="tx1"/>
                  </w14:solidFill>
                </w14:textFill>
              </w:rPr>
            </w:pPr>
          </w:p>
        </w:tc>
        <w:tc>
          <w:tcPr>
            <w:tcW w:w="772" w:type="dxa"/>
            <w:vMerge w:val="continue"/>
            <w:vAlign w:val="center"/>
          </w:tcPr>
          <w:p w14:paraId="7E6AD93C">
            <w:pPr>
              <w:jc w:val="center"/>
              <w:rPr>
                <w:color w:val="000000" w:themeColor="text1"/>
                <w:szCs w:val="21"/>
                <w14:textFill>
                  <w14:solidFill>
                    <w14:schemeClr w14:val="tx1"/>
                  </w14:solidFill>
                </w14:textFill>
              </w:rPr>
            </w:pPr>
          </w:p>
        </w:tc>
        <w:tc>
          <w:tcPr>
            <w:tcW w:w="3795" w:type="dxa"/>
          </w:tcPr>
          <w:p w14:paraId="71217D18">
            <w:pPr>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623" w:type="dxa"/>
          </w:tcPr>
          <w:p w14:paraId="4110EF85">
            <w:pPr>
              <w:rPr>
                <w:color w:val="000000" w:themeColor="text1"/>
                <w:szCs w:val="21"/>
                <w14:textFill>
                  <w14:solidFill>
                    <w14:schemeClr w14:val="tx1"/>
                  </w14:solidFill>
                </w14:textFill>
              </w:rPr>
            </w:pPr>
          </w:p>
        </w:tc>
        <w:tc>
          <w:tcPr>
            <w:tcW w:w="710" w:type="dxa"/>
          </w:tcPr>
          <w:p w14:paraId="77B308F6">
            <w:pPr>
              <w:rPr>
                <w:color w:val="000000" w:themeColor="text1"/>
                <w:szCs w:val="21"/>
                <w14:textFill>
                  <w14:solidFill>
                    <w14:schemeClr w14:val="tx1"/>
                  </w14:solidFill>
                </w14:textFill>
              </w:rPr>
            </w:pPr>
          </w:p>
        </w:tc>
        <w:tc>
          <w:tcPr>
            <w:tcW w:w="390" w:type="dxa"/>
          </w:tcPr>
          <w:p w14:paraId="35C8E672">
            <w:pPr>
              <w:rPr>
                <w:color w:val="000000" w:themeColor="text1"/>
                <w:szCs w:val="21"/>
                <w14:textFill>
                  <w14:solidFill>
                    <w14:schemeClr w14:val="tx1"/>
                  </w14:solidFill>
                </w14:textFill>
              </w:rPr>
            </w:pPr>
          </w:p>
        </w:tc>
      </w:tr>
      <w:tr w14:paraId="2A26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64" w:type="dxa"/>
            <w:vMerge w:val="continue"/>
            <w:vAlign w:val="center"/>
          </w:tcPr>
          <w:p w14:paraId="02B078A6">
            <w:pPr>
              <w:jc w:val="center"/>
              <w:rPr>
                <w:color w:val="000000" w:themeColor="text1"/>
                <w:szCs w:val="21"/>
                <w14:textFill>
                  <w14:solidFill>
                    <w14:schemeClr w14:val="tx1"/>
                  </w14:solidFill>
                </w14:textFill>
              </w:rPr>
            </w:pPr>
          </w:p>
        </w:tc>
        <w:tc>
          <w:tcPr>
            <w:tcW w:w="772" w:type="dxa"/>
            <w:vMerge w:val="continue"/>
            <w:vAlign w:val="center"/>
          </w:tcPr>
          <w:p w14:paraId="6E1ACD28">
            <w:pPr>
              <w:jc w:val="center"/>
              <w:rPr>
                <w:color w:val="000000" w:themeColor="text1"/>
                <w:szCs w:val="21"/>
                <w14:textFill>
                  <w14:solidFill>
                    <w14:schemeClr w14:val="tx1"/>
                  </w14:solidFill>
                </w14:textFill>
              </w:rPr>
            </w:pPr>
          </w:p>
        </w:tc>
        <w:tc>
          <w:tcPr>
            <w:tcW w:w="3795" w:type="dxa"/>
          </w:tcPr>
          <w:p w14:paraId="6CA87014">
            <w:pPr>
              <w:jc w:val="center"/>
              <w:rPr>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623" w:type="dxa"/>
          </w:tcPr>
          <w:p w14:paraId="558B0491">
            <w:pPr>
              <w:rPr>
                <w:b/>
                <w:bCs/>
                <w:color w:val="FF0000"/>
                <w:szCs w:val="21"/>
              </w:rPr>
            </w:pPr>
          </w:p>
        </w:tc>
        <w:tc>
          <w:tcPr>
            <w:tcW w:w="710" w:type="dxa"/>
          </w:tcPr>
          <w:p w14:paraId="040F5F73">
            <w:pPr>
              <w:rPr>
                <w:b/>
                <w:bCs/>
                <w:color w:val="FF0000"/>
                <w:szCs w:val="21"/>
              </w:rPr>
            </w:pPr>
          </w:p>
        </w:tc>
        <w:tc>
          <w:tcPr>
            <w:tcW w:w="390" w:type="dxa"/>
          </w:tcPr>
          <w:p w14:paraId="25B4ACD6">
            <w:pPr>
              <w:rPr>
                <w:b/>
                <w:bCs/>
                <w:color w:val="FF0000"/>
                <w:szCs w:val="21"/>
              </w:rPr>
            </w:pPr>
          </w:p>
        </w:tc>
      </w:tr>
      <w:tr w14:paraId="54A0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64" w:type="dxa"/>
            <w:vMerge w:val="continue"/>
            <w:vAlign w:val="center"/>
          </w:tcPr>
          <w:p w14:paraId="64146A68">
            <w:pPr>
              <w:jc w:val="center"/>
              <w:rPr>
                <w:color w:val="000000" w:themeColor="text1"/>
                <w:szCs w:val="21"/>
                <w14:textFill>
                  <w14:solidFill>
                    <w14:schemeClr w14:val="tx1"/>
                  </w14:solidFill>
                </w14:textFill>
              </w:rPr>
            </w:pPr>
          </w:p>
        </w:tc>
        <w:tc>
          <w:tcPr>
            <w:tcW w:w="772" w:type="dxa"/>
            <w:vMerge w:val="continue"/>
            <w:vAlign w:val="center"/>
          </w:tcPr>
          <w:p w14:paraId="391EA9E9">
            <w:pPr>
              <w:jc w:val="center"/>
              <w:rPr>
                <w:color w:val="000000" w:themeColor="text1"/>
                <w:szCs w:val="21"/>
                <w14:textFill>
                  <w14:solidFill>
                    <w14:schemeClr w14:val="tx1"/>
                  </w14:solidFill>
                </w14:textFill>
              </w:rPr>
            </w:pPr>
          </w:p>
        </w:tc>
        <w:tc>
          <w:tcPr>
            <w:tcW w:w="3795" w:type="dxa"/>
          </w:tcPr>
          <w:p w14:paraId="1D213DB8">
            <w:pPr>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623" w:type="dxa"/>
          </w:tcPr>
          <w:p w14:paraId="2D491003">
            <w:pPr>
              <w:rPr>
                <w:color w:val="000000" w:themeColor="text1"/>
                <w:szCs w:val="21"/>
                <w14:textFill>
                  <w14:solidFill>
                    <w14:schemeClr w14:val="tx1"/>
                  </w14:solidFill>
                </w14:textFill>
              </w:rPr>
            </w:pPr>
          </w:p>
        </w:tc>
        <w:tc>
          <w:tcPr>
            <w:tcW w:w="710" w:type="dxa"/>
          </w:tcPr>
          <w:p w14:paraId="0603CD84">
            <w:pPr>
              <w:rPr>
                <w:color w:val="000000" w:themeColor="text1"/>
                <w:szCs w:val="21"/>
                <w14:textFill>
                  <w14:solidFill>
                    <w14:schemeClr w14:val="tx1"/>
                  </w14:solidFill>
                </w14:textFill>
              </w:rPr>
            </w:pPr>
          </w:p>
        </w:tc>
        <w:tc>
          <w:tcPr>
            <w:tcW w:w="390" w:type="dxa"/>
          </w:tcPr>
          <w:p w14:paraId="61BF0546">
            <w:pPr>
              <w:rPr>
                <w:color w:val="000000" w:themeColor="text1"/>
                <w:szCs w:val="21"/>
                <w14:textFill>
                  <w14:solidFill>
                    <w14:schemeClr w14:val="tx1"/>
                  </w14:solidFill>
                </w14:textFill>
              </w:rPr>
            </w:pPr>
          </w:p>
        </w:tc>
      </w:tr>
      <w:tr w14:paraId="61BE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64" w:type="dxa"/>
            <w:vMerge w:val="restart"/>
            <w:vAlign w:val="center"/>
          </w:tcPr>
          <w:p w14:paraId="1CDD89C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772" w:type="dxa"/>
            <w:vMerge w:val="restart"/>
            <w:vAlign w:val="center"/>
          </w:tcPr>
          <w:p w14:paraId="21CC119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设备</w:t>
            </w:r>
          </w:p>
        </w:tc>
        <w:tc>
          <w:tcPr>
            <w:tcW w:w="3795" w:type="dxa"/>
          </w:tcPr>
          <w:p w14:paraId="5BAC56A4">
            <w:pPr>
              <w:jc w:val="center"/>
              <w:rPr>
                <w:b/>
                <w:bCs/>
                <w:color w:val="000000" w:themeColor="text1"/>
                <w:szCs w:val="21"/>
                <w14:textFill>
                  <w14:solidFill>
                    <w14:schemeClr w14:val="tx1"/>
                  </w14:solidFill>
                </w14:textFill>
              </w:rPr>
            </w:pPr>
            <w:r>
              <w:rPr>
                <w:rFonts w:hint="eastAsia"/>
              </w:rPr>
              <w:t>（填写相关内容）</w:t>
            </w:r>
          </w:p>
        </w:tc>
        <w:tc>
          <w:tcPr>
            <w:tcW w:w="2623" w:type="dxa"/>
          </w:tcPr>
          <w:p w14:paraId="147E2E95">
            <w:pPr>
              <w:rPr>
                <w:b/>
                <w:bCs/>
                <w:color w:val="FF0000"/>
                <w:szCs w:val="21"/>
              </w:rPr>
            </w:pPr>
          </w:p>
        </w:tc>
        <w:tc>
          <w:tcPr>
            <w:tcW w:w="710" w:type="dxa"/>
          </w:tcPr>
          <w:p w14:paraId="572667EE">
            <w:pPr>
              <w:rPr>
                <w:b/>
                <w:bCs/>
                <w:color w:val="FF0000"/>
                <w:szCs w:val="21"/>
              </w:rPr>
            </w:pPr>
          </w:p>
        </w:tc>
        <w:tc>
          <w:tcPr>
            <w:tcW w:w="390" w:type="dxa"/>
          </w:tcPr>
          <w:p w14:paraId="3421C2FD">
            <w:pPr>
              <w:rPr>
                <w:b/>
                <w:bCs/>
                <w:color w:val="FF0000"/>
                <w:szCs w:val="21"/>
              </w:rPr>
            </w:pPr>
          </w:p>
        </w:tc>
      </w:tr>
      <w:tr w14:paraId="2DCE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64" w:type="dxa"/>
            <w:vMerge w:val="continue"/>
          </w:tcPr>
          <w:p w14:paraId="56F71693">
            <w:pPr>
              <w:jc w:val="center"/>
              <w:rPr>
                <w:color w:val="000000" w:themeColor="text1"/>
                <w:szCs w:val="21"/>
                <w14:textFill>
                  <w14:solidFill>
                    <w14:schemeClr w14:val="tx1"/>
                  </w14:solidFill>
                </w14:textFill>
              </w:rPr>
            </w:pPr>
          </w:p>
        </w:tc>
        <w:tc>
          <w:tcPr>
            <w:tcW w:w="772" w:type="dxa"/>
            <w:vMerge w:val="continue"/>
          </w:tcPr>
          <w:p w14:paraId="24EC7587">
            <w:pPr>
              <w:rPr>
                <w:color w:val="000000" w:themeColor="text1"/>
                <w:szCs w:val="21"/>
                <w14:textFill>
                  <w14:solidFill>
                    <w14:schemeClr w14:val="tx1"/>
                  </w14:solidFill>
                </w14:textFill>
              </w:rPr>
            </w:pPr>
          </w:p>
        </w:tc>
        <w:tc>
          <w:tcPr>
            <w:tcW w:w="3795" w:type="dxa"/>
          </w:tcPr>
          <w:p w14:paraId="7A59011D">
            <w:pPr>
              <w:jc w:val="center"/>
              <w:rPr>
                <w:color w:val="000000" w:themeColor="text1"/>
                <w:szCs w:val="21"/>
                <w14:textFill>
                  <w14:solidFill>
                    <w14:schemeClr w14:val="tx1"/>
                  </w14:solidFill>
                </w14:textFill>
              </w:rPr>
            </w:pPr>
            <w:r>
              <w:rPr>
                <w:rFonts w:hint="eastAsia"/>
              </w:rPr>
              <w:t>（填写相关内容）</w:t>
            </w:r>
          </w:p>
        </w:tc>
        <w:tc>
          <w:tcPr>
            <w:tcW w:w="2623" w:type="dxa"/>
          </w:tcPr>
          <w:p w14:paraId="42B901D0">
            <w:pPr>
              <w:rPr>
                <w:color w:val="000000" w:themeColor="text1"/>
                <w:szCs w:val="21"/>
                <w14:textFill>
                  <w14:solidFill>
                    <w14:schemeClr w14:val="tx1"/>
                  </w14:solidFill>
                </w14:textFill>
              </w:rPr>
            </w:pPr>
          </w:p>
        </w:tc>
        <w:tc>
          <w:tcPr>
            <w:tcW w:w="710" w:type="dxa"/>
          </w:tcPr>
          <w:p w14:paraId="39EA0B77">
            <w:pPr>
              <w:rPr>
                <w:color w:val="000000" w:themeColor="text1"/>
                <w:szCs w:val="21"/>
                <w14:textFill>
                  <w14:solidFill>
                    <w14:schemeClr w14:val="tx1"/>
                  </w14:solidFill>
                </w14:textFill>
              </w:rPr>
            </w:pPr>
          </w:p>
        </w:tc>
        <w:tc>
          <w:tcPr>
            <w:tcW w:w="390" w:type="dxa"/>
          </w:tcPr>
          <w:p w14:paraId="2D317043">
            <w:pPr>
              <w:rPr>
                <w:color w:val="000000" w:themeColor="text1"/>
                <w:szCs w:val="21"/>
                <w14:textFill>
                  <w14:solidFill>
                    <w14:schemeClr w14:val="tx1"/>
                  </w14:solidFill>
                </w14:textFill>
              </w:rPr>
            </w:pPr>
          </w:p>
        </w:tc>
      </w:tr>
      <w:tr w14:paraId="116F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464" w:type="dxa"/>
            <w:vMerge w:val="continue"/>
          </w:tcPr>
          <w:p w14:paraId="28B6B80D">
            <w:pPr>
              <w:jc w:val="center"/>
              <w:rPr>
                <w:color w:val="000000" w:themeColor="text1"/>
                <w:szCs w:val="21"/>
                <w14:textFill>
                  <w14:solidFill>
                    <w14:schemeClr w14:val="tx1"/>
                  </w14:solidFill>
                </w14:textFill>
              </w:rPr>
            </w:pPr>
          </w:p>
        </w:tc>
        <w:tc>
          <w:tcPr>
            <w:tcW w:w="772" w:type="dxa"/>
            <w:vMerge w:val="continue"/>
          </w:tcPr>
          <w:p w14:paraId="48754397">
            <w:pPr>
              <w:rPr>
                <w:color w:val="000000" w:themeColor="text1"/>
                <w:szCs w:val="21"/>
                <w14:textFill>
                  <w14:solidFill>
                    <w14:schemeClr w14:val="tx1"/>
                  </w14:solidFill>
                </w14:textFill>
              </w:rPr>
            </w:pPr>
          </w:p>
        </w:tc>
        <w:tc>
          <w:tcPr>
            <w:tcW w:w="3795" w:type="dxa"/>
          </w:tcPr>
          <w:p w14:paraId="02A6DA91">
            <w:pPr>
              <w:jc w:val="center"/>
              <w:rPr>
                <w:color w:val="000000" w:themeColor="text1"/>
                <w:szCs w:val="21"/>
                <w14:textFill>
                  <w14:solidFill>
                    <w14:schemeClr w14:val="tx1"/>
                  </w14:solidFill>
                </w14:textFill>
              </w:rPr>
            </w:pPr>
            <w:r>
              <w:rPr>
                <w:rFonts w:hint="eastAsia"/>
              </w:rPr>
              <w:t>（填写相关内容）</w:t>
            </w:r>
          </w:p>
        </w:tc>
        <w:tc>
          <w:tcPr>
            <w:tcW w:w="2623" w:type="dxa"/>
          </w:tcPr>
          <w:p w14:paraId="2C8019C3">
            <w:pPr>
              <w:rPr>
                <w:color w:val="000000" w:themeColor="text1"/>
                <w:szCs w:val="21"/>
                <w14:textFill>
                  <w14:solidFill>
                    <w14:schemeClr w14:val="tx1"/>
                  </w14:solidFill>
                </w14:textFill>
              </w:rPr>
            </w:pPr>
          </w:p>
        </w:tc>
        <w:tc>
          <w:tcPr>
            <w:tcW w:w="710" w:type="dxa"/>
          </w:tcPr>
          <w:p w14:paraId="4B7DC26C">
            <w:pPr>
              <w:rPr>
                <w:color w:val="000000" w:themeColor="text1"/>
                <w:szCs w:val="21"/>
                <w14:textFill>
                  <w14:solidFill>
                    <w14:schemeClr w14:val="tx1"/>
                  </w14:solidFill>
                </w14:textFill>
              </w:rPr>
            </w:pPr>
          </w:p>
        </w:tc>
        <w:tc>
          <w:tcPr>
            <w:tcW w:w="390" w:type="dxa"/>
          </w:tcPr>
          <w:p w14:paraId="493CAFDB">
            <w:pPr>
              <w:rPr>
                <w:color w:val="000000" w:themeColor="text1"/>
                <w:szCs w:val="21"/>
                <w14:textFill>
                  <w14:solidFill>
                    <w14:schemeClr w14:val="tx1"/>
                  </w14:solidFill>
                </w14:textFill>
              </w:rPr>
            </w:pPr>
          </w:p>
        </w:tc>
      </w:tr>
      <w:tr w14:paraId="098B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4" w:type="dxa"/>
            <w:vMerge w:val="continue"/>
          </w:tcPr>
          <w:p w14:paraId="6C6133E4">
            <w:pPr>
              <w:jc w:val="center"/>
              <w:rPr>
                <w:color w:val="000000" w:themeColor="text1"/>
                <w:szCs w:val="21"/>
                <w14:textFill>
                  <w14:solidFill>
                    <w14:schemeClr w14:val="tx1"/>
                  </w14:solidFill>
                </w14:textFill>
              </w:rPr>
            </w:pPr>
          </w:p>
        </w:tc>
        <w:tc>
          <w:tcPr>
            <w:tcW w:w="772" w:type="dxa"/>
            <w:vMerge w:val="continue"/>
          </w:tcPr>
          <w:p w14:paraId="13AFDDB8">
            <w:pPr>
              <w:rPr>
                <w:color w:val="000000" w:themeColor="text1"/>
                <w:szCs w:val="21"/>
                <w14:textFill>
                  <w14:solidFill>
                    <w14:schemeClr w14:val="tx1"/>
                  </w14:solidFill>
                </w14:textFill>
              </w:rPr>
            </w:pPr>
          </w:p>
        </w:tc>
        <w:tc>
          <w:tcPr>
            <w:tcW w:w="3795" w:type="dxa"/>
          </w:tcPr>
          <w:p w14:paraId="78005833">
            <w:pPr>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623" w:type="dxa"/>
          </w:tcPr>
          <w:p w14:paraId="26A5D513">
            <w:pPr>
              <w:rPr>
                <w:color w:val="000000" w:themeColor="text1"/>
                <w:szCs w:val="21"/>
                <w14:textFill>
                  <w14:solidFill>
                    <w14:schemeClr w14:val="tx1"/>
                  </w14:solidFill>
                </w14:textFill>
              </w:rPr>
            </w:pPr>
          </w:p>
        </w:tc>
        <w:tc>
          <w:tcPr>
            <w:tcW w:w="710" w:type="dxa"/>
          </w:tcPr>
          <w:p w14:paraId="50BBC74B">
            <w:pPr>
              <w:rPr>
                <w:color w:val="000000" w:themeColor="text1"/>
                <w:szCs w:val="21"/>
                <w14:textFill>
                  <w14:solidFill>
                    <w14:schemeClr w14:val="tx1"/>
                  </w14:solidFill>
                </w14:textFill>
              </w:rPr>
            </w:pPr>
          </w:p>
        </w:tc>
        <w:tc>
          <w:tcPr>
            <w:tcW w:w="390" w:type="dxa"/>
          </w:tcPr>
          <w:p w14:paraId="0D3ACEA9">
            <w:pPr>
              <w:rPr>
                <w:color w:val="000000" w:themeColor="text1"/>
                <w:szCs w:val="21"/>
                <w14:textFill>
                  <w14:solidFill>
                    <w14:schemeClr w14:val="tx1"/>
                  </w14:solidFill>
                </w14:textFill>
              </w:rPr>
            </w:pPr>
          </w:p>
        </w:tc>
      </w:tr>
    </w:tbl>
    <w:p w14:paraId="0EFF8A78">
      <w:pPr>
        <w:rPr>
          <w:sz w:val="24"/>
        </w:rPr>
      </w:pPr>
    </w:p>
    <w:p w14:paraId="78F48AF6">
      <w:pPr>
        <w:rPr>
          <w:szCs w:val="21"/>
        </w:rPr>
      </w:pPr>
      <w:bookmarkStart w:id="37" w:name="_Hlk72095977"/>
      <w:r>
        <w:rPr>
          <w:rFonts w:hint="eastAsia"/>
          <w:szCs w:val="21"/>
        </w:rPr>
        <w:t>证明资料【如有的话，提供的证明资料应统一编号（排序），格式自定】</w:t>
      </w:r>
      <w:bookmarkEnd w:id="37"/>
      <w:r>
        <w:rPr>
          <w:rFonts w:hint="eastAsia"/>
          <w:szCs w:val="21"/>
        </w:rPr>
        <w:t>：</w:t>
      </w:r>
    </w:p>
    <w:p w14:paraId="489C9A0B">
      <w:pPr>
        <w:rPr>
          <w:b/>
          <w:szCs w:val="21"/>
        </w:rPr>
      </w:pPr>
    </w:p>
    <w:p w14:paraId="18B91F90">
      <w:pPr>
        <w:ind w:firstLine="420" w:firstLineChars="200"/>
        <w:rPr>
          <w:bCs/>
          <w:szCs w:val="21"/>
        </w:rPr>
      </w:pPr>
      <w:r>
        <w:rPr>
          <w:rFonts w:hint="eastAsia"/>
          <w:bCs/>
          <w:szCs w:val="21"/>
        </w:rPr>
        <w:t>《技术要求偏离表》编制指引：</w:t>
      </w:r>
    </w:p>
    <w:p w14:paraId="07F23AB0">
      <w:pPr>
        <w:numPr>
          <w:ilvl w:val="0"/>
          <w:numId w:val="6"/>
        </w:numPr>
        <w:ind w:firstLine="420" w:firstLineChars="200"/>
        <w:rPr>
          <w:bCs/>
          <w:szCs w:val="21"/>
        </w:rPr>
      </w:pPr>
      <w:r>
        <w:rPr>
          <w:rFonts w:hint="eastAsia"/>
          <w:bCs/>
          <w:szCs w:val="21"/>
        </w:rPr>
        <w:t>技术要求偏离表的序号、货物名称、招标技术要求等栏目</w:t>
      </w:r>
      <w:bookmarkStart w:id="38" w:name="_Hlk72094407"/>
      <w:r>
        <w:rPr>
          <w:rFonts w:hint="eastAsia"/>
          <w:bCs/>
          <w:szCs w:val="21"/>
        </w:rPr>
        <w:t>对应“用户需求书”中的“技术要求”章节</w:t>
      </w:r>
      <w:bookmarkEnd w:id="38"/>
      <w:r>
        <w:rPr>
          <w:rFonts w:hint="eastAsia"/>
          <w:bCs/>
          <w:szCs w:val="21"/>
        </w:rPr>
        <w:t>相关内容。</w:t>
      </w:r>
    </w:p>
    <w:p w14:paraId="228FF87B">
      <w:pPr>
        <w:ind w:firstLine="420" w:firstLineChars="200"/>
        <w:rPr>
          <w:rFonts w:ascii="Times New Roman" w:hAnsi="Times New Roman" w:eastAsia="宋体" w:cs="Times New Roman"/>
          <w:bCs/>
          <w:color w:val="FF0000"/>
          <w:szCs w:val="21"/>
        </w:rPr>
      </w:pPr>
      <w:r>
        <w:rPr>
          <w:bCs/>
          <w:szCs w:val="21"/>
        </w:rPr>
        <w:t>2</w:t>
      </w:r>
      <w:r>
        <w:rPr>
          <w:rFonts w:hint="eastAsia"/>
          <w:bCs/>
          <w:szCs w:val="21"/>
        </w:rPr>
        <w:t>、“投标技术响应”一栏必须一一对照“招标技术要求”，详细填写投标人自身投标货物的具体参数，而不能不合理照搬照抄招标文件的技术要求，以体现具体响应情况。</w:t>
      </w:r>
      <w:r>
        <w:rPr>
          <w:rFonts w:hint="eastAsia" w:ascii="Times New Roman" w:hAnsi="Times New Roman" w:eastAsia="宋体" w:cs="Times New Roman"/>
          <w:bCs/>
          <w:color w:val="FF0000"/>
          <w:szCs w:val="21"/>
        </w:rPr>
        <w:t>“投标技术响应”必须与</w:t>
      </w:r>
      <w:r>
        <w:rPr>
          <w:rFonts w:hint="eastAsia" w:cs="Times New Roman"/>
          <w:bCs/>
          <w:color w:val="FF0000"/>
          <w:szCs w:val="21"/>
        </w:rPr>
        <w:t>所投产品</w:t>
      </w:r>
      <w:r>
        <w:rPr>
          <w:rFonts w:hint="eastAsia" w:ascii="Times New Roman" w:hAnsi="Times New Roman" w:eastAsia="宋体" w:cs="Times New Roman"/>
          <w:bCs/>
          <w:color w:val="FF0000"/>
          <w:szCs w:val="21"/>
        </w:rPr>
        <w:t>客观实际保持一致，响应不实且情节严重的，经查实，将依法记入供应商诚信档案或受到行政处罚。</w:t>
      </w:r>
    </w:p>
    <w:p w14:paraId="64675147">
      <w:pPr>
        <w:ind w:firstLine="420" w:firstLineChars="200"/>
        <w:rPr>
          <w:rFonts w:ascii="Times New Roman" w:hAnsi="Times New Roman" w:eastAsia="宋体" w:cs="Times New Roman"/>
          <w:bCs/>
          <w:color w:val="FF0000"/>
          <w:szCs w:val="21"/>
        </w:rPr>
      </w:pPr>
      <w:r>
        <w:rPr>
          <w:bCs/>
          <w:szCs w:val="21"/>
        </w:rPr>
        <w:t>3</w:t>
      </w:r>
      <w:r>
        <w:rPr>
          <w:rFonts w:hint="eastAsia"/>
          <w:bCs/>
          <w:szCs w:val="21"/>
        </w:rPr>
        <w:t>、</w:t>
      </w:r>
      <w:bookmarkStart w:id="39" w:name="_Hlk72158270"/>
      <w:r>
        <w:rPr>
          <w:rFonts w:hint="eastAsia"/>
          <w:bCs/>
          <w:szCs w:val="21"/>
        </w:rPr>
        <w:t>“偏离情况”</w:t>
      </w:r>
      <w:bookmarkEnd w:id="39"/>
      <w:r>
        <w:rPr>
          <w:rFonts w:hint="eastAsia"/>
          <w:bCs/>
          <w:szCs w:val="21"/>
        </w:rPr>
        <w:t>一栏填写如实填写“正偏离”“负偏离”或“无偏离”，其中：</w:t>
      </w:r>
      <w:bookmarkStart w:id="40" w:name="_Hlk72093866"/>
      <w:r>
        <w:rPr>
          <w:rFonts w:hint="eastAsia"/>
          <w:bCs/>
          <w:szCs w:val="21"/>
        </w:rPr>
        <w:t>“正偏离”表示“投标响应优于招标技术要求”，“负偏离”表示“投标响应不满足招标技术要求”，“无偏离”表示“投标响应与招标技术要求一致”</w:t>
      </w:r>
      <w:bookmarkEnd w:id="40"/>
      <w:r>
        <w:rPr>
          <w:rFonts w:hint="eastAsia"/>
          <w:bCs/>
          <w:szCs w:val="21"/>
        </w:rPr>
        <w:t>。“投标技术响应”对比“招标技术要求”存在响应不全（包括未响应整项招标技术要求或者未响应一项招标技术要求的部分内容），均视为“负偏离”。带★号条款为不可负偏离条款，不作为评分准则中的评分内容</w:t>
      </w:r>
      <w:r>
        <w:rPr>
          <w:rFonts w:hint="eastAsia" w:eastAsia="宋体"/>
          <w:bCs/>
          <w:szCs w:val="21"/>
        </w:rPr>
        <w:t>，</w:t>
      </w:r>
      <w:r>
        <w:rPr>
          <w:rFonts w:hint="eastAsia"/>
          <w:bCs/>
          <w:szCs w:val="21"/>
        </w:rPr>
        <w:t>如未响应或出现负偏离的，将做投标无效处理。</w:t>
      </w:r>
      <w:r>
        <w:rPr>
          <w:rFonts w:hint="eastAsia" w:ascii="Times New Roman" w:hAnsi="Times New Roman" w:eastAsia="宋体" w:cs="Times New Roman"/>
          <w:bCs/>
          <w:color w:val="FF0000"/>
          <w:szCs w:val="21"/>
        </w:rPr>
        <w:t>“偏离情况”必须与所投产品客观实际保持一致，响应不实且情节严重的，经查实，将依法记入供应商诚信档案或受到行政处罚。</w:t>
      </w:r>
    </w:p>
    <w:p w14:paraId="148EFDE1">
      <w:pPr>
        <w:ind w:firstLine="420" w:firstLineChars="200"/>
        <w:rPr>
          <w:bCs/>
          <w:szCs w:val="21"/>
        </w:rPr>
      </w:pPr>
      <w:r>
        <w:rPr>
          <w:bCs/>
          <w:szCs w:val="21"/>
        </w:rPr>
        <w:t>4</w:t>
      </w:r>
      <w:r>
        <w:rPr>
          <w:rFonts w:hint="eastAsia"/>
          <w:bCs/>
          <w:szCs w:val="21"/>
        </w:rPr>
        <w:t>、未要求提供证明资料的招标技术要求，可以不提供证明资料（如实响应即可）。</w:t>
      </w:r>
    </w:p>
    <w:p w14:paraId="7BF7CBB1">
      <w:pPr>
        <w:ind w:firstLine="420" w:firstLineChars="200"/>
        <w:rPr>
          <w:bCs/>
          <w:szCs w:val="21"/>
        </w:rPr>
      </w:pPr>
      <w:r>
        <w:rPr>
          <w:rFonts w:hint="eastAsia"/>
          <w:bCs/>
          <w:szCs w:val="21"/>
        </w:rPr>
        <w:t>5、</w:t>
      </w:r>
      <w:bookmarkStart w:id="41" w:name="_Hlk72096106"/>
      <w:r>
        <w:rPr>
          <w:rFonts w:hint="eastAsia"/>
          <w:bCs/>
          <w:szCs w:val="21"/>
        </w:rPr>
        <w:t>证明资料条款响应要求</w:t>
      </w:r>
      <w:bookmarkEnd w:id="41"/>
      <w:r>
        <w:rPr>
          <w:rFonts w:hint="eastAsia"/>
          <w:bCs/>
          <w:szCs w:val="21"/>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42" w:name="_Hlk73558782"/>
      <w:r>
        <w:rPr>
          <w:rFonts w:hint="eastAsia"/>
          <w:bCs/>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43" w:name="_Hlk73558164"/>
      <w:r>
        <w:rPr>
          <w:rFonts w:hint="eastAsia"/>
          <w:bCs/>
          <w:szCs w:val="21"/>
        </w:rPr>
        <w:t>且投标人在“偏离情况”一栏响应为“正偏离”或“无偏离”的，经评审委员会认定，将判定为负偏离。</w:t>
      </w:r>
      <w:bookmarkEnd w:id="42"/>
      <w:bookmarkEnd w:id="43"/>
    </w:p>
    <w:p w14:paraId="4127206B">
      <w:pPr>
        <w:ind w:firstLine="420" w:firstLineChars="200"/>
        <w:rPr>
          <w:bCs/>
          <w:szCs w:val="21"/>
        </w:rPr>
      </w:pPr>
      <w:r>
        <w:rPr>
          <w:rFonts w:hint="eastAsia"/>
          <w:bCs/>
          <w:szCs w:val="21"/>
        </w:rPr>
        <w:t>6、</w:t>
      </w:r>
      <w:bookmarkStart w:id="44" w:name="_Hlk72096137"/>
      <w:r>
        <w:rPr>
          <w:rFonts w:hint="eastAsia"/>
          <w:bCs/>
          <w:szCs w:val="21"/>
        </w:rPr>
        <w:t>表后“证明资料”部分内容的编制</w:t>
      </w:r>
      <w:bookmarkEnd w:id="44"/>
      <w:r>
        <w:rPr>
          <w:rFonts w:hint="eastAsia"/>
          <w:bCs/>
          <w:szCs w:val="21"/>
        </w:rPr>
        <w:t>：提供的所有证明资料应当统一编号（排序），且证明资料的编号（顺序）、数量和名称（形式）均应与“说明”一栏所填内容保持一致（一一对应），以便评审委员会查看。</w:t>
      </w:r>
      <w:bookmarkStart w:id="45" w:name="_Hlk73558180"/>
      <w:r>
        <w:rPr>
          <w:rFonts w:hint="eastAsia"/>
          <w:bCs/>
          <w:szCs w:val="21"/>
        </w:rPr>
        <w:t>未按照招标文件要求在表后放置证明材料的供应商将承担不利后果，经评审委员会认定，相关技术要求将判定为负偏离。</w:t>
      </w:r>
      <w:bookmarkEnd w:id="45"/>
    </w:p>
    <w:p w14:paraId="55675404">
      <w:pPr>
        <w:ind w:firstLine="420" w:firstLineChars="200"/>
        <w:rPr>
          <w:bCs/>
          <w:szCs w:val="21"/>
        </w:rPr>
      </w:pPr>
      <w:r>
        <w:rPr>
          <w:rFonts w:hint="eastAsia"/>
          <w:bCs/>
          <w:szCs w:val="21"/>
        </w:rPr>
        <w:t>7、</w:t>
      </w:r>
      <w:bookmarkStart w:id="46" w:name="_Hlk72096176"/>
      <w:r>
        <w:rPr>
          <w:rFonts w:hint="eastAsia"/>
          <w:bCs/>
          <w:szCs w:val="21"/>
        </w:rPr>
        <w:t>证明资料的形式及其它具体要求</w:t>
      </w:r>
      <w:bookmarkEnd w:id="46"/>
      <w:r>
        <w:rPr>
          <w:rFonts w:hint="eastAsia"/>
          <w:bCs/>
          <w:szCs w:val="21"/>
        </w:rPr>
        <w:t>：</w:t>
      </w:r>
    </w:p>
    <w:p w14:paraId="3076DE5C">
      <w:pPr>
        <w:ind w:firstLine="420" w:firstLineChars="200"/>
        <w:rPr>
          <w:bCs/>
          <w:szCs w:val="21"/>
        </w:rPr>
      </w:pPr>
      <w:r>
        <w:rPr>
          <w:rFonts w:hint="eastAsia"/>
          <w:bCs/>
          <w:szCs w:val="21"/>
        </w:rPr>
        <w:t>（1）除照片、图片（截图）及不需加盖公章的文字说明（技术说明）外，其它证明资料均要求为原件扫描件；</w:t>
      </w:r>
    </w:p>
    <w:p w14:paraId="52993756">
      <w:pPr>
        <w:ind w:firstLine="420" w:firstLineChars="200"/>
        <w:rPr>
          <w:bCs/>
          <w:szCs w:val="21"/>
        </w:rPr>
      </w:pPr>
      <w:r>
        <w:rPr>
          <w:rFonts w:hint="eastAsia"/>
          <w:bCs/>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5B5494DC">
      <w:pPr>
        <w:ind w:firstLine="420" w:firstLineChars="200"/>
        <w:rPr>
          <w:bCs/>
          <w:szCs w:val="21"/>
        </w:rPr>
      </w:pPr>
      <w:r>
        <w:rPr>
          <w:rFonts w:hint="eastAsia"/>
          <w:bCs/>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5E0A5522">
      <w:pPr>
        <w:ind w:firstLine="420" w:firstLineChars="200"/>
        <w:rPr>
          <w:bCs/>
          <w:szCs w:val="21"/>
        </w:rPr>
      </w:pPr>
      <w:r>
        <w:rPr>
          <w:rFonts w:hint="eastAsia"/>
          <w:bCs/>
          <w:szCs w:val="21"/>
        </w:rPr>
        <w:t>我国政府机构出具的产品检验和核准证件应为证件正面、背面和附件标注的全部具体内容；产品检验和核准证件的尺寸和清晰度应该能够在电脑上被阅读、识别和判断；</w:t>
      </w:r>
    </w:p>
    <w:p w14:paraId="6A33FE2D">
      <w:pPr>
        <w:ind w:firstLine="420" w:firstLineChars="200"/>
        <w:rPr>
          <w:bCs/>
          <w:szCs w:val="21"/>
        </w:rPr>
      </w:pPr>
      <w:r>
        <w:rPr>
          <w:rFonts w:hint="eastAsia"/>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1DF05431">
      <w:pPr>
        <w:ind w:firstLine="420" w:firstLineChars="200"/>
        <w:rPr>
          <w:bCs/>
          <w:szCs w:val="21"/>
        </w:rPr>
      </w:pPr>
      <w:r>
        <w:rPr>
          <w:rFonts w:hint="eastAsia"/>
          <w:bCs/>
          <w:szCs w:val="21"/>
        </w:rPr>
        <w:t>其它证明资料的形式要求参照以上要求执行；</w:t>
      </w:r>
    </w:p>
    <w:p w14:paraId="0B6B2F31">
      <w:pPr>
        <w:ind w:firstLine="420" w:firstLineChars="200"/>
        <w:rPr>
          <w:bCs/>
          <w:szCs w:val="21"/>
        </w:rPr>
      </w:pPr>
      <w:r>
        <w:rPr>
          <w:rFonts w:hint="eastAsia"/>
          <w:bCs/>
          <w:szCs w:val="21"/>
        </w:rPr>
        <w:t>（4）证明资料均要求原件备查。</w:t>
      </w:r>
    </w:p>
    <w:p w14:paraId="1DFEA750">
      <w:pPr>
        <w:ind w:firstLine="420" w:firstLineChars="200"/>
        <w:rPr>
          <w:bCs/>
          <w:szCs w:val="21"/>
        </w:rPr>
      </w:pPr>
      <w:r>
        <w:rPr>
          <w:rFonts w:hint="eastAsia"/>
          <w:bCs/>
          <w:szCs w:val="21"/>
        </w:rPr>
        <w:t>8、其它注意事项：</w:t>
      </w:r>
    </w:p>
    <w:p w14:paraId="383D3E04">
      <w:pPr>
        <w:ind w:firstLine="420" w:firstLineChars="200"/>
        <w:rPr>
          <w:bCs/>
          <w:szCs w:val="21"/>
        </w:rPr>
      </w:pPr>
      <w:r>
        <w:rPr>
          <w:rFonts w:hint="eastAsia"/>
          <w:bCs/>
          <w:szCs w:val="21"/>
        </w:rPr>
        <w:t>（1）评审委员会有权对投标人的响应情况作出判断（评审结论）；</w:t>
      </w:r>
    </w:p>
    <w:p w14:paraId="243A6C80">
      <w:pPr>
        <w:ind w:firstLine="420" w:firstLineChars="200"/>
        <w:rPr>
          <w:bCs/>
          <w:szCs w:val="21"/>
        </w:rPr>
      </w:pPr>
      <w:r>
        <w:rPr>
          <w:rFonts w:hint="eastAsia"/>
          <w:bCs/>
          <w:szCs w:val="21"/>
        </w:rPr>
        <w:t>（2）</w:t>
      </w:r>
      <w:bookmarkStart w:id="47" w:name="_Hlk72158213"/>
      <w:r>
        <w:rPr>
          <w:rFonts w:hint="eastAsia"/>
          <w:bCs/>
          <w:szCs w:val="21"/>
        </w:rPr>
        <w:t>评审委员会有权对以谋取中标为目的的技术规格模糊响应（如有意不合理照搬照抄招标文件的技术要求）或虚假响应予以认定，并视情况经政府集中采购机构报主管部门进行处理。</w:t>
      </w:r>
      <w:bookmarkEnd w:id="47"/>
    </w:p>
    <w:p w14:paraId="1E2898EA">
      <w:pPr>
        <w:numPr>
          <w:ilvl w:val="0"/>
          <w:numId w:val="5"/>
        </w:numPr>
        <w:jc w:val="center"/>
        <w:outlineLvl w:val="3"/>
        <w:rPr>
          <w:rFonts w:hint="eastAsia" w:ascii="黑体" w:hAnsi="宋体" w:eastAsia="黑体"/>
          <w:bCs/>
          <w:kern w:val="0"/>
          <w:sz w:val="24"/>
          <w:szCs w:val="32"/>
        </w:rPr>
      </w:pPr>
      <w:r>
        <w:rPr>
          <w:rFonts w:hint="eastAsia" w:ascii="黑体" w:hAnsi="宋体" w:eastAsia="黑体"/>
          <w:bCs/>
          <w:kern w:val="0"/>
          <w:sz w:val="24"/>
          <w:szCs w:val="32"/>
        </w:rPr>
        <w:t>检测报告</w:t>
      </w:r>
    </w:p>
    <w:p w14:paraId="5973D6B1">
      <w:pPr>
        <w:ind w:firstLine="420" w:firstLineChars="200"/>
      </w:pPr>
    </w:p>
    <w:p w14:paraId="49D8FCBE">
      <w:pPr>
        <w:numPr>
          <w:ilvl w:val="0"/>
          <w:numId w:val="5"/>
        </w:numPr>
        <w:jc w:val="center"/>
        <w:outlineLvl w:val="3"/>
        <w:rPr>
          <w:rFonts w:hint="eastAsia" w:ascii="黑体" w:hAnsi="宋体" w:eastAsia="黑体"/>
          <w:bCs/>
          <w:kern w:val="0"/>
          <w:sz w:val="24"/>
          <w:szCs w:val="32"/>
        </w:rPr>
      </w:pPr>
      <w:r>
        <w:rPr>
          <w:rFonts w:hint="eastAsia" w:ascii="黑体" w:hAnsi="宋体" w:eastAsia="黑体"/>
          <w:bCs/>
          <w:kern w:val="0"/>
          <w:sz w:val="24"/>
          <w:szCs w:val="32"/>
        </w:rPr>
        <w:t>商务要求偏离表</w:t>
      </w:r>
    </w:p>
    <w:tbl>
      <w:tblPr>
        <w:tblStyle w:val="16"/>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408"/>
        <w:gridCol w:w="4918"/>
        <w:gridCol w:w="973"/>
        <w:gridCol w:w="642"/>
        <w:gridCol w:w="540"/>
      </w:tblGrid>
      <w:tr w14:paraId="579F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0" w:type="dxa"/>
            <w:vAlign w:val="center"/>
          </w:tcPr>
          <w:p w14:paraId="491F7D33">
            <w:pPr>
              <w:jc w:val="center"/>
              <w:rPr>
                <w:b/>
              </w:rPr>
            </w:pPr>
            <w:r>
              <w:rPr>
                <w:rFonts w:hint="eastAsia"/>
                <w:sz w:val="24"/>
              </w:rPr>
              <w:t>序号</w:t>
            </w:r>
          </w:p>
        </w:tc>
        <w:tc>
          <w:tcPr>
            <w:tcW w:w="1408" w:type="dxa"/>
            <w:vAlign w:val="center"/>
          </w:tcPr>
          <w:p w14:paraId="6C3E638F">
            <w:pPr>
              <w:jc w:val="center"/>
              <w:rPr>
                <w:b/>
              </w:rPr>
            </w:pPr>
            <w:r>
              <w:rPr>
                <w:rFonts w:hint="eastAsia"/>
                <w:b/>
              </w:rPr>
              <w:t>商务需求项</w:t>
            </w:r>
          </w:p>
        </w:tc>
        <w:tc>
          <w:tcPr>
            <w:tcW w:w="4918" w:type="dxa"/>
            <w:vAlign w:val="center"/>
          </w:tcPr>
          <w:p w14:paraId="45ECB2F5">
            <w:pPr>
              <w:jc w:val="center"/>
              <w:rPr>
                <w:b/>
              </w:rPr>
            </w:pPr>
            <w:r>
              <w:rPr>
                <w:rFonts w:hint="eastAsia"/>
                <w:sz w:val="24"/>
              </w:rPr>
              <w:t>招标商务要求</w:t>
            </w:r>
          </w:p>
        </w:tc>
        <w:tc>
          <w:tcPr>
            <w:tcW w:w="973" w:type="dxa"/>
            <w:vAlign w:val="center"/>
          </w:tcPr>
          <w:p w14:paraId="7316E99A">
            <w:pPr>
              <w:jc w:val="center"/>
              <w:rPr>
                <w:b/>
              </w:rPr>
            </w:pPr>
            <w:r>
              <w:rPr>
                <w:rFonts w:hint="eastAsia"/>
                <w:sz w:val="24"/>
              </w:rPr>
              <w:t>投标商务响应</w:t>
            </w:r>
          </w:p>
        </w:tc>
        <w:tc>
          <w:tcPr>
            <w:tcW w:w="642" w:type="dxa"/>
            <w:vAlign w:val="center"/>
          </w:tcPr>
          <w:p w14:paraId="0B0D209C">
            <w:pPr>
              <w:jc w:val="center"/>
              <w:rPr>
                <w:b/>
              </w:rPr>
            </w:pPr>
            <w:r>
              <w:rPr>
                <w:rFonts w:hint="eastAsia"/>
              </w:rPr>
              <w:t>偏离情况</w:t>
            </w:r>
          </w:p>
        </w:tc>
        <w:tc>
          <w:tcPr>
            <w:tcW w:w="540" w:type="dxa"/>
            <w:vAlign w:val="center"/>
          </w:tcPr>
          <w:p w14:paraId="2272AA18">
            <w:pPr>
              <w:jc w:val="center"/>
              <w:rPr>
                <w:b/>
              </w:rPr>
            </w:pPr>
            <w:r>
              <w:rPr>
                <w:rFonts w:hint="eastAsia"/>
                <w:sz w:val="24"/>
              </w:rPr>
              <w:t>说明</w:t>
            </w:r>
          </w:p>
        </w:tc>
      </w:tr>
      <w:tr w14:paraId="40B2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091" w:type="dxa"/>
            <w:gridSpan w:val="6"/>
          </w:tcPr>
          <w:p w14:paraId="19BB9A5E">
            <w:pPr>
              <w:rPr>
                <w:b/>
              </w:rPr>
            </w:pPr>
            <w:r>
              <w:rPr>
                <w:rFonts w:hint="eastAsia"/>
                <w:b/>
              </w:rPr>
              <w:t>（一）免费保修期内售后服务要求</w:t>
            </w:r>
          </w:p>
        </w:tc>
      </w:tr>
      <w:tr w14:paraId="03A5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10" w:type="dxa"/>
            <w:vAlign w:val="center"/>
          </w:tcPr>
          <w:p w14:paraId="26631DAD">
            <w:pPr>
              <w:jc w:val="center"/>
              <w:rPr>
                <w:bCs/>
              </w:rPr>
            </w:pPr>
            <w:r>
              <w:rPr>
                <w:rFonts w:hint="eastAsia"/>
                <w:bCs/>
              </w:rPr>
              <w:t>1</w:t>
            </w:r>
          </w:p>
        </w:tc>
        <w:tc>
          <w:tcPr>
            <w:tcW w:w="1408" w:type="dxa"/>
          </w:tcPr>
          <w:p w14:paraId="07E81590">
            <w:pPr>
              <w:jc w:val="center"/>
            </w:pPr>
            <w:r>
              <w:rPr>
                <w:rFonts w:hint="eastAsia"/>
              </w:rPr>
              <w:t>*</w:t>
            </w:r>
            <w:r>
              <w:t>***</w:t>
            </w:r>
          </w:p>
        </w:tc>
        <w:tc>
          <w:tcPr>
            <w:tcW w:w="4918" w:type="dxa"/>
          </w:tcPr>
          <w:p w14:paraId="496C7565">
            <w:pPr>
              <w:jc w:val="center"/>
              <w:rPr>
                <w:b/>
              </w:rPr>
            </w:pPr>
            <w:r>
              <w:rPr>
                <w:rFonts w:hint="eastAsia"/>
                <w:bCs/>
                <w:szCs w:val="21"/>
              </w:rPr>
              <w:t>（填写相关内容）</w:t>
            </w:r>
          </w:p>
        </w:tc>
        <w:tc>
          <w:tcPr>
            <w:tcW w:w="973" w:type="dxa"/>
          </w:tcPr>
          <w:p w14:paraId="3698ADE0">
            <w:pPr>
              <w:rPr>
                <w:bCs/>
                <w:szCs w:val="21"/>
              </w:rPr>
            </w:pPr>
          </w:p>
        </w:tc>
        <w:tc>
          <w:tcPr>
            <w:tcW w:w="642" w:type="dxa"/>
          </w:tcPr>
          <w:p w14:paraId="3D292028">
            <w:pPr>
              <w:rPr>
                <w:bCs/>
                <w:szCs w:val="21"/>
              </w:rPr>
            </w:pPr>
          </w:p>
        </w:tc>
        <w:tc>
          <w:tcPr>
            <w:tcW w:w="540" w:type="dxa"/>
          </w:tcPr>
          <w:p w14:paraId="383F3315">
            <w:pPr>
              <w:rPr>
                <w:bCs/>
                <w:szCs w:val="21"/>
              </w:rPr>
            </w:pPr>
          </w:p>
        </w:tc>
      </w:tr>
      <w:tr w14:paraId="39E9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10" w:type="dxa"/>
            <w:vAlign w:val="center"/>
          </w:tcPr>
          <w:p w14:paraId="6AB8B76C">
            <w:pPr>
              <w:jc w:val="center"/>
              <w:rPr>
                <w:bCs/>
              </w:rPr>
            </w:pPr>
            <w:r>
              <w:rPr>
                <w:bCs/>
              </w:rPr>
              <w:t>2</w:t>
            </w:r>
          </w:p>
        </w:tc>
        <w:tc>
          <w:tcPr>
            <w:tcW w:w="1408" w:type="dxa"/>
          </w:tcPr>
          <w:p w14:paraId="085053F2">
            <w:pPr>
              <w:jc w:val="center"/>
            </w:pPr>
            <w:r>
              <w:rPr>
                <w:rFonts w:hint="eastAsia"/>
              </w:rPr>
              <w:t>****</w:t>
            </w:r>
          </w:p>
        </w:tc>
        <w:tc>
          <w:tcPr>
            <w:tcW w:w="4918" w:type="dxa"/>
          </w:tcPr>
          <w:p w14:paraId="4E919E6D">
            <w:pPr>
              <w:jc w:val="center"/>
              <w:rPr>
                <w:bCs/>
                <w:szCs w:val="21"/>
              </w:rPr>
            </w:pPr>
            <w:r>
              <w:rPr>
                <w:rFonts w:hint="eastAsia"/>
              </w:rPr>
              <w:t>（填写相关内容）</w:t>
            </w:r>
          </w:p>
        </w:tc>
        <w:tc>
          <w:tcPr>
            <w:tcW w:w="973" w:type="dxa"/>
          </w:tcPr>
          <w:p w14:paraId="3A5A1673">
            <w:pPr>
              <w:rPr>
                <w:bCs/>
                <w:szCs w:val="21"/>
              </w:rPr>
            </w:pPr>
          </w:p>
        </w:tc>
        <w:tc>
          <w:tcPr>
            <w:tcW w:w="642" w:type="dxa"/>
          </w:tcPr>
          <w:p w14:paraId="6591E4C3">
            <w:pPr>
              <w:rPr>
                <w:bCs/>
                <w:szCs w:val="21"/>
              </w:rPr>
            </w:pPr>
          </w:p>
        </w:tc>
        <w:tc>
          <w:tcPr>
            <w:tcW w:w="540" w:type="dxa"/>
          </w:tcPr>
          <w:p w14:paraId="13F60B45">
            <w:pPr>
              <w:rPr>
                <w:bCs/>
                <w:szCs w:val="21"/>
              </w:rPr>
            </w:pPr>
          </w:p>
        </w:tc>
      </w:tr>
      <w:tr w14:paraId="39B0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091" w:type="dxa"/>
            <w:gridSpan w:val="6"/>
            <w:vAlign w:val="center"/>
          </w:tcPr>
          <w:p w14:paraId="243AFC38">
            <w:pPr>
              <w:rPr>
                <w:bCs/>
                <w:szCs w:val="21"/>
              </w:rPr>
            </w:pPr>
            <w:r>
              <w:rPr>
                <w:rFonts w:hint="eastAsia"/>
                <w:b/>
              </w:rPr>
              <w:t>（二）免费保修期外售后服务要求</w:t>
            </w:r>
          </w:p>
        </w:tc>
      </w:tr>
      <w:tr w14:paraId="43D3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10" w:type="dxa"/>
          </w:tcPr>
          <w:p w14:paraId="408DCF07">
            <w:pPr>
              <w:jc w:val="center"/>
              <w:rPr>
                <w:bCs/>
              </w:rPr>
            </w:pPr>
            <w:r>
              <w:rPr>
                <w:rFonts w:hint="eastAsia"/>
              </w:rPr>
              <w:t>1</w:t>
            </w:r>
          </w:p>
        </w:tc>
        <w:tc>
          <w:tcPr>
            <w:tcW w:w="1408" w:type="dxa"/>
          </w:tcPr>
          <w:p w14:paraId="38F89E65">
            <w:pPr>
              <w:jc w:val="center"/>
            </w:pPr>
            <w:r>
              <w:rPr>
                <w:rFonts w:hint="eastAsia"/>
              </w:rPr>
              <w:t>****</w:t>
            </w:r>
          </w:p>
        </w:tc>
        <w:tc>
          <w:tcPr>
            <w:tcW w:w="4918" w:type="dxa"/>
          </w:tcPr>
          <w:p w14:paraId="1B9C2799">
            <w:pPr>
              <w:jc w:val="center"/>
            </w:pPr>
            <w:r>
              <w:rPr>
                <w:rFonts w:hint="eastAsia"/>
              </w:rPr>
              <w:t>（填写相关内容）</w:t>
            </w:r>
          </w:p>
        </w:tc>
        <w:tc>
          <w:tcPr>
            <w:tcW w:w="973" w:type="dxa"/>
          </w:tcPr>
          <w:p w14:paraId="0854E4DC">
            <w:pPr>
              <w:rPr>
                <w:bCs/>
                <w:szCs w:val="21"/>
              </w:rPr>
            </w:pPr>
          </w:p>
        </w:tc>
        <w:tc>
          <w:tcPr>
            <w:tcW w:w="642" w:type="dxa"/>
          </w:tcPr>
          <w:p w14:paraId="4CEA73D4">
            <w:pPr>
              <w:rPr>
                <w:bCs/>
                <w:szCs w:val="21"/>
              </w:rPr>
            </w:pPr>
          </w:p>
        </w:tc>
        <w:tc>
          <w:tcPr>
            <w:tcW w:w="540" w:type="dxa"/>
          </w:tcPr>
          <w:p w14:paraId="28C56C4E">
            <w:pPr>
              <w:rPr>
                <w:bCs/>
                <w:szCs w:val="21"/>
              </w:rPr>
            </w:pPr>
          </w:p>
        </w:tc>
      </w:tr>
      <w:tr w14:paraId="17D5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091" w:type="dxa"/>
            <w:gridSpan w:val="6"/>
          </w:tcPr>
          <w:p w14:paraId="3D55FED4">
            <w:pPr>
              <w:rPr>
                <w:bCs/>
                <w:szCs w:val="21"/>
              </w:rPr>
            </w:pPr>
            <w:r>
              <w:rPr>
                <w:rFonts w:hint="eastAsia"/>
                <w:b/>
              </w:rPr>
              <w:t>（三）其他商务要求</w:t>
            </w:r>
          </w:p>
        </w:tc>
      </w:tr>
      <w:tr w14:paraId="0BA3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10" w:type="dxa"/>
          </w:tcPr>
          <w:p w14:paraId="5DA1D4F9">
            <w:pPr>
              <w:jc w:val="center"/>
            </w:pPr>
            <w:r>
              <w:rPr>
                <w:rFonts w:hint="eastAsia"/>
              </w:rPr>
              <w:t>1</w:t>
            </w:r>
          </w:p>
        </w:tc>
        <w:tc>
          <w:tcPr>
            <w:tcW w:w="1408" w:type="dxa"/>
          </w:tcPr>
          <w:p w14:paraId="3B2C74A8">
            <w:pPr>
              <w:jc w:val="center"/>
            </w:pPr>
            <w:r>
              <w:rPr>
                <w:rFonts w:hint="eastAsia"/>
              </w:rPr>
              <w:t>****</w:t>
            </w:r>
          </w:p>
        </w:tc>
        <w:tc>
          <w:tcPr>
            <w:tcW w:w="4918" w:type="dxa"/>
          </w:tcPr>
          <w:p w14:paraId="1585A1EE">
            <w:pPr>
              <w:jc w:val="center"/>
            </w:pPr>
            <w:r>
              <w:rPr>
                <w:rFonts w:hint="eastAsia"/>
              </w:rPr>
              <w:t>（填写相关内容）</w:t>
            </w:r>
          </w:p>
        </w:tc>
        <w:tc>
          <w:tcPr>
            <w:tcW w:w="973" w:type="dxa"/>
          </w:tcPr>
          <w:p w14:paraId="40671598">
            <w:pPr>
              <w:rPr>
                <w:bCs/>
                <w:szCs w:val="21"/>
              </w:rPr>
            </w:pPr>
          </w:p>
        </w:tc>
        <w:tc>
          <w:tcPr>
            <w:tcW w:w="642" w:type="dxa"/>
          </w:tcPr>
          <w:p w14:paraId="029B199E">
            <w:pPr>
              <w:rPr>
                <w:bCs/>
                <w:szCs w:val="21"/>
              </w:rPr>
            </w:pPr>
          </w:p>
        </w:tc>
        <w:tc>
          <w:tcPr>
            <w:tcW w:w="540" w:type="dxa"/>
          </w:tcPr>
          <w:p w14:paraId="467F15D7">
            <w:pPr>
              <w:rPr>
                <w:bCs/>
                <w:szCs w:val="21"/>
              </w:rPr>
            </w:pPr>
          </w:p>
        </w:tc>
      </w:tr>
    </w:tbl>
    <w:p w14:paraId="1F890F14">
      <w:pPr>
        <w:ind w:firstLine="420" w:firstLineChars="200"/>
        <w:rPr>
          <w:bCs/>
          <w:szCs w:val="21"/>
        </w:rPr>
      </w:pPr>
      <w:r>
        <w:rPr>
          <w:rFonts w:hint="eastAsia"/>
          <w:bCs/>
          <w:szCs w:val="21"/>
        </w:rPr>
        <w:t>《商务要求偏离表》编制指引：</w:t>
      </w:r>
    </w:p>
    <w:p w14:paraId="38A2842C">
      <w:pPr>
        <w:ind w:firstLine="420" w:firstLineChars="200"/>
        <w:rPr>
          <w:bCs/>
          <w:szCs w:val="21"/>
        </w:rPr>
      </w:pPr>
      <w:r>
        <w:rPr>
          <w:rFonts w:hint="eastAsia"/>
          <w:bCs/>
          <w:szCs w:val="21"/>
        </w:rPr>
        <w:t>1、商务要求偏离表的序号、商务需求项、招标商务要求等栏目对应“用户需求书”中的“商务要求”章节相关内容。</w:t>
      </w:r>
    </w:p>
    <w:p w14:paraId="75AE3325">
      <w:pPr>
        <w:ind w:firstLine="420" w:firstLineChars="200"/>
        <w:rPr>
          <w:bCs/>
          <w:szCs w:val="21"/>
        </w:rPr>
      </w:pPr>
      <w:r>
        <w:rPr>
          <w:bCs/>
          <w:szCs w:val="21"/>
        </w:rPr>
        <w:t>2</w:t>
      </w:r>
      <w:r>
        <w:rPr>
          <w:rFonts w:hint="eastAsia"/>
          <w:bCs/>
          <w:szCs w:val="21"/>
        </w:rPr>
        <w:t>、“投标商务响应”一栏必须一一对照“招标商务要求”，详细填写自身响应情况，而不能不合理照搬照抄招标文件的商务要求，以体现具体响应情况。</w:t>
      </w:r>
    </w:p>
    <w:p w14:paraId="3BC30A46">
      <w:pPr>
        <w:ind w:firstLine="420" w:firstLineChars="200"/>
        <w:rPr>
          <w:bCs/>
          <w:color w:val="FF0000"/>
          <w:szCs w:val="21"/>
        </w:rPr>
      </w:pPr>
      <w:r>
        <w:rPr>
          <w:bCs/>
          <w:szCs w:val="21"/>
        </w:rPr>
        <w:t>3</w:t>
      </w:r>
      <w:r>
        <w:rPr>
          <w:rFonts w:hint="eastAsia"/>
          <w:bCs/>
          <w:szCs w:val="21"/>
        </w:rPr>
        <w:t>、“偏离情况”一栏填写如实填写“正偏离”“负偏离”或“无偏离”，其中：“正偏离”表示“投标响应优于招标商务要求”，“负偏离”表示“投标响应不满足招标商务要求”，“无偏离”表示“投标响应与招标商务要求一致”。</w:t>
      </w:r>
    </w:p>
    <w:p w14:paraId="101F57CB">
      <w:pPr>
        <w:rPr>
          <w:bCs/>
          <w:szCs w:val="21"/>
        </w:rPr>
      </w:pPr>
      <w:r>
        <w:rPr>
          <w:rFonts w:hint="eastAsia"/>
          <w:bCs/>
          <w:szCs w:val="21"/>
        </w:rPr>
        <w:t>“投标商务响应”对比“招标商务要求”存在响应不全（包括未响应整项招标商务要求或者未响应一项招标商务要求的部分内容），均视为“负偏离”。</w:t>
      </w:r>
    </w:p>
    <w:p w14:paraId="618D34CB">
      <w:pPr>
        <w:numPr>
          <w:ilvl w:val="0"/>
          <w:numId w:val="4"/>
        </w:numPr>
        <w:ind w:firstLine="420" w:firstLineChars="200"/>
        <w:rPr>
          <w:bCs/>
          <w:szCs w:val="21"/>
        </w:rPr>
      </w:pPr>
      <w:r>
        <w:rPr>
          <w:rFonts w:hint="eastAsia"/>
          <w:bCs/>
          <w:szCs w:val="21"/>
        </w:rPr>
        <w:t>带★号条款为不可偏离条款，如未响应或出现负偏离的，将作投标无效处理。</w:t>
      </w:r>
    </w:p>
    <w:p w14:paraId="257DCA78">
      <w:pPr>
        <w:pStyle w:val="9"/>
      </w:pPr>
    </w:p>
    <w:p w14:paraId="5CFC2701">
      <w:pPr>
        <w:numPr>
          <w:ilvl w:val="0"/>
          <w:numId w:val="5"/>
        </w:numPr>
        <w:jc w:val="center"/>
        <w:outlineLvl w:val="3"/>
        <w:rPr>
          <w:rFonts w:hint="eastAsia" w:ascii="黑体" w:hAnsi="宋体" w:eastAsia="黑体"/>
          <w:bCs/>
          <w:kern w:val="0"/>
          <w:sz w:val="24"/>
          <w:szCs w:val="32"/>
        </w:rPr>
      </w:pPr>
      <w:r>
        <w:rPr>
          <w:rFonts w:hint="eastAsia" w:ascii="黑体" w:hAnsi="宋体" w:eastAsia="黑体"/>
          <w:bCs/>
          <w:kern w:val="0"/>
          <w:sz w:val="24"/>
          <w:szCs w:val="32"/>
        </w:rPr>
        <w:t>设计图</w:t>
      </w:r>
    </w:p>
    <w:p w14:paraId="7AC2D76A">
      <w:pPr>
        <w:pStyle w:val="4"/>
        <w:jc w:val="center"/>
        <w:rPr>
          <w:rFonts w:hint="eastAsia" w:ascii="黑体" w:eastAsia="黑体"/>
          <w:b w:val="0"/>
          <w:bCs w:val="0"/>
          <w:sz w:val="24"/>
          <w:szCs w:val="20"/>
        </w:rPr>
      </w:pPr>
      <w:bookmarkStart w:id="48" w:name="_Hlk72062872"/>
      <w:r>
        <w:rPr>
          <w:rFonts w:hint="eastAsia" w:ascii="黑体" w:eastAsia="黑体"/>
          <w:b w:val="0"/>
          <w:bCs w:val="0"/>
          <w:sz w:val="24"/>
          <w:szCs w:val="20"/>
        </w:rPr>
        <w:t>五、投标人认为需要加以说明的其他内容</w:t>
      </w:r>
      <w:bookmarkEnd w:id="48"/>
    </w:p>
    <w:p w14:paraId="6DDD7130">
      <w:pPr>
        <w:widowControl/>
        <w:jc w:val="center"/>
        <w:rPr>
          <w:rFonts w:hint="eastAsia"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32B4F050">
      <w:pPr>
        <w:widowControl/>
        <w:jc w:val="center"/>
        <w:rPr>
          <w:rFonts w:hint="eastAsia" w:ascii="黑体" w:hAnsi="宋体" w:eastAsia="黑体"/>
          <w:kern w:val="0"/>
          <w:sz w:val="24"/>
          <w:szCs w:val="20"/>
        </w:rPr>
      </w:pPr>
    </w:p>
    <w:p w14:paraId="07B784DF">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14:paraId="2C9305D8">
      <w:pPr>
        <w:ind w:firstLine="422" w:firstLineChars="200"/>
        <w:rPr>
          <w:b/>
        </w:rPr>
      </w:pPr>
      <w:r>
        <w:rPr>
          <w:rFonts w:hint="eastAsia"/>
          <w:b/>
        </w:rPr>
        <w:t>一、本公司已充分知悉“隐瞒真实情况，提供虚假资料”的法定情形，相关情形包括但不限于：</w:t>
      </w:r>
    </w:p>
    <w:p w14:paraId="7D6A5201">
      <w:pPr>
        <w:ind w:firstLine="420" w:firstLineChars="200"/>
      </w:pPr>
      <w:r>
        <w:rPr>
          <w:rFonts w:hint="eastAsia"/>
        </w:rPr>
        <w:t>（一）通过转让或者租借等方式从其他单位获取资格或者资质证书投标的。</w:t>
      </w:r>
    </w:p>
    <w:p w14:paraId="7EC6C672">
      <w:pPr>
        <w:ind w:firstLine="420" w:firstLineChars="200"/>
      </w:pPr>
      <w:r>
        <w:rPr>
          <w:rFonts w:hint="eastAsia"/>
        </w:rPr>
        <w:t>（二）由其他单位或者其他单位负责人在投标供应商编制的投标文件上加盖印章或者签字的。</w:t>
      </w:r>
    </w:p>
    <w:p w14:paraId="701D0DBB">
      <w:pPr>
        <w:ind w:firstLine="420" w:firstLineChars="200"/>
      </w:pPr>
      <w:r>
        <w:rPr>
          <w:rFonts w:hint="eastAsia"/>
        </w:rPr>
        <w:t>（三）项目负责人或者主要技术人员不是本单位人员的。</w:t>
      </w:r>
    </w:p>
    <w:p w14:paraId="6724C964">
      <w:pPr>
        <w:ind w:firstLine="420" w:firstLineChars="200"/>
      </w:pPr>
      <w:r>
        <w:rPr>
          <w:rFonts w:hint="eastAsia"/>
        </w:rPr>
        <w:t>（四）投标保证金不是从投标供应商基本账户转出的。</w:t>
      </w:r>
    </w:p>
    <w:p w14:paraId="3FBD02C3">
      <w:pPr>
        <w:ind w:firstLine="420" w:firstLineChars="200"/>
      </w:pPr>
      <w:r>
        <w:rPr>
          <w:rFonts w:hint="eastAsia"/>
        </w:rPr>
        <w:t>（五）其他隐瞒真实情况、提供虚假资料的行为。</w:t>
      </w:r>
    </w:p>
    <w:p w14:paraId="68E06B6B">
      <w:pPr>
        <w:ind w:firstLine="422" w:firstLineChars="200"/>
        <w:rPr>
          <w:b/>
        </w:rPr>
      </w:pPr>
      <w:r>
        <w:rPr>
          <w:rFonts w:hint="eastAsia"/>
          <w:b/>
        </w:rPr>
        <w:t>二、本公司已充分知悉“与其他采购参加人串通投标”的法定情形，相关情形包括但不限于：</w:t>
      </w:r>
    </w:p>
    <w:p w14:paraId="49D097CB">
      <w:pPr>
        <w:ind w:firstLine="420" w:firstLineChars="200"/>
      </w:pPr>
      <w:r>
        <w:rPr>
          <w:rFonts w:hint="eastAsia"/>
        </w:rPr>
        <w:t>（一）投标供应商之间相互约定给予未中标的供应商利益补偿。</w:t>
      </w:r>
    </w:p>
    <w:p w14:paraId="7D1E68BA">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0233CC98">
      <w:pPr>
        <w:ind w:firstLine="420" w:firstLineChars="200"/>
      </w:pPr>
      <w:r>
        <w:rPr>
          <w:rFonts w:hint="eastAsia"/>
        </w:rPr>
        <w:t>（三）不同投标供应商的投标文件由同一单位或者同一人编制，或者由同一人分阶段参与编制的。</w:t>
      </w:r>
    </w:p>
    <w:p w14:paraId="6C6AE04E">
      <w:pPr>
        <w:ind w:firstLine="420" w:firstLineChars="200"/>
      </w:pPr>
      <w:r>
        <w:rPr>
          <w:rFonts w:hint="eastAsia"/>
        </w:rPr>
        <w:t>（四）不同投标供应商的投标文件或部分投标文件相互混装。</w:t>
      </w:r>
    </w:p>
    <w:p w14:paraId="33C66906">
      <w:pPr>
        <w:ind w:firstLine="420" w:firstLineChars="200"/>
      </w:pPr>
      <w:r>
        <w:rPr>
          <w:rFonts w:hint="eastAsia"/>
        </w:rPr>
        <w:t>（五）不同投标供应商的投标文件内容存在非正常一致。</w:t>
      </w:r>
    </w:p>
    <w:p w14:paraId="4A05F608">
      <w:pPr>
        <w:ind w:firstLine="420" w:firstLineChars="200"/>
      </w:pPr>
      <w:r>
        <w:rPr>
          <w:rFonts w:hint="eastAsia"/>
        </w:rPr>
        <w:t>（六）由同一单位工作人员为两家以上（含两家）供应商进行同一项投标活动的。</w:t>
      </w:r>
    </w:p>
    <w:p w14:paraId="5D54437C">
      <w:pPr>
        <w:ind w:firstLine="420" w:firstLineChars="200"/>
      </w:pPr>
      <w:r>
        <w:rPr>
          <w:rFonts w:hint="eastAsia"/>
        </w:rPr>
        <w:t>（七）不同投标人的投标报价呈规律性差异。</w:t>
      </w:r>
    </w:p>
    <w:p w14:paraId="410C1C4B">
      <w:pPr>
        <w:ind w:firstLine="420" w:firstLineChars="200"/>
      </w:pPr>
      <w:r>
        <w:rPr>
          <w:rFonts w:hint="eastAsia"/>
        </w:rPr>
        <w:t>（八）不同投标人的投标保证金从同一单位或者个人的账户转出。</w:t>
      </w:r>
    </w:p>
    <w:p w14:paraId="097B83C4">
      <w:pPr>
        <w:ind w:firstLine="420" w:firstLineChars="200"/>
      </w:pPr>
      <w:r>
        <w:rPr>
          <w:rFonts w:hint="eastAsia"/>
        </w:rPr>
        <w:t>（九）主管部门依照法律、法规认定的其他情形。</w:t>
      </w:r>
    </w:p>
    <w:p w14:paraId="2C88AC9C">
      <w:pPr>
        <w:ind w:firstLine="422" w:firstLineChars="200"/>
        <w:rPr>
          <w:b/>
        </w:rPr>
      </w:pPr>
      <w:r>
        <w:rPr>
          <w:rFonts w:hint="eastAsia"/>
          <w:b/>
        </w:rPr>
        <w:t>三、本公司已充分知悉下列情形所对应的法律风险，并在投标前已对相关风险事项进行排查。</w:t>
      </w:r>
    </w:p>
    <w:p w14:paraId="3E6E4AEF">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797E42E7">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756472C7">
      <w:pPr>
        <w:ind w:firstLine="420" w:firstLineChars="200"/>
      </w:pPr>
      <w:r>
        <w:rPr>
          <w:rFonts w:hint="eastAsia"/>
        </w:rPr>
        <w:t>（三）对于涉及安全生产、特种作业、抢险救灾、防疫等政府采购项目，供应商实施提供虚假资料、串通投标等违法行为的，主管部门将依法从严处理。</w:t>
      </w:r>
    </w:p>
    <w:p w14:paraId="2AA71848">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2470129F">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425C001">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59BC9828">
      <w:pPr>
        <w:ind w:firstLine="422" w:firstLineChars="200"/>
        <w:rPr>
          <w:b/>
        </w:rPr>
      </w:pPr>
      <w:r>
        <w:rPr>
          <w:rFonts w:hint="eastAsia"/>
          <w:b/>
        </w:rPr>
        <w:t>四、本公司已充分知悉政府采购违法、违规行为的法律后果。</w:t>
      </w:r>
    </w:p>
    <w:p w14:paraId="1B4AD3EA">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4F45C8D">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34"/>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0B20444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5A6F344B">
            <w:pPr>
              <w:autoSpaceDE w:val="0"/>
              <w:autoSpaceDN w:val="0"/>
              <w:spacing w:line="400" w:lineRule="exact"/>
              <w:ind w:firstLine="1866"/>
              <w:rPr>
                <w:rFonts w:hint="eastAsia" w:ascii="宋体" w:hAnsi="宋体"/>
                <w:spacing w:val="-4"/>
                <w:kern w:val="0"/>
                <w:szCs w:val="21"/>
              </w:rPr>
            </w:pPr>
          </w:p>
        </w:tc>
      </w:tr>
      <w:tr w14:paraId="028CADD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45C44500">
            <w:pPr>
              <w:autoSpaceDE w:val="0"/>
              <w:autoSpaceDN w:val="0"/>
              <w:spacing w:line="400" w:lineRule="exact"/>
              <w:ind w:firstLine="1866"/>
              <w:rPr>
                <w:rFonts w:hint="eastAsia" w:ascii="宋体" w:hAnsi="宋体"/>
                <w:spacing w:val="-4"/>
                <w:kern w:val="0"/>
                <w:szCs w:val="21"/>
              </w:rPr>
            </w:pPr>
          </w:p>
        </w:tc>
      </w:tr>
      <w:tr w14:paraId="07AF32D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DF59E28">
            <w:pPr>
              <w:autoSpaceDE w:val="0"/>
              <w:autoSpaceDN w:val="0"/>
              <w:spacing w:line="400" w:lineRule="exact"/>
              <w:ind w:firstLine="1866"/>
              <w:rPr>
                <w:rFonts w:hint="eastAsia" w:ascii="宋体" w:hAnsi="宋体"/>
                <w:spacing w:val="-4"/>
                <w:kern w:val="0"/>
                <w:szCs w:val="21"/>
              </w:rPr>
            </w:pPr>
          </w:p>
        </w:tc>
      </w:tr>
      <w:tr w14:paraId="0C2356D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5A45738B">
            <w:pPr>
              <w:autoSpaceDE w:val="0"/>
              <w:autoSpaceDN w:val="0"/>
              <w:spacing w:line="400" w:lineRule="exact"/>
              <w:ind w:firstLine="1866"/>
              <w:rPr>
                <w:rFonts w:hint="eastAsia" w:ascii="宋体" w:hAnsi="宋体"/>
                <w:spacing w:val="-4"/>
                <w:kern w:val="0"/>
                <w:szCs w:val="21"/>
              </w:rPr>
            </w:pPr>
          </w:p>
        </w:tc>
      </w:tr>
    </w:tbl>
    <w:p w14:paraId="770A9F4C">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负责人/投标授权代表签名：</w:t>
      </w:r>
      <w:r>
        <w:rPr>
          <w:rFonts w:hint="eastAsia" w:ascii="宋体" w:hAnsi="宋体"/>
          <w:spacing w:val="-4"/>
          <w:kern w:val="0"/>
          <w:szCs w:val="21"/>
          <w:u w:val="single"/>
        </w:rPr>
        <w:t xml:space="preserve">              </w:t>
      </w:r>
    </w:p>
    <w:p w14:paraId="7334B9D3">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0AEEC70E">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19365361">
      <w:pPr>
        <w:widowControl/>
        <w:wordWrap w:val="0"/>
        <w:autoSpaceDE w:val="0"/>
        <w:autoSpaceDN w:val="0"/>
        <w:spacing w:line="400" w:lineRule="exact"/>
        <w:ind w:right="1414" w:firstLine="404" w:firstLineChars="200"/>
        <w:jc w:val="right"/>
        <w:rPr>
          <w:rFonts w:hint="eastAsia" w:ascii="宋体" w:hAnsi="宋体"/>
          <w:spacing w:val="-4"/>
          <w:kern w:val="0"/>
          <w:szCs w:val="21"/>
        </w:rPr>
      </w:pPr>
      <w:r>
        <w:rPr>
          <w:rFonts w:hint="eastAsia" w:ascii="宋体" w:hAnsi="宋体"/>
          <w:spacing w:val="-4"/>
          <w:kern w:val="0"/>
          <w:szCs w:val="21"/>
        </w:rPr>
        <w:t xml:space="preserve">     </w:t>
      </w:r>
    </w:p>
    <w:p w14:paraId="4BB117F0">
      <w:pPr>
        <w:widowControl/>
        <w:autoSpaceDE w:val="0"/>
        <w:autoSpaceDN w:val="0"/>
        <w:spacing w:line="400" w:lineRule="exact"/>
        <w:ind w:firstLine="406" w:firstLineChars="200"/>
        <w:jc w:val="left"/>
        <w:rPr>
          <w:rFonts w:hint="eastAsia" w:ascii="宋体" w:hAnsi="宋体"/>
          <w:b/>
          <w:bCs/>
          <w:color w:val="FF0000"/>
          <w:spacing w:val="-4"/>
          <w:kern w:val="0"/>
          <w:szCs w:val="21"/>
        </w:rPr>
      </w:pPr>
      <w:r>
        <w:rPr>
          <w:rFonts w:hint="eastAsia" w:ascii="宋体" w:hAnsi="宋体"/>
          <w:b/>
          <w:bCs/>
          <w:color w:val="FF0000"/>
          <w:spacing w:val="-4"/>
          <w:kern w:val="0"/>
          <w:szCs w:val="21"/>
        </w:rPr>
        <w:t>注：</w:t>
      </w:r>
    </w:p>
    <w:p w14:paraId="3CA2BA26">
      <w:pPr>
        <w:widowControl/>
        <w:autoSpaceDE w:val="0"/>
        <w:autoSpaceDN w:val="0"/>
        <w:spacing w:line="400" w:lineRule="exact"/>
        <w:ind w:firstLine="406" w:firstLineChars="200"/>
        <w:jc w:val="left"/>
        <w:rPr>
          <w:rFonts w:hint="eastAsia" w:ascii="宋体" w:hAnsi="宋体"/>
          <w:b/>
          <w:bCs/>
          <w:color w:val="FF0000"/>
          <w:spacing w:val="-4"/>
          <w:kern w:val="0"/>
          <w:szCs w:val="21"/>
        </w:rPr>
      </w:pPr>
      <w:r>
        <w:rPr>
          <w:rFonts w:hint="eastAsia" w:ascii="宋体" w:hAnsi="宋体"/>
          <w:b/>
          <w:bCs/>
          <w:color w:val="FF0000"/>
          <w:spacing w:val="-4"/>
          <w:kern w:val="0"/>
          <w:szCs w:val="21"/>
        </w:rPr>
        <w:t>1.</w:t>
      </w:r>
      <w:r>
        <w:rPr>
          <w:rFonts w:hint="eastAsia"/>
        </w:rPr>
        <w:t xml:space="preserve"> </w:t>
      </w:r>
      <w:r>
        <w:rPr>
          <w:rFonts w:hint="eastAsia" w:ascii="宋体" w:hAnsi="宋体"/>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41456C20">
      <w:pPr>
        <w:widowControl/>
        <w:autoSpaceDE w:val="0"/>
        <w:autoSpaceDN w:val="0"/>
        <w:spacing w:line="400" w:lineRule="exact"/>
        <w:ind w:firstLine="406" w:firstLineChars="200"/>
        <w:jc w:val="left"/>
        <w:rPr>
          <w:rFonts w:hint="eastAsia" w:ascii="宋体" w:hAnsi="宋体"/>
          <w:color w:val="FF0000"/>
          <w:spacing w:val="-4"/>
          <w:kern w:val="0"/>
          <w:szCs w:val="21"/>
        </w:rPr>
      </w:pPr>
      <w:r>
        <w:rPr>
          <w:rFonts w:hint="eastAsia" w:ascii="宋体" w:hAnsi="宋体"/>
          <w:b/>
          <w:bCs/>
          <w:color w:val="FF0000"/>
          <w:spacing w:val="-4"/>
          <w:kern w:val="0"/>
          <w:szCs w:val="21"/>
        </w:rPr>
        <w:t>2.投标供应商负责人或投标授权代表签字</w:t>
      </w:r>
      <w:r>
        <w:rPr>
          <w:rFonts w:hint="eastAsia" w:ascii="宋体" w:hAnsi="宋体"/>
          <w:b/>
          <w:bCs/>
          <w:color w:val="FF0000"/>
          <w:spacing w:val="-4"/>
          <w:kern w:val="0"/>
          <w:szCs w:val="21"/>
          <w:highlight w:val="yellow"/>
        </w:rPr>
        <w:t>并加盖单位公章</w:t>
      </w:r>
      <w:r>
        <w:rPr>
          <w:rFonts w:hint="eastAsia" w:ascii="宋体" w:hAnsi="宋体"/>
          <w:b/>
          <w:bCs/>
          <w:color w:val="FF0000"/>
          <w:spacing w:val="-4"/>
          <w:kern w:val="0"/>
          <w:szCs w:val="21"/>
        </w:rPr>
        <w:t>后，扫描上传至投标文件一并提交。</w:t>
      </w:r>
    </w:p>
    <w:p w14:paraId="11221C76">
      <w:pPr>
        <w:widowControl/>
        <w:spacing w:line="360" w:lineRule="auto"/>
        <w:jc w:val="left"/>
        <w:rPr>
          <w:b/>
          <w:bCs/>
          <w:kern w:val="0"/>
          <w:sz w:val="24"/>
        </w:rPr>
      </w:pPr>
    </w:p>
    <w:p w14:paraId="34A4D233">
      <w:pPr>
        <w:numPr>
          <w:ilvl w:val="0"/>
          <w:numId w:val="7"/>
        </w:numPr>
        <w:spacing w:after="78" w:afterLines="25" w:line="300" w:lineRule="auto"/>
        <w:jc w:val="center"/>
        <w:rPr>
          <w:rFonts w:hint="eastAsia" w:ascii="黑体" w:hAnsi="宋体" w:eastAsia="黑体"/>
          <w:kern w:val="0"/>
          <w:sz w:val="24"/>
          <w:szCs w:val="20"/>
        </w:rPr>
      </w:pPr>
      <w:r>
        <w:rPr>
          <w:rFonts w:hint="eastAsia" w:ascii="黑体" w:hAnsi="宋体" w:eastAsia="黑体"/>
          <w:kern w:val="0"/>
          <w:sz w:val="24"/>
          <w:szCs w:val="20"/>
        </w:rPr>
        <w:t>投标人认为需要加以说明的其他内容（格式自定）</w:t>
      </w:r>
    </w:p>
    <w:p w14:paraId="51C8F93E">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14:paraId="52742E7F">
      <w:pPr>
        <w:numPr>
          <w:numId w:val="0"/>
        </w:numPr>
        <w:spacing w:after="78" w:afterLines="25" w:line="300" w:lineRule="auto"/>
        <w:jc w:val="cente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14:paraId="7DF08D5D">
      <w:pPr>
        <w:widowControl/>
        <w:jc w:val="center"/>
        <w:rPr>
          <w:rFonts w:hint="eastAsia" w:ascii="宋体" w:hAnsi="宋体" w:eastAsia="黑体" w:cs="Times New Roman"/>
          <w:bCs/>
          <w:kern w:val="44"/>
          <w:sz w:val="28"/>
          <w:szCs w:val="44"/>
        </w:rPr>
      </w:pPr>
      <w:bookmarkStart w:id="49" w:name="_Hlk72574405"/>
      <w:r>
        <w:rPr>
          <w:rFonts w:hint="eastAsia"/>
          <w:b/>
          <w:sz w:val="24"/>
        </w:rPr>
        <w:t>（仅供参考，具体以项目需求及采购结果为准）</w:t>
      </w:r>
      <w:bookmarkEnd w:id="49"/>
    </w:p>
    <w:p w14:paraId="619062ED">
      <w:pPr>
        <w:snapToGrid w:val="0"/>
        <w:spacing w:line="300" w:lineRule="auto"/>
        <w:jc w:val="center"/>
        <w:rPr>
          <w:rFonts w:hint="eastAsia" w:ascii="仿宋" w:hAnsi="仿宋" w:eastAsia="仿宋" w:cs="Times New Roman"/>
          <w:sz w:val="28"/>
          <w:szCs w:val="28"/>
        </w:rPr>
      </w:pPr>
    </w:p>
    <w:p w14:paraId="447C378F">
      <w:pPr>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rPr>
        <w:t>政府采购货物买卖合同</w:t>
      </w:r>
    </w:p>
    <w:p w14:paraId="0DBB705E">
      <w:pPr>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rPr>
        <w:t>（试行）</w:t>
      </w:r>
    </w:p>
    <w:p w14:paraId="6D04129D">
      <w:pPr>
        <w:rPr>
          <w:rFonts w:hint="eastAsia" w:ascii="宋体" w:hAnsi="宋体" w:eastAsia="宋体" w:cs="宋体"/>
          <w:b/>
          <w:bCs/>
          <w:spacing w:val="-20"/>
          <w:kern w:val="44"/>
          <w:sz w:val="40"/>
          <w:szCs w:val="40"/>
        </w:rPr>
      </w:pPr>
    </w:p>
    <w:p w14:paraId="57FB6F95">
      <w:pPr>
        <w:rPr>
          <w:rFonts w:hint="eastAsia" w:ascii="宋体" w:hAnsi="宋体" w:eastAsia="宋体" w:cs="宋体"/>
          <w:b/>
          <w:bCs/>
          <w:spacing w:val="-20"/>
          <w:kern w:val="44"/>
          <w:sz w:val="40"/>
          <w:szCs w:val="40"/>
        </w:rPr>
      </w:pPr>
    </w:p>
    <w:p w14:paraId="6A661E07">
      <w:pPr>
        <w:rPr>
          <w:rFonts w:hint="eastAsia" w:ascii="宋体" w:hAnsi="宋体" w:eastAsia="宋体" w:cs="宋体"/>
          <w:b/>
          <w:bCs/>
          <w:spacing w:val="-20"/>
          <w:kern w:val="44"/>
          <w:sz w:val="40"/>
          <w:szCs w:val="40"/>
        </w:rPr>
      </w:pPr>
    </w:p>
    <w:p w14:paraId="3DA061A7">
      <w:pPr>
        <w:spacing w:line="360" w:lineRule="auto"/>
        <w:ind w:left="420" w:leftChars="200"/>
        <w:rPr>
          <w:rFonts w:eastAsia="宋体"/>
          <w:sz w:val="32"/>
          <w:szCs w:val="32"/>
        </w:rPr>
      </w:pPr>
      <w:r>
        <w:rPr>
          <w:rFonts w:hint="eastAsia" w:ascii="宋体" w:hAnsi="宋体" w:eastAsia="宋体" w:cs="宋体"/>
          <w:kern w:val="0"/>
          <w:sz w:val="32"/>
          <w:szCs w:val="32"/>
        </w:rPr>
        <w:t>项目名称：</w:t>
      </w:r>
      <w:r>
        <w:rPr>
          <w:rFonts w:hint="eastAsia" w:eastAsia="宋体"/>
          <w:sz w:val="32"/>
          <w:szCs w:val="32"/>
          <w:u w:val="single"/>
        </w:rPr>
        <w:t xml:space="preserve">                             </w:t>
      </w:r>
    </w:p>
    <w:p w14:paraId="759F8CD8">
      <w:pPr>
        <w:spacing w:line="360" w:lineRule="auto"/>
        <w:ind w:left="420" w:leftChars="200"/>
        <w:rPr>
          <w:rFonts w:eastAsia="宋体"/>
          <w:sz w:val="32"/>
          <w:szCs w:val="32"/>
          <w:u w:val="single"/>
        </w:rPr>
      </w:pPr>
      <w:r>
        <w:rPr>
          <w:rFonts w:hint="eastAsia" w:eastAsia="宋体"/>
          <w:sz w:val="32"/>
          <w:szCs w:val="32"/>
        </w:rPr>
        <w:t>合同编号：</w:t>
      </w:r>
      <w:r>
        <w:rPr>
          <w:rFonts w:hint="eastAsia" w:eastAsia="宋体"/>
          <w:sz w:val="32"/>
          <w:szCs w:val="32"/>
          <w:u w:val="single"/>
        </w:rPr>
        <w:t xml:space="preserve">                             </w:t>
      </w:r>
    </w:p>
    <w:p w14:paraId="48AE2E82">
      <w:pPr>
        <w:spacing w:line="360" w:lineRule="auto"/>
        <w:ind w:left="420" w:leftChars="200"/>
        <w:rPr>
          <w:rFonts w:eastAsia="宋体"/>
          <w:sz w:val="32"/>
          <w:szCs w:val="32"/>
        </w:rPr>
      </w:pPr>
      <w:r>
        <w:rPr>
          <w:rFonts w:hint="eastAsia" w:eastAsia="宋体"/>
          <w:sz w:val="32"/>
          <w:szCs w:val="32"/>
        </w:rPr>
        <w:t>甲    方：</w:t>
      </w:r>
      <w:r>
        <w:rPr>
          <w:rFonts w:hint="eastAsia" w:eastAsia="宋体"/>
          <w:sz w:val="32"/>
          <w:szCs w:val="32"/>
          <w:u w:val="single"/>
        </w:rPr>
        <w:t xml:space="preserve">                             </w:t>
      </w:r>
    </w:p>
    <w:p w14:paraId="01F51EBF">
      <w:pPr>
        <w:spacing w:line="360" w:lineRule="auto"/>
        <w:ind w:left="420" w:leftChars="200"/>
        <w:rPr>
          <w:rFonts w:eastAsia="宋体"/>
          <w:sz w:val="32"/>
          <w:szCs w:val="32"/>
          <w:u w:val="single"/>
        </w:rPr>
      </w:pPr>
      <w:r>
        <w:rPr>
          <w:rFonts w:hint="eastAsia" w:eastAsia="宋体"/>
          <w:sz w:val="32"/>
          <w:szCs w:val="32"/>
        </w:rPr>
        <w:t>乙    方：</w:t>
      </w:r>
      <w:r>
        <w:rPr>
          <w:rFonts w:hint="eastAsia" w:eastAsia="宋体"/>
          <w:sz w:val="32"/>
          <w:szCs w:val="32"/>
          <w:u w:val="single"/>
        </w:rPr>
        <w:t xml:space="preserve">                             </w:t>
      </w:r>
    </w:p>
    <w:p w14:paraId="400941CC">
      <w:pPr>
        <w:spacing w:line="360" w:lineRule="auto"/>
        <w:ind w:left="420" w:leftChars="200"/>
        <w:rPr>
          <w:rFonts w:eastAsia="宋体"/>
          <w:sz w:val="32"/>
          <w:szCs w:val="32"/>
        </w:rPr>
      </w:pPr>
      <w:r>
        <w:rPr>
          <w:rFonts w:hint="eastAsia" w:eastAsia="宋体"/>
          <w:sz w:val="32"/>
          <w:szCs w:val="32"/>
        </w:rPr>
        <w:t>签订时间：</w:t>
      </w:r>
      <w:r>
        <w:rPr>
          <w:rFonts w:hint="eastAsia" w:eastAsia="宋体"/>
          <w:sz w:val="32"/>
          <w:szCs w:val="32"/>
          <w:u w:val="single"/>
        </w:rPr>
        <w:t xml:space="preserve">      </w:t>
      </w:r>
      <w:r>
        <w:rPr>
          <w:rFonts w:eastAsia="宋体"/>
          <w:sz w:val="32"/>
          <w:szCs w:val="32"/>
          <w:u w:val="single"/>
        </w:rPr>
        <w:t xml:space="preserve">           </w:t>
      </w:r>
      <w:r>
        <w:rPr>
          <w:rFonts w:hint="eastAsia" w:eastAsia="宋体"/>
          <w:sz w:val="32"/>
          <w:szCs w:val="32"/>
          <w:u w:val="single"/>
        </w:rPr>
        <w:t xml:space="preserve">            </w:t>
      </w:r>
    </w:p>
    <w:p w14:paraId="6D38CDF0">
      <w:pPr>
        <w:rPr>
          <w:rFonts w:eastAsia="宋体"/>
        </w:rPr>
      </w:pPr>
    </w:p>
    <w:p w14:paraId="57CE5266">
      <w:pPr>
        <w:rPr>
          <w:rFonts w:eastAsia="黑体"/>
          <w:sz w:val="44"/>
          <w:szCs w:val="44"/>
        </w:rPr>
      </w:pPr>
      <w:r>
        <w:rPr>
          <w:rFonts w:eastAsia="黑体"/>
          <w:sz w:val="44"/>
          <w:szCs w:val="44"/>
        </w:rPr>
        <w:br w:type="page"/>
      </w:r>
    </w:p>
    <w:p w14:paraId="73A49BF3">
      <w:pPr>
        <w:rPr>
          <w:rFonts w:eastAsia="黑体"/>
          <w:sz w:val="44"/>
          <w:szCs w:val="44"/>
        </w:rPr>
      </w:pPr>
    </w:p>
    <w:p w14:paraId="6F23AD94">
      <w:pPr>
        <w:rPr>
          <w:rFonts w:eastAsia="黑体"/>
          <w:sz w:val="44"/>
          <w:szCs w:val="44"/>
        </w:rPr>
      </w:pPr>
    </w:p>
    <w:p w14:paraId="43DCC9B2">
      <w:pPr>
        <w:jc w:val="center"/>
        <w:rPr>
          <w:rFonts w:eastAsia="黑体"/>
          <w:sz w:val="44"/>
          <w:szCs w:val="44"/>
        </w:rPr>
      </w:pPr>
      <w:r>
        <w:rPr>
          <w:rFonts w:hint="eastAsia" w:eastAsia="黑体"/>
          <w:sz w:val="44"/>
          <w:szCs w:val="44"/>
        </w:rPr>
        <w:t>使 用 说 明</w:t>
      </w:r>
    </w:p>
    <w:p w14:paraId="62BFFF2F">
      <w:pPr>
        <w:ind w:firstLine="640" w:firstLineChars="200"/>
        <w:rPr>
          <w:rFonts w:hint="eastAsia" w:ascii="仿宋_GB2312" w:hAnsi="仿宋_GB2312" w:eastAsia="仿宋_GB2312" w:cs="仿宋_GB2312"/>
          <w:sz w:val="32"/>
          <w:szCs w:val="32"/>
        </w:rPr>
      </w:pPr>
    </w:p>
    <w:p w14:paraId="75BCB89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2825F72F">
      <w:pPr>
        <w:ind w:firstLine="640" w:firstLineChars="200"/>
        <w:rPr>
          <w:rFonts w:eastAsia="黑体"/>
          <w:sz w:val="44"/>
          <w:szCs w:val="44"/>
        </w:rPr>
      </w:pP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7D4F1C0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1D2F1A0F">
      <w:pPr>
        <w:ind w:firstLine="880" w:firstLineChars="200"/>
        <w:rPr>
          <w:rFonts w:eastAsia="黑体"/>
          <w:sz w:val="44"/>
          <w:szCs w:val="4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1F3C3B54">
      <w:pPr>
        <w:keepNext/>
        <w:keepLines/>
        <w:adjustRightInd w:val="0"/>
        <w:snapToGrid w:val="0"/>
        <w:spacing w:line="400" w:lineRule="exact"/>
        <w:jc w:val="center"/>
        <w:outlineLvl w:val="1"/>
        <w:rPr>
          <w:rFonts w:hint="eastAsia" w:ascii="黑体" w:hAnsi="华文中宋" w:eastAsia="黑体" w:cs="Times New Roman"/>
          <w:sz w:val="28"/>
          <w:szCs w:val="28"/>
        </w:rPr>
      </w:pPr>
      <w:bookmarkStart w:id="50" w:name="_Toc22209"/>
      <w:r>
        <w:rPr>
          <w:rFonts w:hint="eastAsia" w:ascii="黑体" w:hAnsi="黑体" w:eastAsia="黑体" w:cs="Times New Roman"/>
          <w:sz w:val="28"/>
          <w:szCs w:val="28"/>
        </w:rPr>
        <w:t xml:space="preserve">第一节 </w:t>
      </w:r>
      <w:r>
        <w:rPr>
          <w:rFonts w:hint="eastAsia" w:ascii="黑体" w:hAnsi="华文中宋" w:eastAsia="黑体" w:cs="Times New Roman"/>
          <w:sz w:val="28"/>
          <w:szCs w:val="28"/>
        </w:rPr>
        <w:t>政府采购合同协议书</w:t>
      </w:r>
      <w:bookmarkEnd w:id="50"/>
    </w:p>
    <w:p w14:paraId="13ACAA6F">
      <w:pPr>
        <w:adjustRightInd w:val="0"/>
        <w:snapToGrid w:val="0"/>
        <w:spacing w:line="400" w:lineRule="exact"/>
        <w:rPr>
          <w:rFonts w:hint="eastAsia" w:ascii="宋体" w:hAnsi="宋体" w:eastAsia="宋体"/>
          <w:szCs w:val="21"/>
        </w:rPr>
      </w:pPr>
      <w:r>
        <w:rPr>
          <w:rFonts w:hint="eastAsia" w:ascii="宋体" w:hAnsi="宋体" w:eastAsia="宋体"/>
          <w:szCs w:val="21"/>
        </w:rPr>
        <w:t>甲方（全称）：</w:t>
      </w:r>
      <w:r>
        <w:rPr>
          <w:rFonts w:hint="eastAsia" w:ascii="宋体" w:hAnsi="宋体" w:eastAsia="宋体"/>
          <w:szCs w:val="21"/>
          <w:u w:val="single"/>
        </w:rPr>
        <w:t xml:space="preserve">                       </w:t>
      </w:r>
      <w:r>
        <w:rPr>
          <w:rFonts w:hint="eastAsia" w:ascii="宋体" w:hAnsi="宋体" w:eastAsia="宋体"/>
          <w:szCs w:val="21"/>
        </w:rPr>
        <w:t>（采购人、受采购人委托签订合同的单位或采购</w:t>
      </w:r>
      <w:r>
        <w:rPr>
          <w:rFonts w:hint="eastAsia" w:ascii="宋体" w:hAnsi="宋体" w:eastAsia="宋体"/>
          <w:szCs w:val="21"/>
        </w:rPr>
        <w:tab/>
      </w:r>
      <w:r>
        <w:rPr>
          <w:rFonts w:hint="eastAsia" w:ascii="宋体" w:hAnsi="宋体" w:eastAsia="宋体"/>
          <w:szCs w:val="21"/>
        </w:rPr>
        <w:t xml:space="preserve">                                   文件约定的合同甲方）</w:t>
      </w:r>
    </w:p>
    <w:p w14:paraId="2D79AD6F">
      <w:pPr>
        <w:adjustRightInd w:val="0"/>
        <w:snapToGrid w:val="0"/>
        <w:spacing w:line="400" w:lineRule="exact"/>
        <w:rPr>
          <w:rFonts w:hint="eastAsia" w:ascii="宋体" w:hAnsi="宋体" w:eastAsia="宋体"/>
          <w:szCs w:val="21"/>
        </w:rPr>
      </w:pPr>
      <w:r>
        <w:rPr>
          <w:rFonts w:hint="eastAsia" w:ascii="宋体" w:hAnsi="宋体" w:eastAsia="宋体"/>
          <w:szCs w:val="21"/>
        </w:rPr>
        <w:t>乙方1（全称）：</w:t>
      </w:r>
      <w:r>
        <w:rPr>
          <w:rFonts w:hint="eastAsia" w:ascii="宋体" w:hAnsi="宋体" w:eastAsia="宋体"/>
          <w:szCs w:val="21"/>
          <w:u w:val="single"/>
        </w:rPr>
        <w:t xml:space="preserve">                       </w:t>
      </w:r>
      <w:r>
        <w:rPr>
          <w:rFonts w:hint="eastAsia" w:ascii="宋体" w:hAnsi="宋体" w:eastAsia="宋体"/>
          <w:szCs w:val="21"/>
        </w:rPr>
        <w:t>（供应商）</w:t>
      </w:r>
    </w:p>
    <w:p w14:paraId="182375FF">
      <w:pPr>
        <w:adjustRightInd w:val="0"/>
        <w:snapToGrid w:val="0"/>
        <w:spacing w:line="400" w:lineRule="exact"/>
        <w:rPr>
          <w:rFonts w:hint="eastAsia" w:ascii="宋体" w:hAnsi="宋体" w:eastAsia="宋体"/>
          <w:szCs w:val="21"/>
        </w:rPr>
      </w:pPr>
      <w:r>
        <w:rPr>
          <w:rFonts w:hint="eastAsia" w:ascii="宋体" w:hAnsi="宋体" w:eastAsia="宋体"/>
          <w:szCs w:val="21"/>
        </w:rPr>
        <w:t>乙方2（全称）：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14:paraId="4D77E192">
      <w:pPr>
        <w:adjustRightInd w:val="0"/>
        <w:snapToGrid w:val="0"/>
        <w:spacing w:line="400" w:lineRule="exact"/>
        <w:rPr>
          <w:rFonts w:hint="eastAsia" w:ascii="宋体" w:hAnsi="宋体" w:eastAsia="宋体"/>
          <w:szCs w:val="21"/>
        </w:rPr>
      </w:pPr>
      <w:r>
        <w:rPr>
          <w:rFonts w:hint="eastAsia" w:eastAsia="宋体"/>
        </w:rPr>
        <w:t>乙方</w:t>
      </w:r>
      <w:r>
        <w:rPr>
          <w:rFonts w:hint="eastAsia" w:ascii="宋体" w:hAnsi="宋体" w:eastAsia="宋体"/>
          <w:szCs w:val="21"/>
        </w:rPr>
        <w:t>3</w:t>
      </w:r>
      <w:r>
        <w:rPr>
          <w:rFonts w:hint="eastAsia" w:eastAsia="宋体"/>
        </w:rPr>
        <w:t>（全称）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14:paraId="1B4733D8">
      <w:pPr>
        <w:spacing w:line="400" w:lineRule="exact"/>
        <w:rPr>
          <w:rFonts w:eastAsia="宋体"/>
        </w:rPr>
      </w:pPr>
    </w:p>
    <w:p w14:paraId="29CD4215">
      <w:pPr>
        <w:adjustRightInd w:val="0"/>
        <w:snapToGrid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 xml:space="preserve">依据《中华人民共和国民法典》《中华人民共和国政府采购法》《深圳经济特区政府采购条例》等有关的法律法规，以及本采购项目的招标文件等采购文件、乙方的《投标（响应）文件》及《中标（成交）通知书》，甲乙双方同意签订本合同。具体情况及要求如下：     </w:t>
      </w:r>
    </w:p>
    <w:p w14:paraId="1298ECD9">
      <w:pPr>
        <w:numPr>
          <w:ilvl w:val="0"/>
          <w:numId w:val="8"/>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项目信息</w:t>
      </w:r>
    </w:p>
    <w:p w14:paraId="7213D5BC">
      <w:pPr>
        <w:numPr>
          <w:ilvl w:val="0"/>
          <w:numId w:val="9"/>
        </w:numPr>
        <w:adjustRightInd w:val="0"/>
        <w:snapToGrid w:val="0"/>
        <w:spacing w:line="400" w:lineRule="exact"/>
        <w:ind w:firstLine="420" w:firstLineChars="200"/>
        <w:rPr>
          <w:rFonts w:hint="eastAsia" w:ascii="宋体" w:hAnsi="宋体" w:eastAsia="宋体" w:cs="Times New Roman"/>
          <w:szCs w:val="21"/>
          <w:u w:val="single"/>
        </w:rPr>
      </w:pPr>
      <w:r>
        <w:rPr>
          <w:rFonts w:hint="eastAsia" w:ascii="宋体" w:hAnsi="宋体" w:eastAsia="宋体" w:cs="Times New Roman"/>
          <w:szCs w:val="21"/>
        </w:rPr>
        <w:t>采购项目名称：</w:t>
      </w:r>
      <w:r>
        <w:rPr>
          <w:rFonts w:hint="eastAsia" w:ascii="宋体" w:hAnsi="宋体" w:eastAsia="宋体"/>
          <w:szCs w:val="21"/>
          <w:u w:val="single"/>
        </w:rPr>
        <w:t xml:space="preserve">                                            </w:t>
      </w:r>
    </w:p>
    <w:p w14:paraId="032FF53B">
      <w:pPr>
        <w:numPr>
          <w:ilvl w:val="255"/>
          <w:numId w:val="0"/>
        </w:numPr>
        <w:tabs>
          <w:tab w:val="left" w:pos="999"/>
        </w:tabs>
        <w:adjustRightInd w:val="0"/>
        <w:snapToGrid w:val="0"/>
        <w:spacing w:line="400" w:lineRule="exact"/>
        <w:rPr>
          <w:rFonts w:hint="eastAsia" w:ascii="宋体" w:hAnsi="宋体" w:eastAsia="宋体" w:cs="Times New Roman"/>
          <w:szCs w:val="21"/>
        </w:rPr>
      </w:pPr>
      <w:r>
        <w:rPr>
          <w:rFonts w:hint="eastAsia" w:ascii="宋体" w:hAnsi="宋体" w:eastAsia="宋体" w:cs="Times New Roman"/>
          <w:szCs w:val="21"/>
        </w:rPr>
        <w:t xml:space="preserve">         采购项目编号：</w:t>
      </w:r>
      <w:r>
        <w:rPr>
          <w:rFonts w:ascii="宋体" w:hAnsi="宋体" w:eastAsia="宋体" w:cs="Times New Roman"/>
          <w:szCs w:val="21"/>
          <w:u w:val="single"/>
        </w:rPr>
        <w:t xml:space="preserve">                                          </w:t>
      </w:r>
    </w:p>
    <w:p w14:paraId="7D00EE31">
      <w:pPr>
        <w:adjustRightInd w:val="0"/>
        <w:snapToGrid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（2）采购计划编号：</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 xml:space="preserve"> </w:t>
      </w:r>
    </w:p>
    <w:p w14:paraId="6461A0E0">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（3）项目内容：</w:t>
      </w:r>
    </w:p>
    <w:p w14:paraId="31E23EBB">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 xml:space="preserve">     采购标的及数量（台/套</w:t>
      </w:r>
      <w:r>
        <w:rPr>
          <w:rFonts w:ascii="宋体" w:hAnsi="宋体" w:eastAsia="宋体"/>
          <w:szCs w:val="21"/>
          <w:lang w:val="en"/>
        </w:rPr>
        <w:t>/</w:t>
      </w:r>
      <w:r>
        <w:rPr>
          <w:rFonts w:hint="eastAsia" w:ascii="宋体" w:hAnsi="宋体" w:eastAsia="宋体"/>
          <w:szCs w:val="21"/>
          <w:lang w:val="en"/>
        </w:rPr>
        <w:t>个</w:t>
      </w:r>
      <w:r>
        <w:rPr>
          <w:rFonts w:ascii="宋体" w:hAnsi="宋体" w:eastAsia="宋体"/>
          <w:szCs w:val="21"/>
          <w:lang w:val="en"/>
        </w:rPr>
        <w:t>/</w:t>
      </w:r>
      <w:r>
        <w:rPr>
          <w:rFonts w:hint="eastAsia" w:ascii="宋体" w:hAnsi="宋体" w:eastAsia="宋体"/>
          <w:szCs w:val="21"/>
          <w:lang w:val="en"/>
        </w:rPr>
        <w:t>架</w:t>
      </w:r>
      <w:r>
        <w:rPr>
          <w:rFonts w:ascii="宋体" w:hAnsi="宋体" w:eastAsia="宋体"/>
          <w:szCs w:val="21"/>
          <w:lang w:val="en"/>
        </w:rPr>
        <w:t>/</w:t>
      </w:r>
      <w:r>
        <w:rPr>
          <w:rFonts w:hint="eastAsia" w:ascii="宋体" w:hAnsi="宋体" w:eastAsia="宋体"/>
          <w:szCs w:val="21"/>
          <w:lang w:val="en"/>
        </w:rPr>
        <w:t>组等</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 xml:space="preserve">            </w:t>
      </w:r>
      <w:r>
        <w:rPr>
          <w:rFonts w:hint="eastAsia" w:ascii="宋体" w:hAnsi="宋体" w:eastAsia="宋体"/>
          <w:szCs w:val="21"/>
          <w:u w:val="single"/>
        </w:rPr>
        <w:t xml:space="preserve">                  </w:t>
      </w:r>
      <w:r>
        <w:rPr>
          <w:rFonts w:hint="eastAsia" w:ascii="宋体" w:hAnsi="宋体" w:eastAsia="宋体"/>
          <w:szCs w:val="21"/>
        </w:rPr>
        <w:t xml:space="preserve"> </w:t>
      </w:r>
    </w:p>
    <w:p w14:paraId="3B2BE480">
      <w:pPr>
        <w:numPr>
          <w:ilvl w:val="255"/>
          <w:numId w:val="0"/>
        </w:numPr>
        <w:adjustRightInd w:val="0"/>
        <w:snapToGrid w:val="0"/>
        <w:spacing w:line="400" w:lineRule="exact"/>
        <w:ind w:firstLine="420" w:firstLineChars="200"/>
        <w:rPr>
          <w:rFonts w:hint="eastAsia" w:ascii="宋体" w:hAnsi="宋体" w:eastAsia="宋体" w:cs="宋体"/>
          <w:szCs w:val="21"/>
          <w:lang w:val="en"/>
        </w:rPr>
      </w:pPr>
      <w:r>
        <w:rPr>
          <w:rFonts w:hint="eastAsia" w:ascii="宋体" w:hAnsi="宋体" w:eastAsia="宋体"/>
          <w:szCs w:val="21"/>
        </w:rPr>
        <w:t xml:space="preserve">     </w:t>
      </w:r>
      <w:r>
        <w:rPr>
          <w:rFonts w:hint="eastAsia" w:ascii="宋体" w:hAnsi="宋体" w:eastAsia="宋体" w:cs="宋体"/>
          <w:szCs w:val="21"/>
        </w:rPr>
        <w:t>品牌：</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lang w:val="en"/>
        </w:rPr>
        <w:t xml:space="preserve">     </w:t>
      </w:r>
      <w:r>
        <w:rPr>
          <w:rFonts w:hint="eastAsia" w:ascii="宋体" w:hAnsi="宋体" w:eastAsia="宋体" w:cs="宋体"/>
          <w:szCs w:val="21"/>
        </w:rPr>
        <w:t>规格型号：</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p>
    <w:p w14:paraId="79957D28">
      <w:pPr>
        <w:adjustRightInd w:val="0"/>
        <w:snapToGrid w:val="0"/>
        <w:spacing w:line="400" w:lineRule="exact"/>
        <w:ind w:firstLine="945" w:firstLineChars="450"/>
        <w:rPr>
          <w:rFonts w:hint="eastAsia" w:ascii="宋体" w:hAnsi="宋体" w:eastAsia="宋体"/>
          <w:szCs w:val="21"/>
          <w:u w:val="single"/>
        </w:rPr>
      </w:pPr>
      <w:r>
        <w:rPr>
          <w:rFonts w:hint="eastAsia" w:ascii="宋体" w:hAnsi="宋体" w:eastAsia="宋体"/>
          <w:szCs w:val="21"/>
        </w:rPr>
        <w:t>采购标的的技术要求、商务要求具体见附件。</w:t>
      </w:r>
    </w:p>
    <w:p w14:paraId="53CF93BF">
      <w:pPr>
        <w:numPr>
          <w:ilvl w:val="255"/>
          <w:numId w:val="0"/>
        </w:numPr>
        <w:adjustRightInd w:val="0"/>
        <w:snapToGrid w:val="0"/>
        <w:spacing w:line="400" w:lineRule="exact"/>
        <w:ind w:firstLine="945" w:firstLineChars="450"/>
        <w:rPr>
          <w:rFonts w:hint="eastAsia" w:ascii="宋体" w:hAnsi="宋体" w:eastAsia="宋体" w:cs="宋体"/>
          <w:szCs w:val="21"/>
        </w:rPr>
      </w:pPr>
      <w:r>
        <w:rPr>
          <w:rFonts w:hint="eastAsia" w:ascii="汉仪书宋二S" w:hAnsi="汉仪书宋二S" w:eastAsia="汉仪书宋二S" w:cs="汉仪书宋二S"/>
          <w:szCs w:val="21"/>
        </w:rPr>
        <w:t>①</w:t>
      </w:r>
      <w:r>
        <w:rPr>
          <w:rFonts w:hint="eastAsia" w:ascii="宋体" w:hAnsi="宋体" w:eastAsia="宋体" w:cs="宋体"/>
          <w:szCs w:val="21"/>
        </w:rPr>
        <w:t>涉及信息类产品，请填写该产品关键部件的品牌、型号：</w:t>
      </w:r>
    </w:p>
    <w:p w14:paraId="776D04CB">
      <w:pPr>
        <w:numPr>
          <w:ilvl w:val="255"/>
          <w:numId w:val="0"/>
        </w:numPr>
        <w:adjustRightInd w:val="0"/>
        <w:snapToGrid w:val="0"/>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szCs w:val="21"/>
        </w:rPr>
        <w:t xml:space="preserve">     标的名称：</w:t>
      </w:r>
      <w:r>
        <w:rPr>
          <w:rFonts w:hint="eastAsia" w:ascii="宋体" w:hAnsi="宋体" w:eastAsia="宋体" w:cs="宋体"/>
          <w:kern w:val="0"/>
          <w:szCs w:val="21"/>
          <w:u w:val="single"/>
        </w:rPr>
        <w:t xml:space="preserve">      </w:t>
      </w:r>
      <w:r>
        <w:rPr>
          <w:rFonts w:ascii="宋体" w:hAnsi="宋体" w:eastAsia="宋体" w:cs="宋体"/>
          <w:kern w:val="0"/>
          <w:szCs w:val="21"/>
          <w:u w:val="single"/>
          <w:lang w:val="en"/>
        </w:rPr>
        <w:t xml:space="preserve">               </w:t>
      </w:r>
      <w:r>
        <w:rPr>
          <w:rFonts w:hint="eastAsia" w:ascii="宋体" w:hAnsi="宋体" w:eastAsia="宋体" w:cs="宋体"/>
          <w:kern w:val="0"/>
          <w:szCs w:val="21"/>
          <w:u w:val="single"/>
        </w:rPr>
        <w:t xml:space="preserve">    </w:t>
      </w:r>
    </w:p>
    <w:p w14:paraId="6B5535C1">
      <w:pPr>
        <w:numPr>
          <w:ilvl w:val="255"/>
          <w:numId w:val="0"/>
        </w:num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r>
        <w:rPr>
          <w:rFonts w:hint="eastAsia" w:ascii="宋体" w:hAnsi="宋体" w:eastAsia="宋体" w:cs="宋体"/>
          <w:szCs w:val="21"/>
        </w:rPr>
        <w:t>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0E2A855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3D3F41EE">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p>
    <w:p w14:paraId="28013895">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（注：关键部件是指财政部会同有关部门发布的政府采购需求标准规定的需要通过国家有关部门指定的测评机构开展的安全可靠测评的软硬件，如CPU芯片、操作系统、数据库等。）</w:t>
      </w:r>
    </w:p>
    <w:p w14:paraId="7712AFAF">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汉仪书宋二S" w:hAnsi="汉仪书宋二S" w:eastAsia="汉仪书宋二S" w:cs="汉仪书宋二S"/>
          <w:szCs w:val="21"/>
        </w:rPr>
        <w:t>②</w:t>
      </w:r>
      <w:r>
        <w:rPr>
          <w:rFonts w:hint="eastAsia" w:ascii="宋体" w:hAnsi="宋体" w:eastAsia="宋体" w:cs="宋体"/>
          <w:szCs w:val="21"/>
        </w:rPr>
        <w:t>涉及车辆采购，请填写是否属于新能源汽车：</w:t>
      </w:r>
    </w:p>
    <w:p w14:paraId="6A67A4E6">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是，《政府采购品目分类目录》底级品目名称：</w:t>
      </w:r>
      <w:r>
        <w:rPr>
          <w:rFonts w:hint="eastAsia" w:ascii="宋体" w:hAnsi="宋体" w:eastAsia="宋体" w:cs="宋体"/>
          <w:szCs w:val="21"/>
          <w:u w:val="single"/>
        </w:rPr>
        <w:t xml:space="preserve">     </w:t>
      </w:r>
      <w:r>
        <w:rPr>
          <w:rFonts w:hint="eastAsia" w:ascii="宋体" w:hAnsi="宋体" w:eastAsia="宋体" w:cs="宋体"/>
          <w:szCs w:val="21"/>
        </w:rPr>
        <w:t xml:space="preserve"> 数量：</w:t>
      </w:r>
      <w:r>
        <w:rPr>
          <w:rFonts w:hint="eastAsia" w:ascii="宋体" w:hAnsi="宋体" w:eastAsia="宋体" w:cs="宋体"/>
          <w:szCs w:val="21"/>
          <w:u w:val="single"/>
        </w:rPr>
        <w:t xml:space="preserve">    </w:t>
      </w:r>
      <w:r>
        <w:rPr>
          <w:rFonts w:hint="eastAsia" w:ascii="宋体" w:hAnsi="宋体" w:eastAsia="宋体" w:cs="宋体"/>
          <w:szCs w:val="21"/>
        </w:rPr>
        <w:t xml:space="preserve"> 金额：</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0434DBEF">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否</w:t>
      </w:r>
    </w:p>
    <w:p w14:paraId="48A93BF5">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lang w:val="en"/>
        </w:rPr>
        <w:t>4</w:t>
      </w:r>
      <w:r>
        <w:rPr>
          <w:rFonts w:hint="eastAsia" w:ascii="宋体" w:hAnsi="宋体" w:eastAsia="宋体" w:cs="宋体"/>
          <w:szCs w:val="21"/>
        </w:rPr>
        <w:t>）政府采购组织形式：</w:t>
      </w:r>
      <w:r>
        <w:rPr>
          <w:rFonts w:hint="eastAsia" w:ascii="宋体" w:hAnsi="宋体" w:eastAsia="宋体" w:cs="宋体"/>
          <w:szCs w:val="21"/>
        </w:rPr>
        <w:sym w:font="Wingdings" w:char="00A8"/>
      </w:r>
      <w:r>
        <w:rPr>
          <w:rFonts w:hint="eastAsia" w:ascii="宋体" w:hAnsi="宋体" w:eastAsia="宋体" w:cs="宋体"/>
          <w:szCs w:val="21"/>
        </w:rPr>
        <w:t xml:space="preserve">集中采购    </w:t>
      </w:r>
      <w:r>
        <w:rPr>
          <w:rFonts w:hint="eastAsia" w:ascii="宋体" w:hAnsi="宋体" w:eastAsia="宋体" w:cs="宋体"/>
          <w:szCs w:val="21"/>
        </w:rPr>
        <w:sym w:font="Wingdings" w:char="00A8"/>
      </w:r>
      <w:r>
        <w:rPr>
          <w:rFonts w:hint="eastAsia" w:ascii="宋体" w:hAnsi="宋体" w:eastAsia="宋体" w:cs="宋体"/>
          <w:szCs w:val="21"/>
        </w:rPr>
        <w:t>自行采购</w:t>
      </w:r>
    </w:p>
    <w:p w14:paraId="0334509A">
      <w:pPr>
        <w:numPr>
          <w:ilvl w:val="255"/>
          <w:numId w:val="0"/>
        </w:numPr>
        <w:autoSpaceDE w:val="0"/>
        <w:autoSpaceDN w:val="0"/>
        <w:adjustRightInd w:val="0"/>
        <w:snapToGrid w:val="0"/>
        <w:spacing w:line="400" w:lineRule="exact"/>
        <w:ind w:left="210" w:leftChars="100" w:firstLine="210" w:firstLineChars="100"/>
        <w:rPr>
          <w:rFonts w:hint="eastAsia" w:ascii="宋体" w:hAnsi="宋体" w:eastAsia="宋体" w:cs="宋体"/>
          <w:szCs w:val="21"/>
          <w:u w:val="single"/>
        </w:rPr>
      </w:pPr>
      <w:r>
        <w:rPr>
          <w:rFonts w:hint="eastAsia" w:ascii="宋体" w:hAnsi="宋体" w:eastAsia="宋体" w:cs="宋体"/>
          <w:szCs w:val="21"/>
        </w:rPr>
        <w:t>（</w:t>
      </w:r>
      <w:r>
        <w:rPr>
          <w:rFonts w:ascii="宋体" w:hAnsi="宋体" w:eastAsia="宋体" w:cs="宋体"/>
          <w:szCs w:val="21"/>
          <w:lang w:val="en"/>
        </w:rPr>
        <w:t>5</w:t>
      </w:r>
      <w:r>
        <w:rPr>
          <w:rFonts w:hint="eastAsia" w:ascii="宋体" w:hAnsi="宋体" w:eastAsia="宋体" w:cs="宋体"/>
          <w:szCs w:val="21"/>
        </w:rPr>
        <w:t>）政府采购方式：</w:t>
      </w:r>
      <w:r>
        <w:rPr>
          <w:rFonts w:hint="eastAsia" w:ascii="宋体" w:hAnsi="宋体" w:eastAsia="宋体" w:cs="宋体"/>
          <w:szCs w:val="21"/>
        </w:rPr>
        <w:sym w:font="Wingdings" w:char="00A8"/>
      </w:r>
      <w:r>
        <w:rPr>
          <w:rFonts w:hint="eastAsia" w:ascii="宋体" w:hAnsi="宋体" w:eastAsia="宋体" w:cs="宋体"/>
          <w:szCs w:val="21"/>
        </w:rPr>
        <w:t xml:space="preserve">公开招标  </w:t>
      </w:r>
      <w:r>
        <w:rPr>
          <w:rFonts w:hint="eastAsia" w:ascii="宋体" w:hAnsi="宋体" w:eastAsia="宋体" w:cs="宋体"/>
          <w:szCs w:val="21"/>
        </w:rPr>
        <w:sym w:font="Wingdings" w:char="00A8"/>
      </w:r>
      <w:r>
        <w:rPr>
          <w:rFonts w:hint="eastAsia" w:ascii="宋体" w:hAnsi="宋体" w:eastAsia="宋体" w:cs="宋体"/>
          <w:szCs w:val="21"/>
        </w:rPr>
        <w:t>竞争性谈判</w:t>
      </w:r>
      <w:r>
        <w:rPr>
          <w:rFonts w:hint="eastAsia" w:ascii="宋体" w:hAnsi="宋体" w:eastAsia="华文楷体" w:cs="宋体"/>
          <w:sz w:val="22"/>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 xml:space="preserve">单一来源  </w:t>
      </w:r>
      <w:r>
        <w:rPr>
          <w:rFonts w:hint="eastAsia" w:ascii="宋体" w:hAnsi="宋体" w:eastAsia="宋体" w:cs="宋体"/>
          <w:szCs w:val="21"/>
        </w:rPr>
        <w:sym w:font="Wingdings" w:char="00A8"/>
      </w:r>
      <w:r>
        <w:rPr>
          <w:rFonts w:hint="eastAsia" w:ascii="宋体" w:hAnsi="宋体" w:eastAsia="宋体" w:cs="宋体"/>
          <w:szCs w:val="21"/>
        </w:rPr>
        <w:t xml:space="preserve">竞价  </w:t>
      </w:r>
      <w:r>
        <w:rPr>
          <w:rFonts w:hint="eastAsia" w:ascii="宋体" w:hAnsi="宋体" w:eastAsia="宋体" w:cs="宋体"/>
          <w:szCs w:val="21"/>
        </w:rPr>
        <w:sym w:font="Wingdings" w:char="00A8"/>
      </w:r>
      <w:r>
        <w:rPr>
          <w:rFonts w:hint="eastAsia" w:ascii="宋体" w:hAnsi="宋体" w:eastAsia="宋体" w:cs="宋体"/>
          <w:szCs w:val="21"/>
        </w:rPr>
        <w:t xml:space="preserve">框架协议 </w:t>
      </w:r>
      <w:r>
        <w:rPr>
          <w:rFonts w:hint="eastAsia" w:ascii="宋体" w:hAnsi="宋体" w:eastAsia="宋体" w:cs="宋体"/>
          <w:szCs w:val="21"/>
        </w:rPr>
        <w:sym w:font="Wingdings" w:char="00A8"/>
      </w:r>
      <w:r>
        <w:rPr>
          <w:rFonts w:hint="eastAsia" w:ascii="宋体" w:hAnsi="宋体" w:eastAsia="宋体" w:cs="宋体"/>
          <w:szCs w:val="21"/>
        </w:rPr>
        <w:t>其他：</w:t>
      </w:r>
      <w:r>
        <w:rPr>
          <w:rFonts w:hint="eastAsia" w:ascii="宋体" w:hAnsi="宋体" w:eastAsia="宋体" w:cs="宋体"/>
          <w:szCs w:val="21"/>
          <w:u w:val="single"/>
        </w:rPr>
        <w:t xml:space="preserve">          </w:t>
      </w:r>
    </w:p>
    <w:p w14:paraId="42B87374">
      <w:pPr>
        <w:numPr>
          <w:ilvl w:val="255"/>
          <w:numId w:val="0"/>
        </w:numPr>
        <w:autoSpaceDE w:val="0"/>
        <w:autoSpaceDN w:val="0"/>
        <w:adjustRightInd w:val="0"/>
        <w:snapToGrid w:val="0"/>
        <w:spacing w:line="400" w:lineRule="exact"/>
        <w:ind w:firstLine="420"/>
        <w:rPr>
          <w:rFonts w:hint="eastAsia" w:ascii="宋体" w:hAnsi="宋体" w:eastAsia="宋体" w:cs="宋体"/>
          <w:szCs w:val="21"/>
        </w:rPr>
      </w:pPr>
      <w:r>
        <w:rPr>
          <w:rFonts w:hint="eastAsia" w:ascii="宋体" w:hAnsi="宋体" w:eastAsia="宋体" w:cs="宋体"/>
          <w:szCs w:val="21"/>
        </w:rPr>
        <w:t>（注：在框架协议采购的第二阶段，可选择使用该合同文本）</w:t>
      </w:r>
    </w:p>
    <w:p w14:paraId="6BD12077">
      <w:pPr>
        <w:numPr>
          <w:ilvl w:val="255"/>
          <w:numId w:val="0"/>
        </w:numPr>
        <w:autoSpaceDE w:val="0"/>
        <w:autoSpaceDN w:val="0"/>
        <w:adjustRightInd w:val="0"/>
        <w:snapToGrid w:val="0"/>
        <w:spacing w:line="400" w:lineRule="exact"/>
        <w:ind w:firstLine="220" w:firstLineChars="100"/>
        <w:rPr>
          <w:rFonts w:hint="eastAsia" w:ascii="宋体" w:hAnsi="宋体" w:eastAsia="宋体" w:cs="Times New Roman"/>
          <w:szCs w:val="21"/>
        </w:rPr>
      </w:pPr>
      <w:r>
        <w:rPr>
          <w:rFonts w:hint="eastAsia" w:ascii="宋体" w:hAnsi="宋体" w:eastAsia="华文楷体" w:cs="华文楷体"/>
          <w:sz w:val="22"/>
          <w:szCs w:val="21"/>
        </w:rPr>
        <w:t xml:space="preserve"> （</w:t>
      </w:r>
      <w:r>
        <w:rPr>
          <w:rFonts w:ascii="宋体" w:hAnsi="宋体" w:eastAsia="华文楷体" w:cs="华文楷体"/>
          <w:sz w:val="22"/>
          <w:szCs w:val="21"/>
          <w:lang w:val="en"/>
        </w:rPr>
        <w:t>6</w:t>
      </w:r>
      <w:r>
        <w:rPr>
          <w:rFonts w:hint="eastAsia" w:ascii="宋体" w:hAnsi="宋体" w:eastAsia="华文楷体" w:cs="华文楷体"/>
          <w:sz w:val="22"/>
          <w:szCs w:val="21"/>
        </w:rPr>
        <w:t>）</w:t>
      </w:r>
      <w:r>
        <w:rPr>
          <w:rFonts w:hint="eastAsia" w:ascii="宋体" w:hAnsi="宋体" w:eastAsia="宋体" w:cs="Times New Roman"/>
          <w:szCs w:val="21"/>
        </w:rPr>
        <w:t>中标（成交）采购标的制造商是否为中小企业：</w:t>
      </w:r>
      <w:r>
        <w:rPr>
          <w:rFonts w:hint="eastAsia" w:ascii="宋体" w:hAnsi="宋体" w:eastAsia="宋体" w:cs="Times New Roman"/>
          <w:szCs w:val="21"/>
        </w:rPr>
        <w:sym w:font="Wingdings" w:char="00A8"/>
      </w:r>
      <w:r>
        <w:rPr>
          <w:rFonts w:hint="eastAsia" w:ascii="宋体" w:hAnsi="宋体" w:eastAsia="宋体" w:cs="Times New Roman"/>
          <w:szCs w:val="21"/>
        </w:rPr>
        <w:t xml:space="preserve">是      </w:t>
      </w:r>
      <w:r>
        <w:rPr>
          <w:rFonts w:hint="eastAsia" w:ascii="宋体" w:hAnsi="宋体" w:eastAsia="宋体" w:cs="Times New Roman"/>
          <w:szCs w:val="21"/>
        </w:rPr>
        <w:sym w:font="Wingdings" w:char="00A8"/>
      </w:r>
      <w:r>
        <w:rPr>
          <w:rFonts w:hint="eastAsia" w:ascii="宋体" w:hAnsi="宋体" w:eastAsia="宋体" w:cs="Times New Roman"/>
          <w:szCs w:val="21"/>
        </w:rPr>
        <w:t>否</w:t>
      </w:r>
    </w:p>
    <w:p w14:paraId="7D498DA4">
      <w:pPr>
        <w:numPr>
          <w:ilvl w:val="255"/>
          <w:numId w:val="0"/>
        </w:numPr>
        <w:adjustRightInd w:val="0"/>
        <w:snapToGrid w:val="0"/>
        <w:spacing w:line="400" w:lineRule="exact"/>
        <w:rPr>
          <w:rFonts w:hint="eastAsia" w:ascii="宋体" w:hAnsi="宋体" w:eastAsia="宋体"/>
          <w:iCs/>
          <w:szCs w:val="21"/>
        </w:rPr>
      </w:pPr>
      <w:r>
        <w:rPr>
          <w:rFonts w:hint="eastAsia" w:ascii="宋体" w:hAnsi="宋体" w:eastAsia="宋体"/>
          <w:szCs w:val="21"/>
        </w:rPr>
        <w:t xml:space="preserve">         本合同是否为专门面向中小企业的采购合同（中小企业预留合同）：</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0832A091">
      <w:pPr>
        <w:numPr>
          <w:ilvl w:val="255"/>
          <w:numId w:val="0"/>
        </w:numPr>
        <w:adjustRightInd w:val="0"/>
        <w:snapToGrid w:val="0"/>
        <w:spacing w:line="400" w:lineRule="exact"/>
        <w:rPr>
          <w:rFonts w:hint="eastAsia" w:ascii="宋体" w:hAnsi="宋体" w:eastAsia="宋体"/>
          <w:iCs/>
          <w:szCs w:val="21"/>
        </w:rPr>
      </w:pPr>
      <w:r>
        <w:rPr>
          <w:rFonts w:hint="eastAsia" w:eastAsia="宋体"/>
        </w:rPr>
        <w:t xml:space="preserve">         若本项目不专门面向中小企业采购，是否给予小微企业评审优惠：</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1AF4177F">
      <w:pPr>
        <w:numPr>
          <w:ilvl w:val="255"/>
          <w:numId w:val="0"/>
        </w:numPr>
        <w:adjustRightInd w:val="0"/>
        <w:snapToGrid w:val="0"/>
        <w:spacing w:line="400" w:lineRule="exact"/>
        <w:rPr>
          <w:rFonts w:hint="eastAsia" w:ascii="宋体" w:hAnsi="宋体" w:eastAsia="宋体"/>
          <w:iCs/>
          <w:szCs w:val="21"/>
        </w:rPr>
      </w:pPr>
      <w:r>
        <w:rPr>
          <w:rFonts w:hint="eastAsia" w:eastAsia="宋体"/>
        </w:rPr>
        <w:t xml:space="preserve">         中标（成交）采购标的制造商是否为残疾人福利性单位：</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6C2C8686">
      <w:pPr>
        <w:snapToGrid w:val="0"/>
        <w:spacing w:line="400" w:lineRule="exact"/>
        <w:rPr>
          <w:rFonts w:eastAsia="宋体"/>
        </w:rPr>
      </w:pPr>
      <w:r>
        <w:rPr>
          <w:rFonts w:hint="eastAsia" w:eastAsia="宋体"/>
        </w:rPr>
        <w:t xml:space="preserve">         中标（成交）采购标的制造商是否为监狱企业：</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2ACF0C6A">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w:t>
      </w:r>
      <w:r>
        <w:rPr>
          <w:rFonts w:ascii="宋体" w:hAnsi="宋体" w:eastAsia="宋体"/>
          <w:szCs w:val="21"/>
          <w:lang w:val="en"/>
        </w:rPr>
        <w:t>7</w:t>
      </w:r>
      <w:r>
        <w:rPr>
          <w:rFonts w:hint="eastAsia" w:ascii="宋体" w:hAnsi="宋体" w:eastAsia="宋体"/>
          <w:szCs w:val="21"/>
        </w:rPr>
        <w:t>）合同是否分包：</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518CDC5A">
      <w:pPr>
        <w:adjustRightInd w:val="0"/>
        <w:snapToGrid w:val="0"/>
        <w:spacing w:line="400" w:lineRule="exact"/>
        <w:ind w:firstLine="840" w:firstLineChars="400"/>
        <w:rPr>
          <w:rFonts w:hint="eastAsia" w:ascii="宋体" w:hAnsi="宋体" w:eastAsia="宋体"/>
          <w:szCs w:val="21"/>
          <w:u w:val="single"/>
        </w:rPr>
      </w:pPr>
      <w:r>
        <w:rPr>
          <w:rFonts w:hint="eastAsia" w:ascii="宋体" w:hAnsi="宋体" w:eastAsia="宋体"/>
          <w:szCs w:val="21"/>
        </w:rPr>
        <w:t xml:space="preserve"> 分包主要内容：</w:t>
      </w:r>
      <w:r>
        <w:rPr>
          <w:rFonts w:hint="eastAsia" w:ascii="宋体" w:hAnsi="宋体" w:eastAsia="宋体"/>
          <w:szCs w:val="21"/>
          <w:u w:val="single"/>
        </w:rPr>
        <w:t xml:space="preserve">                                            </w:t>
      </w:r>
    </w:p>
    <w:p w14:paraId="01513D2F">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分包供应商/制造商名称（如供应商和制造商不同，请分别填写）：</w:t>
      </w:r>
    </w:p>
    <w:p w14:paraId="0F73B8A0">
      <w:pPr>
        <w:adjustRightInd w:val="0"/>
        <w:snapToGrid w:val="0"/>
        <w:spacing w:line="400" w:lineRule="exact"/>
        <w:ind w:firstLine="840" w:firstLineChars="400"/>
        <w:rPr>
          <w:rFonts w:hint="eastAsia" w:ascii="宋体" w:hAnsi="宋体" w:eastAsia="宋体"/>
          <w:szCs w:val="21"/>
          <w:u w:val="single"/>
        </w:rPr>
      </w:pPr>
      <w:r>
        <w:rPr>
          <w:rFonts w:hint="eastAsia" w:ascii="宋体" w:hAnsi="宋体" w:eastAsia="宋体"/>
          <w:szCs w:val="21"/>
        </w:rPr>
        <w:t xml:space="preserve"> </w:t>
      </w:r>
      <w:r>
        <w:rPr>
          <w:rFonts w:hint="eastAsia" w:ascii="宋体" w:hAnsi="宋体" w:eastAsia="宋体"/>
          <w:szCs w:val="21"/>
          <w:u w:val="single"/>
        </w:rPr>
        <w:t xml:space="preserve">                                                          </w:t>
      </w:r>
    </w:p>
    <w:p w14:paraId="3CE0C520">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分包供应商/制造商类型（如果供应商和制造商不同，只填写制造商类型）：</w:t>
      </w:r>
    </w:p>
    <w:p w14:paraId="7F06AC6E">
      <w:pPr>
        <w:adjustRightInd w:val="0"/>
        <w:snapToGrid w:val="0"/>
        <w:spacing w:line="400" w:lineRule="exact"/>
        <w:ind w:firstLine="840" w:firstLineChars="400"/>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大型企业  </w:t>
      </w:r>
      <w:r>
        <w:rPr>
          <w:rFonts w:hint="eastAsia" w:ascii="宋体" w:hAnsi="宋体" w:eastAsia="宋体"/>
          <w:iCs/>
          <w:szCs w:val="21"/>
        </w:rPr>
        <w:sym w:font="Wingdings" w:char="00A8"/>
      </w:r>
      <w:r>
        <w:rPr>
          <w:rFonts w:hint="eastAsia" w:ascii="宋体" w:hAnsi="宋体" w:eastAsia="宋体"/>
          <w:iCs/>
          <w:szCs w:val="21"/>
        </w:rPr>
        <w:t xml:space="preserve">中型企业  </w:t>
      </w:r>
      <w:r>
        <w:rPr>
          <w:rFonts w:hint="eastAsia" w:ascii="宋体" w:hAnsi="宋体" w:eastAsia="宋体"/>
          <w:iCs/>
          <w:szCs w:val="21"/>
        </w:rPr>
        <w:sym w:font="Wingdings" w:char="00A8"/>
      </w:r>
      <w:r>
        <w:rPr>
          <w:rFonts w:hint="eastAsia" w:ascii="宋体" w:hAnsi="宋体" w:eastAsia="宋体"/>
          <w:iCs/>
          <w:szCs w:val="21"/>
        </w:rPr>
        <w:t xml:space="preserve">小微型企业  </w:t>
      </w:r>
    </w:p>
    <w:p w14:paraId="21BA89C5">
      <w:pPr>
        <w:adjustRightInd w:val="0"/>
        <w:snapToGrid w:val="0"/>
        <w:spacing w:line="400" w:lineRule="exact"/>
        <w:ind w:firstLine="840" w:firstLineChars="400"/>
        <w:rPr>
          <w:rFonts w:eastAsia="华文楷体"/>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残疾人福利性单位 </w:t>
      </w:r>
      <w:r>
        <w:rPr>
          <w:rFonts w:hint="eastAsia" w:ascii="宋体" w:hAnsi="宋体" w:eastAsia="宋体"/>
          <w:iCs/>
          <w:szCs w:val="21"/>
        </w:rPr>
        <w:sym w:font="Wingdings" w:char="00A8"/>
      </w:r>
      <w:r>
        <w:rPr>
          <w:rFonts w:hint="eastAsia" w:ascii="宋体" w:hAnsi="宋体" w:eastAsia="宋体"/>
          <w:iCs/>
          <w:szCs w:val="21"/>
        </w:rPr>
        <w:t xml:space="preserve">监狱企业 </w:t>
      </w:r>
      <w:r>
        <w:rPr>
          <w:rFonts w:hint="eastAsia" w:ascii="宋体" w:hAnsi="宋体" w:eastAsia="宋体"/>
          <w:iCs/>
          <w:szCs w:val="21"/>
        </w:rPr>
        <w:sym w:font="Wingdings" w:char="00A8"/>
      </w:r>
      <w:r>
        <w:rPr>
          <w:rFonts w:hint="eastAsia" w:ascii="宋体" w:hAnsi="宋体" w:eastAsia="宋体"/>
          <w:iCs/>
          <w:szCs w:val="21"/>
        </w:rPr>
        <w:t>其他</w:t>
      </w:r>
    </w:p>
    <w:p w14:paraId="274DFDED">
      <w:pPr>
        <w:numPr>
          <w:ilvl w:val="255"/>
          <w:numId w:val="0"/>
        </w:numPr>
        <w:adjustRightInd w:val="0"/>
        <w:snapToGrid w:val="0"/>
        <w:spacing w:line="400" w:lineRule="exact"/>
        <w:rPr>
          <w:rFonts w:hint="eastAsia" w:ascii="宋体" w:hAnsi="宋体" w:eastAsia="宋体" w:cs="宋体"/>
          <w:iCs/>
          <w:szCs w:val="21"/>
        </w:rPr>
      </w:pPr>
      <w:r>
        <w:rPr>
          <w:rFonts w:hint="eastAsia" w:ascii="宋体" w:hAnsi="宋体" w:eastAsia="宋体"/>
          <w:szCs w:val="21"/>
        </w:rPr>
        <w:t xml:space="preserve">    </w:t>
      </w:r>
      <w:r>
        <w:rPr>
          <w:rFonts w:hint="eastAsia" w:ascii="宋体" w:hAnsi="宋体" w:eastAsia="宋体" w:cs="宋体"/>
          <w:szCs w:val="21"/>
        </w:rPr>
        <w:t>（</w:t>
      </w:r>
      <w:r>
        <w:rPr>
          <w:rFonts w:ascii="宋体" w:hAnsi="宋体" w:eastAsia="宋体" w:cs="宋体"/>
          <w:szCs w:val="21"/>
          <w:lang w:val="en"/>
        </w:rPr>
        <w:t>8</w:t>
      </w:r>
      <w:r>
        <w:rPr>
          <w:rFonts w:hint="eastAsia" w:ascii="宋体" w:hAnsi="宋体" w:eastAsia="宋体" w:cs="宋体"/>
          <w:szCs w:val="21"/>
        </w:rPr>
        <w:t>）中标（成交）供应商是否为外商投资企业：</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38763418">
      <w:pPr>
        <w:tabs>
          <w:tab w:val="left" w:pos="1340"/>
        </w:tabs>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 xml:space="preserve">     外商投资企业类型：</w:t>
      </w:r>
      <w:r>
        <w:rPr>
          <w:rFonts w:hint="eastAsia" w:ascii="宋体" w:hAnsi="宋体" w:eastAsia="宋体" w:cs="宋体"/>
          <w:iCs/>
          <w:szCs w:val="21"/>
        </w:rPr>
        <w:sym w:font="Wingdings" w:char="00A8"/>
      </w:r>
      <w:r>
        <w:rPr>
          <w:rFonts w:hint="eastAsia" w:ascii="宋体" w:hAnsi="宋体" w:eastAsia="宋体" w:cs="宋体"/>
          <w:szCs w:val="21"/>
        </w:rPr>
        <w:t xml:space="preserve">全部由外国投资者投资  </w:t>
      </w:r>
      <w:r>
        <w:rPr>
          <w:rFonts w:hint="eastAsia" w:ascii="宋体" w:hAnsi="宋体" w:eastAsia="宋体" w:cs="宋体"/>
          <w:iCs/>
          <w:szCs w:val="21"/>
        </w:rPr>
        <w:sym w:font="Wingdings" w:char="00A8"/>
      </w:r>
      <w:r>
        <w:rPr>
          <w:rFonts w:hint="eastAsia" w:ascii="宋体" w:hAnsi="宋体" w:eastAsia="宋体" w:cs="宋体"/>
          <w:iCs/>
          <w:szCs w:val="21"/>
        </w:rPr>
        <w:t>部分由外国投资者投资</w:t>
      </w:r>
    </w:p>
    <w:p w14:paraId="12437C54">
      <w:pPr>
        <w:numPr>
          <w:ilvl w:val="255"/>
          <w:numId w:val="0"/>
        </w:num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lang w:val="en"/>
        </w:rPr>
        <w:t>9</w:t>
      </w:r>
      <w:r>
        <w:rPr>
          <w:rFonts w:hint="eastAsia" w:ascii="宋体" w:hAnsi="宋体" w:eastAsia="宋体" w:cs="宋体"/>
          <w:szCs w:val="21"/>
        </w:rPr>
        <w:t>）是否涉及进口产品：</w:t>
      </w:r>
    </w:p>
    <w:p w14:paraId="4FF4675A">
      <w:pPr>
        <w:numPr>
          <w:ilvl w:val="255"/>
          <w:numId w:val="0"/>
        </w:numPr>
        <w:adjustRightInd w:val="0"/>
        <w:snapToGrid w:val="0"/>
        <w:spacing w:line="400" w:lineRule="exact"/>
        <w:ind w:firstLine="840" w:firstLineChars="400"/>
        <w:rPr>
          <w:rFonts w:hint="eastAsia" w:ascii="宋体" w:hAnsi="宋体" w:eastAsia="宋体" w:cs="宋体"/>
          <w:szCs w:val="21"/>
          <w:u w:val="single"/>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是，《政府采购品目分类目录》底级品目名称：</w:t>
      </w:r>
      <w:r>
        <w:rPr>
          <w:rFonts w:hint="eastAsia" w:ascii="宋体" w:hAnsi="宋体" w:eastAsia="宋体" w:cs="宋体"/>
          <w:szCs w:val="21"/>
          <w:u w:val="single"/>
        </w:rPr>
        <w:t xml:space="preserve">         </w:t>
      </w:r>
      <w:r>
        <w:rPr>
          <w:rFonts w:hint="eastAsia" w:ascii="宋体" w:hAnsi="宋体" w:eastAsia="宋体" w:cs="宋体"/>
          <w:szCs w:val="21"/>
        </w:rPr>
        <w:t xml:space="preserve"> 金额：</w:t>
      </w:r>
      <w:r>
        <w:rPr>
          <w:rFonts w:hint="eastAsia" w:ascii="宋体" w:hAnsi="宋体" w:eastAsia="宋体" w:cs="宋体"/>
          <w:szCs w:val="21"/>
          <w:u w:val="single"/>
        </w:rPr>
        <w:t xml:space="preserve">        </w:t>
      </w:r>
    </w:p>
    <w:p w14:paraId="0D51C054">
      <w:pPr>
        <w:numPr>
          <w:ilvl w:val="255"/>
          <w:numId w:val="0"/>
        </w:numPr>
        <w:adjustRightInd w:val="0"/>
        <w:snapToGrid w:val="0"/>
        <w:spacing w:line="400" w:lineRule="exact"/>
        <w:ind w:firstLine="840" w:firstLineChars="400"/>
        <w:rPr>
          <w:rFonts w:hint="eastAsia" w:ascii="宋体" w:hAnsi="宋体" w:eastAsia="宋体"/>
          <w:szCs w:val="21"/>
        </w:rPr>
      </w:pPr>
      <w:r>
        <w:rPr>
          <w:rFonts w:hint="eastAsia" w:ascii="宋体" w:hAnsi="宋体" w:eastAsia="宋体" w:cs="宋体"/>
          <w:szCs w:val="21"/>
        </w:rPr>
        <w:t xml:space="preserve">        国别：</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规格型号：</w:t>
      </w:r>
      <w:r>
        <w:rPr>
          <w:rFonts w:hint="eastAsia" w:ascii="宋体" w:hAnsi="宋体" w:eastAsia="宋体" w:cs="宋体"/>
          <w:szCs w:val="21"/>
          <w:u w:val="single"/>
        </w:rPr>
        <w:t xml:space="preserve">        </w:t>
      </w:r>
      <w:r>
        <w:rPr>
          <w:rFonts w:hint="eastAsia" w:ascii="宋体" w:hAnsi="宋体" w:eastAsia="宋体"/>
          <w:szCs w:val="21"/>
        </w:rPr>
        <w:t xml:space="preserve">      </w:t>
      </w:r>
    </w:p>
    <w:p w14:paraId="425418C4">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61799844">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（1</w:t>
      </w:r>
      <w:r>
        <w:rPr>
          <w:rFonts w:ascii="宋体" w:hAnsi="宋体" w:eastAsia="宋体"/>
          <w:szCs w:val="21"/>
          <w:lang w:val="en"/>
        </w:rPr>
        <w:t>0</w:t>
      </w:r>
      <w:r>
        <w:rPr>
          <w:rFonts w:hint="eastAsia" w:ascii="宋体" w:hAnsi="宋体" w:eastAsia="宋体"/>
          <w:szCs w:val="21"/>
        </w:rPr>
        <w:t>）是否涉及节能产品：</w:t>
      </w:r>
    </w:p>
    <w:p w14:paraId="59258206">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是，《节能产品政府采购品目清单》的底级品目名称：</w:t>
      </w:r>
      <w:r>
        <w:rPr>
          <w:rFonts w:hint="eastAsia" w:ascii="宋体" w:hAnsi="宋体" w:eastAsia="宋体"/>
          <w:szCs w:val="21"/>
          <w:u w:val="single"/>
        </w:rPr>
        <w:t xml:space="preserve">         </w:t>
      </w:r>
      <w:r>
        <w:rPr>
          <w:rFonts w:hint="eastAsia" w:ascii="宋体" w:hAnsi="宋体" w:eastAsia="宋体"/>
          <w:iCs/>
          <w:szCs w:val="21"/>
        </w:rPr>
        <w:t xml:space="preserve">     </w:t>
      </w:r>
    </w:p>
    <w:p w14:paraId="61C5A919">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14:paraId="6C394551">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12F11291">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是否涉及环境标志产品：</w:t>
      </w:r>
    </w:p>
    <w:p w14:paraId="37F9A27B">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是，《环境标志产品政府采购品目清单》的底级品目名称：</w:t>
      </w:r>
      <w:r>
        <w:rPr>
          <w:rFonts w:hint="eastAsia" w:ascii="宋体" w:hAnsi="宋体" w:eastAsia="宋体"/>
          <w:szCs w:val="21"/>
          <w:u w:val="single"/>
        </w:rPr>
        <w:t xml:space="preserve">         </w:t>
      </w:r>
      <w:r>
        <w:rPr>
          <w:rFonts w:hint="eastAsia" w:ascii="宋体" w:hAnsi="宋体" w:eastAsia="宋体"/>
          <w:iCs/>
          <w:szCs w:val="21"/>
        </w:rPr>
        <w:t xml:space="preserve"> </w:t>
      </w:r>
    </w:p>
    <w:p w14:paraId="306076F3">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14:paraId="29458EB3">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0BCABC59">
      <w:pPr>
        <w:numPr>
          <w:ilvl w:val="255"/>
          <w:numId w:val="0"/>
        </w:numPr>
        <w:autoSpaceDE w:val="0"/>
        <w:autoSpaceDN w:val="0"/>
        <w:adjustRightInd w:val="0"/>
        <w:snapToGrid w:val="0"/>
        <w:spacing w:line="400" w:lineRule="exact"/>
        <w:rPr>
          <w:rFonts w:hint="eastAsia" w:ascii="宋体" w:hAnsi="宋体" w:eastAsia="宋体" w:cs="Times New Roman"/>
          <w:szCs w:val="21"/>
        </w:rPr>
      </w:pPr>
      <w:r>
        <w:rPr>
          <w:rFonts w:hint="eastAsia" w:ascii="宋体" w:hAnsi="宋体" w:eastAsia="华文楷体" w:cs="华文楷体"/>
          <w:szCs w:val="21"/>
        </w:rPr>
        <w:t xml:space="preserve">          </w:t>
      </w:r>
      <w:r>
        <w:rPr>
          <w:rFonts w:hint="eastAsia" w:ascii="宋体" w:hAnsi="宋体" w:eastAsia="宋体" w:cs="Times New Roman"/>
          <w:szCs w:val="21"/>
        </w:rPr>
        <w:t xml:space="preserve">是否涉及绿色产品： </w:t>
      </w:r>
    </w:p>
    <w:p w14:paraId="3C72D75C">
      <w:pPr>
        <w:autoSpaceDE w:val="0"/>
        <w:autoSpaceDN w:val="0"/>
        <w:adjustRightInd w:val="0"/>
        <w:spacing w:line="400" w:lineRule="exact"/>
        <w:ind w:firstLine="420"/>
        <w:rPr>
          <w:rFonts w:hint="eastAsia" w:ascii="宋体" w:hAnsi="宋体" w:eastAsia="宋体" w:cs="华文楷体"/>
          <w:sz w:val="22"/>
          <w:szCs w:val="21"/>
          <w:u w:val="single"/>
        </w:rPr>
      </w:pPr>
      <w:r>
        <w:rPr>
          <w:rFonts w:hint="eastAsia" w:ascii="宋体" w:hAnsi="宋体" w:eastAsia="宋体" w:cs="Times New Roman"/>
          <w:szCs w:val="21"/>
        </w:rPr>
        <w:t xml:space="preserve">     </w:t>
      </w:r>
      <w:r>
        <w:rPr>
          <w:rFonts w:hint="eastAsia" w:ascii="宋体" w:hAnsi="宋体" w:eastAsia="宋体" w:cs="Times New Roman"/>
          <w:szCs w:val="21"/>
        </w:rPr>
        <w:sym w:font="Wingdings" w:char="00A8"/>
      </w:r>
      <w:r>
        <w:rPr>
          <w:rFonts w:hint="eastAsia" w:ascii="宋体" w:hAnsi="宋体" w:eastAsia="宋体" w:cs="Times New Roman"/>
          <w:szCs w:val="21"/>
        </w:rPr>
        <w:t>是，绿色产品政府采购相关政策确定的底级品目名称：</w:t>
      </w:r>
      <w:r>
        <w:rPr>
          <w:rFonts w:hint="eastAsia" w:ascii="宋体" w:hAnsi="宋体" w:eastAsia="宋体" w:cs="华文楷体"/>
          <w:sz w:val="22"/>
          <w:szCs w:val="21"/>
          <w:u w:val="single"/>
        </w:rPr>
        <w:t xml:space="preserve">         </w:t>
      </w:r>
    </w:p>
    <w:p w14:paraId="417C7D6F">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14:paraId="685F40DA">
      <w:pPr>
        <w:autoSpaceDE w:val="0"/>
        <w:autoSpaceDN w:val="0"/>
        <w:adjustRightInd w:val="0"/>
        <w:spacing w:line="400" w:lineRule="exact"/>
        <w:ind w:firstLine="420"/>
        <w:rPr>
          <w:rFonts w:hint="eastAsia" w:ascii="宋体" w:hAnsi="宋体" w:eastAsia="华文楷体" w:cs="华文楷体"/>
          <w:szCs w:val="21"/>
        </w:rPr>
      </w:pPr>
      <w:r>
        <w:rPr>
          <w:rFonts w:hint="eastAsia" w:ascii="宋体" w:hAnsi="宋体" w:eastAsia="宋体" w:cs="Times New Roman"/>
          <w:szCs w:val="21"/>
        </w:rPr>
        <w:t xml:space="preserve">     </w:t>
      </w:r>
      <w:r>
        <w:rPr>
          <w:rFonts w:hint="eastAsia" w:ascii="宋体" w:hAnsi="宋体" w:eastAsia="宋体" w:cs="Times New Roman"/>
          <w:szCs w:val="21"/>
        </w:rPr>
        <w:sym w:font="Wingdings" w:char="00A8"/>
      </w:r>
      <w:r>
        <w:rPr>
          <w:rFonts w:hint="eastAsia" w:ascii="宋体" w:hAnsi="宋体" w:eastAsia="宋体" w:cs="Times New Roman"/>
          <w:szCs w:val="21"/>
        </w:rPr>
        <w:t>否</w:t>
      </w:r>
    </w:p>
    <w:p w14:paraId="715050CF">
      <w:pPr>
        <w:numPr>
          <w:ilvl w:val="255"/>
          <w:numId w:val="0"/>
        </w:numPr>
        <w:adjustRightInd w:val="0"/>
        <w:snapToGrid w:val="0"/>
        <w:spacing w:line="400" w:lineRule="exact"/>
        <w:rPr>
          <w:rFonts w:hint="eastAsia" w:ascii="宋体" w:hAnsi="宋体" w:eastAsia="宋体"/>
          <w:szCs w:val="21"/>
        </w:rPr>
      </w:pPr>
      <w:r>
        <w:rPr>
          <w:rFonts w:hint="eastAsia" w:ascii="宋体" w:hAnsi="宋体" w:eastAsia="宋体"/>
          <w:szCs w:val="21"/>
        </w:rPr>
        <w:t xml:space="preserve">    （1</w:t>
      </w:r>
      <w:r>
        <w:rPr>
          <w:rFonts w:ascii="宋体" w:hAnsi="宋体" w:eastAsia="宋体"/>
          <w:szCs w:val="21"/>
          <w:lang w:val="en"/>
        </w:rPr>
        <w:t>1</w:t>
      </w:r>
      <w:r>
        <w:rPr>
          <w:rFonts w:hint="eastAsia" w:ascii="宋体" w:hAnsi="宋体" w:eastAsia="宋体"/>
          <w:szCs w:val="21"/>
        </w:rPr>
        <w:t>）涉及商品包装和快递包装的，是否参考《商品包装政府采购需求标准（试行）》《快递包装政府采购需求标准（试行）》明确产品及相关快递服务的具体包装要求：</w:t>
      </w:r>
    </w:p>
    <w:p w14:paraId="052DBD59">
      <w:pPr>
        <w:numPr>
          <w:ilvl w:val="255"/>
          <w:numId w:val="0"/>
        </w:num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 xml:space="preserve">是       </w:t>
      </w:r>
      <w:r>
        <w:rPr>
          <w:rFonts w:hint="eastAsia" w:ascii="宋体" w:hAnsi="宋体" w:eastAsia="宋体"/>
          <w:szCs w:val="21"/>
        </w:rPr>
        <w:sym w:font="Wingdings" w:char="00A8"/>
      </w:r>
      <w:r>
        <w:rPr>
          <w:rFonts w:hint="eastAsia" w:ascii="宋体" w:hAnsi="宋体" w:eastAsia="宋体"/>
          <w:szCs w:val="21"/>
        </w:rPr>
        <w:t xml:space="preserve">否      </w:t>
      </w:r>
      <w:r>
        <w:rPr>
          <w:rFonts w:hint="eastAsia" w:ascii="宋体" w:hAnsi="宋体" w:eastAsia="宋体"/>
          <w:szCs w:val="21"/>
        </w:rPr>
        <w:sym w:font="Wingdings" w:char="00A8"/>
      </w:r>
      <w:r>
        <w:rPr>
          <w:rFonts w:hint="eastAsia" w:ascii="宋体" w:hAnsi="宋体" w:eastAsia="宋体"/>
          <w:szCs w:val="21"/>
        </w:rPr>
        <w:t>不涉及</w:t>
      </w:r>
    </w:p>
    <w:p w14:paraId="67826E59">
      <w:pPr>
        <w:numPr>
          <w:ilvl w:val="0"/>
          <w:numId w:val="8"/>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合同金额</w:t>
      </w:r>
    </w:p>
    <w:p w14:paraId="2FA57311">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（1）合同金额小写：</w:t>
      </w:r>
      <w:r>
        <w:rPr>
          <w:rFonts w:hint="eastAsia" w:ascii="宋体" w:hAnsi="宋体" w:eastAsia="宋体"/>
          <w:szCs w:val="21"/>
          <w:u w:val="single"/>
        </w:rPr>
        <w:t xml:space="preserve">                           </w:t>
      </w:r>
    </w:p>
    <w:p w14:paraId="7BCCF27A">
      <w:pPr>
        <w:adjustRightInd w:val="0"/>
        <w:snapToGrid w:val="0"/>
        <w:spacing w:line="400" w:lineRule="exact"/>
        <w:rPr>
          <w:rFonts w:hint="eastAsia" w:ascii="宋体" w:hAnsi="宋体" w:eastAsia="宋体"/>
          <w:szCs w:val="21"/>
          <w:u w:val="single"/>
        </w:rPr>
      </w:pPr>
      <w:r>
        <w:rPr>
          <w:rFonts w:hint="eastAsia" w:ascii="宋体" w:hAnsi="宋体" w:eastAsia="宋体"/>
          <w:szCs w:val="21"/>
        </w:rPr>
        <w:t xml:space="preserve">                 大写：</w:t>
      </w:r>
      <w:r>
        <w:rPr>
          <w:rFonts w:hint="eastAsia" w:ascii="宋体" w:hAnsi="宋体" w:eastAsia="宋体"/>
          <w:szCs w:val="21"/>
          <w:u w:val="single"/>
        </w:rPr>
        <w:t xml:space="preserve">                           </w:t>
      </w:r>
    </w:p>
    <w:p w14:paraId="74073318">
      <w:pPr>
        <w:adjustRightInd w:val="0"/>
        <w:snapToGrid w:val="0"/>
        <w:spacing w:line="400" w:lineRule="exact"/>
        <w:rPr>
          <w:rFonts w:hint="eastAsia" w:ascii="宋体" w:hAnsi="宋体" w:eastAsia="宋体"/>
          <w:szCs w:val="21"/>
        </w:rPr>
      </w:pPr>
      <w:r>
        <w:rPr>
          <w:rFonts w:hint="eastAsia" w:ascii="宋体" w:hAnsi="宋体" w:eastAsia="宋体"/>
          <w:szCs w:val="21"/>
        </w:rPr>
        <w:t xml:space="preserve">         分包金额（如有）小写：</w:t>
      </w:r>
      <w:r>
        <w:rPr>
          <w:rFonts w:hint="eastAsia" w:ascii="宋体" w:hAnsi="宋体" w:eastAsia="宋体"/>
          <w:szCs w:val="21"/>
          <w:u w:val="single"/>
        </w:rPr>
        <w:t xml:space="preserve">                   </w:t>
      </w:r>
    </w:p>
    <w:p w14:paraId="20795C8D">
      <w:pPr>
        <w:adjustRightInd w:val="0"/>
        <w:snapToGrid w:val="0"/>
        <w:spacing w:line="400" w:lineRule="exact"/>
        <w:rPr>
          <w:rFonts w:hint="eastAsia" w:ascii="宋体" w:hAnsi="宋体" w:eastAsia="宋体"/>
          <w:szCs w:val="21"/>
          <w:u w:val="single"/>
        </w:rPr>
      </w:pPr>
      <w:r>
        <w:rPr>
          <w:rFonts w:hint="eastAsia" w:ascii="宋体" w:hAnsi="宋体" w:eastAsia="宋体"/>
          <w:szCs w:val="21"/>
        </w:rPr>
        <w:t xml:space="preserve">                     大写：</w:t>
      </w:r>
      <w:r>
        <w:rPr>
          <w:rFonts w:hint="eastAsia" w:ascii="宋体" w:hAnsi="宋体" w:eastAsia="宋体"/>
          <w:szCs w:val="21"/>
          <w:u w:val="single"/>
        </w:rPr>
        <w:t xml:space="preserve">                       </w:t>
      </w:r>
    </w:p>
    <w:p w14:paraId="6C5481AE">
      <w:pPr>
        <w:adjustRightInd w:val="0"/>
        <w:snapToGrid w:val="0"/>
        <w:spacing w:line="400" w:lineRule="exact"/>
        <w:rPr>
          <w:rFonts w:hint="eastAsia" w:ascii="宋体" w:hAnsi="宋体" w:eastAsia="宋体"/>
          <w:szCs w:val="21"/>
        </w:rPr>
      </w:pPr>
      <w:r>
        <w:rPr>
          <w:rFonts w:hint="eastAsia" w:ascii="宋体" w:hAnsi="宋体" w:eastAsia="宋体"/>
          <w:szCs w:val="21"/>
        </w:rPr>
        <w:t xml:space="preserve">    （注：固定单价合同应填写单价和最高限价）</w:t>
      </w:r>
    </w:p>
    <w:p w14:paraId="54FC9ADE">
      <w:pPr>
        <w:numPr>
          <w:ilvl w:val="255"/>
          <w:numId w:val="0"/>
        </w:numPr>
        <w:adjustRightInd w:val="0"/>
        <w:snapToGrid w:val="0"/>
        <w:spacing w:line="400" w:lineRule="exact"/>
        <w:rPr>
          <w:rFonts w:hint="eastAsia" w:ascii="宋体" w:hAnsi="宋体" w:eastAsia="宋体"/>
          <w:szCs w:val="21"/>
        </w:rPr>
      </w:pPr>
      <w:r>
        <w:rPr>
          <w:rFonts w:hint="eastAsia" w:ascii="宋体" w:hAnsi="宋体" w:eastAsia="宋体"/>
          <w:szCs w:val="21"/>
        </w:rPr>
        <w:t xml:space="preserve">    （2）合同定价方式（采用组合定价方式的，可以勾选多项）：</w:t>
      </w:r>
    </w:p>
    <w:p w14:paraId="642D0F3B">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固定总价 </w:t>
      </w:r>
      <w:r>
        <w:rPr>
          <w:rFonts w:hint="eastAsia" w:ascii="宋体" w:hAnsi="宋体" w:eastAsia="宋体"/>
          <w:iCs/>
          <w:szCs w:val="21"/>
        </w:rPr>
        <w:sym w:font="Wingdings" w:char="00A8"/>
      </w:r>
      <w:r>
        <w:rPr>
          <w:rFonts w:hint="eastAsia" w:ascii="宋体" w:hAnsi="宋体" w:eastAsia="宋体"/>
          <w:iCs/>
          <w:szCs w:val="21"/>
        </w:rPr>
        <w:t xml:space="preserve">固定单价 </w:t>
      </w:r>
      <w:r>
        <w:rPr>
          <w:rFonts w:hint="eastAsia" w:ascii="宋体" w:hAnsi="宋体" w:eastAsia="宋体"/>
          <w:iCs/>
          <w:szCs w:val="21"/>
        </w:rPr>
        <w:sym w:font="Wingdings" w:char="00A8"/>
      </w:r>
      <w:r>
        <w:rPr>
          <w:rFonts w:hint="eastAsia" w:ascii="宋体" w:hAnsi="宋体" w:eastAsia="宋体"/>
          <w:iCs/>
          <w:szCs w:val="21"/>
        </w:rPr>
        <w:t xml:space="preserve">固定费率 </w:t>
      </w:r>
      <w:r>
        <w:rPr>
          <w:rFonts w:hint="eastAsia" w:ascii="宋体" w:hAnsi="宋体" w:eastAsia="宋体"/>
          <w:iCs/>
          <w:szCs w:val="21"/>
        </w:rPr>
        <w:sym w:font="Wingdings" w:char="00A8"/>
      </w:r>
      <w:r>
        <w:rPr>
          <w:rFonts w:hint="eastAsia" w:ascii="宋体" w:hAnsi="宋体" w:eastAsia="宋体"/>
          <w:iCs/>
          <w:szCs w:val="21"/>
        </w:rPr>
        <w:t xml:space="preserve">成本补偿 </w:t>
      </w:r>
      <w:r>
        <w:rPr>
          <w:rFonts w:hint="eastAsia" w:ascii="宋体" w:hAnsi="宋体" w:eastAsia="宋体"/>
          <w:iCs/>
          <w:szCs w:val="21"/>
        </w:rPr>
        <w:sym w:font="Wingdings" w:char="00A8"/>
      </w:r>
      <w:r>
        <w:rPr>
          <w:rFonts w:hint="eastAsia" w:ascii="宋体" w:hAnsi="宋体" w:eastAsia="宋体"/>
          <w:iCs/>
          <w:szCs w:val="21"/>
        </w:rPr>
        <w:t xml:space="preserve">绩效激励 </w:t>
      </w:r>
      <w:r>
        <w:rPr>
          <w:rFonts w:hint="eastAsia" w:ascii="宋体" w:hAnsi="宋体" w:eastAsia="宋体"/>
          <w:iCs/>
          <w:szCs w:val="21"/>
        </w:rPr>
        <w:sym w:font="Wingdings" w:char="00A8"/>
      </w:r>
      <w:r>
        <w:rPr>
          <w:rFonts w:hint="eastAsia" w:ascii="宋体" w:hAnsi="宋体" w:eastAsia="宋体"/>
          <w:iCs/>
          <w:szCs w:val="21"/>
        </w:rPr>
        <w:t>其他</w:t>
      </w:r>
      <w:r>
        <w:rPr>
          <w:rFonts w:hint="eastAsia" w:ascii="宋体" w:hAnsi="宋体" w:eastAsia="宋体"/>
          <w:szCs w:val="21"/>
          <w:u w:val="single"/>
        </w:rPr>
        <w:t xml:space="preserve">       </w:t>
      </w:r>
    </w:p>
    <w:p w14:paraId="43223C16">
      <w:pPr>
        <w:spacing w:line="400" w:lineRule="exact"/>
        <w:ind w:firstLine="420" w:firstLineChars="200"/>
        <w:rPr>
          <w:rFonts w:ascii="Times New Roman" w:hAnsi="Times New Roman" w:eastAsia="宋体" w:cs="Times New Roman"/>
          <w:szCs w:val="21"/>
        </w:rPr>
      </w:pPr>
      <w:r>
        <w:rPr>
          <w:rFonts w:hint="eastAsia" w:ascii="宋体" w:hAnsi="宋体" w:eastAsia="宋体" w:cs="Times New Roman"/>
          <w:szCs w:val="21"/>
        </w:rPr>
        <w:t>（3）付款方式（按项目实际勾选填写）：</w:t>
      </w:r>
    </w:p>
    <w:p w14:paraId="14F7B595">
      <w:pPr>
        <w:adjustRightInd w:val="0"/>
        <w:snapToGrid w:val="0"/>
        <w:spacing w:line="400" w:lineRule="exact"/>
        <w:ind w:firstLine="630" w:firstLineChars="300"/>
        <w:rPr>
          <w:rFonts w:hint="eastAsia"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全额付款：</w:t>
      </w:r>
      <w:r>
        <w:rPr>
          <w:rFonts w:hint="eastAsia" w:ascii="宋体" w:hAnsi="宋体" w:eastAsia="宋体"/>
          <w:szCs w:val="21"/>
          <w:u w:val="single"/>
        </w:rPr>
        <w:t xml:space="preserve">     （应明确一次性支付合同款项的条件）                    </w:t>
      </w:r>
    </w:p>
    <w:p w14:paraId="57F7357F">
      <w:pPr>
        <w:snapToGrid w:val="0"/>
        <w:spacing w:line="400" w:lineRule="exact"/>
        <w:ind w:firstLine="630" w:firstLineChars="300"/>
        <w:rPr>
          <w:rFonts w:eastAsia="宋体"/>
        </w:rPr>
      </w:pPr>
      <w:r>
        <w:rPr>
          <w:rFonts w:hint="eastAsia" w:ascii="宋体" w:hAnsi="宋体" w:eastAsia="宋体"/>
          <w:szCs w:val="21"/>
        </w:rPr>
        <w:sym w:font="Wingdings" w:char="00A8"/>
      </w:r>
      <w:r>
        <w:rPr>
          <w:rFonts w:hint="eastAsia" w:ascii="宋体" w:hAnsi="宋体" w:eastAsia="宋体"/>
          <w:szCs w:val="21"/>
        </w:rPr>
        <w:t>分期付款：</w:t>
      </w:r>
      <w:r>
        <w:rPr>
          <w:rFonts w:hint="eastAsia" w:ascii="宋体" w:hAnsi="宋体" w:eastAsia="宋体"/>
          <w:szCs w:val="21"/>
          <w:u w:val="single"/>
        </w:rPr>
        <w:t xml:space="preserve">  （应明确分期支付合同款项的各期比例和支付条件，各期支付条件应与分期履约验收情况挂钩） </w:t>
      </w:r>
      <w:r>
        <w:rPr>
          <w:rFonts w:hint="eastAsia" w:ascii="宋体" w:hAnsi="宋体" w:eastAsia="宋体"/>
          <w:szCs w:val="21"/>
        </w:rPr>
        <w:t>，其中涉及预付款的：</w:t>
      </w:r>
      <w:r>
        <w:rPr>
          <w:rFonts w:hint="eastAsia" w:ascii="宋体" w:hAnsi="宋体" w:eastAsia="宋体"/>
          <w:szCs w:val="21"/>
          <w:u w:val="single"/>
        </w:rPr>
        <w:t xml:space="preserve"> （应明确预付款的支付比例和支付条件） </w:t>
      </w:r>
    </w:p>
    <w:p w14:paraId="7DC8EAF2">
      <w:pPr>
        <w:adjustRightInd w:val="0"/>
        <w:snapToGrid w:val="0"/>
        <w:spacing w:line="400" w:lineRule="exact"/>
        <w:ind w:firstLine="630" w:firstLineChars="300"/>
        <w:rPr>
          <w:rFonts w:hint="eastAsia"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成本补偿：</w:t>
      </w:r>
      <w:r>
        <w:rPr>
          <w:rFonts w:hint="eastAsia" w:ascii="宋体" w:hAnsi="宋体" w:eastAsia="宋体"/>
          <w:szCs w:val="21"/>
          <w:u w:val="single"/>
        </w:rPr>
        <w:t xml:space="preserve">      （应明确按照成本补偿方式的支付方式和支付条件）   </w:t>
      </w:r>
    </w:p>
    <w:p w14:paraId="16C7D4FA">
      <w:pPr>
        <w:adjustRightInd w:val="0"/>
        <w:snapToGrid w:val="0"/>
        <w:spacing w:line="400" w:lineRule="exact"/>
        <w:ind w:firstLine="630" w:firstLineChars="300"/>
        <w:rPr>
          <w:rFonts w:hint="eastAsia"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绩效激励：</w:t>
      </w:r>
      <w:r>
        <w:rPr>
          <w:rFonts w:hint="eastAsia" w:ascii="宋体" w:hAnsi="宋体" w:eastAsia="宋体"/>
          <w:szCs w:val="21"/>
          <w:u w:val="single"/>
        </w:rPr>
        <w:t xml:space="preserve">      （应明确按照绩效激励方式的支付方式和支付条件）   </w:t>
      </w:r>
    </w:p>
    <w:p w14:paraId="23A78A6E">
      <w:pPr>
        <w:numPr>
          <w:ilvl w:val="0"/>
          <w:numId w:val="8"/>
        </w:numPr>
        <w:adjustRightInd w:val="0"/>
        <w:snapToGrid w:val="0"/>
        <w:spacing w:line="400" w:lineRule="exact"/>
        <w:ind w:firstLine="422" w:firstLineChars="200"/>
        <w:rPr>
          <w:rFonts w:hint="eastAsia" w:ascii="宋体" w:hAnsi="宋体" w:eastAsia="宋体"/>
          <w:b/>
          <w:szCs w:val="21"/>
          <w:u w:val="single"/>
        </w:rPr>
      </w:pPr>
      <w:r>
        <w:rPr>
          <w:rFonts w:hint="eastAsia" w:ascii="宋体" w:hAnsi="宋体" w:eastAsia="宋体"/>
          <w:b/>
          <w:szCs w:val="21"/>
        </w:rPr>
        <w:t>合同履行</w:t>
      </w:r>
    </w:p>
    <w:p w14:paraId="45D849E7">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3649C588">
      <w:pPr>
        <w:adjustRightInd w:val="0"/>
        <w:snapToGri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（2）履约地点</w:t>
      </w:r>
      <w:r>
        <w:rPr>
          <w:rFonts w:hint="eastAsia" w:ascii="宋体" w:hAnsi="宋体" w:eastAsia="宋体" w:cs="宋体"/>
          <w:bCs/>
          <w:szCs w:val="21"/>
        </w:rPr>
        <w:t>：</w:t>
      </w:r>
      <w:r>
        <w:rPr>
          <w:rFonts w:hint="eastAsia" w:ascii="宋体" w:hAnsi="宋体" w:eastAsia="宋体" w:cs="宋体"/>
          <w:szCs w:val="21"/>
          <w:u w:val="single"/>
        </w:rPr>
        <w:t xml:space="preserve">                             </w:t>
      </w:r>
    </w:p>
    <w:p w14:paraId="44BE0C55">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（3）履约担保：</w:t>
      </w:r>
      <w:r>
        <w:rPr>
          <w:rFonts w:hint="eastAsia" w:ascii="宋体" w:hAnsi="宋体" w:eastAsia="宋体" w:cs="宋体"/>
        </w:rPr>
        <w:t>是否收取履约保证金：</w:t>
      </w:r>
      <w:r>
        <w:rPr>
          <w:rFonts w:hint="eastAsia" w:ascii="宋体" w:hAnsi="宋体" w:eastAsia="宋体" w:cs="宋体"/>
          <w:szCs w:val="21"/>
        </w:rPr>
        <w:sym w:font="Wingdings" w:char="00A8"/>
      </w:r>
      <w:r>
        <w:rPr>
          <w:rFonts w:hint="eastAsia" w:ascii="宋体" w:hAnsi="宋体" w:eastAsia="宋体" w:cs="宋体"/>
          <w:szCs w:val="21"/>
        </w:rPr>
        <w:t xml:space="preserve">是    </w:t>
      </w:r>
      <w:r>
        <w:rPr>
          <w:rFonts w:hint="eastAsia" w:ascii="宋体" w:hAnsi="宋体" w:eastAsia="宋体" w:cs="宋体"/>
          <w:szCs w:val="21"/>
        </w:rPr>
        <w:sym w:font="Wingdings" w:char="00A8"/>
      </w:r>
      <w:r>
        <w:rPr>
          <w:rFonts w:hint="eastAsia" w:ascii="宋体" w:hAnsi="宋体" w:eastAsia="宋体" w:cs="宋体"/>
          <w:szCs w:val="21"/>
        </w:rPr>
        <w:t>否</w:t>
      </w:r>
    </w:p>
    <w:p w14:paraId="6BA6B242">
      <w:pPr>
        <w:autoSpaceDE w:val="0"/>
        <w:autoSpaceDN w:val="0"/>
        <w:adjustRightInd w:val="0"/>
        <w:spacing w:line="400" w:lineRule="exact"/>
        <w:ind w:firstLine="440" w:firstLineChars="200"/>
        <w:rPr>
          <w:rFonts w:hint="eastAsia" w:ascii="宋体" w:hAnsi="宋体" w:eastAsia="宋体" w:cs="宋体"/>
          <w:szCs w:val="21"/>
        </w:rPr>
      </w:pPr>
      <w:r>
        <w:rPr>
          <w:rFonts w:hint="eastAsia" w:ascii="宋体" w:hAnsi="宋体" w:eastAsia="华文楷体" w:cs="宋体"/>
          <w:bCs/>
          <w:sz w:val="22"/>
          <w:szCs w:val="21"/>
        </w:rPr>
        <w:t xml:space="preserve">  </w:t>
      </w:r>
      <w:r>
        <w:rPr>
          <w:rFonts w:hint="eastAsia" w:ascii="宋体" w:hAnsi="宋体" w:eastAsia="宋体" w:cs="宋体"/>
          <w:szCs w:val="21"/>
        </w:rPr>
        <w:t xml:space="preserve">  收取履约保证金形式：</w:t>
      </w:r>
      <w:r>
        <w:rPr>
          <w:rFonts w:hint="eastAsia" w:ascii="宋体" w:hAnsi="宋体" w:eastAsia="宋体" w:cs="宋体"/>
          <w:bCs/>
          <w:szCs w:val="21"/>
          <w:u w:val="single"/>
        </w:rPr>
        <w:t xml:space="preserve">                            </w:t>
      </w:r>
    </w:p>
    <w:p w14:paraId="1446972F">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收取履约保证金金额：</w:t>
      </w:r>
      <w:r>
        <w:rPr>
          <w:rFonts w:hint="eastAsia" w:ascii="宋体" w:hAnsi="宋体" w:eastAsia="宋体" w:cs="宋体"/>
          <w:bCs/>
          <w:szCs w:val="21"/>
          <w:u w:val="single"/>
        </w:rPr>
        <w:t xml:space="preserve">                            </w:t>
      </w:r>
    </w:p>
    <w:p w14:paraId="6241AE28">
      <w:pPr>
        <w:snapToGrid w:val="0"/>
        <w:spacing w:line="400" w:lineRule="exact"/>
        <w:ind w:firstLine="420" w:firstLineChars="200"/>
        <w:rPr>
          <w:rFonts w:hint="eastAsia" w:ascii="宋体" w:hAnsi="宋体" w:eastAsia="宋体" w:cs="宋体"/>
        </w:rPr>
      </w:pPr>
      <w:r>
        <w:rPr>
          <w:rFonts w:hint="eastAsia" w:ascii="宋体" w:hAnsi="宋体" w:eastAsia="宋体" w:cs="宋体"/>
          <w:bCs/>
          <w:szCs w:val="21"/>
        </w:rPr>
        <w:t xml:space="preserve">    履约担保期限：</w:t>
      </w:r>
      <w:r>
        <w:rPr>
          <w:rFonts w:hint="eastAsia" w:ascii="宋体" w:hAnsi="宋体" w:eastAsia="宋体" w:cs="宋体"/>
          <w:bCs/>
          <w:szCs w:val="21"/>
          <w:u w:val="single"/>
        </w:rPr>
        <w:t xml:space="preserve">                                  </w:t>
      </w:r>
    </w:p>
    <w:p w14:paraId="5A738393">
      <w:pPr>
        <w:adjustRightInd w:val="0"/>
        <w:snapToGrid w:val="0"/>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p>
    <w:p w14:paraId="1B6CACA9">
      <w:pPr>
        <w:adjustRightInd w:val="0"/>
        <w:snapToGrid w:val="0"/>
        <w:spacing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（5）风险处置措施和替代方案：</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14:paraId="42A9C050">
      <w:pPr>
        <w:numPr>
          <w:ilvl w:val="0"/>
          <w:numId w:val="8"/>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合同验收</w:t>
      </w:r>
    </w:p>
    <w:p w14:paraId="060454DB">
      <w:pPr>
        <w:numPr>
          <w:ilvl w:val="0"/>
          <w:numId w:val="10"/>
        </w:num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验收组织方式：</w:t>
      </w:r>
      <w:r>
        <w:rPr>
          <w:rFonts w:hint="eastAsia" w:ascii="宋体" w:hAnsi="宋体" w:eastAsia="宋体" w:cs="宋体"/>
          <w:szCs w:val="21"/>
        </w:rPr>
        <w:sym w:font="Wingdings" w:char="00A8"/>
      </w:r>
      <w:r>
        <w:rPr>
          <w:rFonts w:hint="eastAsia" w:ascii="宋体" w:hAnsi="宋体" w:eastAsia="宋体"/>
          <w:bCs/>
          <w:szCs w:val="21"/>
        </w:rPr>
        <w:t xml:space="preserve">自行组织 </w:t>
      </w:r>
      <w:r>
        <w:rPr>
          <w:rFonts w:hint="eastAsia" w:ascii="宋体" w:hAnsi="宋体" w:eastAsia="宋体" w:cs="宋体"/>
          <w:szCs w:val="21"/>
        </w:rPr>
        <w:sym w:font="Wingdings" w:char="00A8"/>
      </w:r>
      <w:r>
        <w:rPr>
          <w:rFonts w:hint="eastAsia" w:ascii="宋体" w:hAnsi="宋体" w:eastAsia="宋体"/>
          <w:bCs/>
          <w:szCs w:val="21"/>
        </w:rPr>
        <w:t>委托第三方组织</w:t>
      </w:r>
    </w:p>
    <w:p w14:paraId="2871E455">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验收主体：</w:t>
      </w:r>
      <w:r>
        <w:rPr>
          <w:rFonts w:hint="eastAsia" w:ascii="宋体" w:hAnsi="宋体" w:eastAsia="宋体"/>
          <w:bCs/>
          <w:szCs w:val="21"/>
          <w:u w:val="single"/>
        </w:rPr>
        <w:t xml:space="preserve">                  </w:t>
      </w:r>
    </w:p>
    <w:p w14:paraId="546E0EDD">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是否邀请本项目的其他供应商参加验收：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64485CAC">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是否邀请专家参加验收：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16F7CA1B">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是否邀请服务对象参加验收：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473923BF">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是否邀请第三方检测机构参加验收：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2599AD7D">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是否进行抽查检测：</w:t>
      </w:r>
      <w:r>
        <w:rPr>
          <w:rFonts w:hint="eastAsia" w:ascii="宋体" w:hAnsi="宋体" w:eastAsia="宋体" w:cs="宋体"/>
          <w:szCs w:val="21"/>
        </w:rPr>
        <w:sym w:font="Wingdings" w:char="00A8"/>
      </w:r>
      <w:r>
        <w:rPr>
          <w:rFonts w:hint="eastAsia" w:ascii="宋体" w:hAnsi="宋体" w:eastAsia="宋体"/>
          <w:bCs/>
          <w:szCs w:val="21"/>
        </w:rPr>
        <w:t>是，抽查比例：</w:t>
      </w:r>
      <w:r>
        <w:rPr>
          <w:rFonts w:hint="eastAsia" w:ascii="宋体" w:hAnsi="宋体" w:eastAsia="宋体"/>
          <w:bCs/>
          <w:szCs w:val="21"/>
          <w:u w:val="single"/>
        </w:rPr>
        <w:t xml:space="preserve">        </w:t>
      </w: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否</w:t>
      </w:r>
    </w:p>
    <w:p w14:paraId="51F04A35">
      <w:pPr>
        <w:adjustRightInd w:val="0"/>
        <w:snapToGrid w:val="0"/>
        <w:spacing w:line="400" w:lineRule="exact"/>
        <w:ind w:firstLine="840" w:firstLineChars="400"/>
        <w:rPr>
          <w:rFonts w:hint="eastAsia" w:ascii="宋体" w:hAnsi="宋体" w:eastAsia="宋体"/>
          <w:bCs/>
          <w:szCs w:val="21"/>
          <w:u w:val="single"/>
        </w:rPr>
      </w:pPr>
      <w:r>
        <w:rPr>
          <w:rFonts w:hint="eastAsia" w:ascii="宋体" w:hAnsi="宋体" w:eastAsia="宋体"/>
          <w:bCs/>
          <w:szCs w:val="21"/>
        </w:rPr>
        <w:t>是否存在破坏性检测：</w:t>
      </w:r>
      <w:r>
        <w:rPr>
          <w:rFonts w:hint="eastAsia" w:ascii="宋体" w:hAnsi="宋体" w:eastAsia="宋体" w:cs="宋体"/>
          <w:szCs w:val="21"/>
        </w:rPr>
        <w:sym w:font="Wingdings" w:char="00A8"/>
      </w:r>
      <w:r>
        <w:rPr>
          <w:rFonts w:hint="eastAsia" w:ascii="宋体" w:hAnsi="宋体" w:eastAsia="宋体"/>
          <w:bCs/>
          <w:szCs w:val="21"/>
        </w:rPr>
        <w:t>是，</w:t>
      </w:r>
      <w:r>
        <w:rPr>
          <w:rFonts w:hint="eastAsia" w:ascii="宋体" w:hAnsi="宋体" w:eastAsia="宋体"/>
          <w:bCs/>
          <w:szCs w:val="21"/>
          <w:u w:val="single"/>
        </w:rPr>
        <w:t>（应明确对被破坏的检测产品的处理方式）</w:t>
      </w:r>
    </w:p>
    <w:p w14:paraId="539E7560">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否</w:t>
      </w:r>
    </w:p>
    <w:p w14:paraId="768021A2">
      <w:pPr>
        <w:adjustRightInd w:val="0"/>
        <w:snapToGrid w:val="0"/>
        <w:spacing w:line="400" w:lineRule="exact"/>
        <w:ind w:firstLine="840" w:firstLineChars="400"/>
        <w:rPr>
          <w:rFonts w:hint="eastAsia" w:ascii="宋体" w:hAnsi="宋体" w:eastAsia="宋体"/>
          <w:bCs/>
          <w:szCs w:val="21"/>
          <w:u w:val="single"/>
        </w:rPr>
      </w:pPr>
      <w:r>
        <w:rPr>
          <w:rFonts w:hint="eastAsia" w:ascii="宋体" w:hAnsi="宋体" w:eastAsia="宋体"/>
          <w:bCs/>
          <w:szCs w:val="21"/>
        </w:rPr>
        <w:t>验收组织的其他事项：</w:t>
      </w:r>
      <w:r>
        <w:rPr>
          <w:rFonts w:hint="eastAsia" w:ascii="宋体" w:hAnsi="宋体" w:eastAsia="宋体"/>
          <w:bCs/>
          <w:szCs w:val="21"/>
          <w:u w:val="single"/>
        </w:rPr>
        <w:t xml:space="preserve">                </w:t>
      </w:r>
    </w:p>
    <w:p w14:paraId="7DEC3D4C">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（2）履约验收时间：</w:t>
      </w:r>
      <w:r>
        <w:rPr>
          <w:rFonts w:hint="eastAsia" w:ascii="宋体" w:hAnsi="宋体" w:eastAsia="宋体"/>
          <w:bCs/>
          <w:szCs w:val="21"/>
          <w:u w:val="single"/>
        </w:rPr>
        <w:t xml:space="preserve">（计划于何时验收/供应商提出验收申请之日起   日内组织验收） </w:t>
      </w:r>
    </w:p>
    <w:p w14:paraId="3FCD9F96">
      <w:p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（3）履约验收方式：</w:t>
      </w:r>
      <w:r>
        <w:rPr>
          <w:rFonts w:hint="eastAsia" w:ascii="宋体" w:hAnsi="宋体" w:eastAsia="宋体" w:cs="宋体"/>
          <w:szCs w:val="21"/>
        </w:rPr>
        <w:sym w:font="Wingdings" w:char="00A8"/>
      </w:r>
      <w:r>
        <w:rPr>
          <w:rFonts w:hint="eastAsia" w:ascii="宋体" w:hAnsi="宋体" w:eastAsia="宋体"/>
          <w:bCs/>
          <w:szCs w:val="21"/>
        </w:rPr>
        <w:t xml:space="preserve">一次性验收         </w:t>
      </w:r>
    </w:p>
    <w:p w14:paraId="32A3CC55">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分期/分项验收：</w:t>
      </w:r>
      <w:r>
        <w:rPr>
          <w:rFonts w:hint="eastAsia" w:ascii="宋体" w:hAnsi="宋体" w:eastAsia="宋体"/>
          <w:bCs/>
          <w:szCs w:val="21"/>
          <w:u w:val="single"/>
        </w:rPr>
        <w:t xml:space="preserve"> （应明确分期</w:t>
      </w:r>
      <w:r>
        <w:rPr>
          <w:rFonts w:ascii="宋体" w:hAnsi="宋体" w:eastAsia="宋体"/>
          <w:bCs/>
          <w:szCs w:val="21"/>
          <w:u w:val="single"/>
          <w:lang w:val="en"/>
        </w:rPr>
        <w:t>/</w:t>
      </w:r>
      <w:r>
        <w:rPr>
          <w:rFonts w:hint="eastAsia" w:ascii="宋体" w:hAnsi="宋体" w:eastAsia="宋体"/>
          <w:bCs/>
          <w:szCs w:val="21"/>
          <w:u w:val="single"/>
          <w:lang w:val="en"/>
        </w:rPr>
        <w:t>分项验收的工作安排</w:t>
      </w:r>
      <w:r>
        <w:rPr>
          <w:rFonts w:hint="eastAsia" w:ascii="宋体" w:hAnsi="宋体" w:eastAsia="宋体"/>
          <w:bCs/>
          <w:szCs w:val="21"/>
          <w:u w:val="single"/>
        </w:rPr>
        <w:t xml:space="preserve">）  </w:t>
      </w:r>
    </w:p>
    <w:p w14:paraId="2E4D1CF6">
      <w:p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（4）履约验收程序：</w:t>
      </w:r>
      <w:r>
        <w:rPr>
          <w:rFonts w:hint="eastAsia" w:ascii="宋体" w:hAnsi="宋体" w:eastAsia="宋体"/>
          <w:bCs/>
          <w:szCs w:val="21"/>
          <w:u w:val="single"/>
        </w:rPr>
        <w:t xml:space="preserve">                                         </w:t>
      </w:r>
    </w:p>
    <w:p w14:paraId="001B1491">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（5）履约验收的内容：</w:t>
      </w:r>
      <w:r>
        <w:rPr>
          <w:rFonts w:hint="eastAsia" w:ascii="宋体" w:hAnsi="宋体" w:eastAsia="宋体"/>
          <w:bCs/>
          <w:szCs w:val="21"/>
          <w:u w:val="single"/>
        </w:rPr>
        <w:t xml:space="preserve"> （应当包括每一项技术和商务要求的履约情况，特别是落实政府采购扶持中小企业，支持绿色发展和乡村振兴等政策情况）                                      </w:t>
      </w:r>
    </w:p>
    <w:p w14:paraId="113013AA">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（6）履约验收标准：</w:t>
      </w:r>
      <w:r>
        <w:rPr>
          <w:rFonts w:hint="eastAsia" w:ascii="宋体" w:hAnsi="宋体" w:eastAsia="宋体"/>
          <w:bCs/>
          <w:szCs w:val="21"/>
          <w:u w:val="single"/>
        </w:rPr>
        <w:t xml:space="preserve">                                         </w:t>
      </w:r>
    </w:p>
    <w:p w14:paraId="4ABDABB0">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（7）是否以采购活动中供应商提供的样品作为参考：</w:t>
      </w:r>
      <w:r>
        <w:rPr>
          <w:rFonts w:hint="eastAsia" w:ascii="宋体" w:hAnsi="宋体" w:eastAsia="宋体" w:cs="宋体"/>
          <w:szCs w:val="21"/>
        </w:rPr>
        <w:sym w:font="Wingdings" w:char="00A8"/>
      </w:r>
      <w:r>
        <w:rPr>
          <w:rFonts w:hint="eastAsia" w:ascii="宋体" w:hAnsi="宋体" w:eastAsia="宋体" w:cs="宋体"/>
          <w:bCs/>
          <w:szCs w:val="21"/>
        </w:rPr>
        <w:t xml:space="preserve">是  </w:t>
      </w:r>
      <w:r>
        <w:rPr>
          <w:rFonts w:hint="eastAsia" w:ascii="宋体" w:hAnsi="宋体" w:eastAsia="宋体" w:cs="宋体"/>
          <w:szCs w:val="21"/>
        </w:rPr>
        <w:sym w:font="Wingdings" w:char="00A8"/>
      </w:r>
      <w:r>
        <w:rPr>
          <w:rFonts w:hint="eastAsia" w:ascii="宋体" w:hAnsi="宋体" w:eastAsia="宋体" w:cs="宋体"/>
          <w:bCs/>
          <w:szCs w:val="21"/>
        </w:rPr>
        <w:t>否</w:t>
      </w:r>
    </w:p>
    <w:p w14:paraId="6C900BE4">
      <w:pPr>
        <w:adjustRightInd w:val="0"/>
        <w:snapToGrid w:val="0"/>
        <w:spacing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（产权过户登记等）          </w:t>
      </w:r>
    </w:p>
    <w:p w14:paraId="1B924961">
      <w:pPr>
        <w:numPr>
          <w:ilvl w:val="0"/>
          <w:numId w:val="8"/>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组成合同的文件</w:t>
      </w:r>
    </w:p>
    <w:p w14:paraId="05740BC5">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本协议书与下列文件一起构成合同文件，如下述文件之间有任何抵触、矛盾或歧义，应按以下顺序解释：</w:t>
      </w:r>
    </w:p>
    <w:p w14:paraId="0E0F7A79">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（1）政府采购合同协议书及其变更、补充协议</w:t>
      </w:r>
    </w:p>
    <w:p w14:paraId="66C2B31B">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（2）政府采购合同专用条款</w:t>
      </w:r>
    </w:p>
    <w:p w14:paraId="618BDE90">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（3）政府采购合同通用条款</w:t>
      </w:r>
    </w:p>
    <w:p w14:paraId="0BF1DCCC">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（4）中标（成交）通知书</w:t>
      </w:r>
    </w:p>
    <w:p w14:paraId="631914F0">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（5）投标（响应）文件</w:t>
      </w:r>
    </w:p>
    <w:p w14:paraId="0A6F2D9C">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（6）采购文件</w:t>
      </w:r>
    </w:p>
    <w:p w14:paraId="0F6A2163">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（7）有关技术文件，图纸</w:t>
      </w:r>
    </w:p>
    <w:p w14:paraId="37B1B3EC">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color w:val="000000"/>
          <w:szCs w:val="21"/>
        </w:rPr>
        <w:t>国家法律、行政法规和规章制度规定或合同约定的作为合同组成部分的其他文件</w:t>
      </w:r>
    </w:p>
    <w:p w14:paraId="609BD44F">
      <w:pPr>
        <w:numPr>
          <w:ilvl w:val="0"/>
          <w:numId w:val="8"/>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合同生效</w:t>
      </w:r>
    </w:p>
    <w:p w14:paraId="1D165CE3">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本合同自</w:t>
      </w:r>
      <w:r>
        <w:rPr>
          <w:rFonts w:hint="eastAsia" w:ascii="宋体" w:hAnsi="宋体" w:eastAsia="宋体"/>
          <w:szCs w:val="21"/>
          <w:u w:val="single"/>
        </w:rPr>
        <w:t xml:space="preserve">                             </w:t>
      </w:r>
      <w:r>
        <w:rPr>
          <w:rFonts w:hint="eastAsia" w:ascii="宋体" w:hAnsi="宋体" w:eastAsia="宋体"/>
          <w:szCs w:val="21"/>
        </w:rPr>
        <w:t>生效。</w:t>
      </w:r>
    </w:p>
    <w:p w14:paraId="0D090437">
      <w:pPr>
        <w:numPr>
          <w:ilvl w:val="0"/>
          <w:numId w:val="8"/>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合同份数</w:t>
      </w:r>
    </w:p>
    <w:p w14:paraId="75C7E8A3">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本合同一式</w:t>
      </w:r>
      <w:r>
        <w:rPr>
          <w:rFonts w:hint="eastAsia" w:ascii="宋体" w:hAnsi="宋体" w:eastAsia="宋体"/>
          <w:szCs w:val="21"/>
          <w:u w:val="single"/>
        </w:rPr>
        <w:t xml:space="preserve">    </w:t>
      </w:r>
      <w:r>
        <w:rPr>
          <w:rFonts w:hint="eastAsia" w:ascii="宋体" w:hAnsi="宋体" w:eastAsia="宋体"/>
          <w:szCs w:val="21"/>
        </w:rPr>
        <w:t>份，甲方执</w:t>
      </w:r>
      <w:r>
        <w:rPr>
          <w:rFonts w:hint="eastAsia" w:ascii="宋体" w:hAnsi="宋体" w:eastAsia="宋体"/>
          <w:szCs w:val="21"/>
          <w:u w:val="single"/>
        </w:rPr>
        <w:t xml:space="preserve">    </w:t>
      </w:r>
      <w:r>
        <w:rPr>
          <w:rFonts w:hint="eastAsia" w:ascii="宋体" w:hAnsi="宋体" w:eastAsia="宋体"/>
          <w:szCs w:val="21"/>
        </w:rPr>
        <w:t>份，乙方执</w:t>
      </w:r>
      <w:r>
        <w:rPr>
          <w:rFonts w:hint="eastAsia" w:ascii="宋体" w:hAnsi="宋体" w:eastAsia="宋体"/>
          <w:szCs w:val="21"/>
          <w:u w:val="single"/>
        </w:rPr>
        <w:t xml:space="preserve">    </w:t>
      </w:r>
      <w:r>
        <w:rPr>
          <w:rFonts w:hint="eastAsia" w:ascii="宋体" w:hAnsi="宋体" w:eastAsia="宋体"/>
          <w:szCs w:val="21"/>
        </w:rPr>
        <w:t>份，均具有同等法律效力。</w:t>
      </w:r>
    </w:p>
    <w:p w14:paraId="18F57A0C">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合同订立时间：</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14:paraId="191B0053">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合同订立地点：</w:t>
      </w:r>
      <w:r>
        <w:rPr>
          <w:rFonts w:hint="eastAsia" w:ascii="宋体" w:hAnsi="宋体" w:eastAsia="宋体"/>
          <w:szCs w:val="21"/>
          <w:u w:val="single"/>
        </w:rPr>
        <w:t xml:space="preserve">                           </w:t>
      </w:r>
    </w:p>
    <w:p w14:paraId="58D1ECF7">
      <w:pPr>
        <w:adjustRightInd w:val="0"/>
        <w:snapToGrid w:val="0"/>
        <w:spacing w:line="400" w:lineRule="exact"/>
        <w:ind w:firstLine="420" w:firstLineChars="200"/>
        <w:rPr>
          <w:rFonts w:eastAsia="宋体"/>
        </w:rPr>
      </w:pPr>
      <w:r>
        <w:rPr>
          <w:rFonts w:hint="eastAsia" w:ascii="宋体" w:hAnsi="宋体" w:eastAsia="宋体"/>
          <w:szCs w:val="21"/>
        </w:rPr>
        <w:t>附件：具体标的及其技术要求和商务要求、联合协议、分包意向协议等。</w:t>
      </w:r>
    </w:p>
    <w:p w14:paraId="0AB0EBDB">
      <w:pPr>
        <w:rPr>
          <w:rFonts w:eastAsia="宋体"/>
        </w:rPr>
      </w:pPr>
      <w:r>
        <w:rPr>
          <w:rFonts w:hint="eastAsia" w:eastAsia="宋体"/>
        </w:rPr>
        <w:br w:type="page"/>
      </w:r>
    </w:p>
    <w:p w14:paraId="2853AD83">
      <w:pPr>
        <w:ind w:firstLine="420" w:firstLineChars="200"/>
        <w:rPr>
          <w:rFonts w:ascii="Times New Roman" w:hAnsi="Times New Roman" w:eastAsia="宋体" w:cs="Times New Roman"/>
          <w:szCs w:val="21"/>
        </w:rPr>
      </w:pPr>
    </w:p>
    <w:tbl>
      <w:tblPr>
        <w:tblStyle w:val="1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657507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4032F3D1">
            <w:pPr>
              <w:adjustRightInd w:val="0"/>
              <w:snapToGrid w:val="0"/>
              <w:spacing w:line="300" w:lineRule="exact"/>
              <w:jc w:val="center"/>
              <w:rPr>
                <w:rFonts w:eastAsia="宋体"/>
              </w:rPr>
            </w:pPr>
            <w:r>
              <w:rPr>
                <w:rFonts w:eastAsia="宋体"/>
                <w:szCs w:val="21"/>
              </w:rPr>
              <w:t>甲方</w:t>
            </w:r>
            <w:r>
              <w:rPr>
                <w:rFonts w:hint="eastAsia" w:eastAsia="宋体"/>
                <w:szCs w:val="21"/>
              </w:rPr>
              <w:t>（采购人</w:t>
            </w:r>
            <w:r>
              <w:rPr>
                <w:rFonts w:hint="eastAsia" w:ascii="宋体" w:hAnsi="宋体" w:eastAsia="宋体"/>
                <w:szCs w:val="21"/>
              </w:rPr>
              <w:t>、受采购人委托签订合同的单位或</w:t>
            </w:r>
            <w:r>
              <w:rPr>
                <w:rFonts w:hint="eastAsia" w:eastAsia="宋体"/>
                <w:szCs w:val="21"/>
              </w:rPr>
              <w:t>采购文件约定的合同甲方）</w:t>
            </w:r>
          </w:p>
        </w:tc>
        <w:tc>
          <w:tcPr>
            <w:tcW w:w="4095" w:type="dxa"/>
            <w:gridSpan w:val="2"/>
            <w:tcBorders>
              <w:left w:val="single" w:color="auto" w:sz="2" w:space="0"/>
              <w:bottom w:val="single" w:color="auto" w:sz="2" w:space="0"/>
            </w:tcBorders>
            <w:vAlign w:val="center"/>
          </w:tcPr>
          <w:p w14:paraId="43693C61">
            <w:pPr>
              <w:adjustRightInd w:val="0"/>
              <w:snapToGrid w:val="0"/>
              <w:spacing w:line="300" w:lineRule="exact"/>
              <w:jc w:val="center"/>
              <w:rPr>
                <w:rFonts w:eastAsia="宋体"/>
              </w:rPr>
            </w:pPr>
            <w:r>
              <w:rPr>
                <w:rFonts w:eastAsia="宋体"/>
                <w:szCs w:val="21"/>
              </w:rPr>
              <w:t>乙方</w:t>
            </w:r>
            <w:r>
              <w:rPr>
                <w:rFonts w:hint="eastAsia" w:eastAsia="宋体"/>
                <w:szCs w:val="21"/>
              </w:rPr>
              <w:t>（供应商）</w:t>
            </w:r>
          </w:p>
        </w:tc>
      </w:tr>
      <w:tr w14:paraId="50E435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0C3E414C">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1CE9F1D7">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53D3177">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（公章或合同章）</w:t>
            </w:r>
          </w:p>
        </w:tc>
        <w:tc>
          <w:tcPr>
            <w:tcW w:w="2116" w:type="dxa"/>
            <w:tcBorders>
              <w:top w:val="single" w:color="auto" w:sz="2" w:space="0"/>
              <w:left w:val="single" w:color="auto" w:sz="2" w:space="0"/>
              <w:bottom w:val="single" w:color="auto" w:sz="2" w:space="0"/>
            </w:tcBorders>
            <w:vAlign w:val="center"/>
          </w:tcPr>
          <w:p w14:paraId="37DFBF5A">
            <w:pPr>
              <w:adjustRightInd w:val="0"/>
              <w:snapToGrid w:val="0"/>
              <w:spacing w:line="300" w:lineRule="exact"/>
              <w:jc w:val="center"/>
              <w:rPr>
                <w:rFonts w:eastAsia="宋体"/>
                <w:spacing w:val="20"/>
                <w:szCs w:val="21"/>
              </w:rPr>
            </w:pPr>
          </w:p>
        </w:tc>
      </w:tr>
      <w:tr w14:paraId="09ECC6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23314690">
            <w:pPr>
              <w:adjustRightInd w:val="0"/>
              <w:snapToGrid w:val="0"/>
              <w:spacing w:line="300" w:lineRule="exact"/>
              <w:jc w:val="center"/>
              <w:rPr>
                <w:rFonts w:eastAsia="宋体"/>
                <w:szCs w:val="21"/>
              </w:rPr>
            </w:pPr>
            <w:r>
              <w:rPr>
                <w:rFonts w:eastAsia="宋体"/>
                <w:szCs w:val="21"/>
              </w:rPr>
              <w:t>法定代表人</w:t>
            </w:r>
          </w:p>
          <w:p w14:paraId="519B82B4">
            <w:pPr>
              <w:adjustRightInd w:val="0"/>
              <w:snapToGrid w:val="0"/>
              <w:spacing w:line="300" w:lineRule="exact"/>
              <w:ind w:firstLine="100" w:firstLineChars="48"/>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412" w:type="dxa"/>
            <w:vMerge w:val="restart"/>
            <w:tcBorders>
              <w:top w:val="single" w:color="auto" w:sz="2" w:space="0"/>
              <w:left w:val="single" w:color="auto" w:sz="2" w:space="0"/>
              <w:right w:val="single" w:color="auto" w:sz="2" w:space="0"/>
            </w:tcBorders>
            <w:vAlign w:val="center"/>
          </w:tcPr>
          <w:p w14:paraId="6B1EA5D0">
            <w:pPr>
              <w:adjustRightInd w:val="0"/>
              <w:snapToGrid w:val="0"/>
              <w:spacing w:line="300" w:lineRule="exact"/>
              <w:jc w:val="center"/>
              <w:rPr>
                <w:rFonts w:eastAsia="宋体"/>
                <w:szCs w:val="21"/>
              </w:rPr>
            </w:pPr>
          </w:p>
        </w:tc>
        <w:tc>
          <w:tcPr>
            <w:tcW w:w="1979" w:type="dxa"/>
            <w:tcBorders>
              <w:top w:val="single" w:color="auto" w:sz="2" w:space="0"/>
              <w:left w:val="single" w:color="auto" w:sz="2" w:space="0"/>
              <w:right w:val="single" w:color="auto" w:sz="2" w:space="0"/>
            </w:tcBorders>
            <w:vAlign w:val="center"/>
          </w:tcPr>
          <w:p w14:paraId="354884D8">
            <w:pPr>
              <w:adjustRightInd w:val="0"/>
              <w:snapToGrid w:val="0"/>
              <w:spacing w:line="300" w:lineRule="exact"/>
              <w:jc w:val="center"/>
              <w:rPr>
                <w:rFonts w:eastAsia="宋体"/>
                <w:szCs w:val="21"/>
              </w:rPr>
            </w:pPr>
            <w:r>
              <w:rPr>
                <w:rFonts w:eastAsia="宋体"/>
                <w:szCs w:val="21"/>
              </w:rPr>
              <w:t>法定代表人</w:t>
            </w:r>
          </w:p>
          <w:p w14:paraId="6B6CC79F">
            <w:pPr>
              <w:adjustRightInd w:val="0"/>
              <w:snapToGrid w:val="0"/>
              <w:spacing w:line="300" w:lineRule="exact"/>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116" w:type="dxa"/>
            <w:tcBorders>
              <w:top w:val="single" w:color="auto" w:sz="2" w:space="0"/>
              <w:left w:val="single" w:color="auto" w:sz="2" w:space="0"/>
              <w:bottom w:val="single" w:color="auto" w:sz="2" w:space="0"/>
            </w:tcBorders>
            <w:vAlign w:val="center"/>
          </w:tcPr>
          <w:p w14:paraId="55BE4EC6">
            <w:pPr>
              <w:adjustRightInd w:val="0"/>
              <w:snapToGrid w:val="0"/>
              <w:spacing w:line="300" w:lineRule="exact"/>
              <w:jc w:val="center"/>
              <w:rPr>
                <w:rFonts w:eastAsia="宋体"/>
                <w:szCs w:val="21"/>
              </w:rPr>
            </w:pPr>
          </w:p>
        </w:tc>
      </w:tr>
      <w:tr w14:paraId="09B4C8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6E7217A8">
            <w:pPr>
              <w:adjustRightInd w:val="0"/>
              <w:snapToGrid w:val="0"/>
              <w:spacing w:line="300" w:lineRule="exact"/>
              <w:jc w:val="center"/>
              <w:rPr>
                <w:rFonts w:eastAsia="宋体"/>
                <w:szCs w:val="21"/>
              </w:rPr>
            </w:pPr>
          </w:p>
        </w:tc>
        <w:tc>
          <w:tcPr>
            <w:tcW w:w="2412" w:type="dxa"/>
            <w:vMerge w:val="continue"/>
            <w:tcBorders>
              <w:left w:val="single" w:color="auto" w:sz="2" w:space="0"/>
              <w:bottom w:val="single" w:color="auto" w:sz="2" w:space="0"/>
              <w:right w:val="single" w:color="auto" w:sz="2" w:space="0"/>
            </w:tcBorders>
            <w:vAlign w:val="center"/>
          </w:tcPr>
          <w:p w14:paraId="5D8E90A3">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0CCAA32">
            <w:pPr>
              <w:adjustRightInd w:val="0"/>
              <w:snapToGrid w:val="0"/>
              <w:spacing w:line="300" w:lineRule="exact"/>
              <w:jc w:val="center"/>
              <w:rPr>
                <w:rFonts w:eastAsia="宋体"/>
                <w:szCs w:val="21"/>
              </w:rPr>
            </w:pPr>
            <w:r>
              <w:rPr>
                <w:rFonts w:hint="eastAsia" w:eastAsia="宋体"/>
                <w:szCs w:val="21"/>
              </w:rPr>
              <w:t>拥有者性别</w:t>
            </w:r>
          </w:p>
        </w:tc>
        <w:tc>
          <w:tcPr>
            <w:tcW w:w="2116" w:type="dxa"/>
            <w:tcBorders>
              <w:top w:val="single" w:color="auto" w:sz="2" w:space="0"/>
              <w:left w:val="single" w:color="auto" w:sz="2" w:space="0"/>
              <w:bottom w:val="single" w:color="auto" w:sz="2" w:space="0"/>
            </w:tcBorders>
            <w:vAlign w:val="center"/>
          </w:tcPr>
          <w:p w14:paraId="013F9970">
            <w:pPr>
              <w:adjustRightInd w:val="0"/>
              <w:snapToGrid w:val="0"/>
              <w:spacing w:line="300" w:lineRule="exact"/>
              <w:jc w:val="center"/>
              <w:rPr>
                <w:rFonts w:eastAsia="宋体"/>
                <w:spacing w:val="20"/>
                <w:szCs w:val="21"/>
              </w:rPr>
            </w:pPr>
          </w:p>
        </w:tc>
      </w:tr>
      <w:tr w14:paraId="392070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BEF720E">
            <w:pPr>
              <w:adjustRightInd w:val="0"/>
              <w:snapToGrid w:val="0"/>
              <w:spacing w:line="300" w:lineRule="exact"/>
              <w:jc w:val="center"/>
              <w:rPr>
                <w:rFonts w:eastAsia="宋体"/>
                <w:szCs w:val="21"/>
              </w:rPr>
            </w:pPr>
            <w:r>
              <w:rPr>
                <w:rFonts w:hint="eastAsia" w:eastAsia="宋体"/>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3BDB459F">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8A34D9A">
            <w:pPr>
              <w:adjustRightInd w:val="0"/>
              <w:snapToGrid w:val="0"/>
              <w:spacing w:line="300" w:lineRule="exact"/>
              <w:jc w:val="center"/>
              <w:rPr>
                <w:rFonts w:eastAsia="宋体"/>
                <w:szCs w:val="21"/>
              </w:rPr>
            </w:pPr>
            <w:r>
              <w:rPr>
                <w:rFonts w:hint="eastAsia" w:eastAsia="宋体"/>
                <w:szCs w:val="21"/>
              </w:rPr>
              <w:t>住  所</w:t>
            </w:r>
          </w:p>
        </w:tc>
        <w:tc>
          <w:tcPr>
            <w:tcW w:w="2116" w:type="dxa"/>
            <w:tcBorders>
              <w:top w:val="single" w:color="auto" w:sz="2" w:space="0"/>
              <w:left w:val="single" w:color="auto" w:sz="2" w:space="0"/>
              <w:bottom w:val="single" w:color="auto" w:sz="2" w:space="0"/>
            </w:tcBorders>
            <w:vAlign w:val="center"/>
          </w:tcPr>
          <w:p w14:paraId="78BB0447">
            <w:pPr>
              <w:adjustRightInd w:val="0"/>
              <w:snapToGrid w:val="0"/>
              <w:spacing w:line="300" w:lineRule="exact"/>
              <w:jc w:val="center"/>
              <w:rPr>
                <w:rFonts w:eastAsia="宋体"/>
                <w:spacing w:val="20"/>
                <w:szCs w:val="21"/>
              </w:rPr>
            </w:pPr>
          </w:p>
        </w:tc>
      </w:tr>
      <w:tr w14:paraId="2B1339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E48CAE3">
            <w:pPr>
              <w:adjustRightInd w:val="0"/>
              <w:snapToGrid w:val="0"/>
              <w:spacing w:line="300" w:lineRule="exact"/>
              <w:jc w:val="center"/>
              <w:rPr>
                <w:rFonts w:eastAsia="宋体"/>
                <w:szCs w:val="21"/>
              </w:rPr>
            </w:pPr>
            <w:r>
              <w:rPr>
                <w:rFonts w:eastAsia="宋体"/>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0AB053CA">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C53A5AB">
            <w:pPr>
              <w:adjustRightInd w:val="0"/>
              <w:snapToGrid w:val="0"/>
              <w:spacing w:line="300" w:lineRule="exact"/>
              <w:jc w:val="center"/>
              <w:rPr>
                <w:rFonts w:eastAsia="宋体"/>
                <w:szCs w:val="21"/>
              </w:rPr>
            </w:pPr>
            <w:r>
              <w:rPr>
                <w:rFonts w:eastAsia="宋体"/>
                <w:szCs w:val="21"/>
              </w:rPr>
              <w:t>联 系 人</w:t>
            </w:r>
          </w:p>
        </w:tc>
        <w:tc>
          <w:tcPr>
            <w:tcW w:w="2116" w:type="dxa"/>
            <w:tcBorders>
              <w:top w:val="single" w:color="auto" w:sz="2" w:space="0"/>
              <w:left w:val="single" w:color="auto" w:sz="2" w:space="0"/>
              <w:bottom w:val="single" w:color="auto" w:sz="2" w:space="0"/>
            </w:tcBorders>
            <w:vAlign w:val="center"/>
          </w:tcPr>
          <w:p w14:paraId="222B19B9">
            <w:pPr>
              <w:adjustRightInd w:val="0"/>
              <w:snapToGrid w:val="0"/>
              <w:spacing w:line="300" w:lineRule="exact"/>
              <w:jc w:val="center"/>
              <w:rPr>
                <w:rFonts w:eastAsia="宋体"/>
                <w:spacing w:val="20"/>
                <w:szCs w:val="21"/>
              </w:rPr>
            </w:pPr>
          </w:p>
        </w:tc>
      </w:tr>
      <w:tr w14:paraId="41D077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D22B207">
            <w:pPr>
              <w:adjustRightInd w:val="0"/>
              <w:snapToGrid w:val="0"/>
              <w:spacing w:line="300" w:lineRule="exact"/>
              <w:jc w:val="center"/>
              <w:rPr>
                <w:rFonts w:eastAsia="宋体"/>
                <w:szCs w:val="21"/>
              </w:rPr>
            </w:pPr>
            <w:r>
              <w:rPr>
                <w:rFonts w:eastAsia="宋体"/>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19431EE4">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49B66A0">
            <w:pPr>
              <w:adjustRightInd w:val="0"/>
              <w:snapToGrid w:val="0"/>
              <w:spacing w:line="300" w:lineRule="exact"/>
              <w:jc w:val="center"/>
              <w:rPr>
                <w:rFonts w:eastAsia="宋体"/>
                <w:szCs w:val="21"/>
              </w:rPr>
            </w:pPr>
            <w:r>
              <w:rPr>
                <w:rFonts w:eastAsia="宋体"/>
                <w:szCs w:val="21"/>
              </w:rPr>
              <w:t>联系电话</w:t>
            </w:r>
          </w:p>
        </w:tc>
        <w:tc>
          <w:tcPr>
            <w:tcW w:w="2116" w:type="dxa"/>
            <w:tcBorders>
              <w:top w:val="single" w:color="auto" w:sz="2" w:space="0"/>
              <w:left w:val="single" w:color="auto" w:sz="2" w:space="0"/>
              <w:bottom w:val="single" w:color="auto" w:sz="2" w:space="0"/>
            </w:tcBorders>
            <w:vAlign w:val="center"/>
          </w:tcPr>
          <w:p w14:paraId="5154FBD1">
            <w:pPr>
              <w:adjustRightInd w:val="0"/>
              <w:snapToGrid w:val="0"/>
              <w:spacing w:line="300" w:lineRule="exact"/>
              <w:jc w:val="center"/>
              <w:rPr>
                <w:rFonts w:eastAsia="宋体"/>
                <w:spacing w:val="20"/>
                <w:szCs w:val="21"/>
              </w:rPr>
            </w:pPr>
          </w:p>
        </w:tc>
      </w:tr>
      <w:tr w14:paraId="0CA704E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7D19AB5">
            <w:pPr>
              <w:adjustRightInd w:val="0"/>
              <w:snapToGrid w:val="0"/>
              <w:spacing w:line="300" w:lineRule="exact"/>
              <w:jc w:val="center"/>
              <w:rPr>
                <w:rFonts w:eastAsia="宋体"/>
                <w:szCs w:val="21"/>
              </w:rPr>
            </w:pPr>
            <w:r>
              <w:rPr>
                <w:rFonts w:hint="eastAsia" w:eastAsia="宋体"/>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6B22B09D">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39AABE2">
            <w:pPr>
              <w:adjustRightInd w:val="0"/>
              <w:snapToGrid w:val="0"/>
              <w:spacing w:line="300" w:lineRule="exact"/>
              <w:jc w:val="center"/>
              <w:rPr>
                <w:rFonts w:eastAsia="宋体"/>
                <w:szCs w:val="21"/>
              </w:rPr>
            </w:pPr>
            <w:r>
              <w:rPr>
                <w:rFonts w:hint="eastAsia" w:eastAsia="宋体"/>
                <w:szCs w:val="21"/>
              </w:rPr>
              <w:t>通信地址</w:t>
            </w:r>
          </w:p>
        </w:tc>
        <w:tc>
          <w:tcPr>
            <w:tcW w:w="2116" w:type="dxa"/>
            <w:tcBorders>
              <w:top w:val="single" w:color="auto" w:sz="2" w:space="0"/>
              <w:left w:val="single" w:color="auto" w:sz="2" w:space="0"/>
              <w:bottom w:val="single" w:color="auto" w:sz="2" w:space="0"/>
            </w:tcBorders>
            <w:vAlign w:val="center"/>
          </w:tcPr>
          <w:p w14:paraId="0541BDCD">
            <w:pPr>
              <w:adjustRightInd w:val="0"/>
              <w:snapToGrid w:val="0"/>
              <w:spacing w:line="300" w:lineRule="exact"/>
              <w:jc w:val="center"/>
              <w:rPr>
                <w:rFonts w:eastAsia="宋体"/>
                <w:spacing w:val="20"/>
                <w:szCs w:val="21"/>
              </w:rPr>
            </w:pPr>
          </w:p>
        </w:tc>
      </w:tr>
      <w:tr w14:paraId="500FB0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A74F19">
            <w:pPr>
              <w:adjustRightInd w:val="0"/>
              <w:snapToGrid w:val="0"/>
              <w:spacing w:line="300" w:lineRule="exact"/>
              <w:jc w:val="center"/>
              <w:rPr>
                <w:rFonts w:eastAsia="宋体"/>
                <w:szCs w:val="21"/>
              </w:rPr>
            </w:pPr>
            <w:r>
              <w:rPr>
                <w:rFonts w:eastAsia="宋体"/>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1CD7F6F5">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EBB357C">
            <w:pPr>
              <w:adjustRightInd w:val="0"/>
              <w:snapToGrid w:val="0"/>
              <w:spacing w:line="300" w:lineRule="exact"/>
              <w:jc w:val="center"/>
              <w:rPr>
                <w:rFonts w:eastAsia="宋体"/>
                <w:szCs w:val="21"/>
              </w:rPr>
            </w:pPr>
            <w:r>
              <w:rPr>
                <w:rFonts w:eastAsia="宋体"/>
                <w:szCs w:val="21"/>
              </w:rPr>
              <w:t>邮政编码</w:t>
            </w:r>
          </w:p>
        </w:tc>
        <w:tc>
          <w:tcPr>
            <w:tcW w:w="2116" w:type="dxa"/>
            <w:tcBorders>
              <w:top w:val="single" w:color="auto" w:sz="2" w:space="0"/>
              <w:left w:val="single" w:color="auto" w:sz="2" w:space="0"/>
              <w:bottom w:val="single" w:color="auto" w:sz="2" w:space="0"/>
            </w:tcBorders>
            <w:vAlign w:val="center"/>
          </w:tcPr>
          <w:p w14:paraId="5C3F1ED6">
            <w:pPr>
              <w:adjustRightInd w:val="0"/>
              <w:snapToGrid w:val="0"/>
              <w:spacing w:line="300" w:lineRule="exact"/>
              <w:jc w:val="center"/>
              <w:rPr>
                <w:rFonts w:eastAsia="宋体"/>
                <w:spacing w:val="20"/>
                <w:szCs w:val="21"/>
              </w:rPr>
            </w:pPr>
          </w:p>
        </w:tc>
      </w:tr>
      <w:tr w14:paraId="2CBE34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5158906">
            <w:pPr>
              <w:adjustRightInd w:val="0"/>
              <w:snapToGrid w:val="0"/>
              <w:spacing w:line="300" w:lineRule="exact"/>
              <w:jc w:val="center"/>
              <w:rPr>
                <w:rFonts w:eastAsia="宋体"/>
                <w:szCs w:val="21"/>
              </w:rPr>
            </w:pPr>
            <w:r>
              <w:rPr>
                <w:rFonts w:hint="eastAsia" w:eastAsia="宋体"/>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1B68D471">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0C55FDE">
            <w:pPr>
              <w:adjustRightInd w:val="0"/>
              <w:snapToGrid w:val="0"/>
              <w:spacing w:line="300" w:lineRule="exact"/>
              <w:jc w:val="center"/>
              <w:rPr>
                <w:rFonts w:eastAsia="宋体"/>
                <w:szCs w:val="21"/>
              </w:rPr>
            </w:pPr>
            <w:r>
              <w:rPr>
                <w:rFonts w:hint="eastAsia" w:eastAsia="宋体"/>
                <w:szCs w:val="21"/>
              </w:rPr>
              <w:t>电子邮箱</w:t>
            </w:r>
          </w:p>
        </w:tc>
        <w:tc>
          <w:tcPr>
            <w:tcW w:w="2116" w:type="dxa"/>
            <w:tcBorders>
              <w:top w:val="single" w:color="auto" w:sz="2" w:space="0"/>
              <w:left w:val="single" w:color="auto" w:sz="2" w:space="0"/>
              <w:bottom w:val="single" w:color="auto" w:sz="2" w:space="0"/>
            </w:tcBorders>
            <w:vAlign w:val="center"/>
          </w:tcPr>
          <w:p w14:paraId="198E9690">
            <w:pPr>
              <w:adjustRightInd w:val="0"/>
              <w:snapToGrid w:val="0"/>
              <w:spacing w:line="300" w:lineRule="exact"/>
              <w:jc w:val="center"/>
              <w:rPr>
                <w:rFonts w:eastAsia="宋体"/>
                <w:spacing w:val="20"/>
                <w:szCs w:val="21"/>
              </w:rPr>
            </w:pPr>
          </w:p>
        </w:tc>
      </w:tr>
      <w:tr w14:paraId="011C5C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AD80387">
            <w:pPr>
              <w:adjustRightInd w:val="0"/>
              <w:snapToGrid w:val="0"/>
              <w:spacing w:line="300" w:lineRule="exact"/>
              <w:jc w:val="center"/>
              <w:rPr>
                <w:rFonts w:eastAsia="宋体"/>
                <w:szCs w:val="21"/>
              </w:rPr>
            </w:pPr>
            <w:r>
              <w:rPr>
                <w:rFonts w:hint="eastAsia" w:eastAsia="宋体"/>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298C2679">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F014566">
            <w:pPr>
              <w:adjustRightInd w:val="0"/>
              <w:snapToGrid w:val="0"/>
              <w:spacing w:line="300" w:lineRule="exact"/>
              <w:jc w:val="center"/>
              <w:rPr>
                <w:rFonts w:eastAsia="宋体"/>
                <w:szCs w:val="21"/>
              </w:rPr>
            </w:pPr>
            <w:r>
              <w:rPr>
                <w:rFonts w:hint="eastAsia" w:eastAsia="宋体"/>
                <w:szCs w:val="21"/>
              </w:rPr>
              <w:t>统一社会信用代码</w:t>
            </w:r>
          </w:p>
        </w:tc>
        <w:tc>
          <w:tcPr>
            <w:tcW w:w="2116" w:type="dxa"/>
            <w:tcBorders>
              <w:top w:val="single" w:color="auto" w:sz="2" w:space="0"/>
              <w:left w:val="single" w:color="auto" w:sz="2" w:space="0"/>
              <w:bottom w:val="single" w:color="auto" w:sz="2" w:space="0"/>
            </w:tcBorders>
            <w:vAlign w:val="center"/>
          </w:tcPr>
          <w:p w14:paraId="0F96863B">
            <w:pPr>
              <w:adjustRightInd w:val="0"/>
              <w:snapToGrid w:val="0"/>
              <w:spacing w:line="300" w:lineRule="exact"/>
              <w:jc w:val="center"/>
              <w:rPr>
                <w:rFonts w:eastAsia="宋体"/>
                <w:spacing w:val="20"/>
                <w:szCs w:val="21"/>
              </w:rPr>
            </w:pPr>
          </w:p>
        </w:tc>
      </w:tr>
      <w:tr w14:paraId="782BD1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4B837ED">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70A2FBF7">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67135EB">
            <w:pPr>
              <w:adjustRightInd w:val="0"/>
              <w:snapToGrid w:val="0"/>
              <w:spacing w:line="300" w:lineRule="exact"/>
              <w:jc w:val="center"/>
              <w:rPr>
                <w:rFonts w:eastAsia="宋体"/>
                <w:szCs w:val="21"/>
              </w:rPr>
            </w:pPr>
            <w:r>
              <w:rPr>
                <w:rFonts w:eastAsia="宋体"/>
                <w:szCs w:val="21"/>
              </w:rPr>
              <w:t>开户名称</w:t>
            </w:r>
          </w:p>
        </w:tc>
        <w:tc>
          <w:tcPr>
            <w:tcW w:w="2116" w:type="dxa"/>
            <w:tcBorders>
              <w:top w:val="single" w:color="auto" w:sz="2" w:space="0"/>
              <w:left w:val="single" w:color="auto" w:sz="2" w:space="0"/>
              <w:bottom w:val="single" w:color="auto" w:sz="2" w:space="0"/>
            </w:tcBorders>
            <w:vAlign w:val="center"/>
          </w:tcPr>
          <w:p w14:paraId="0AB37503">
            <w:pPr>
              <w:adjustRightInd w:val="0"/>
              <w:snapToGrid w:val="0"/>
              <w:spacing w:line="300" w:lineRule="exact"/>
              <w:jc w:val="center"/>
              <w:rPr>
                <w:rFonts w:eastAsia="宋体"/>
                <w:spacing w:val="20"/>
                <w:szCs w:val="21"/>
              </w:rPr>
            </w:pPr>
          </w:p>
        </w:tc>
      </w:tr>
      <w:tr w14:paraId="257636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42DA748">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1A3272D5">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B556525">
            <w:pPr>
              <w:adjustRightInd w:val="0"/>
              <w:snapToGrid w:val="0"/>
              <w:spacing w:line="300" w:lineRule="exact"/>
              <w:jc w:val="center"/>
              <w:rPr>
                <w:rFonts w:eastAsia="宋体"/>
                <w:szCs w:val="21"/>
              </w:rPr>
            </w:pPr>
            <w:r>
              <w:rPr>
                <w:rFonts w:eastAsia="宋体"/>
                <w:szCs w:val="21"/>
              </w:rPr>
              <w:t>开户银行</w:t>
            </w:r>
          </w:p>
        </w:tc>
        <w:tc>
          <w:tcPr>
            <w:tcW w:w="2116" w:type="dxa"/>
            <w:tcBorders>
              <w:top w:val="single" w:color="auto" w:sz="2" w:space="0"/>
              <w:left w:val="single" w:color="auto" w:sz="2" w:space="0"/>
              <w:bottom w:val="single" w:color="auto" w:sz="2" w:space="0"/>
            </w:tcBorders>
            <w:vAlign w:val="center"/>
          </w:tcPr>
          <w:p w14:paraId="4704E791">
            <w:pPr>
              <w:adjustRightInd w:val="0"/>
              <w:snapToGrid w:val="0"/>
              <w:spacing w:line="300" w:lineRule="exact"/>
              <w:jc w:val="center"/>
              <w:rPr>
                <w:rFonts w:eastAsia="宋体"/>
                <w:spacing w:val="20"/>
                <w:szCs w:val="21"/>
              </w:rPr>
            </w:pPr>
          </w:p>
        </w:tc>
      </w:tr>
      <w:tr w14:paraId="22F71B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31CC258">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280FC382">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9651B3A">
            <w:pPr>
              <w:adjustRightInd w:val="0"/>
              <w:snapToGrid w:val="0"/>
              <w:spacing w:line="300" w:lineRule="exact"/>
              <w:jc w:val="center"/>
              <w:rPr>
                <w:rFonts w:eastAsia="宋体"/>
                <w:szCs w:val="21"/>
              </w:rPr>
            </w:pPr>
            <w:r>
              <w:rPr>
                <w:rFonts w:eastAsia="宋体"/>
                <w:szCs w:val="21"/>
              </w:rPr>
              <w:t>银行账号</w:t>
            </w:r>
          </w:p>
        </w:tc>
        <w:tc>
          <w:tcPr>
            <w:tcW w:w="2116" w:type="dxa"/>
            <w:tcBorders>
              <w:top w:val="single" w:color="auto" w:sz="2" w:space="0"/>
              <w:left w:val="single" w:color="auto" w:sz="2" w:space="0"/>
              <w:bottom w:val="single" w:color="auto" w:sz="2" w:space="0"/>
            </w:tcBorders>
            <w:vAlign w:val="center"/>
          </w:tcPr>
          <w:p w14:paraId="5BF8E34D">
            <w:pPr>
              <w:adjustRightInd w:val="0"/>
              <w:snapToGrid w:val="0"/>
              <w:spacing w:line="300" w:lineRule="exact"/>
              <w:jc w:val="center"/>
              <w:rPr>
                <w:rFonts w:eastAsia="宋体"/>
                <w:spacing w:val="20"/>
                <w:szCs w:val="21"/>
              </w:rPr>
            </w:pPr>
          </w:p>
        </w:tc>
      </w:tr>
      <w:tr w14:paraId="406733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53509594">
            <w:pPr>
              <w:adjustRightInd w:val="0"/>
              <w:snapToGrid w:val="0"/>
              <w:spacing w:before="156" w:beforeLines="50" w:line="360" w:lineRule="auto"/>
              <w:jc w:val="left"/>
              <w:rPr>
                <w:rFonts w:ascii="Times New Roman" w:hAnsi="Times New Roman" w:eastAsia="宋体" w:cs="Times New Roman"/>
                <w:spacing w:val="20"/>
                <w:szCs w:val="21"/>
              </w:rPr>
            </w:pPr>
            <w:r>
              <w:rPr>
                <w:rFonts w:hint="eastAsia" w:ascii="宋体" w:hAnsi="宋体" w:eastAsia="宋体" w:cs="Times New Roman"/>
                <w:szCs w:val="21"/>
              </w:rPr>
              <w:t>注：涉及联合体或其他合同主体的信息应按上表格式加列。</w:t>
            </w:r>
          </w:p>
        </w:tc>
      </w:tr>
    </w:tbl>
    <w:p w14:paraId="54415C5B">
      <w:pPr>
        <w:ind w:firstLine="527" w:firstLineChars="250"/>
        <w:rPr>
          <w:rFonts w:hint="eastAsia" w:ascii="宋体" w:hAnsi="宋体"/>
          <w:b/>
          <w:szCs w:val="21"/>
        </w:rPr>
      </w:pPr>
    </w:p>
    <w:p w14:paraId="7479F259">
      <w:pPr>
        <w:keepNext/>
        <w:keepLines/>
        <w:adjustRightInd w:val="0"/>
        <w:snapToGrid w:val="0"/>
        <w:spacing w:before="156" w:beforeLines="50" w:line="360" w:lineRule="auto"/>
        <w:jc w:val="center"/>
        <w:outlineLvl w:val="1"/>
        <w:rPr>
          <w:rFonts w:hint="eastAsia" w:ascii="黑体" w:hAnsi="黑体" w:eastAsia="黑体" w:cs="Times New Roman"/>
          <w:b/>
          <w:bCs/>
          <w:sz w:val="28"/>
          <w:szCs w:val="28"/>
        </w:rPr>
      </w:pPr>
      <w:bookmarkStart w:id="51" w:name="_Toc27624"/>
      <w:r>
        <w:rPr>
          <w:rFonts w:hint="eastAsia" w:ascii="黑体" w:hAnsi="黑体" w:eastAsia="黑体" w:cs="Times New Roman"/>
          <w:sz w:val="28"/>
          <w:szCs w:val="28"/>
        </w:rPr>
        <w:t>第二节 政府采购合同通用条款</w:t>
      </w:r>
      <w:bookmarkEnd w:id="51"/>
    </w:p>
    <w:p w14:paraId="2C1FC63B">
      <w:pPr>
        <w:tabs>
          <w:tab w:val="left" w:pos="8820"/>
          <w:tab w:val="left" w:pos="9345"/>
          <w:tab w:val="left" w:pos="9765"/>
        </w:tabs>
        <w:adjustRightInd w:val="0"/>
        <w:snapToGrid w:val="0"/>
        <w:spacing w:line="400" w:lineRule="exact"/>
        <w:jc w:val="left"/>
        <w:rPr>
          <w:rFonts w:hint="eastAsia" w:ascii="宋体" w:hAnsi="宋体" w:eastAsia="宋体"/>
          <w:b/>
          <w:bCs/>
          <w:sz w:val="24"/>
        </w:rPr>
      </w:pPr>
      <w:r>
        <w:rPr>
          <w:rFonts w:hint="eastAsia" w:ascii="宋体" w:hAnsi="宋体" w:eastAsia="宋体"/>
          <w:b/>
          <w:sz w:val="24"/>
        </w:rPr>
        <w:t xml:space="preserve">1. </w:t>
      </w:r>
      <w:r>
        <w:rPr>
          <w:rFonts w:hint="eastAsia" w:ascii="宋体" w:hAnsi="宋体" w:eastAsia="宋体"/>
          <w:b/>
          <w:bCs/>
          <w:sz w:val="24"/>
        </w:rPr>
        <w:t>定义</w:t>
      </w:r>
    </w:p>
    <w:p w14:paraId="0DD0E955">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1.1合同当事人</w:t>
      </w:r>
    </w:p>
    <w:p w14:paraId="0FF6141B">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（1）采购人（以下称甲方）是指使用财政性资金，通过政府采购方式向供应商购买货物及其相关服务的国家机关、事业单位、团体组织。</w:t>
      </w:r>
    </w:p>
    <w:p w14:paraId="1B5E35D9">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（2）供应商（以下称乙方）是指参加政府采购活动并且中标（成交），向采购人提供合同约定的货物及其相关服务的法人、非法人组织或者自然人。</w:t>
      </w:r>
    </w:p>
    <w:p w14:paraId="50D9F751">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szCs w:val="21"/>
        </w:rPr>
        <w:t>。</w:t>
      </w:r>
    </w:p>
    <w:p w14:paraId="321CF5C8">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1.2本合同下列术语应解释为：</w:t>
      </w:r>
    </w:p>
    <w:p w14:paraId="20D1D18F">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szCs w:val="21"/>
        </w:rPr>
        <w:t>国家法律、行政法规和规章制度规定或合同约定的作为合同组成部分的其他文件</w:t>
      </w:r>
      <w:r>
        <w:rPr>
          <w:rFonts w:hint="eastAsia" w:ascii="宋体" w:hAnsi="宋体" w:eastAsia="宋体"/>
          <w:szCs w:val="21"/>
        </w:rPr>
        <w:t>。</w:t>
      </w:r>
    </w:p>
    <w:p w14:paraId="45480744">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（2）“合同价款”系指根据本合同规定乙方在全面履行合同义务后甲方应支付给乙方的价款。</w:t>
      </w:r>
    </w:p>
    <w:p w14:paraId="0ECFFC3C">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szCs w:val="21"/>
        </w:rPr>
        <w:t>（3）“货物”系指乙方根据本合同规定须向甲方提供的各种形态和种类的物品，包括原材料、设备、产品（</w:t>
      </w:r>
      <w:r>
        <w:rPr>
          <w:rFonts w:hint="eastAsia" w:ascii="宋体" w:hAnsi="宋体" w:eastAsia="宋体"/>
          <w:color w:val="000000"/>
          <w:szCs w:val="21"/>
        </w:rPr>
        <w:t>包括软件）及相关的其备品备件、工具、手册及</w:t>
      </w:r>
      <w:r>
        <w:rPr>
          <w:rFonts w:ascii="宋体" w:hAnsi="宋体" w:eastAsia="宋体"/>
          <w:color w:val="000000"/>
          <w:szCs w:val="21"/>
          <w:lang w:val="en"/>
        </w:rPr>
        <w:t>其他</w:t>
      </w:r>
      <w:r>
        <w:rPr>
          <w:rFonts w:hint="eastAsia" w:ascii="宋体" w:hAnsi="宋体" w:eastAsia="宋体"/>
          <w:color w:val="000000"/>
          <w:szCs w:val="21"/>
        </w:rPr>
        <w:t>技术资料和材料等。</w:t>
      </w:r>
    </w:p>
    <w:p w14:paraId="64B65D2A">
      <w:pPr>
        <w:adjustRightInd w:val="0"/>
        <w:snapToGrid w:val="0"/>
        <w:spacing w:line="400" w:lineRule="exact"/>
        <w:ind w:firstLine="420" w:firstLineChars="200"/>
        <w:jc w:val="left"/>
        <w:rPr>
          <w:rFonts w:hint="eastAsia" w:ascii="宋体" w:hAnsi="宋体" w:eastAsia="宋体"/>
          <w:color w:val="000000"/>
          <w:szCs w:val="21"/>
          <w:highlight w:val="yellow"/>
        </w:rPr>
      </w:pPr>
      <w:r>
        <w:rPr>
          <w:rFonts w:hint="eastAsia" w:ascii="宋体" w:hAnsi="宋体" w:eastAsia="宋体"/>
          <w:color w:val="000000"/>
          <w:szCs w:val="21"/>
        </w:rPr>
        <w:t>（4）“</w:t>
      </w:r>
      <w:r>
        <w:rPr>
          <w:rFonts w:hint="eastAsia" w:ascii="宋体" w:hAnsi="宋体" w:eastAsia="宋体"/>
          <w:szCs w:val="21"/>
        </w:rPr>
        <w:t>相关</w:t>
      </w:r>
      <w:r>
        <w:rPr>
          <w:rFonts w:hint="eastAsia" w:ascii="宋体" w:hAnsi="宋体" w:eastAsia="宋体"/>
          <w:color w:val="000000"/>
          <w:szCs w:val="21"/>
        </w:rPr>
        <w:t>服务”系指根据合同规定，乙方应提供的与货物有关的技术、管理和</w:t>
      </w:r>
      <w:r>
        <w:rPr>
          <w:rFonts w:ascii="宋体" w:hAnsi="宋体" w:eastAsia="宋体"/>
          <w:color w:val="000000"/>
          <w:szCs w:val="21"/>
          <w:lang w:val="en"/>
        </w:rPr>
        <w:t>其他</w:t>
      </w:r>
      <w:r>
        <w:rPr>
          <w:rFonts w:hint="eastAsia" w:ascii="宋体" w:hAnsi="宋体" w:eastAsia="宋体"/>
          <w:color w:val="000000"/>
          <w:szCs w:val="21"/>
        </w:rPr>
        <w:t>服务，包括但不限于：管理和质量保证、运输、保险、检验、现场准备、安装、集成、调试、培训、维修、废弃处置、技术支持等以及合同中规定乙方应承担的</w:t>
      </w:r>
      <w:r>
        <w:rPr>
          <w:rFonts w:ascii="宋体" w:hAnsi="宋体" w:eastAsia="宋体"/>
          <w:color w:val="000000"/>
          <w:szCs w:val="21"/>
          <w:lang w:val="en"/>
        </w:rPr>
        <w:t>其他</w:t>
      </w:r>
      <w:r>
        <w:rPr>
          <w:rFonts w:hint="eastAsia" w:ascii="宋体" w:hAnsi="宋体" w:eastAsia="宋体"/>
          <w:color w:val="000000"/>
          <w:szCs w:val="21"/>
        </w:rPr>
        <w:t>义务。</w:t>
      </w:r>
    </w:p>
    <w:p w14:paraId="1839EA46">
      <w:pPr>
        <w:adjustRightInd w:val="0"/>
        <w:snapToGrid w:val="0"/>
        <w:spacing w:line="400" w:lineRule="exact"/>
        <w:ind w:firstLine="420" w:firstLineChars="200"/>
        <w:jc w:val="left"/>
        <w:rPr>
          <w:rFonts w:hint="eastAsia" w:ascii="宋体" w:hAnsi="宋体" w:eastAsia="宋体"/>
          <w:color w:val="000000"/>
          <w:szCs w:val="21"/>
          <w:highlight w:val="yellow"/>
        </w:rPr>
      </w:pPr>
      <w:r>
        <w:rPr>
          <w:rFonts w:hint="eastAsia" w:ascii="宋体" w:hAnsi="宋体" w:eastAsia="宋体"/>
          <w:color w:val="000000"/>
          <w:szCs w:val="21"/>
        </w:rPr>
        <w:t>（5）“分包”系指中标（成交）供应商按采购文件、投标（响应）文件的规定，根据分包意向协议，将中标（成交）项目中的部分履约内容，分给具有相应资质条件的供应商履行合同的行为。</w:t>
      </w:r>
    </w:p>
    <w:p w14:paraId="338A89C1">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（6）</w:t>
      </w:r>
      <w:r>
        <w:rPr>
          <w:rFonts w:hint="eastAsia" w:ascii="宋体" w:hAnsi="宋体" w:eastAsia="宋体"/>
          <w:szCs w:val="21"/>
        </w:rPr>
        <w:t>“联合体”系指由两个以上的自然人、法人或者非法人组织组成，以一个供应商的身份共同参加政府采购的主体</w:t>
      </w:r>
      <w:r>
        <w:rPr>
          <w:rFonts w:hint="eastAsia" w:ascii="宋体" w:hAnsi="宋体" w:eastAsia="宋体"/>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b/>
          <w:bCs/>
          <w:color w:val="000000"/>
          <w:szCs w:val="21"/>
        </w:rPr>
        <w:t>政府采购合同专用条款</w:t>
      </w:r>
      <w:r>
        <w:rPr>
          <w:rFonts w:hint="eastAsia" w:ascii="宋体" w:hAnsi="宋体" w:eastAsia="宋体"/>
          <w:color w:val="000000"/>
          <w:szCs w:val="21"/>
        </w:rPr>
        <w:t>】。</w:t>
      </w:r>
    </w:p>
    <w:p w14:paraId="3AF5F3FD">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（7）其他术语解释，见【</w:t>
      </w:r>
      <w:r>
        <w:rPr>
          <w:rFonts w:hint="eastAsia" w:ascii="宋体" w:hAnsi="宋体" w:eastAsia="宋体"/>
          <w:b/>
          <w:bCs/>
          <w:color w:val="000000"/>
          <w:szCs w:val="21"/>
        </w:rPr>
        <w:t>政府采购合同专用条款</w:t>
      </w:r>
      <w:r>
        <w:rPr>
          <w:rFonts w:hint="eastAsia" w:ascii="宋体" w:hAnsi="宋体" w:eastAsia="宋体"/>
          <w:color w:val="000000"/>
          <w:szCs w:val="21"/>
        </w:rPr>
        <w:t>】。</w:t>
      </w:r>
    </w:p>
    <w:p w14:paraId="61605747">
      <w:pPr>
        <w:numPr>
          <w:ilvl w:val="0"/>
          <w:numId w:val="11"/>
        </w:num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color w:val="000000"/>
          <w:sz w:val="24"/>
        </w:rPr>
        <w:t>合同标的及金额</w:t>
      </w:r>
    </w:p>
    <w:p w14:paraId="01709FD8">
      <w:pPr>
        <w:autoSpaceDE w:val="0"/>
        <w:autoSpaceDN w:val="0"/>
        <w:adjustRightInd w:val="0"/>
        <w:snapToGrid w:val="0"/>
        <w:spacing w:line="400" w:lineRule="exact"/>
        <w:ind w:firstLine="420" w:firstLineChars="200"/>
        <w:jc w:val="left"/>
        <w:rPr>
          <w:rFonts w:hint="eastAsia" w:ascii="宋体" w:hAnsi="宋体" w:eastAsia="宋体"/>
          <w:b/>
          <w:bCs/>
          <w:i/>
          <w:iCs/>
          <w:color w:val="000000"/>
          <w:szCs w:val="21"/>
        </w:rPr>
      </w:pPr>
      <w:r>
        <w:rPr>
          <w:rFonts w:hint="eastAsia" w:ascii="宋体" w:hAnsi="宋体" w:eastAsia="宋体"/>
          <w:color w:val="000000"/>
          <w:szCs w:val="21"/>
        </w:rPr>
        <w:t>2.1 合同标的及金额应与中标（成交）结果一致。乙方为履行本合同而发生的所有费用均应包含在合同价款中，甲方不再另行支付</w:t>
      </w:r>
      <w:r>
        <w:rPr>
          <w:rFonts w:ascii="宋体" w:hAnsi="宋体" w:eastAsia="宋体"/>
          <w:color w:val="000000"/>
          <w:szCs w:val="21"/>
          <w:lang w:val="en"/>
        </w:rPr>
        <w:t>其他</w:t>
      </w:r>
      <w:r>
        <w:rPr>
          <w:rFonts w:hint="eastAsia" w:ascii="宋体" w:hAnsi="宋体" w:eastAsia="宋体"/>
          <w:color w:val="000000"/>
          <w:szCs w:val="21"/>
        </w:rPr>
        <w:t>任何费用。</w:t>
      </w:r>
    </w:p>
    <w:p w14:paraId="3F96914A">
      <w:pPr>
        <w:adjustRightInd w:val="0"/>
        <w:snapToGrid w:val="0"/>
        <w:spacing w:line="400" w:lineRule="exact"/>
        <w:jc w:val="left"/>
        <w:rPr>
          <w:rFonts w:hint="eastAsia" w:ascii="宋体" w:hAnsi="宋体" w:eastAsia="宋体"/>
          <w:b/>
          <w:color w:val="000000"/>
          <w:sz w:val="24"/>
        </w:rPr>
      </w:pPr>
      <w:r>
        <w:rPr>
          <w:rFonts w:hint="eastAsia" w:ascii="宋体" w:hAnsi="宋体" w:eastAsia="宋体"/>
          <w:b/>
          <w:color w:val="000000"/>
          <w:sz w:val="24"/>
        </w:rPr>
        <w:t>3. 履行合同的时间、地点和方式</w:t>
      </w:r>
    </w:p>
    <w:p w14:paraId="7C96CE03">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3.1 </w:t>
      </w:r>
      <w:r>
        <w:rPr>
          <w:rFonts w:hint="eastAsia" w:ascii="宋体" w:hAnsi="宋体" w:eastAsia="宋体" w:cs="宋体"/>
          <w:szCs w:val="21"/>
        </w:rPr>
        <w:t>乙方应当在约定的时间、地点，按照约定方式履行合同。</w:t>
      </w:r>
    </w:p>
    <w:p w14:paraId="59F9A57B">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4. 甲方的权利和义务</w:t>
      </w:r>
    </w:p>
    <w:p w14:paraId="74EDB983">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4.1</w:t>
      </w:r>
      <w:r>
        <w:rPr>
          <w:rFonts w:ascii="宋体" w:hAnsi="宋体" w:eastAsia="宋体"/>
          <w:color w:val="000000"/>
          <w:szCs w:val="21"/>
        </w:rPr>
        <w:t xml:space="preserve"> 签署合同后，甲方</w:t>
      </w:r>
      <w:r>
        <w:rPr>
          <w:rFonts w:hint="eastAsia" w:ascii="宋体" w:hAnsi="宋体" w:eastAsia="宋体"/>
          <w:color w:val="000000"/>
          <w:szCs w:val="21"/>
        </w:rPr>
        <w:t>应</w:t>
      </w:r>
      <w:r>
        <w:rPr>
          <w:rFonts w:ascii="宋体" w:hAnsi="宋体" w:eastAsia="宋体"/>
          <w:color w:val="000000"/>
          <w:szCs w:val="21"/>
        </w:rPr>
        <w:t>确定</w:t>
      </w:r>
      <w:r>
        <w:rPr>
          <w:rFonts w:hint="eastAsia" w:ascii="宋体" w:hAnsi="宋体" w:eastAsia="宋体"/>
          <w:color w:val="000000"/>
          <w:szCs w:val="21"/>
        </w:rPr>
        <w:t>项目负责人（或项目联系人）</w:t>
      </w:r>
      <w:r>
        <w:rPr>
          <w:rFonts w:ascii="宋体" w:hAnsi="宋体" w:eastAsia="宋体"/>
          <w:color w:val="000000"/>
          <w:szCs w:val="21"/>
        </w:rPr>
        <w:t>，负责与本合同有关的事务。</w:t>
      </w:r>
      <w:r>
        <w:rPr>
          <w:rFonts w:hint="eastAsia" w:ascii="宋体" w:hAnsi="宋体" w:eastAsia="宋体"/>
          <w:color w:val="000000"/>
          <w:szCs w:val="21"/>
        </w:rPr>
        <w:t>甲方有权对乙方的履约行为进行检查，并</w:t>
      </w:r>
      <w:r>
        <w:rPr>
          <w:rFonts w:ascii="宋体" w:hAnsi="宋体" w:eastAsia="宋体"/>
          <w:color w:val="000000"/>
          <w:szCs w:val="21"/>
        </w:rPr>
        <w:t>及时确认乙方提交的事项</w:t>
      </w:r>
      <w:r>
        <w:rPr>
          <w:rFonts w:hint="eastAsia" w:ascii="宋体" w:hAnsi="宋体" w:eastAsia="宋体"/>
          <w:color w:val="000000"/>
          <w:szCs w:val="21"/>
        </w:rPr>
        <w:t>。甲方应当</w:t>
      </w:r>
      <w:r>
        <w:rPr>
          <w:rFonts w:ascii="宋体" w:hAnsi="宋体" w:eastAsia="宋体"/>
          <w:color w:val="000000"/>
          <w:szCs w:val="21"/>
        </w:rPr>
        <w:t>配合乙方完成</w:t>
      </w:r>
      <w:r>
        <w:rPr>
          <w:rFonts w:hint="eastAsia" w:ascii="宋体" w:hAnsi="宋体" w:eastAsia="宋体"/>
          <w:color w:val="000000"/>
          <w:szCs w:val="21"/>
        </w:rPr>
        <w:t>相关项目</w:t>
      </w:r>
      <w:r>
        <w:rPr>
          <w:rFonts w:ascii="宋体" w:hAnsi="宋体" w:eastAsia="宋体"/>
          <w:color w:val="000000"/>
          <w:szCs w:val="21"/>
        </w:rPr>
        <w:t>实施工作。</w:t>
      </w:r>
    </w:p>
    <w:p w14:paraId="3ABB5E6B">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4.2 </w:t>
      </w:r>
      <w:r>
        <w:rPr>
          <w:rFonts w:ascii="宋体" w:hAnsi="宋体" w:eastAsia="宋体"/>
          <w:color w:val="000000"/>
          <w:szCs w:val="21"/>
        </w:rPr>
        <w:t>甲方有权要求乙方按时提交各阶段有关</w:t>
      </w:r>
      <w:r>
        <w:rPr>
          <w:rFonts w:hint="eastAsia" w:ascii="宋体" w:hAnsi="宋体" w:eastAsia="宋体"/>
          <w:color w:val="000000"/>
          <w:szCs w:val="21"/>
        </w:rPr>
        <w:t>安排计划</w:t>
      </w:r>
      <w:r>
        <w:rPr>
          <w:rFonts w:ascii="宋体" w:hAnsi="宋体" w:eastAsia="宋体"/>
          <w:color w:val="000000"/>
          <w:szCs w:val="21"/>
        </w:rPr>
        <w:t>，并有权</w:t>
      </w:r>
      <w:r>
        <w:rPr>
          <w:rFonts w:hint="eastAsia" w:ascii="宋体" w:hAnsi="宋体" w:eastAsia="宋体"/>
          <w:color w:val="000000"/>
          <w:szCs w:val="21"/>
        </w:rPr>
        <w:t>定期核对乙方提供货物数量、规格、质量等内容。甲方</w:t>
      </w:r>
      <w:r>
        <w:rPr>
          <w:rFonts w:ascii="宋体" w:hAnsi="宋体" w:eastAsia="宋体"/>
          <w:color w:val="000000"/>
          <w:szCs w:val="21"/>
        </w:rPr>
        <w:t>有权督促乙方工作并要求乙方</w:t>
      </w:r>
      <w:r>
        <w:rPr>
          <w:rFonts w:hint="eastAsia" w:ascii="宋体" w:hAnsi="宋体" w:eastAsia="宋体"/>
          <w:color w:val="000000"/>
          <w:szCs w:val="21"/>
        </w:rPr>
        <w:t>更</w:t>
      </w:r>
      <w:r>
        <w:rPr>
          <w:rFonts w:ascii="宋体" w:hAnsi="宋体" w:eastAsia="宋体"/>
          <w:color w:val="000000"/>
          <w:szCs w:val="21"/>
        </w:rPr>
        <w:t>换不符合要求的</w:t>
      </w:r>
      <w:r>
        <w:rPr>
          <w:rFonts w:hint="eastAsia" w:ascii="宋体" w:hAnsi="宋体" w:eastAsia="宋体"/>
          <w:color w:val="000000"/>
          <w:szCs w:val="21"/>
        </w:rPr>
        <w:t>货物</w:t>
      </w:r>
      <w:r>
        <w:rPr>
          <w:rFonts w:ascii="宋体" w:hAnsi="宋体" w:eastAsia="宋体"/>
          <w:color w:val="000000"/>
          <w:szCs w:val="21"/>
        </w:rPr>
        <w:t>。</w:t>
      </w:r>
    </w:p>
    <w:p w14:paraId="5E1CC7A4">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w:t>
      </w:r>
      <w:r>
        <w:rPr>
          <w:rFonts w:ascii="宋体" w:hAnsi="宋体" w:eastAsia="宋体"/>
          <w:color w:val="000000"/>
          <w:szCs w:val="21"/>
        </w:rPr>
        <w:t>3</w:t>
      </w:r>
      <w:r>
        <w:rPr>
          <w:rFonts w:hint="eastAsia" w:ascii="宋体" w:hAnsi="宋体" w:eastAsia="宋体"/>
          <w:color w:val="000000"/>
          <w:szCs w:val="21"/>
        </w:rPr>
        <w:t xml:space="preserve"> </w:t>
      </w:r>
      <w:r>
        <w:rPr>
          <w:rFonts w:ascii="宋体" w:hAnsi="宋体" w:eastAsia="宋体"/>
          <w:color w:val="000000"/>
          <w:szCs w:val="21"/>
        </w:rPr>
        <w:t>甲方</w:t>
      </w:r>
      <w:r>
        <w:rPr>
          <w:rFonts w:hint="eastAsia" w:ascii="宋体" w:hAnsi="宋体" w:eastAsia="宋体"/>
          <w:color w:val="000000"/>
          <w:szCs w:val="21"/>
        </w:rPr>
        <w:t>有权要求乙方对缺陷部分予以修复，并按合同约定享有货物保修及其他合同约定的权利。</w:t>
      </w:r>
    </w:p>
    <w:p w14:paraId="14A43641">
      <w:pPr>
        <w:snapToGrid w:val="0"/>
        <w:spacing w:line="400" w:lineRule="exact"/>
        <w:ind w:firstLine="420" w:firstLineChars="200"/>
        <w:rPr>
          <w:rFonts w:eastAsia="华文楷体"/>
        </w:rPr>
      </w:pPr>
      <w:r>
        <w:rPr>
          <w:rFonts w:ascii="宋体" w:hAnsi="宋体" w:eastAsia="宋体"/>
          <w:color w:val="000000"/>
          <w:szCs w:val="21"/>
        </w:rPr>
        <w:t>4.4 甲方应当按照合同约定及时对交付的货物进行验收</w:t>
      </w:r>
      <w:r>
        <w:rPr>
          <w:rFonts w:hint="eastAsia" w:ascii="宋体" w:hAnsi="宋体" w:eastAsia="宋体"/>
          <w:color w:val="000000"/>
          <w:szCs w:val="21"/>
        </w:rPr>
        <w:t>，</w:t>
      </w:r>
      <w:r>
        <w:rPr>
          <w:rFonts w:hint="eastAsia" w:ascii="宋体" w:hAnsi="宋体" w:eastAsia="宋体" w:cs="宋体"/>
          <w:szCs w:val="21"/>
        </w:rPr>
        <w:t>未</w:t>
      </w:r>
      <w:r>
        <w:rPr>
          <w:rFonts w:hint="eastAsia" w:ascii="宋体" w:hAnsi="宋体" w:eastAsia="宋体"/>
          <w:color w:val="000000"/>
          <w:szCs w:val="21"/>
        </w:rPr>
        <w:t>在</w:t>
      </w:r>
      <w:r>
        <w:rPr>
          <w:rFonts w:hint="eastAsia" w:ascii="宋体" w:hAnsi="宋体" w:eastAsia="宋体" w:cs="宋体"/>
          <w:b/>
          <w:bCs/>
          <w:szCs w:val="21"/>
        </w:rPr>
        <w:t>【政府采购合同专用条款】</w:t>
      </w:r>
      <w:r>
        <w:rPr>
          <w:rFonts w:hint="eastAsia" w:ascii="宋体" w:hAnsi="宋体" w:eastAsia="宋体" w:cs="宋体"/>
          <w:szCs w:val="21"/>
        </w:rPr>
        <w:t>约定的期限内对乙方履约提出任何异议或者向乙方作出任何说明的，</w:t>
      </w:r>
      <w:r>
        <w:rPr>
          <w:rFonts w:hint="eastAsia" w:ascii="宋体" w:hAnsi="宋体" w:eastAsia="宋体"/>
          <w:color w:val="000000"/>
          <w:szCs w:val="21"/>
        </w:rPr>
        <w:t>视为验收通过。</w:t>
      </w:r>
    </w:p>
    <w:p w14:paraId="0731B4DB">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ascii="宋体" w:hAnsi="宋体" w:eastAsia="宋体"/>
          <w:color w:val="000000"/>
          <w:szCs w:val="21"/>
        </w:rPr>
        <w:t>4</w:t>
      </w:r>
      <w:r>
        <w:rPr>
          <w:rFonts w:hint="eastAsia" w:ascii="宋体" w:hAnsi="宋体" w:eastAsia="宋体"/>
          <w:color w:val="000000"/>
          <w:szCs w:val="21"/>
        </w:rPr>
        <w:t>.</w:t>
      </w:r>
      <w:r>
        <w:rPr>
          <w:rFonts w:ascii="宋体" w:hAnsi="宋体" w:eastAsia="宋体"/>
          <w:color w:val="000000"/>
          <w:szCs w:val="21"/>
        </w:rPr>
        <w:t xml:space="preserve">5 </w:t>
      </w:r>
      <w:r>
        <w:rPr>
          <w:rFonts w:hint="eastAsia" w:ascii="宋体" w:hAnsi="宋体" w:eastAsia="宋体"/>
          <w:color w:val="000000"/>
          <w:szCs w:val="21"/>
        </w:rPr>
        <w:t>甲方应当根据合同约定及时向乙方支付合同价款</w:t>
      </w:r>
      <w:r>
        <w:rPr>
          <w:rFonts w:ascii="宋体" w:hAnsi="宋体" w:eastAsia="宋体"/>
          <w:color w:val="000000"/>
          <w:szCs w:val="21"/>
        </w:rPr>
        <w:t>，不得以内部人员变更、履行内部付款流程等为由，拒绝或迟延支付。</w:t>
      </w:r>
    </w:p>
    <w:p w14:paraId="51190C29">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4.6</w:t>
      </w:r>
      <w:r>
        <w:rPr>
          <w:rFonts w:ascii="宋体" w:hAnsi="宋体" w:eastAsia="宋体"/>
          <w:color w:val="000000"/>
          <w:szCs w:val="21"/>
        </w:rPr>
        <w:t xml:space="preserve"> </w:t>
      </w:r>
      <w:r>
        <w:rPr>
          <w:rFonts w:hint="eastAsia" w:ascii="宋体" w:hAnsi="宋体" w:eastAsia="宋体"/>
          <w:color w:val="000000"/>
          <w:szCs w:val="21"/>
        </w:rPr>
        <w:t>国家法律法规规定及</w:t>
      </w:r>
      <w:r>
        <w:rPr>
          <w:rFonts w:hint="eastAsia" w:ascii="宋体" w:hAnsi="宋体" w:eastAsia="宋体" w:cs="宋体"/>
          <w:b/>
          <w:bCs/>
          <w:szCs w:val="21"/>
        </w:rPr>
        <w:t>【政府采购合同专用条款】</w:t>
      </w:r>
      <w:r>
        <w:rPr>
          <w:rFonts w:hint="eastAsia" w:ascii="宋体" w:hAnsi="宋体" w:eastAsia="宋体"/>
          <w:color w:val="000000"/>
          <w:szCs w:val="21"/>
        </w:rPr>
        <w:t>约定应由甲方承担的其他义务和责任。</w:t>
      </w:r>
    </w:p>
    <w:p w14:paraId="330CA5E9">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5. 乙方的权利和义务</w:t>
      </w:r>
    </w:p>
    <w:p w14:paraId="3E23BB67">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5.1 </w:t>
      </w:r>
      <w:r>
        <w:rPr>
          <w:rFonts w:ascii="宋体" w:hAnsi="宋体" w:eastAsia="宋体"/>
          <w:color w:val="000000"/>
          <w:szCs w:val="21"/>
        </w:rPr>
        <w:t>签署合同后，乙方</w:t>
      </w:r>
      <w:r>
        <w:rPr>
          <w:rFonts w:hint="eastAsia" w:ascii="宋体" w:hAnsi="宋体" w:eastAsia="宋体"/>
          <w:color w:val="000000"/>
          <w:szCs w:val="21"/>
        </w:rPr>
        <w:t>应</w:t>
      </w:r>
      <w:r>
        <w:rPr>
          <w:rFonts w:ascii="宋体" w:hAnsi="宋体" w:eastAsia="宋体"/>
          <w:color w:val="000000"/>
          <w:szCs w:val="21"/>
        </w:rPr>
        <w:t>确定</w:t>
      </w:r>
      <w:r>
        <w:rPr>
          <w:rFonts w:hint="eastAsia" w:ascii="宋体" w:hAnsi="宋体" w:eastAsia="宋体"/>
          <w:color w:val="000000"/>
          <w:szCs w:val="21"/>
        </w:rPr>
        <w:t>项目负责人（或项目联系人）</w:t>
      </w:r>
      <w:r>
        <w:rPr>
          <w:rFonts w:ascii="宋体" w:hAnsi="宋体" w:eastAsia="宋体"/>
          <w:color w:val="000000"/>
          <w:szCs w:val="21"/>
        </w:rPr>
        <w:t>，负责与本合同有关的事务。</w:t>
      </w:r>
    </w:p>
    <w:p w14:paraId="49DD2F9F">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5.</w:t>
      </w:r>
      <w:r>
        <w:rPr>
          <w:rFonts w:ascii="宋体" w:hAnsi="宋体" w:eastAsia="宋体"/>
          <w:color w:val="000000"/>
          <w:szCs w:val="21"/>
        </w:rPr>
        <w:t>2 乙方应按照合同要求</w:t>
      </w:r>
      <w:r>
        <w:rPr>
          <w:rFonts w:hint="eastAsia" w:ascii="宋体" w:hAnsi="宋体" w:eastAsia="宋体"/>
          <w:color w:val="000000"/>
          <w:szCs w:val="21"/>
        </w:rPr>
        <w:t>履约</w:t>
      </w:r>
      <w:r>
        <w:rPr>
          <w:rFonts w:ascii="宋体" w:hAnsi="宋体" w:eastAsia="宋体"/>
          <w:color w:val="000000"/>
          <w:szCs w:val="21"/>
        </w:rPr>
        <w:t>，充分合理安排，确保</w:t>
      </w:r>
      <w:r>
        <w:rPr>
          <w:rFonts w:hint="eastAsia" w:ascii="宋体" w:hAnsi="宋体" w:eastAsia="宋体"/>
          <w:color w:val="000000"/>
          <w:szCs w:val="21"/>
        </w:rPr>
        <w:t>提供的货物及相关服务符合合同有关</w:t>
      </w:r>
      <w:r>
        <w:rPr>
          <w:rFonts w:ascii="宋体" w:hAnsi="宋体" w:eastAsia="宋体"/>
          <w:color w:val="000000"/>
          <w:szCs w:val="21"/>
        </w:rPr>
        <w:t>要求</w:t>
      </w:r>
      <w:r>
        <w:rPr>
          <w:rFonts w:hint="eastAsia" w:ascii="宋体" w:hAnsi="宋体" w:eastAsia="宋体"/>
          <w:color w:val="000000"/>
          <w:szCs w:val="21"/>
        </w:rPr>
        <w:t>。接受项目行业管理部门及政府有关部门的指导，配合甲方的履约检查及验收，并</w:t>
      </w:r>
      <w:r>
        <w:rPr>
          <w:rFonts w:ascii="宋体" w:hAnsi="宋体" w:eastAsia="宋体"/>
          <w:color w:val="000000"/>
          <w:szCs w:val="21"/>
        </w:rPr>
        <w:t>负责项目实施过程中的所有协调工作。</w:t>
      </w:r>
    </w:p>
    <w:p w14:paraId="57232159">
      <w:pPr>
        <w:spacing w:line="400" w:lineRule="exact"/>
        <w:ind w:firstLine="369" w:firstLineChars="176"/>
        <w:rPr>
          <w:rFonts w:hint="eastAsia" w:ascii="宋体" w:hAnsi="宋体" w:eastAsia="宋体" w:cs="宋体"/>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3</w:t>
      </w:r>
      <w:r>
        <w:rPr>
          <w:rFonts w:hint="eastAsia" w:ascii="宋体" w:hAnsi="宋体" w:eastAsia="宋体" w:cs="Times New Roman"/>
          <w:color w:val="000000"/>
          <w:szCs w:val="21"/>
        </w:rPr>
        <w:t>乙方有权</w:t>
      </w:r>
      <w:r>
        <w:rPr>
          <w:rFonts w:hint="eastAsia" w:ascii="宋体" w:hAnsi="宋体" w:eastAsia="宋体" w:cs="宋体"/>
          <w:color w:val="000000"/>
          <w:szCs w:val="21"/>
        </w:rPr>
        <w:t>根据合同约定向甲方收取合同价款。</w:t>
      </w:r>
    </w:p>
    <w:p w14:paraId="427CF7BC">
      <w:pPr>
        <w:spacing w:line="400" w:lineRule="exact"/>
        <w:ind w:firstLine="369" w:firstLineChars="176"/>
        <w:rPr>
          <w:rFonts w:hint="eastAsia" w:ascii="宋体" w:hAnsi="宋体" w:eastAsia="宋体" w:cs="宋体"/>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4</w:t>
      </w:r>
      <w:r>
        <w:rPr>
          <w:rFonts w:hint="eastAsia" w:ascii="宋体" w:hAnsi="宋体" w:eastAsia="宋体" w:cs="宋体"/>
          <w:color w:val="000000"/>
          <w:szCs w:val="21"/>
        </w:rPr>
        <w:t>国家法律法规规定</w:t>
      </w:r>
      <w:r>
        <w:rPr>
          <w:rFonts w:hint="eastAsia" w:ascii="宋体" w:hAnsi="宋体" w:eastAsia="宋体" w:cs="Times New Roman"/>
          <w:color w:val="000000"/>
          <w:szCs w:val="21"/>
        </w:rPr>
        <w:t>及</w:t>
      </w:r>
      <w:r>
        <w:rPr>
          <w:rFonts w:hint="eastAsia" w:ascii="宋体" w:hAnsi="宋体" w:eastAsia="宋体" w:cs="宋体"/>
          <w:b/>
          <w:bCs/>
          <w:szCs w:val="21"/>
        </w:rPr>
        <w:t>【政府采购合同专用条款】</w:t>
      </w:r>
      <w:r>
        <w:rPr>
          <w:rFonts w:hint="eastAsia" w:ascii="宋体" w:hAnsi="宋体" w:eastAsia="宋体" w:cs="宋体"/>
          <w:szCs w:val="21"/>
        </w:rPr>
        <w:t>约定应</w:t>
      </w:r>
      <w:r>
        <w:rPr>
          <w:rFonts w:hint="eastAsia" w:ascii="宋体" w:hAnsi="宋体" w:eastAsia="宋体" w:cs="宋体"/>
          <w:color w:val="000000"/>
          <w:szCs w:val="21"/>
        </w:rPr>
        <w:t>由乙方承担的其他义务和责任。</w:t>
      </w:r>
    </w:p>
    <w:p w14:paraId="06428AAA">
      <w:pPr>
        <w:numPr>
          <w:ilvl w:val="0"/>
          <w:numId w:val="12"/>
        </w:num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合同履行</w:t>
      </w:r>
    </w:p>
    <w:p w14:paraId="591A6A83">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6.1 甲乙双方应当按照</w:t>
      </w:r>
      <w:r>
        <w:rPr>
          <w:rFonts w:hint="eastAsia" w:ascii="宋体" w:hAnsi="宋体" w:eastAsia="宋体" w:cs="宋体"/>
          <w:b/>
          <w:bCs/>
          <w:szCs w:val="21"/>
        </w:rPr>
        <w:t>【政府采购合同专用条款】</w:t>
      </w:r>
      <w:r>
        <w:rPr>
          <w:rFonts w:hint="eastAsia" w:ascii="宋体" w:hAnsi="宋体" w:eastAsia="宋体"/>
          <w:color w:val="000000"/>
          <w:szCs w:val="21"/>
        </w:rPr>
        <w:t>约定顺序履行合同义务；如果没有先后顺序的，应当同时履行。</w:t>
      </w:r>
    </w:p>
    <w:p w14:paraId="3068ABAC">
      <w:pPr>
        <w:autoSpaceDE w:val="0"/>
        <w:autoSpaceDN w:val="0"/>
        <w:adjustRightInd w:val="0"/>
        <w:snapToGrid w:val="0"/>
        <w:spacing w:line="400" w:lineRule="exact"/>
        <w:ind w:firstLine="420" w:firstLineChars="200"/>
        <w:jc w:val="left"/>
        <w:rPr>
          <w:rFonts w:eastAsia="宋体"/>
        </w:rPr>
      </w:pPr>
      <w:r>
        <w:rPr>
          <w:rFonts w:hint="eastAsia" w:ascii="宋体" w:hAnsi="宋体" w:eastAsia="宋体"/>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7D8551D4">
      <w:pPr>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7. 货物包装、运输、保险和交付要求</w:t>
      </w:r>
    </w:p>
    <w:p w14:paraId="4962801C">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7.1 本合同</w:t>
      </w:r>
      <w:r>
        <w:rPr>
          <w:rFonts w:hint="eastAsia" w:ascii="宋体" w:hAnsi="宋体" w:eastAsia="宋体"/>
          <w:bCs/>
          <w:color w:val="000000"/>
          <w:szCs w:val="21"/>
        </w:rPr>
        <w:t>涉及商品包装、快递包装的，</w:t>
      </w:r>
      <w:r>
        <w:rPr>
          <w:rFonts w:hint="eastAsia" w:ascii="宋体" w:hAnsi="宋体" w:eastAsia="宋体"/>
          <w:color w:val="000000"/>
          <w:szCs w:val="21"/>
        </w:rPr>
        <w:t>除</w:t>
      </w:r>
      <w:r>
        <w:rPr>
          <w:rFonts w:hint="eastAsia" w:ascii="宋体" w:hAnsi="宋体" w:eastAsia="宋体"/>
          <w:b/>
          <w:color w:val="000000"/>
          <w:szCs w:val="21"/>
        </w:rPr>
        <w:t>【政府采购合同专用条款】</w:t>
      </w:r>
      <w:r>
        <w:rPr>
          <w:rFonts w:hint="eastAsia" w:ascii="宋体" w:hAnsi="宋体" w:eastAsia="宋体"/>
          <w:bCs/>
          <w:color w:val="000000"/>
          <w:szCs w:val="21"/>
        </w:rPr>
        <w:t>另有约定外，</w:t>
      </w:r>
      <w:r>
        <w:rPr>
          <w:rFonts w:hint="eastAsia" w:ascii="宋体" w:hAnsi="宋体" w:eastAsia="宋体"/>
          <w:color w:val="000000"/>
          <w:szCs w:val="21"/>
        </w:rPr>
        <w:t>包装应适应远距离运输、防潮、防震、防锈和防野蛮装卸等要求，确保货物安全无损地运抵</w:t>
      </w:r>
      <w:r>
        <w:rPr>
          <w:rFonts w:hint="eastAsia" w:ascii="宋体" w:hAnsi="宋体" w:eastAsia="宋体"/>
          <w:b/>
          <w:color w:val="000000"/>
          <w:szCs w:val="21"/>
        </w:rPr>
        <w:t>【政府采购合同专用条款】</w:t>
      </w:r>
      <w:r>
        <w:rPr>
          <w:rFonts w:hint="eastAsia" w:ascii="宋体" w:hAnsi="宋体" w:eastAsia="宋体"/>
          <w:bCs/>
          <w:color w:val="000000"/>
          <w:szCs w:val="21"/>
        </w:rPr>
        <w:t>约定的</w:t>
      </w:r>
      <w:r>
        <w:rPr>
          <w:rFonts w:hint="eastAsia" w:ascii="宋体" w:hAnsi="宋体" w:eastAsia="宋体"/>
          <w:color w:val="000000"/>
          <w:szCs w:val="21"/>
        </w:rPr>
        <w:t>指定现场。</w:t>
      </w:r>
    </w:p>
    <w:p w14:paraId="41C16154">
      <w:pPr>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7.2 除</w:t>
      </w:r>
      <w:r>
        <w:rPr>
          <w:rFonts w:hint="eastAsia" w:ascii="宋体" w:hAnsi="宋体" w:eastAsia="宋体"/>
          <w:b/>
          <w:color w:val="000000"/>
          <w:szCs w:val="21"/>
        </w:rPr>
        <w:t>【政府采购合同专用条款】</w:t>
      </w:r>
      <w:r>
        <w:rPr>
          <w:rFonts w:hint="eastAsia" w:ascii="宋体" w:hAnsi="宋体" w:eastAsia="宋体"/>
          <w:bCs/>
          <w:color w:val="000000"/>
          <w:szCs w:val="21"/>
        </w:rPr>
        <w:t>另有约定外，</w:t>
      </w:r>
      <w:r>
        <w:rPr>
          <w:rFonts w:hint="eastAsia" w:ascii="宋体" w:hAnsi="宋体" w:eastAsia="宋体"/>
          <w:color w:val="000000"/>
          <w:szCs w:val="21"/>
        </w:rPr>
        <w:t>乙方负责办理将货物运抵本合同规定的交货地点，并装卸、交付至甲方的一切运输事项，相关费用应包含在合同价款中。</w:t>
      </w:r>
    </w:p>
    <w:p w14:paraId="351FE36D">
      <w:pPr>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7.3 货物保险要求按</w:t>
      </w:r>
      <w:r>
        <w:rPr>
          <w:rFonts w:hint="eastAsia" w:ascii="宋体" w:hAnsi="宋体" w:eastAsia="宋体"/>
          <w:b/>
          <w:color w:val="000000"/>
          <w:szCs w:val="21"/>
        </w:rPr>
        <w:t>【政府采购合同专用条款】</w:t>
      </w:r>
      <w:r>
        <w:rPr>
          <w:rFonts w:hint="eastAsia" w:ascii="宋体" w:hAnsi="宋体" w:eastAsia="宋体"/>
          <w:bCs/>
          <w:color w:val="000000"/>
          <w:szCs w:val="21"/>
        </w:rPr>
        <w:t>规定执行</w:t>
      </w:r>
      <w:r>
        <w:rPr>
          <w:rFonts w:hint="eastAsia" w:ascii="宋体" w:hAnsi="宋体" w:eastAsia="宋体"/>
          <w:color w:val="000000"/>
          <w:szCs w:val="21"/>
        </w:rPr>
        <w:t>。</w:t>
      </w:r>
    </w:p>
    <w:p w14:paraId="0AD84642">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6A1C3D7">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7.5 </w:t>
      </w:r>
      <w:r>
        <w:rPr>
          <w:rFonts w:hint="eastAsia" w:ascii="宋体" w:hAnsi="宋体" w:eastAsia="宋体" w:cs="宋体"/>
          <w:color w:val="000000"/>
          <w:szCs w:val="21"/>
        </w:rPr>
        <w:t>乙方在运输到达之前应提前通知甲方，并提示货物运输装卸的注意事项，甲方配合乙方做好货物的接收工作。</w:t>
      </w:r>
    </w:p>
    <w:p w14:paraId="03EB6610">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Times New Roman"/>
          <w:color w:val="000000"/>
          <w:szCs w:val="21"/>
        </w:rPr>
        <w:t>7.6 如因包装、运输问题导致货物损毁、丢失或者品质下降，甲方有权要求降价、换货、拒收部分或整批货物，由此产生的费用和损失，均由乙方承担。</w:t>
      </w:r>
    </w:p>
    <w:p w14:paraId="380798AC">
      <w:pPr>
        <w:adjustRightInd w:val="0"/>
        <w:snapToGrid w:val="0"/>
        <w:spacing w:line="400" w:lineRule="exact"/>
        <w:jc w:val="left"/>
        <w:rPr>
          <w:rFonts w:hint="eastAsia" w:ascii="宋体" w:hAnsi="宋体" w:eastAsia="宋体"/>
          <w:b/>
          <w:sz w:val="24"/>
        </w:rPr>
      </w:pPr>
      <w:r>
        <w:rPr>
          <w:rFonts w:hint="eastAsia" w:ascii="宋体" w:hAnsi="宋体" w:eastAsia="宋体"/>
          <w:b/>
          <w:color w:val="000000"/>
          <w:sz w:val="24"/>
        </w:rPr>
        <w:t xml:space="preserve">8. </w:t>
      </w:r>
      <w:r>
        <w:rPr>
          <w:rFonts w:hint="eastAsia" w:ascii="宋体" w:hAnsi="宋体" w:eastAsia="宋体"/>
          <w:b/>
          <w:sz w:val="24"/>
        </w:rPr>
        <w:t>质量标准和保证</w:t>
      </w:r>
    </w:p>
    <w:p w14:paraId="1566E165">
      <w:pPr>
        <w:adjustRightInd w:val="0"/>
        <w:snapToGrid w:val="0"/>
        <w:spacing w:line="400" w:lineRule="exact"/>
        <w:ind w:firstLine="420" w:firstLineChars="200"/>
        <w:jc w:val="left"/>
        <w:rPr>
          <w:rFonts w:hint="eastAsia" w:ascii="宋体" w:hAnsi="宋体" w:eastAsia="宋体" w:cs="Courier New"/>
          <w:b/>
          <w:szCs w:val="21"/>
        </w:rPr>
      </w:pPr>
      <w:r>
        <w:rPr>
          <w:rFonts w:hint="eastAsia" w:ascii="宋体" w:hAnsi="宋体" w:eastAsia="宋体" w:cs="Courier New"/>
          <w:szCs w:val="21"/>
        </w:rPr>
        <w:t>8.1 质量标准</w:t>
      </w:r>
    </w:p>
    <w:p w14:paraId="0B44585C">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（1）本合同下提供的货物应符合合同</w:t>
      </w:r>
      <w:r>
        <w:rPr>
          <w:rFonts w:hint="eastAsia" w:ascii="宋体" w:hAnsi="宋体" w:eastAsia="宋体" w:cs="宋体"/>
          <w:color w:val="000000"/>
          <w:szCs w:val="21"/>
        </w:rPr>
        <w:t>约定的</w:t>
      </w:r>
      <w:r>
        <w:rPr>
          <w:rFonts w:hint="eastAsia" w:ascii="宋体" w:hAnsi="宋体" w:eastAsia="宋体" w:cs="宋体"/>
          <w:szCs w:val="21"/>
        </w:rPr>
        <w:t>品牌、规格型号、技术性能、配置、质量、数量等要求。</w:t>
      </w:r>
      <w:r>
        <w:rPr>
          <w:rFonts w:hint="eastAsia" w:ascii="宋体" w:hAnsi="宋体" w:eastAsia="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C54D0EB">
      <w:pPr>
        <w:adjustRightInd w:val="0"/>
        <w:snapToGrid w:val="0"/>
        <w:spacing w:line="400" w:lineRule="exact"/>
        <w:ind w:firstLine="420" w:firstLineChars="200"/>
        <w:jc w:val="left"/>
        <w:rPr>
          <w:rFonts w:hint="eastAsia" w:ascii="宋体" w:hAnsi="宋体" w:eastAsia="宋体" w:cs="Courier New"/>
          <w:szCs w:val="21"/>
        </w:rPr>
      </w:pPr>
      <w:r>
        <w:rPr>
          <w:rFonts w:hint="eastAsia" w:ascii="宋体" w:hAnsi="宋体" w:eastAsia="宋体" w:cs="Courier New"/>
          <w:szCs w:val="21"/>
        </w:rPr>
        <w:t>（2）采用中华人民共和国法定计量单位。</w:t>
      </w:r>
    </w:p>
    <w:p w14:paraId="7CDFBCD4">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（3）乙方所提供的货物应符合国家有关安全、环保、卫生的规定。</w:t>
      </w:r>
    </w:p>
    <w:p w14:paraId="793632C9">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（4）乙方应向甲方提交所提供货物的技术文件，包括相应的中文技术文件，如：产品目录、图纸、操作手册、使用说明、维护手册或服务指南等。上述文件应包装好随货物一同发运。</w:t>
      </w:r>
    </w:p>
    <w:p w14:paraId="674BB664">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8.2 保证</w:t>
      </w:r>
    </w:p>
    <w:p w14:paraId="3074EF4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（1）乙方应保证提供的货物完全符合合同规定的质量、规格和性能要求。乙方应保证货物在正确安装、正常使用和保养条件下，</w:t>
      </w:r>
      <w:r>
        <w:rPr>
          <w:rFonts w:hint="eastAsia" w:ascii="宋体" w:hAnsi="宋体" w:eastAsia="宋体" w:cs="宋体"/>
          <w:szCs w:val="21"/>
        </w:rPr>
        <w:t>在其使用寿命期内具备合同约定的性能</w:t>
      </w:r>
      <w:r>
        <w:rPr>
          <w:rFonts w:hint="eastAsia" w:ascii="宋体" w:hAnsi="宋体" w:eastAsia="宋体"/>
          <w:szCs w:val="21"/>
        </w:rPr>
        <w:t>。存在质量保证期的，货物最终交付验收合格后在</w:t>
      </w:r>
      <w:r>
        <w:rPr>
          <w:rFonts w:hint="eastAsia" w:ascii="宋体" w:hAnsi="宋体" w:eastAsia="宋体"/>
          <w:b/>
          <w:szCs w:val="21"/>
        </w:rPr>
        <w:t>【政府采购合同专用条款】</w:t>
      </w:r>
      <w:r>
        <w:rPr>
          <w:rFonts w:hint="eastAsia" w:ascii="宋体" w:hAnsi="宋体" w:eastAsia="宋体"/>
          <w:szCs w:val="21"/>
        </w:rPr>
        <w:t>规定或乙方书面承诺（两者以较长的为准）的质量保证期内，本保证保持有效。</w:t>
      </w:r>
    </w:p>
    <w:p w14:paraId="06D2D6D4">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（2）在质量保证期内所发现的缺陷，甲方应尽快以书面形式通知乙方。</w:t>
      </w:r>
    </w:p>
    <w:p w14:paraId="7EF2818C">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（3）乙方收到通知后，应在</w:t>
      </w:r>
      <w:r>
        <w:rPr>
          <w:rFonts w:hint="eastAsia" w:ascii="宋体" w:hAnsi="宋体" w:eastAsia="宋体"/>
          <w:b/>
          <w:szCs w:val="21"/>
        </w:rPr>
        <w:t>【政府采购合同专用条款】</w:t>
      </w:r>
      <w:r>
        <w:rPr>
          <w:rFonts w:hint="eastAsia" w:ascii="宋体" w:hAnsi="宋体" w:eastAsia="宋体"/>
          <w:szCs w:val="21"/>
        </w:rPr>
        <w:t>规定的响应时间内以合理的速度免费维修或更换有缺陷的货物或部件。</w:t>
      </w:r>
    </w:p>
    <w:p w14:paraId="0F3C7C6E">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rPr>
        <w:t>5</w:t>
      </w:r>
      <w:r>
        <w:rPr>
          <w:rFonts w:hint="eastAsia" w:ascii="宋体" w:hAnsi="宋体" w:eastAsia="宋体"/>
          <w:szCs w:val="21"/>
        </w:rPr>
        <w:t>.1条规定以书面形式</w:t>
      </w:r>
      <w:r>
        <w:rPr>
          <w:rFonts w:hint="eastAsia" w:ascii="宋体" w:hAnsi="宋体" w:eastAsia="宋体"/>
          <w:color w:val="000000"/>
          <w:szCs w:val="21"/>
        </w:rPr>
        <w:t>追究</w:t>
      </w:r>
      <w:r>
        <w:rPr>
          <w:rFonts w:hint="eastAsia" w:ascii="宋体" w:hAnsi="宋体" w:eastAsia="宋体"/>
          <w:szCs w:val="21"/>
        </w:rPr>
        <w:t>乙方</w:t>
      </w:r>
      <w:r>
        <w:rPr>
          <w:rFonts w:hint="eastAsia" w:ascii="宋体" w:hAnsi="宋体" w:eastAsia="宋体"/>
          <w:color w:val="000000"/>
          <w:szCs w:val="21"/>
        </w:rPr>
        <w:t>的违约责任</w:t>
      </w:r>
      <w:r>
        <w:rPr>
          <w:rFonts w:hint="eastAsia" w:ascii="宋体" w:hAnsi="宋体" w:eastAsia="宋体"/>
          <w:szCs w:val="21"/>
        </w:rPr>
        <w:t>。</w:t>
      </w:r>
    </w:p>
    <w:p w14:paraId="67A132F8">
      <w:pPr>
        <w:adjustRightInd w:val="0"/>
        <w:snapToGrid w:val="0"/>
        <w:spacing w:line="400" w:lineRule="exact"/>
        <w:ind w:firstLine="420" w:firstLineChars="200"/>
        <w:jc w:val="left"/>
        <w:rPr>
          <w:rFonts w:eastAsia="宋体"/>
        </w:rPr>
      </w:pPr>
      <w:r>
        <w:rPr>
          <w:rFonts w:hint="eastAsia" w:ascii="宋体" w:hAnsi="宋体" w:eastAsia="宋体"/>
          <w:szCs w:val="21"/>
        </w:rPr>
        <w:t>（5）乙方在约定的时间内未能弥补缺陷，甲方可采取必要的补救措施，但其风险和费用将由乙方承担，甲方根据合同约定对乙方行使的其他权利不受影响。</w:t>
      </w:r>
    </w:p>
    <w:p w14:paraId="513B0AC7">
      <w:pPr>
        <w:adjustRightInd w:val="0"/>
        <w:snapToGrid w:val="0"/>
        <w:spacing w:line="400" w:lineRule="exact"/>
        <w:jc w:val="left"/>
        <w:rPr>
          <w:rFonts w:hint="eastAsia" w:ascii="宋体" w:hAnsi="宋体" w:eastAsia="宋体"/>
          <w:b/>
          <w:bCs/>
          <w:sz w:val="24"/>
        </w:rPr>
      </w:pPr>
      <w:r>
        <w:rPr>
          <w:rFonts w:hint="eastAsia" w:ascii="宋体" w:hAnsi="宋体" w:eastAsia="宋体"/>
          <w:b/>
          <w:bCs/>
          <w:color w:val="000000"/>
          <w:sz w:val="24"/>
        </w:rPr>
        <w:t>9</w:t>
      </w:r>
      <w:r>
        <w:rPr>
          <w:rFonts w:hint="eastAsia" w:ascii="宋体" w:hAnsi="宋体" w:eastAsia="宋体"/>
          <w:b/>
          <w:bCs/>
          <w:sz w:val="24"/>
        </w:rPr>
        <w:t>.</w:t>
      </w:r>
      <w:r>
        <w:rPr>
          <w:rFonts w:hint="eastAsia" w:ascii="宋体" w:hAnsi="宋体" w:eastAsia="宋体"/>
          <w:b/>
          <w:bCs/>
          <w:color w:val="000000"/>
          <w:sz w:val="24"/>
        </w:rPr>
        <w:t xml:space="preserve"> </w:t>
      </w:r>
      <w:r>
        <w:rPr>
          <w:rFonts w:hint="eastAsia" w:ascii="宋体" w:hAnsi="宋体" w:eastAsia="宋体"/>
          <w:b/>
          <w:bCs/>
          <w:sz w:val="24"/>
        </w:rPr>
        <w:t>权利瑕疵担保</w:t>
      </w:r>
    </w:p>
    <w:p w14:paraId="015DD923">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9.1 乙方保证对其出售的货物享有合法的权利。</w:t>
      </w:r>
    </w:p>
    <w:p w14:paraId="35AF8B41">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9.2 </w:t>
      </w:r>
      <w:r>
        <w:rPr>
          <w:rFonts w:hint="eastAsia" w:ascii="宋体" w:hAnsi="宋体" w:eastAsia="宋体" w:cs="宋体"/>
          <w:szCs w:val="15"/>
        </w:rPr>
        <w:t>乙方保证在交付的货物上不存在抵押权等担保物权。</w:t>
      </w:r>
    </w:p>
    <w:p w14:paraId="6BDD2707">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9.3 如甲方使用上述货物构成对第三人侵权的，则由乙方承担全部责任。</w:t>
      </w:r>
    </w:p>
    <w:p w14:paraId="64A3E9FE">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10. 知识产权保护</w:t>
      </w:r>
    </w:p>
    <w:p w14:paraId="771C5639">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color w:val="000000"/>
          <w:szCs w:val="21"/>
        </w:rPr>
        <w:t>10.1 乙方对其所销售的货物应当享有知识产权或经权利人合法授权，保证没有侵犯任</w:t>
      </w:r>
      <w:r>
        <w:rPr>
          <w:rFonts w:hint="eastAsia" w:ascii="宋体" w:hAnsi="宋体" w:eastAsia="宋体"/>
          <w:szCs w:val="21"/>
        </w:rPr>
        <w:t>何第三人的知识产权等权利。</w:t>
      </w:r>
      <w:bookmarkStart w:id="52"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52"/>
      <w:r>
        <w:rPr>
          <w:rFonts w:hint="eastAsia" w:ascii="宋体" w:hAnsi="宋体" w:eastAsia="宋体"/>
          <w:szCs w:val="21"/>
        </w:rPr>
        <w:t>。</w:t>
      </w:r>
    </w:p>
    <w:p w14:paraId="0E89A266">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11. 保密义务</w:t>
      </w:r>
    </w:p>
    <w:p w14:paraId="76F662FC">
      <w:pPr>
        <w:autoSpaceDE w:val="0"/>
        <w:autoSpaceDN w:val="0"/>
        <w:adjustRightInd w:val="0"/>
        <w:snapToGrid w:val="0"/>
        <w:spacing w:line="400" w:lineRule="exact"/>
        <w:ind w:firstLine="420" w:firstLineChars="200"/>
        <w:jc w:val="left"/>
        <w:rPr>
          <w:rFonts w:hint="eastAsia" w:ascii="宋体" w:hAnsi="宋体" w:eastAsia="宋体" w:cs="宋体"/>
          <w:szCs w:val="15"/>
        </w:rPr>
      </w:pPr>
      <w:r>
        <w:rPr>
          <w:rFonts w:hint="eastAsia" w:ascii="宋体" w:hAnsi="宋体" w:eastAsia="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542161CC">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12. 合同价款支付</w:t>
      </w:r>
    </w:p>
    <w:p w14:paraId="4967666E">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12.1 合同价款支付按照国库集中支付制度及财政管理相关规定执行。</w:t>
      </w:r>
    </w:p>
    <w:p w14:paraId="6EE7F749">
      <w:pPr>
        <w:adjustRightInd w:val="0"/>
        <w:snapToGrid w:val="0"/>
        <w:spacing w:line="400" w:lineRule="exact"/>
        <w:ind w:firstLine="420" w:firstLineChars="200"/>
        <w:jc w:val="left"/>
        <w:rPr>
          <w:rFonts w:ascii="Arial" w:hAnsi="Arial" w:eastAsia="宋体" w:cs="Times New Roman"/>
          <w:b/>
          <w:bCs/>
          <w:sz w:val="24"/>
          <w:szCs w:val="32"/>
        </w:rPr>
      </w:pPr>
      <w:r>
        <w:rPr>
          <w:rFonts w:hint="eastAsia" w:ascii="宋体" w:hAnsi="宋体" w:eastAsia="宋体" w:cs="Times New Roman"/>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szCs w:val="21"/>
        </w:rPr>
        <w:t>政府采购合同专用条款</w:t>
      </w:r>
      <w:r>
        <w:rPr>
          <w:rFonts w:hint="eastAsia" w:ascii="宋体" w:hAnsi="宋体" w:eastAsia="宋体" w:cs="Times New Roman"/>
          <w:szCs w:val="21"/>
        </w:rPr>
        <w:t>】中约定。</w:t>
      </w:r>
    </w:p>
    <w:p w14:paraId="1FCF93BA">
      <w:pPr>
        <w:spacing w:line="400" w:lineRule="exact"/>
        <w:rPr>
          <w:rFonts w:hint="eastAsia" w:ascii="宋体" w:hAnsi="宋体" w:eastAsia="宋体" w:cs="Times New Roman"/>
          <w:b/>
          <w:bCs/>
          <w:sz w:val="24"/>
          <w:szCs w:val="24"/>
        </w:rPr>
      </w:pPr>
      <w:r>
        <w:rPr>
          <w:rFonts w:hint="eastAsia" w:ascii="宋体" w:hAnsi="宋体" w:eastAsia="宋体" w:cs="Times New Roman"/>
          <w:b/>
          <w:bCs/>
          <w:sz w:val="24"/>
          <w:szCs w:val="24"/>
        </w:rPr>
        <w:t>13. 履约保证金</w:t>
      </w:r>
    </w:p>
    <w:p w14:paraId="2FCCE85A">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 xml:space="preserve">13.1 </w:t>
      </w:r>
      <w:r>
        <w:rPr>
          <w:rFonts w:hint="eastAsia" w:ascii="宋体" w:hAnsi="宋体" w:eastAsia="宋体" w:cs="宋体"/>
          <w:szCs w:val="15"/>
        </w:rPr>
        <w:t>乙方应当以支票、汇票、本票或者金融机构、担保机构出具的保函等非现金形式提交。</w:t>
      </w:r>
    </w:p>
    <w:p w14:paraId="1B3452D8">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13.2 如果乙方出现</w:t>
      </w:r>
      <w:r>
        <w:rPr>
          <w:rFonts w:hint="eastAsia" w:ascii="宋体" w:hAnsi="宋体" w:eastAsia="宋体" w:cs="宋体"/>
          <w:b/>
          <w:bCs/>
          <w:szCs w:val="15"/>
        </w:rPr>
        <w:t>【政府采购合同专用条款】</w:t>
      </w:r>
      <w:r>
        <w:rPr>
          <w:rFonts w:hint="eastAsia" w:ascii="宋体" w:hAnsi="宋体" w:eastAsia="宋体" w:cs="宋体"/>
          <w:szCs w:val="15"/>
        </w:rPr>
        <w:t>约定情形的</w:t>
      </w:r>
      <w:r>
        <w:rPr>
          <w:rFonts w:hint="eastAsia" w:ascii="宋体" w:hAnsi="宋体" w:eastAsia="宋体"/>
          <w:szCs w:val="21"/>
        </w:rPr>
        <w:t>，履约保证金不予退还；如果乙方未能按合同约定全面履行义务，甲方有权从履约保证金中取得补偿或赔偿，且不影响甲方要求乙方承担合同约定的超过履约保证金的违约责任的权利。</w:t>
      </w:r>
    </w:p>
    <w:p w14:paraId="081538B4">
      <w:pPr>
        <w:spacing w:line="400" w:lineRule="exact"/>
        <w:ind w:firstLine="420"/>
        <w:rPr>
          <w:rFonts w:eastAsia="宋体"/>
        </w:rPr>
      </w:pPr>
      <w:r>
        <w:rPr>
          <w:rFonts w:hint="eastAsia" w:ascii="宋体" w:hAnsi="宋体" w:eastAsia="宋体"/>
          <w:szCs w:val="21"/>
        </w:rPr>
        <w:t>13.3 甲方在项目通过验收后按照</w:t>
      </w:r>
      <w:r>
        <w:rPr>
          <w:rFonts w:hint="eastAsia" w:ascii="宋体" w:hAnsi="宋体" w:eastAsia="宋体"/>
          <w:b/>
          <w:szCs w:val="21"/>
        </w:rPr>
        <w:t>【政府采购合同专用条款】</w:t>
      </w:r>
      <w:r>
        <w:rPr>
          <w:rFonts w:hint="eastAsia" w:ascii="宋体" w:hAnsi="宋体" w:eastAsia="宋体"/>
          <w:szCs w:val="21"/>
        </w:rPr>
        <w:t>规定的时间内将履约保证金退还乙方；逾期退还的，乙方可要求甲方支付违约金，违约金按照</w:t>
      </w:r>
      <w:r>
        <w:rPr>
          <w:rFonts w:hint="eastAsia" w:ascii="宋体" w:hAnsi="宋体" w:eastAsia="宋体"/>
          <w:b/>
          <w:szCs w:val="21"/>
        </w:rPr>
        <w:t>【政府采购合同专用条款】</w:t>
      </w:r>
      <w:r>
        <w:rPr>
          <w:rFonts w:hint="eastAsia" w:ascii="宋体" w:hAnsi="宋体" w:eastAsia="宋体"/>
          <w:szCs w:val="21"/>
        </w:rPr>
        <w:t>规定支付。</w:t>
      </w:r>
    </w:p>
    <w:p w14:paraId="2440273D">
      <w:p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bCs/>
          <w:sz w:val="24"/>
        </w:rPr>
        <w:t xml:space="preserve">14. </w:t>
      </w:r>
      <w:r>
        <w:rPr>
          <w:rFonts w:hint="eastAsia" w:eastAsia="宋体"/>
          <w:b/>
          <w:sz w:val="24"/>
        </w:rPr>
        <w:t>售后</w:t>
      </w:r>
      <w:r>
        <w:rPr>
          <w:rFonts w:hint="eastAsia" w:ascii="宋体" w:hAnsi="宋体" w:eastAsia="宋体"/>
          <w:b/>
          <w:sz w:val="24"/>
        </w:rPr>
        <w:t>服务</w:t>
      </w:r>
    </w:p>
    <w:p w14:paraId="21708774">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14.1 除项目不涉及或采购活动中明确约定无须承担外，乙方还应提供下列服务：</w:t>
      </w:r>
    </w:p>
    <w:p w14:paraId="2C459AE1">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（1）货物的现场移动、安装、调试、启动监督及技术支持；</w:t>
      </w:r>
    </w:p>
    <w:p w14:paraId="157BB73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（2）提供货物组装和维修所需的专用工具和辅助材料；</w:t>
      </w:r>
    </w:p>
    <w:p w14:paraId="40A1955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（3）在</w:t>
      </w:r>
      <w:r>
        <w:rPr>
          <w:rFonts w:hint="eastAsia" w:ascii="宋体" w:hAnsi="宋体" w:eastAsia="宋体" w:cs="宋体"/>
          <w:b/>
          <w:bCs/>
          <w:szCs w:val="15"/>
        </w:rPr>
        <w:t>【政府采购合同专用条款】</w:t>
      </w:r>
      <w:r>
        <w:rPr>
          <w:rFonts w:hint="eastAsia" w:ascii="宋体" w:hAnsi="宋体" w:eastAsia="宋体"/>
          <w:szCs w:val="21"/>
        </w:rPr>
        <w:t>约定的期限内对所有的货物实施运行监督、维修，但前提条件是该服务并不能免除乙方在质量保证期内所承担的义务；</w:t>
      </w:r>
    </w:p>
    <w:p w14:paraId="74967F4D">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（4）在制造商所在地或指定现场就货物的安装、启动、运营、维护、废弃处置等对甲方操作人员进行培训</w:t>
      </w:r>
      <w:r>
        <w:rPr>
          <w:rFonts w:hint="eastAsia" w:ascii="宋体" w:hAnsi="宋体" w:eastAsia="宋体" w:cs="宋体"/>
          <w:szCs w:val="15"/>
        </w:rPr>
        <w:t>；</w:t>
      </w:r>
    </w:p>
    <w:p w14:paraId="036791FF">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（5）依照法律、行政法规的规定或者按照</w:t>
      </w:r>
      <w:r>
        <w:rPr>
          <w:rFonts w:hint="eastAsia" w:ascii="宋体" w:hAnsi="宋体" w:eastAsia="宋体" w:cs="宋体"/>
          <w:b/>
          <w:bCs/>
          <w:szCs w:val="21"/>
        </w:rPr>
        <w:t>【政府采购合同专用条款】</w:t>
      </w:r>
      <w:r>
        <w:rPr>
          <w:rFonts w:hint="eastAsia" w:ascii="宋体" w:hAnsi="宋体" w:eastAsia="宋体" w:cs="宋体"/>
          <w:szCs w:val="21"/>
        </w:rPr>
        <w:t>约定，货物在有效使用年限届满后应予回收的，乙方负有自行或者委托第三人对货物予以回收的义务；</w:t>
      </w:r>
    </w:p>
    <w:p w14:paraId="22B74AC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（6）</w:t>
      </w:r>
      <w:r>
        <w:rPr>
          <w:rFonts w:hint="eastAsia" w:ascii="宋体" w:hAnsi="宋体" w:eastAsia="宋体"/>
          <w:b/>
          <w:szCs w:val="21"/>
        </w:rPr>
        <w:t>【政府采购合同专用条款】</w:t>
      </w:r>
      <w:r>
        <w:rPr>
          <w:rFonts w:hint="eastAsia" w:ascii="宋体" w:hAnsi="宋体" w:eastAsia="宋体"/>
          <w:szCs w:val="21"/>
        </w:rPr>
        <w:t>规定由乙方提供的其他服务。</w:t>
      </w:r>
    </w:p>
    <w:p w14:paraId="1B19FC8D">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14.2 乙方提供的售后服务的费用已包含在合同价款中，甲方不再另行支付。</w:t>
      </w:r>
    </w:p>
    <w:p w14:paraId="5432E4F0">
      <w:pPr>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15. 违约责任</w:t>
      </w:r>
    </w:p>
    <w:p w14:paraId="074C26AC">
      <w:pPr>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15.1质量瑕疵的违约责任</w:t>
      </w:r>
    </w:p>
    <w:p w14:paraId="6B5F92E1">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乙方提供的产品不符合合同约定的质量标准或存在产品质量缺陷，甲方有权要求乙方根据</w:t>
      </w:r>
      <w:r>
        <w:rPr>
          <w:rFonts w:hint="eastAsia" w:ascii="宋体" w:hAnsi="宋体" w:eastAsia="宋体"/>
          <w:b/>
          <w:szCs w:val="21"/>
        </w:rPr>
        <w:t>【政府采购合同专用条款】</w:t>
      </w:r>
      <w:r>
        <w:rPr>
          <w:rFonts w:hint="eastAsia" w:ascii="宋体" w:hAnsi="宋体" w:eastAsia="宋体"/>
          <w:bCs/>
          <w:szCs w:val="21"/>
        </w:rPr>
        <w:t>要求</w:t>
      </w:r>
      <w:r>
        <w:rPr>
          <w:rFonts w:hint="eastAsia" w:ascii="宋体" w:hAnsi="宋体" w:eastAsia="宋体"/>
          <w:szCs w:val="21"/>
        </w:rPr>
        <w:t>及时修理、重作、更换，并承担由此给甲方造成的损失。</w:t>
      </w:r>
    </w:p>
    <w:p w14:paraId="1384024E">
      <w:pPr>
        <w:autoSpaceDE w:val="0"/>
        <w:autoSpaceDN w:val="0"/>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15.2 迟延交货的违约责任</w:t>
      </w:r>
    </w:p>
    <w:p w14:paraId="4BFEDC94">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89D7C9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（2）如果乙方没有按照合同规定的时间交货和提供相关服务，甲方有权从货款中扣除误期赔偿费而不影响合同项下的其他补救方法，赔偿费按</w:t>
      </w:r>
      <w:r>
        <w:rPr>
          <w:rFonts w:hint="eastAsia" w:ascii="宋体" w:hAnsi="宋体" w:eastAsia="宋体"/>
          <w:b/>
          <w:szCs w:val="21"/>
        </w:rPr>
        <w:t>【政府采购合同专用条款】</w:t>
      </w:r>
      <w:r>
        <w:rPr>
          <w:rFonts w:hint="eastAsia" w:ascii="宋体" w:hAnsi="宋体" w:eastAsia="宋体"/>
          <w:szCs w:val="21"/>
        </w:rPr>
        <w:t>规定执行。如果涉及公共利益，且赔偿金额无法弥补公共利益损失，甲方可要求继续履行或者采取其他补救措施。</w:t>
      </w:r>
    </w:p>
    <w:p w14:paraId="50752170">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15.3 迟延支付的违约责任</w:t>
      </w:r>
    </w:p>
    <w:p w14:paraId="7F207140">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甲方存在迟延支付乙方合同款项的，应当承担</w:t>
      </w:r>
      <w:r>
        <w:rPr>
          <w:rFonts w:hint="eastAsia" w:ascii="宋体" w:hAnsi="宋体" w:eastAsia="宋体"/>
          <w:b/>
          <w:bCs/>
          <w:szCs w:val="21"/>
        </w:rPr>
        <w:t>【政府采购合同专用条款】</w:t>
      </w:r>
      <w:r>
        <w:rPr>
          <w:rFonts w:hint="eastAsia" w:ascii="宋体" w:hAnsi="宋体" w:eastAsia="宋体"/>
          <w:szCs w:val="21"/>
        </w:rPr>
        <w:t>规定的逾期付款利息。</w:t>
      </w:r>
    </w:p>
    <w:p w14:paraId="44D50FED">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bCs/>
          <w:szCs w:val="21"/>
        </w:rPr>
        <w:t>15.4其他违约责任根据项目实际需要按</w:t>
      </w:r>
      <w:r>
        <w:rPr>
          <w:rFonts w:hint="eastAsia" w:ascii="宋体" w:hAnsi="宋体" w:eastAsia="宋体"/>
          <w:b/>
          <w:bCs/>
          <w:szCs w:val="21"/>
        </w:rPr>
        <w:t>【政府采购合同专用条款】</w:t>
      </w:r>
      <w:r>
        <w:rPr>
          <w:rFonts w:hint="eastAsia" w:ascii="宋体" w:hAnsi="宋体" w:eastAsia="宋体"/>
          <w:szCs w:val="21"/>
        </w:rPr>
        <w:t>规定执行。</w:t>
      </w:r>
    </w:p>
    <w:p w14:paraId="0418257F">
      <w:pPr>
        <w:numPr>
          <w:ilvl w:val="0"/>
          <w:numId w:val="13"/>
        </w:num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合同变更、中止与终止</w:t>
      </w:r>
    </w:p>
    <w:p w14:paraId="2BBC44F4">
      <w:pPr>
        <w:adjustRightInd w:val="0"/>
        <w:snapToGrid w:val="0"/>
        <w:spacing w:line="400" w:lineRule="exact"/>
        <w:jc w:val="left"/>
        <w:rPr>
          <w:rFonts w:hint="eastAsia" w:ascii="宋体" w:hAnsi="宋体" w:eastAsia="宋体"/>
          <w:szCs w:val="21"/>
        </w:rPr>
      </w:pPr>
      <w:r>
        <w:rPr>
          <w:rFonts w:hint="eastAsia" w:ascii="宋体" w:hAnsi="宋体" w:eastAsia="宋体"/>
          <w:szCs w:val="21"/>
        </w:rPr>
        <w:t xml:space="preserve">    16.1合同的变更</w:t>
      </w:r>
    </w:p>
    <w:p w14:paraId="2542FE04">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政府采购合同履行中，在不改变合同其他条款的前提下，甲方可以在合同价款10%的范围内追加与合同标的相同的货物，并就此与乙方协商一致后签订补充协议。</w:t>
      </w:r>
    </w:p>
    <w:p w14:paraId="4814B85E">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16.2合同的中止</w:t>
      </w:r>
    </w:p>
    <w:p w14:paraId="0497F903">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（1）合同履行过程中因供应商就采购文件、采购过程或结果提起投诉的，甲方认为有必要的，可以中止合同的履行。</w:t>
      </w:r>
    </w:p>
    <w:p w14:paraId="56A172E2">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69C1B71">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宋体"/>
          <w:szCs w:val="21"/>
        </w:rPr>
        <w:t>（3）乙方分立、合并或者变更住所的，应当及时以书面形式告知甲方。乙方没有及时告知甲方，致使合同履行发生困难的，甲方可以中止合同履行并要求乙方承担由此给甲方造成的损失。</w:t>
      </w:r>
    </w:p>
    <w:p w14:paraId="602ABD1F">
      <w:pPr>
        <w:snapToGrid w:val="0"/>
        <w:spacing w:line="400" w:lineRule="exact"/>
        <w:ind w:firstLine="420" w:firstLineChars="200"/>
        <w:jc w:val="left"/>
        <w:rPr>
          <w:rFonts w:eastAsia="宋体"/>
        </w:rPr>
      </w:pPr>
      <w:r>
        <w:rPr>
          <w:rFonts w:hint="eastAsia" w:ascii="宋体" w:hAnsi="宋体" w:eastAsia="宋体"/>
          <w:szCs w:val="21"/>
        </w:rPr>
        <w:t>（4）甲方不得以行政区划调整、政府换届、机构或者职能调整以及相关责任人更替为由中止合同。</w:t>
      </w:r>
    </w:p>
    <w:p w14:paraId="396F4823">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16.3合同的终止</w:t>
      </w:r>
    </w:p>
    <w:p w14:paraId="211FEBB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（1）合同因有效期限届满而终止；</w:t>
      </w:r>
    </w:p>
    <w:p w14:paraId="29B17F2D">
      <w:pPr>
        <w:snapToGrid w:val="0"/>
        <w:spacing w:line="400" w:lineRule="exact"/>
        <w:ind w:firstLine="420" w:firstLineChars="200"/>
        <w:rPr>
          <w:rFonts w:hint="eastAsia" w:ascii="宋体" w:hAnsi="宋体" w:eastAsia="宋体" w:cs="宋体"/>
          <w:szCs w:val="21"/>
        </w:rPr>
      </w:pPr>
      <w:r>
        <w:rPr>
          <w:rFonts w:hint="eastAsia" w:ascii="宋体" w:hAnsi="宋体" w:eastAsia="宋体"/>
          <w:szCs w:val="21"/>
        </w:rPr>
        <w:t>（2）乙方未按合同约定履行，构成根本性违约的，甲方有权终止合同，</w:t>
      </w:r>
      <w:r>
        <w:rPr>
          <w:rFonts w:hint="eastAsia" w:ascii="宋体" w:hAnsi="宋体" w:eastAsia="宋体" w:cs="宋体"/>
          <w:szCs w:val="21"/>
        </w:rPr>
        <w:t>并追究乙方的违约责任</w:t>
      </w:r>
      <w:r>
        <w:rPr>
          <w:rFonts w:hint="eastAsia" w:ascii="宋体" w:hAnsi="宋体" w:eastAsia="宋体"/>
          <w:szCs w:val="21"/>
        </w:rPr>
        <w:t>。</w:t>
      </w:r>
    </w:p>
    <w:p w14:paraId="2794A0AB">
      <w:pPr>
        <w:autoSpaceDE w:val="0"/>
        <w:autoSpaceDN w:val="0"/>
        <w:adjustRightInd w:val="0"/>
        <w:spacing w:line="400" w:lineRule="exact"/>
        <w:ind w:firstLine="440" w:firstLineChars="200"/>
        <w:rPr>
          <w:rFonts w:hint="eastAsia" w:ascii="宋体" w:hAnsi="宋体" w:eastAsia="华文楷体" w:cs="华文楷体"/>
          <w:sz w:val="22"/>
          <w:szCs w:val="21"/>
        </w:rPr>
      </w:pPr>
      <w:r>
        <w:rPr>
          <w:rFonts w:hint="eastAsia" w:ascii="宋体" w:hAnsi="宋体" w:eastAsia="华文楷体" w:cs="华文楷体"/>
          <w:sz w:val="22"/>
          <w:szCs w:val="21"/>
        </w:rPr>
        <w:t xml:space="preserve">16.4 </w:t>
      </w:r>
      <w:r>
        <w:rPr>
          <w:rFonts w:hint="eastAsia" w:ascii="宋体" w:hAnsi="宋体" w:eastAsia="宋体" w:cs="Times New Roman"/>
          <w:szCs w:val="21"/>
        </w:rPr>
        <w:t>涉及国家利益、社会公共利益的情形</w:t>
      </w:r>
    </w:p>
    <w:p w14:paraId="14A3D5D2">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宋体"/>
          <w:szCs w:val="21"/>
        </w:rPr>
        <w:t>政府采购合同继续履行将损害国家利益和社会公共利益的，双方当事人应当变更、中止或者终止合同。有过错的一方应当承担赔偿责任，双方都有过错的，各自承担相应的责任。</w:t>
      </w:r>
    </w:p>
    <w:p w14:paraId="3F195E1E">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17. 合同分包</w:t>
      </w:r>
    </w:p>
    <w:p w14:paraId="5E6EDBE4">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17.1 乙方不得将合同转包给其他供应商。涉及合同分包的，乙方应根据采购文件和投标（响应）文件规定进行合同分包。</w:t>
      </w:r>
    </w:p>
    <w:p w14:paraId="5EEB55C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17.2 乙方执行政府采购政策向中小企业依法分包的，乙方应当按采购文件和投标（响应）文件签订分包意向协议，分包意向协议属于本合同组成部分。</w:t>
      </w:r>
    </w:p>
    <w:p w14:paraId="2B1D4B9C">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18. 不可抗力</w:t>
      </w:r>
    </w:p>
    <w:p w14:paraId="7B0D52AE">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18.1 不可抗力是指合同双方不能预见、不能避免且不能克服的客观情况。</w:t>
      </w:r>
    </w:p>
    <w:p w14:paraId="46C731C2">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18.2 任何一方对由于不可抗力造成的部分或全部不能履行合同不承担违约责任。但迟延履行后发生不可抗力的，不能免除责任。</w:t>
      </w:r>
    </w:p>
    <w:p w14:paraId="062C7AAB">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8F5105B">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19. 解决争议的方法</w:t>
      </w:r>
    </w:p>
    <w:p w14:paraId="799F233E">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19.1 因本合同及合同有关事项发生的争议，由甲乙双方友好协商解决。协商不成时，可以向有关组织申请调解。合同一方或双方不愿调解或调解不成的，可以通过仲裁或诉讼的方式解决争议。</w:t>
      </w:r>
    </w:p>
    <w:p w14:paraId="73A064D1">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19.2 选择仲裁的，应在</w:t>
      </w:r>
      <w:r>
        <w:rPr>
          <w:rFonts w:hint="eastAsia" w:ascii="宋体" w:hAnsi="宋体" w:eastAsia="宋体" w:cs="宋体"/>
          <w:b/>
          <w:bCs/>
          <w:szCs w:val="21"/>
        </w:rPr>
        <w:t>【政府采购合同专用条款】</w:t>
      </w:r>
      <w:r>
        <w:rPr>
          <w:rFonts w:hint="eastAsia" w:ascii="宋体" w:hAnsi="宋体" w:eastAsia="宋体" w:cs="宋体"/>
          <w:szCs w:val="21"/>
        </w:rPr>
        <w:t>中明确仲裁机构及仲裁地；通过诉讼方式解决的，可以在</w:t>
      </w:r>
      <w:r>
        <w:rPr>
          <w:rFonts w:hint="eastAsia" w:ascii="宋体" w:hAnsi="宋体" w:eastAsia="宋体" w:cs="宋体"/>
          <w:b/>
          <w:bCs/>
          <w:szCs w:val="21"/>
        </w:rPr>
        <w:t>【政府采购合同专用条款】</w:t>
      </w:r>
      <w:r>
        <w:rPr>
          <w:rFonts w:hint="eastAsia" w:ascii="宋体" w:hAnsi="宋体" w:eastAsia="宋体" w:cs="宋体"/>
          <w:szCs w:val="21"/>
        </w:rPr>
        <w:t>中进一步约定选择与争议有实际联系的地点的人民法院管辖，但管辖法院的约定不得违反级别管辖和专属管辖的规定。</w:t>
      </w:r>
    </w:p>
    <w:p w14:paraId="209438F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19.3 如甲乙双方有争议的事项不影响合同其他部分的履行，在争议解决期间，合同其他部分应当继续履行。</w:t>
      </w:r>
    </w:p>
    <w:p w14:paraId="778FBFD3">
      <w:pPr>
        <w:autoSpaceDE w:val="0"/>
        <w:autoSpaceDN w:val="0"/>
        <w:adjustRightInd w:val="0"/>
        <w:snapToGrid w:val="0"/>
        <w:spacing w:line="400" w:lineRule="exact"/>
        <w:jc w:val="left"/>
        <w:rPr>
          <w:rFonts w:hint="eastAsia" w:ascii="宋体" w:hAnsi="宋体" w:eastAsia="宋体"/>
          <w:sz w:val="24"/>
        </w:rPr>
      </w:pPr>
      <w:r>
        <w:rPr>
          <w:rFonts w:hint="eastAsia" w:ascii="宋体" w:hAnsi="宋体" w:eastAsia="宋体"/>
          <w:b/>
          <w:sz w:val="24"/>
        </w:rPr>
        <w:t>20. 政府采购政策</w:t>
      </w:r>
    </w:p>
    <w:p w14:paraId="7EAEF334">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 xml:space="preserve">20.1 </w:t>
      </w:r>
      <w:r>
        <w:rPr>
          <w:rFonts w:hint="eastAsia" w:ascii="宋体" w:hAnsi="宋体" w:eastAsia="宋体" w:cs="宋体"/>
          <w:lang w:val="en-GB"/>
        </w:rPr>
        <w:t>本合同应当按照规定执行政府采购政策。</w:t>
      </w:r>
    </w:p>
    <w:p w14:paraId="03BA1F2F">
      <w:pPr>
        <w:autoSpaceDE w:val="0"/>
        <w:autoSpaceDN w:val="0"/>
        <w:adjustRightInd w:val="0"/>
        <w:snapToGrid w:val="0"/>
        <w:spacing w:line="400" w:lineRule="exact"/>
        <w:ind w:firstLine="420" w:firstLineChars="200"/>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0.2 本合同依法执行政府采购政策的方式和内容，属于合同履约验收的范围。</w:t>
      </w:r>
      <w:r>
        <w:rPr>
          <w:rFonts w:hint="eastAsia" w:ascii="宋体" w:hAnsi="宋体" w:eastAsia="宋体" w:cs="宋体"/>
        </w:rPr>
        <w:t>甲乙双方</w:t>
      </w:r>
      <w:r>
        <w:rPr>
          <w:rFonts w:hint="eastAsia" w:ascii="宋体" w:hAnsi="宋体" w:eastAsia="宋体" w:cs="宋体"/>
          <w:lang w:val="en-GB"/>
        </w:rPr>
        <w:t>未按规定要求执行政府采购政策造成损失的</w:t>
      </w:r>
      <w:r>
        <w:rPr>
          <w:rFonts w:hint="eastAsia" w:ascii="宋体" w:hAnsi="宋体" w:eastAsia="宋体"/>
          <w:szCs w:val="21"/>
        </w:rPr>
        <w:t>，有过错的一方应当承担赔偿责任，双方都有过错的，各自承担相应的责任。</w:t>
      </w:r>
    </w:p>
    <w:p w14:paraId="20B9B69A">
      <w:pPr>
        <w:spacing w:line="400" w:lineRule="exact"/>
        <w:ind w:firstLine="420" w:firstLineChars="200"/>
        <w:rPr>
          <w:rFonts w:ascii="Calibri" w:hAnsi="Calibri" w:eastAsia="宋体" w:cs="Times New Roman"/>
        </w:rPr>
      </w:pPr>
      <w:r>
        <w:rPr>
          <w:rFonts w:ascii="宋体" w:hAnsi="宋体" w:eastAsia="宋体" w:cs="Times New Roman"/>
          <w:szCs w:val="21"/>
        </w:rPr>
        <w:t>2</w:t>
      </w:r>
      <w:r>
        <w:rPr>
          <w:rFonts w:hint="eastAsia" w:ascii="宋体" w:hAnsi="宋体" w:eastAsia="宋体" w:cs="Times New Roman"/>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6F93BB0">
      <w:p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21. 法律适用</w:t>
      </w:r>
    </w:p>
    <w:p w14:paraId="613A7DAC">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21.1 本合同的订立、生效、解释、履行及与本合同有关的争议解决，均适用法律、行政法规。</w:t>
      </w:r>
    </w:p>
    <w:p w14:paraId="60D4D6F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21.2 本合同条款与法律、行政法规的强制性规定不一致的，双方当事人应按照法律、行政法规的强制性规定修改本合同的相关条款。</w:t>
      </w:r>
    </w:p>
    <w:p w14:paraId="7CA63EE5">
      <w:pPr>
        <w:numPr>
          <w:ilvl w:val="255"/>
          <w:numId w:val="0"/>
        </w:num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22. 通知</w:t>
      </w:r>
    </w:p>
    <w:p w14:paraId="552969D4">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22.1 本合同任何一方向对方发出的通知、信件、数据电文等，应当发送至本合同第一部分《政府采购合同协议书》所约定的通讯地址、联系人、联系电话或电子邮箱。</w:t>
      </w:r>
    </w:p>
    <w:p w14:paraId="65A1D186">
      <w:pPr>
        <w:autoSpaceDE w:val="0"/>
        <w:autoSpaceDN w:val="0"/>
        <w:adjustRightInd w:val="0"/>
        <w:spacing w:line="400" w:lineRule="exact"/>
        <w:rPr>
          <w:rFonts w:hint="eastAsia" w:ascii="华文楷体" w:hAnsi="华文楷体" w:eastAsia="华文楷体" w:cs="华文楷体"/>
          <w:szCs w:val="21"/>
        </w:rPr>
      </w:pPr>
      <w:r>
        <w:rPr>
          <w:rFonts w:hint="eastAsia" w:ascii="宋体" w:hAnsi="宋体" w:eastAsia="宋体" w:cs="宋体"/>
          <w:szCs w:val="21"/>
        </w:rPr>
        <w:t xml:space="preserve">    22.2 一方当事人变更名称、住所、联系人、联系电话或电子邮箱等信息的，应当在变更后3日内及时书面通知对方，对方实际收到变更通知前的送达仍为有效送达。</w:t>
      </w:r>
    </w:p>
    <w:p w14:paraId="7F1B5A03">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22.3本合同一方给另一方的通知均应采用书面形式，传真或快递送到本合同中规定的对方的地址和办理签收手续。</w:t>
      </w:r>
    </w:p>
    <w:p w14:paraId="0B4AB6F6">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22.4通知以送达之日或通知书中规定的生效之日起生效，两者中以较迟之日为准。</w:t>
      </w:r>
    </w:p>
    <w:p w14:paraId="53A2D286">
      <w:pPr>
        <w:numPr>
          <w:ilvl w:val="0"/>
          <w:numId w:val="14"/>
        </w:numPr>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合同未尽事项</w:t>
      </w:r>
    </w:p>
    <w:p w14:paraId="4333C4FF">
      <w:pPr>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23.1合同未尽事项见</w:t>
      </w:r>
      <w:r>
        <w:rPr>
          <w:rFonts w:hint="eastAsia" w:ascii="宋体" w:hAnsi="宋体" w:eastAsia="宋体"/>
          <w:b/>
          <w:szCs w:val="21"/>
        </w:rPr>
        <w:t>【政府采购合同专用条款】</w:t>
      </w:r>
      <w:r>
        <w:rPr>
          <w:rFonts w:hint="eastAsia" w:ascii="宋体" w:hAnsi="宋体" w:eastAsia="宋体"/>
          <w:bCs/>
          <w:szCs w:val="21"/>
        </w:rPr>
        <w:t>。</w:t>
      </w:r>
    </w:p>
    <w:p w14:paraId="7611E2BE">
      <w:pPr>
        <w:adjustRightInd w:val="0"/>
        <w:snapToGrid w:val="0"/>
        <w:spacing w:line="400" w:lineRule="exact"/>
        <w:jc w:val="left"/>
        <w:rPr>
          <w:rFonts w:hint="eastAsia" w:ascii="黑体" w:hAnsi="华文中宋" w:eastAsia="黑体"/>
          <w:sz w:val="28"/>
          <w:szCs w:val="28"/>
        </w:rPr>
      </w:pPr>
      <w:r>
        <w:rPr>
          <w:rFonts w:hint="eastAsia" w:ascii="宋体" w:hAnsi="宋体" w:eastAsia="宋体"/>
          <w:bCs/>
          <w:szCs w:val="21"/>
        </w:rPr>
        <w:t xml:space="preserve">    23.2 合同附件与合同正文具有同等的法律效力。</w:t>
      </w:r>
      <w:bookmarkStart w:id="53" w:name="_Toc20313"/>
    </w:p>
    <w:p w14:paraId="443B337C">
      <w:pPr>
        <w:adjustRightInd w:val="0"/>
        <w:snapToGrid w:val="0"/>
        <w:jc w:val="center"/>
        <w:rPr>
          <w:rFonts w:hint="eastAsia" w:ascii="黑体" w:hAnsi="华文中宋" w:eastAsia="黑体"/>
          <w:sz w:val="28"/>
          <w:szCs w:val="28"/>
        </w:rPr>
      </w:pPr>
      <w:r>
        <w:rPr>
          <w:rFonts w:hint="eastAsia" w:ascii="黑体" w:hAnsi="华文中宋" w:eastAsia="黑体"/>
          <w:sz w:val="28"/>
          <w:szCs w:val="28"/>
        </w:rPr>
        <w:br w:type="page"/>
      </w:r>
    </w:p>
    <w:p w14:paraId="25BE7A72">
      <w:pPr>
        <w:keepNext/>
        <w:keepLines/>
        <w:adjustRightInd w:val="0"/>
        <w:snapToGrid w:val="0"/>
        <w:spacing w:line="360" w:lineRule="auto"/>
        <w:jc w:val="center"/>
        <w:outlineLvl w:val="1"/>
        <w:rPr>
          <w:rFonts w:hint="eastAsia" w:ascii="黑体" w:hAnsi="华文中宋" w:eastAsia="黑体" w:cs="Times New Roman"/>
          <w:sz w:val="28"/>
          <w:szCs w:val="28"/>
        </w:rPr>
      </w:pPr>
      <w:r>
        <w:rPr>
          <w:rFonts w:hint="eastAsia" w:ascii="黑体" w:hAnsi="华文中宋" w:eastAsia="黑体" w:cs="Times New Roman"/>
          <w:sz w:val="28"/>
          <w:szCs w:val="28"/>
        </w:rPr>
        <w:t>第三节 政府采购合同专用条款</w:t>
      </w:r>
      <w:bookmarkEnd w:id="53"/>
    </w:p>
    <w:tbl>
      <w:tblPr>
        <w:tblStyle w:val="1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0EDBC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681ED3">
            <w:pPr>
              <w:adjustRightInd w:val="0"/>
              <w:snapToGrid w:val="0"/>
              <w:jc w:val="center"/>
              <w:rPr>
                <w:rFonts w:hint="eastAsia" w:ascii="宋体" w:hAnsi="宋体" w:eastAsia="宋体"/>
                <w:szCs w:val="21"/>
              </w:rPr>
            </w:pPr>
            <w:r>
              <w:rPr>
                <w:rFonts w:hint="eastAsia" w:ascii="宋体" w:hAnsi="宋体" w:eastAsia="宋体"/>
                <w:szCs w:val="21"/>
              </w:rPr>
              <w:t>第二节</w:t>
            </w:r>
          </w:p>
          <w:p w14:paraId="5E74E1E0">
            <w:pPr>
              <w:adjustRightInd w:val="0"/>
              <w:snapToGrid w:val="0"/>
              <w:jc w:val="center"/>
              <w:rPr>
                <w:rFonts w:hint="eastAsia" w:ascii="宋体" w:hAnsi="宋体" w:eastAsia="宋体"/>
                <w:szCs w:val="21"/>
              </w:rPr>
            </w:pPr>
            <w:r>
              <w:rPr>
                <w:rFonts w:hint="eastAsia" w:ascii="宋体" w:hAnsi="宋体" w:eastAsia="宋体"/>
                <w:szCs w:val="21"/>
              </w:rPr>
              <w:t>第1.2（6）项</w:t>
            </w:r>
          </w:p>
        </w:tc>
        <w:tc>
          <w:tcPr>
            <w:tcW w:w="1742" w:type="dxa"/>
            <w:vAlign w:val="center"/>
          </w:tcPr>
          <w:p w14:paraId="11E57325">
            <w:pPr>
              <w:adjustRightInd w:val="0"/>
              <w:snapToGrid w:val="0"/>
              <w:jc w:val="left"/>
              <w:rPr>
                <w:rFonts w:hint="eastAsia" w:ascii="宋体" w:hAnsi="宋体" w:eastAsia="宋体"/>
                <w:szCs w:val="21"/>
              </w:rPr>
            </w:pPr>
            <w:r>
              <w:rPr>
                <w:rFonts w:hint="eastAsia" w:ascii="宋体" w:hAnsi="宋体" w:eastAsia="宋体"/>
                <w:szCs w:val="21"/>
              </w:rPr>
              <w:t>联合体具体要求</w:t>
            </w:r>
          </w:p>
        </w:tc>
        <w:tc>
          <w:tcPr>
            <w:tcW w:w="5170" w:type="dxa"/>
            <w:vAlign w:val="center"/>
          </w:tcPr>
          <w:p w14:paraId="1A0F4301">
            <w:pPr>
              <w:adjustRightInd w:val="0"/>
              <w:snapToGrid w:val="0"/>
              <w:jc w:val="left"/>
              <w:rPr>
                <w:rFonts w:hint="eastAsia" w:ascii="宋体" w:hAnsi="宋体" w:eastAsia="宋体"/>
                <w:szCs w:val="21"/>
              </w:rPr>
            </w:pPr>
          </w:p>
        </w:tc>
      </w:tr>
      <w:tr w14:paraId="36F4B1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7898F05">
            <w:pPr>
              <w:adjustRightInd w:val="0"/>
              <w:snapToGrid w:val="0"/>
              <w:jc w:val="center"/>
              <w:rPr>
                <w:rFonts w:hint="eastAsia" w:ascii="宋体" w:hAnsi="宋体" w:eastAsia="宋体"/>
                <w:szCs w:val="21"/>
              </w:rPr>
            </w:pPr>
            <w:r>
              <w:rPr>
                <w:rFonts w:hint="eastAsia" w:ascii="宋体" w:hAnsi="宋体" w:eastAsia="宋体"/>
                <w:szCs w:val="21"/>
              </w:rPr>
              <w:t>第二节</w:t>
            </w:r>
          </w:p>
          <w:p w14:paraId="35A1AEED">
            <w:pPr>
              <w:adjustRightInd w:val="0"/>
              <w:snapToGrid w:val="0"/>
              <w:jc w:val="center"/>
              <w:rPr>
                <w:rFonts w:hint="eastAsia" w:ascii="宋体" w:hAnsi="宋体" w:eastAsia="宋体" w:cs="Times New Roman"/>
                <w:szCs w:val="21"/>
              </w:rPr>
            </w:pPr>
            <w:r>
              <w:rPr>
                <w:rFonts w:hint="eastAsia" w:ascii="宋体" w:hAnsi="宋体" w:eastAsia="宋体"/>
                <w:szCs w:val="21"/>
              </w:rPr>
              <w:t>第1.2（7）项</w:t>
            </w:r>
          </w:p>
        </w:tc>
        <w:tc>
          <w:tcPr>
            <w:tcW w:w="1742" w:type="dxa"/>
            <w:vAlign w:val="center"/>
          </w:tcPr>
          <w:p w14:paraId="52B79781">
            <w:pPr>
              <w:adjustRightInd w:val="0"/>
              <w:snapToGrid w:val="0"/>
              <w:jc w:val="left"/>
              <w:rPr>
                <w:rFonts w:hint="eastAsia" w:ascii="宋体" w:hAnsi="宋体" w:eastAsia="宋体" w:cs="Times New Roman"/>
                <w:szCs w:val="21"/>
              </w:rPr>
            </w:pPr>
            <w:r>
              <w:rPr>
                <w:rFonts w:hint="eastAsia" w:ascii="宋体" w:hAnsi="宋体" w:eastAsia="宋体"/>
                <w:szCs w:val="21"/>
              </w:rPr>
              <w:t>其他术语解释</w:t>
            </w:r>
          </w:p>
        </w:tc>
        <w:tc>
          <w:tcPr>
            <w:tcW w:w="5170" w:type="dxa"/>
            <w:vAlign w:val="center"/>
          </w:tcPr>
          <w:p w14:paraId="005E20FC">
            <w:pPr>
              <w:adjustRightInd w:val="0"/>
              <w:snapToGrid w:val="0"/>
              <w:jc w:val="left"/>
              <w:rPr>
                <w:rFonts w:hint="eastAsia" w:ascii="宋体" w:hAnsi="宋体" w:eastAsia="宋体" w:cs="Times New Roman"/>
                <w:szCs w:val="21"/>
              </w:rPr>
            </w:pPr>
          </w:p>
        </w:tc>
      </w:tr>
      <w:tr w14:paraId="3FC00D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F263C1">
            <w:pPr>
              <w:adjustRightInd w:val="0"/>
              <w:snapToGrid w:val="0"/>
              <w:jc w:val="center"/>
              <w:rPr>
                <w:rFonts w:hint="eastAsia" w:ascii="宋体" w:hAnsi="宋体" w:eastAsia="宋体"/>
                <w:szCs w:val="21"/>
              </w:rPr>
            </w:pPr>
            <w:r>
              <w:rPr>
                <w:rFonts w:hint="eastAsia" w:ascii="宋体" w:hAnsi="宋体" w:eastAsia="宋体"/>
                <w:szCs w:val="21"/>
              </w:rPr>
              <w:t>第二节</w:t>
            </w:r>
          </w:p>
          <w:p w14:paraId="23244606">
            <w:pPr>
              <w:adjustRightInd w:val="0"/>
              <w:snapToGrid w:val="0"/>
              <w:jc w:val="center"/>
              <w:rPr>
                <w:rFonts w:hint="eastAsia" w:ascii="宋体" w:hAnsi="宋体" w:eastAsia="宋体"/>
                <w:szCs w:val="21"/>
              </w:rPr>
            </w:pPr>
            <w:r>
              <w:rPr>
                <w:rFonts w:hint="eastAsia" w:ascii="宋体" w:hAnsi="宋体" w:eastAsia="宋体"/>
                <w:szCs w:val="21"/>
              </w:rPr>
              <w:t>第4.4款</w:t>
            </w:r>
          </w:p>
        </w:tc>
        <w:tc>
          <w:tcPr>
            <w:tcW w:w="1742" w:type="dxa"/>
            <w:vAlign w:val="center"/>
          </w:tcPr>
          <w:p w14:paraId="4B201060">
            <w:pPr>
              <w:adjustRightInd w:val="0"/>
              <w:snapToGrid w:val="0"/>
              <w:jc w:val="left"/>
              <w:rPr>
                <w:rFonts w:hint="eastAsia" w:ascii="宋体" w:hAnsi="宋体" w:eastAsia="宋体"/>
                <w:szCs w:val="21"/>
              </w:rPr>
            </w:pPr>
            <w:r>
              <w:rPr>
                <w:rFonts w:hint="eastAsia" w:ascii="宋体" w:hAnsi="宋体" w:eastAsia="宋体"/>
                <w:szCs w:val="21"/>
              </w:rPr>
              <w:t>履约验收中甲方提出异议或作出说明的期限</w:t>
            </w:r>
          </w:p>
        </w:tc>
        <w:tc>
          <w:tcPr>
            <w:tcW w:w="5170" w:type="dxa"/>
            <w:vAlign w:val="center"/>
          </w:tcPr>
          <w:p w14:paraId="44CEA9AD">
            <w:pPr>
              <w:adjustRightInd w:val="0"/>
              <w:snapToGrid w:val="0"/>
              <w:jc w:val="left"/>
              <w:rPr>
                <w:rFonts w:hint="eastAsia" w:ascii="宋体" w:hAnsi="宋体" w:eastAsia="宋体" w:cs="Times New Roman"/>
                <w:szCs w:val="21"/>
              </w:rPr>
            </w:pPr>
          </w:p>
        </w:tc>
      </w:tr>
      <w:tr w14:paraId="4B2BFB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6ACBE3">
            <w:pPr>
              <w:adjustRightInd w:val="0"/>
              <w:snapToGrid w:val="0"/>
              <w:jc w:val="center"/>
              <w:rPr>
                <w:rFonts w:hint="eastAsia" w:ascii="宋体" w:hAnsi="宋体" w:eastAsia="宋体"/>
                <w:szCs w:val="21"/>
              </w:rPr>
            </w:pPr>
            <w:r>
              <w:rPr>
                <w:rFonts w:hint="eastAsia" w:ascii="宋体" w:hAnsi="宋体" w:eastAsia="宋体"/>
                <w:szCs w:val="21"/>
              </w:rPr>
              <w:t>第二节</w:t>
            </w:r>
          </w:p>
          <w:p w14:paraId="73BEE5BA">
            <w:pPr>
              <w:adjustRightInd w:val="0"/>
              <w:snapToGrid w:val="0"/>
              <w:jc w:val="center"/>
              <w:rPr>
                <w:rFonts w:hint="eastAsia" w:ascii="宋体" w:hAnsi="宋体" w:eastAsia="宋体"/>
                <w:szCs w:val="21"/>
              </w:rPr>
            </w:pPr>
            <w:r>
              <w:rPr>
                <w:rFonts w:hint="eastAsia" w:ascii="宋体" w:hAnsi="宋体" w:eastAsia="宋体"/>
                <w:szCs w:val="21"/>
              </w:rPr>
              <w:t>第4.6款</w:t>
            </w:r>
          </w:p>
        </w:tc>
        <w:tc>
          <w:tcPr>
            <w:tcW w:w="1742" w:type="dxa"/>
            <w:vAlign w:val="center"/>
          </w:tcPr>
          <w:p w14:paraId="1669AE56">
            <w:pPr>
              <w:adjustRightInd w:val="0"/>
              <w:snapToGrid w:val="0"/>
              <w:jc w:val="left"/>
              <w:rPr>
                <w:rFonts w:hint="eastAsia" w:ascii="宋体" w:hAnsi="宋体" w:eastAsia="宋体"/>
                <w:szCs w:val="21"/>
              </w:rPr>
            </w:pPr>
            <w:r>
              <w:rPr>
                <w:rFonts w:hint="eastAsia" w:ascii="宋体" w:hAnsi="宋体" w:eastAsia="宋体"/>
                <w:szCs w:val="21"/>
              </w:rPr>
              <w:t>约定甲方承担的其他义务和责任</w:t>
            </w:r>
          </w:p>
        </w:tc>
        <w:tc>
          <w:tcPr>
            <w:tcW w:w="5170" w:type="dxa"/>
            <w:vAlign w:val="center"/>
          </w:tcPr>
          <w:p w14:paraId="1F1DF0B7">
            <w:pPr>
              <w:adjustRightInd w:val="0"/>
              <w:snapToGrid w:val="0"/>
              <w:jc w:val="left"/>
              <w:rPr>
                <w:rFonts w:hint="eastAsia" w:ascii="宋体" w:hAnsi="宋体" w:eastAsia="宋体" w:cs="Times New Roman"/>
                <w:szCs w:val="21"/>
              </w:rPr>
            </w:pPr>
          </w:p>
        </w:tc>
      </w:tr>
      <w:tr w14:paraId="448D49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6D0045">
            <w:pPr>
              <w:adjustRightInd w:val="0"/>
              <w:snapToGrid w:val="0"/>
              <w:jc w:val="center"/>
              <w:rPr>
                <w:rFonts w:hint="eastAsia" w:ascii="宋体" w:hAnsi="宋体" w:eastAsia="宋体"/>
                <w:szCs w:val="21"/>
              </w:rPr>
            </w:pPr>
            <w:r>
              <w:rPr>
                <w:rFonts w:hint="eastAsia" w:ascii="宋体" w:hAnsi="宋体" w:eastAsia="宋体"/>
                <w:szCs w:val="21"/>
              </w:rPr>
              <w:t>第二节</w:t>
            </w:r>
          </w:p>
          <w:p w14:paraId="5060718F">
            <w:pPr>
              <w:snapToGrid w:val="0"/>
              <w:jc w:val="center"/>
              <w:rPr>
                <w:rFonts w:eastAsia="宋体"/>
              </w:rPr>
            </w:pPr>
            <w:r>
              <w:rPr>
                <w:rFonts w:hint="eastAsia" w:ascii="宋体" w:hAnsi="宋体" w:eastAsia="宋体"/>
                <w:szCs w:val="21"/>
              </w:rPr>
              <w:t>第5.4款</w:t>
            </w:r>
          </w:p>
        </w:tc>
        <w:tc>
          <w:tcPr>
            <w:tcW w:w="1742" w:type="dxa"/>
            <w:vAlign w:val="center"/>
          </w:tcPr>
          <w:p w14:paraId="3F0FAE40">
            <w:pPr>
              <w:adjustRightInd w:val="0"/>
              <w:snapToGrid w:val="0"/>
              <w:jc w:val="left"/>
              <w:rPr>
                <w:rFonts w:hint="eastAsia" w:ascii="宋体" w:hAnsi="宋体" w:eastAsia="宋体"/>
                <w:szCs w:val="21"/>
              </w:rPr>
            </w:pPr>
            <w:r>
              <w:rPr>
                <w:rFonts w:hint="eastAsia" w:ascii="宋体" w:hAnsi="宋体" w:eastAsia="宋体"/>
                <w:szCs w:val="21"/>
              </w:rPr>
              <w:t>约定乙方承担的其他义务和责任</w:t>
            </w:r>
          </w:p>
        </w:tc>
        <w:tc>
          <w:tcPr>
            <w:tcW w:w="5170" w:type="dxa"/>
            <w:vAlign w:val="center"/>
          </w:tcPr>
          <w:p w14:paraId="5036F5E8">
            <w:pPr>
              <w:adjustRightInd w:val="0"/>
              <w:snapToGrid w:val="0"/>
              <w:jc w:val="left"/>
              <w:rPr>
                <w:rFonts w:hint="eastAsia" w:ascii="宋体" w:hAnsi="宋体" w:eastAsia="宋体" w:cs="Times New Roman"/>
                <w:szCs w:val="21"/>
              </w:rPr>
            </w:pPr>
          </w:p>
        </w:tc>
      </w:tr>
      <w:tr w14:paraId="28B229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8F3CF5">
            <w:pPr>
              <w:adjustRightInd w:val="0"/>
              <w:snapToGrid w:val="0"/>
              <w:jc w:val="center"/>
              <w:rPr>
                <w:rFonts w:hint="eastAsia" w:ascii="宋体" w:hAnsi="宋体" w:eastAsia="宋体"/>
                <w:szCs w:val="21"/>
              </w:rPr>
            </w:pPr>
            <w:r>
              <w:rPr>
                <w:rFonts w:hint="eastAsia" w:ascii="宋体" w:hAnsi="宋体" w:eastAsia="宋体"/>
                <w:szCs w:val="21"/>
              </w:rPr>
              <w:t>第二节</w:t>
            </w:r>
          </w:p>
          <w:p w14:paraId="168237DE">
            <w:pPr>
              <w:snapToGrid w:val="0"/>
              <w:jc w:val="center"/>
              <w:rPr>
                <w:rFonts w:hint="eastAsia" w:ascii="宋体" w:hAnsi="宋体" w:eastAsia="宋体"/>
                <w:szCs w:val="21"/>
              </w:rPr>
            </w:pPr>
            <w:r>
              <w:rPr>
                <w:rFonts w:hint="eastAsia" w:ascii="宋体" w:hAnsi="宋体" w:eastAsia="宋体"/>
                <w:szCs w:val="21"/>
              </w:rPr>
              <w:t>第6.1款</w:t>
            </w:r>
          </w:p>
        </w:tc>
        <w:tc>
          <w:tcPr>
            <w:tcW w:w="1742" w:type="dxa"/>
            <w:vAlign w:val="center"/>
          </w:tcPr>
          <w:p w14:paraId="5D142E0B">
            <w:pPr>
              <w:adjustRightInd w:val="0"/>
              <w:snapToGrid w:val="0"/>
              <w:jc w:val="left"/>
              <w:rPr>
                <w:rFonts w:hint="eastAsia" w:ascii="宋体" w:hAnsi="宋体" w:eastAsia="宋体"/>
                <w:szCs w:val="21"/>
              </w:rPr>
            </w:pPr>
            <w:r>
              <w:rPr>
                <w:rFonts w:hint="eastAsia" w:ascii="宋体" w:hAnsi="宋体" w:eastAsia="宋体"/>
                <w:szCs w:val="21"/>
              </w:rPr>
              <w:t>履行合同义务的顺序</w:t>
            </w:r>
          </w:p>
        </w:tc>
        <w:tc>
          <w:tcPr>
            <w:tcW w:w="5170" w:type="dxa"/>
            <w:vAlign w:val="center"/>
          </w:tcPr>
          <w:p w14:paraId="45B0AA50">
            <w:pPr>
              <w:adjustRightInd w:val="0"/>
              <w:snapToGrid w:val="0"/>
              <w:jc w:val="left"/>
              <w:rPr>
                <w:rFonts w:hint="eastAsia" w:ascii="宋体" w:hAnsi="宋体" w:eastAsia="宋体" w:cs="Times New Roman"/>
                <w:szCs w:val="21"/>
              </w:rPr>
            </w:pPr>
          </w:p>
        </w:tc>
      </w:tr>
      <w:tr w14:paraId="19C10F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8EA0910">
            <w:pPr>
              <w:adjustRightInd w:val="0"/>
              <w:snapToGrid w:val="0"/>
              <w:jc w:val="center"/>
              <w:rPr>
                <w:rFonts w:hint="eastAsia" w:ascii="宋体" w:hAnsi="宋体" w:eastAsia="宋体"/>
                <w:szCs w:val="21"/>
              </w:rPr>
            </w:pPr>
            <w:r>
              <w:rPr>
                <w:rFonts w:hint="eastAsia" w:ascii="宋体" w:hAnsi="宋体" w:eastAsia="宋体"/>
                <w:szCs w:val="21"/>
              </w:rPr>
              <w:t>第二节</w:t>
            </w:r>
          </w:p>
          <w:p w14:paraId="0F31C405">
            <w:pPr>
              <w:adjustRightInd w:val="0"/>
              <w:snapToGrid w:val="0"/>
              <w:jc w:val="center"/>
              <w:rPr>
                <w:rFonts w:hint="eastAsia" w:ascii="宋体" w:hAnsi="宋体" w:eastAsia="宋体"/>
                <w:szCs w:val="21"/>
              </w:rPr>
            </w:pPr>
            <w:r>
              <w:rPr>
                <w:rFonts w:hint="eastAsia" w:ascii="宋体" w:hAnsi="宋体" w:eastAsia="宋体"/>
                <w:szCs w:val="21"/>
              </w:rPr>
              <w:t>第7.1款</w:t>
            </w:r>
          </w:p>
        </w:tc>
        <w:tc>
          <w:tcPr>
            <w:tcW w:w="1742" w:type="dxa"/>
            <w:vAlign w:val="center"/>
          </w:tcPr>
          <w:p w14:paraId="405E22A6">
            <w:pPr>
              <w:adjustRightInd w:val="0"/>
              <w:snapToGrid w:val="0"/>
              <w:jc w:val="left"/>
              <w:rPr>
                <w:rFonts w:hint="eastAsia" w:ascii="宋体" w:hAnsi="宋体" w:eastAsia="宋体"/>
                <w:szCs w:val="21"/>
              </w:rPr>
            </w:pPr>
            <w:r>
              <w:rPr>
                <w:rFonts w:hint="eastAsia" w:ascii="宋体" w:hAnsi="宋体" w:eastAsia="宋体"/>
                <w:szCs w:val="21"/>
              </w:rPr>
              <w:t>包装特殊要求</w:t>
            </w:r>
          </w:p>
        </w:tc>
        <w:tc>
          <w:tcPr>
            <w:tcW w:w="5170" w:type="dxa"/>
            <w:vAlign w:val="center"/>
          </w:tcPr>
          <w:p w14:paraId="38AF32D3">
            <w:pPr>
              <w:rPr>
                <w:rFonts w:eastAsia="宋体"/>
              </w:rPr>
            </w:pPr>
          </w:p>
        </w:tc>
      </w:tr>
      <w:tr w14:paraId="76C441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FE34CB7">
            <w:pPr>
              <w:adjustRightInd w:val="0"/>
              <w:snapToGrid w:val="0"/>
              <w:jc w:val="center"/>
              <w:rPr>
                <w:rFonts w:hint="eastAsia" w:ascii="宋体" w:hAnsi="宋体" w:eastAsia="宋体"/>
                <w:szCs w:val="21"/>
              </w:rPr>
            </w:pPr>
          </w:p>
        </w:tc>
        <w:tc>
          <w:tcPr>
            <w:tcW w:w="1742" w:type="dxa"/>
            <w:vAlign w:val="center"/>
          </w:tcPr>
          <w:p w14:paraId="4259F5C9">
            <w:pPr>
              <w:adjustRightInd w:val="0"/>
              <w:snapToGrid w:val="0"/>
              <w:jc w:val="left"/>
              <w:rPr>
                <w:rFonts w:hint="eastAsia" w:ascii="宋体" w:hAnsi="宋体" w:eastAsia="宋体"/>
                <w:szCs w:val="21"/>
              </w:rPr>
            </w:pPr>
            <w:r>
              <w:rPr>
                <w:rFonts w:hint="eastAsia" w:ascii="宋体" w:hAnsi="宋体" w:eastAsia="宋体"/>
                <w:szCs w:val="21"/>
              </w:rPr>
              <w:t>指定现场</w:t>
            </w:r>
          </w:p>
        </w:tc>
        <w:tc>
          <w:tcPr>
            <w:tcW w:w="5170" w:type="dxa"/>
            <w:vAlign w:val="center"/>
          </w:tcPr>
          <w:p w14:paraId="73936A0B">
            <w:pPr>
              <w:rPr>
                <w:rFonts w:eastAsia="宋体"/>
              </w:rPr>
            </w:pPr>
          </w:p>
        </w:tc>
      </w:tr>
      <w:tr w14:paraId="700678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BC04027">
            <w:pPr>
              <w:adjustRightInd w:val="0"/>
              <w:snapToGrid w:val="0"/>
              <w:jc w:val="center"/>
              <w:rPr>
                <w:rFonts w:hint="eastAsia" w:ascii="宋体" w:hAnsi="宋体" w:eastAsia="宋体"/>
                <w:szCs w:val="21"/>
              </w:rPr>
            </w:pPr>
            <w:r>
              <w:rPr>
                <w:rFonts w:hint="eastAsia" w:ascii="宋体" w:hAnsi="宋体" w:eastAsia="宋体"/>
                <w:szCs w:val="21"/>
              </w:rPr>
              <w:t>第二节</w:t>
            </w:r>
          </w:p>
          <w:p w14:paraId="785E8567">
            <w:pPr>
              <w:adjustRightInd w:val="0"/>
              <w:snapToGrid w:val="0"/>
              <w:jc w:val="center"/>
              <w:rPr>
                <w:rFonts w:hint="eastAsia" w:ascii="宋体" w:hAnsi="宋体" w:eastAsia="宋体"/>
                <w:szCs w:val="21"/>
              </w:rPr>
            </w:pPr>
            <w:r>
              <w:rPr>
                <w:rFonts w:hint="eastAsia" w:ascii="宋体" w:hAnsi="宋体" w:eastAsia="宋体"/>
                <w:szCs w:val="21"/>
              </w:rPr>
              <w:t>第7.2款</w:t>
            </w:r>
          </w:p>
        </w:tc>
        <w:tc>
          <w:tcPr>
            <w:tcW w:w="1742" w:type="dxa"/>
            <w:vAlign w:val="center"/>
          </w:tcPr>
          <w:p w14:paraId="2F047FF2">
            <w:pPr>
              <w:adjustRightInd w:val="0"/>
              <w:snapToGrid w:val="0"/>
              <w:jc w:val="left"/>
              <w:rPr>
                <w:rFonts w:hint="eastAsia" w:ascii="宋体" w:hAnsi="宋体" w:eastAsia="宋体"/>
                <w:szCs w:val="21"/>
              </w:rPr>
            </w:pPr>
            <w:r>
              <w:rPr>
                <w:rFonts w:hint="eastAsia" w:ascii="宋体" w:hAnsi="宋体" w:eastAsia="宋体"/>
                <w:szCs w:val="21"/>
              </w:rPr>
              <w:t>运输特殊要求</w:t>
            </w:r>
          </w:p>
        </w:tc>
        <w:tc>
          <w:tcPr>
            <w:tcW w:w="5170" w:type="dxa"/>
            <w:vAlign w:val="center"/>
          </w:tcPr>
          <w:p w14:paraId="62CCD136">
            <w:pPr>
              <w:rPr>
                <w:rFonts w:eastAsia="宋体"/>
              </w:rPr>
            </w:pPr>
          </w:p>
        </w:tc>
      </w:tr>
      <w:tr w14:paraId="75B81D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4C97650">
            <w:pPr>
              <w:adjustRightInd w:val="0"/>
              <w:snapToGrid w:val="0"/>
              <w:jc w:val="center"/>
              <w:rPr>
                <w:rFonts w:hint="eastAsia" w:ascii="宋体" w:hAnsi="宋体" w:eastAsia="宋体"/>
                <w:szCs w:val="21"/>
              </w:rPr>
            </w:pPr>
            <w:r>
              <w:rPr>
                <w:rFonts w:hint="eastAsia" w:ascii="宋体" w:hAnsi="宋体" w:eastAsia="宋体"/>
                <w:szCs w:val="21"/>
              </w:rPr>
              <w:t>第二节</w:t>
            </w:r>
          </w:p>
          <w:p w14:paraId="719E41A1">
            <w:pPr>
              <w:adjustRightInd w:val="0"/>
              <w:snapToGrid w:val="0"/>
              <w:jc w:val="center"/>
              <w:rPr>
                <w:rFonts w:hint="eastAsia" w:ascii="宋体" w:hAnsi="宋体" w:eastAsia="宋体"/>
                <w:szCs w:val="21"/>
              </w:rPr>
            </w:pPr>
            <w:r>
              <w:rPr>
                <w:rFonts w:hint="eastAsia" w:ascii="宋体" w:hAnsi="宋体" w:eastAsia="宋体"/>
                <w:szCs w:val="21"/>
              </w:rPr>
              <w:t>第7.3款</w:t>
            </w:r>
          </w:p>
        </w:tc>
        <w:tc>
          <w:tcPr>
            <w:tcW w:w="1742" w:type="dxa"/>
            <w:vAlign w:val="center"/>
          </w:tcPr>
          <w:p w14:paraId="1207DB73">
            <w:pPr>
              <w:adjustRightInd w:val="0"/>
              <w:snapToGrid w:val="0"/>
              <w:jc w:val="left"/>
              <w:rPr>
                <w:rFonts w:hint="eastAsia" w:ascii="宋体" w:hAnsi="宋体" w:eastAsia="宋体"/>
                <w:szCs w:val="21"/>
              </w:rPr>
            </w:pPr>
            <w:r>
              <w:rPr>
                <w:rFonts w:hint="eastAsia" w:ascii="宋体" w:hAnsi="宋体" w:eastAsia="宋体"/>
                <w:szCs w:val="21"/>
              </w:rPr>
              <w:t>保险要求</w:t>
            </w:r>
          </w:p>
        </w:tc>
        <w:tc>
          <w:tcPr>
            <w:tcW w:w="5170" w:type="dxa"/>
            <w:vAlign w:val="center"/>
          </w:tcPr>
          <w:p w14:paraId="03F55101">
            <w:pPr>
              <w:rPr>
                <w:rFonts w:eastAsia="宋体"/>
              </w:rPr>
            </w:pPr>
          </w:p>
        </w:tc>
      </w:tr>
      <w:tr w14:paraId="22D67D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6C44B9">
            <w:pPr>
              <w:adjustRightInd w:val="0"/>
              <w:snapToGrid w:val="0"/>
              <w:jc w:val="center"/>
              <w:rPr>
                <w:rFonts w:hint="eastAsia" w:ascii="宋体" w:hAnsi="宋体" w:eastAsia="宋体"/>
                <w:szCs w:val="21"/>
              </w:rPr>
            </w:pPr>
            <w:r>
              <w:rPr>
                <w:rFonts w:hint="eastAsia" w:ascii="宋体" w:hAnsi="宋体" w:eastAsia="宋体"/>
                <w:szCs w:val="21"/>
              </w:rPr>
              <w:t>第二节</w:t>
            </w:r>
          </w:p>
          <w:p w14:paraId="7B878CD6">
            <w:pPr>
              <w:adjustRightInd w:val="0"/>
              <w:snapToGrid w:val="0"/>
              <w:jc w:val="center"/>
              <w:rPr>
                <w:rFonts w:hint="eastAsia" w:ascii="宋体" w:hAnsi="宋体" w:eastAsia="宋体"/>
                <w:szCs w:val="21"/>
              </w:rPr>
            </w:pPr>
            <w:r>
              <w:rPr>
                <w:rFonts w:hint="eastAsia" w:ascii="宋体" w:hAnsi="宋体" w:eastAsia="宋体"/>
                <w:szCs w:val="21"/>
              </w:rPr>
              <w:t>第8.2（1）项</w:t>
            </w:r>
          </w:p>
        </w:tc>
        <w:tc>
          <w:tcPr>
            <w:tcW w:w="1742" w:type="dxa"/>
            <w:vAlign w:val="center"/>
          </w:tcPr>
          <w:p w14:paraId="06A5E09A">
            <w:pPr>
              <w:adjustRightInd w:val="0"/>
              <w:snapToGrid w:val="0"/>
              <w:jc w:val="left"/>
              <w:rPr>
                <w:rFonts w:hint="eastAsia" w:ascii="宋体" w:hAnsi="宋体" w:eastAsia="宋体"/>
                <w:szCs w:val="21"/>
              </w:rPr>
            </w:pPr>
            <w:r>
              <w:rPr>
                <w:rFonts w:hint="eastAsia" w:ascii="宋体" w:hAnsi="宋体" w:eastAsia="宋体"/>
                <w:szCs w:val="21"/>
              </w:rPr>
              <w:t>质量保证期</w:t>
            </w:r>
          </w:p>
        </w:tc>
        <w:tc>
          <w:tcPr>
            <w:tcW w:w="5170" w:type="dxa"/>
            <w:vAlign w:val="center"/>
          </w:tcPr>
          <w:p w14:paraId="00EE23DA">
            <w:pPr>
              <w:autoSpaceDE w:val="0"/>
              <w:autoSpaceDN w:val="0"/>
              <w:adjustRightInd w:val="0"/>
              <w:snapToGrid w:val="0"/>
              <w:ind w:firstLine="420" w:firstLineChars="200"/>
              <w:jc w:val="left"/>
              <w:rPr>
                <w:rFonts w:hint="eastAsia" w:ascii="宋体" w:hAnsi="宋体" w:eastAsia="宋体"/>
                <w:szCs w:val="21"/>
              </w:rPr>
            </w:pPr>
          </w:p>
        </w:tc>
      </w:tr>
      <w:tr w14:paraId="77FC4C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E84BA1">
            <w:pPr>
              <w:adjustRightInd w:val="0"/>
              <w:snapToGrid w:val="0"/>
              <w:jc w:val="center"/>
              <w:rPr>
                <w:rFonts w:hint="eastAsia" w:ascii="宋体" w:hAnsi="宋体" w:eastAsia="宋体"/>
                <w:szCs w:val="21"/>
              </w:rPr>
            </w:pPr>
            <w:r>
              <w:rPr>
                <w:rFonts w:hint="eastAsia" w:ascii="宋体" w:hAnsi="宋体" w:eastAsia="宋体"/>
                <w:szCs w:val="21"/>
              </w:rPr>
              <w:t>第二节</w:t>
            </w:r>
          </w:p>
          <w:p w14:paraId="00B3264C">
            <w:pPr>
              <w:adjustRightInd w:val="0"/>
              <w:snapToGrid w:val="0"/>
              <w:jc w:val="center"/>
              <w:rPr>
                <w:rFonts w:hint="eastAsia" w:ascii="宋体" w:hAnsi="宋体" w:eastAsia="宋体"/>
                <w:szCs w:val="21"/>
              </w:rPr>
            </w:pPr>
            <w:r>
              <w:rPr>
                <w:rFonts w:hint="eastAsia" w:ascii="宋体" w:hAnsi="宋体" w:eastAsia="宋体"/>
                <w:szCs w:val="21"/>
              </w:rPr>
              <w:t>第8.2（3）项</w:t>
            </w:r>
          </w:p>
        </w:tc>
        <w:tc>
          <w:tcPr>
            <w:tcW w:w="1742" w:type="dxa"/>
            <w:vAlign w:val="center"/>
          </w:tcPr>
          <w:p w14:paraId="6F522849">
            <w:pPr>
              <w:adjustRightInd w:val="0"/>
              <w:snapToGrid w:val="0"/>
              <w:jc w:val="left"/>
              <w:rPr>
                <w:rFonts w:hint="eastAsia" w:ascii="宋体" w:hAnsi="宋体" w:eastAsia="宋体"/>
                <w:szCs w:val="21"/>
              </w:rPr>
            </w:pPr>
            <w:r>
              <w:rPr>
                <w:rFonts w:hint="eastAsia" w:ascii="宋体" w:hAnsi="宋体" w:eastAsia="宋体"/>
                <w:szCs w:val="21"/>
              </w:rPr>
              <w:t>货物质量缺陷</w:t>
            </w:r>
          </w:p>
          <w:p w14:paraId="54DDBA98">
            <w:pPr>
              <w:adjustRightInd w:val="0"/>
              <w:snapToGrid w:val="0"/>
              <w:jc w:val="left"/>
              <w:rPr>
                <w:rFonts w:hint="eastAsia" w:ascii="宋体" w:hAnsi="宋体" w:eastAsia="宋体"/>
                <w:szCs w:val="21"/>
              </w:rPr>
            </w:pPr>
            <w:r>
              <w:rPr>
                <w:rFonts w:hint="eastAsia" w:ascii="宋体" w:hAnsi="宋体" w:eastAsia="宋体"/>
                <w:szCs w:val="21"/>
              </w:rPr>
              <w:t>响应时间</w:t>
            </w:r>
          </w:p>
        </w:tc>
        <w:tc>
          <w:tcPr>
            <w:tcW w:w="5170" w:type="dxa"/>
            <w:vAlign w:val="center"/>
          </w:tcPr>
          <w:p w14:paraId="392A87F1">
            <w:pPr>
              <w:adjustRightInd w:val="0"/>
              <w:snapToGrid w:val="0"/>
              <w:jc w:val="left"/>
              <w:rPr>
                <w:rFonts w:hint="eastAsia" w:ascii="宋体" w:hAnsi="宋体" w:eastAsia="宋体"/>
                <w:szCs w:val="21"/>
              </w:rPr>
            </w:pPr>
          </w:p>
        </w:tc>
      </w:tr>
      <w:tr w14:paraId="5C9F6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5E5047">
            <w:pPr>
              <w:snapToGrid w:val="0"/>
              <w:jc w:val="center"/>
              <w:rPr>
                <w:rFonts w:hint="eastAsia" w:ascii="宋体" w:hAnsi="宋体" w:eastAsia="宋体" w:cs="宋体"/>
                <w:szCs w:val="21"/>
              </w:rPr>
            </w:pPr>
            <w:r>
              <w:rPr>
                <w:rFonts w:hint="eastAsia" w:ascii="宋体" w:hAnsi="宋体" w:eastAsia="宋体" w:cs="宋体"/>
                <w:szCs w:val="21"/>
              </w:rPr>
              <w:t>第二节</w:t>
            </w:r>
          </w:p>
          <w:p w14:paraId="029BAE39">
            <w:pPr>
              <w:autoSpaceDE w:val="0"/>
              <w:autoSpaceDN w:val="0"/>
              <w:adjustRightInd w:val="0"/>
              <w:spacing w:line="400" w:lineRule="exact"/>
              <w:jc w:val="center"/>
              <w:rPr>
                <w:rFonts w:hint="eastAsia" w:ascii="华文楷体" w:hAnsi="华文楷体" w:eastAsia="华文楷体" w:cs="华文楷体"/>
                <w:sz w:val="22"/>
                <w:szCs w:val="21"/>
              </w:rPr>
            </w:pPr>
            <w:r>
              <w:rPr>
                <w:rFonts w:hint="eastAsia" w:ascii="宋体" w:hAnsi="宋体" w:eastAsia="宋体" w:cs="宋体"/>
                <w:sz w:val="22"/>
                <w:szCs w:val="21"/>
              </w:rPr>
              <w:t>第11.1款</w:t>
            </w:r>
          </w:p>
        </w:tc>
        <w:tc>
          <w:tcPr>
            <w:tcW w:w="1742" w:type="dxa"/>
            <w:vAlign w:val="center"/>
          </w:tcPr>
          <w:p w14:paraId="7DC553BF">
            <w:pPr>
              <w:adjustRightInd w:val="0"/>
              <w:snapToGrid w:val="0"/>
              <w:rPr>
                <w:rFonts w:hint="eastAsia" w:ascii="宋体" w:hAnsi="宋体" w:eastAsia="宋体"/>
                <w:szCs w:val="21"/>
              </w:rPr>
            </w:pPr>
            <w:r>
              <w:rPr>
                <w:rFonts w:hint="eastAsia" w:ascii="宋体" w:hAnsi="宋体" w:eastAsia="宋体"/>
                <w:szCs w:val="21"/>
              </w:rPr>
              <w:t>其他应当保密的信息</w:t>
            </w:r>
          </w:p>
        </w:tc>
        <w:tc>
          <w:tcPr>
            <w:tcW w:w="5170" w:type="dxa"/>
            <w:vAlign w:val="center"/>
          </w:tcPr>
          <w:p w14:paraId="15ADC09E">
            <w:pPr>
              <w:adjustRightInd w:val="0"/>
              <w:snapToGrid w:val="0"/>
              <w:jc w:val="left"/>
              <w:rPr>
                <w:rFonts w:hint="eastAsia" w:ascii="宋体" w:hAnsi="宋体" w:eastAsia="宋体"/>
                <w:szCs w:val="21"/>
              </w:rPr>
            </w:pPr>
          </w:p>
        </w:tc>
      </w:tr>
      <w:tr w14:paraId="2FB99C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C2B63EB">
            <w:pPr>
              <w:adjustRightInd w:val="0"/>
              <w:snapToGrid w:val="0"/>
              <w:jc w:val="center"/>
              <w:rPr>
                <w:rFonts w:hint="eastAsia" w:ascii="宋体" w:hAnsi="宋体" w:eastAsia="宋体"/>
                <w:szCs w:val="21"/>
              </w:rPr>
            </w:pPr>
            <w:r>
              <w:rPr>
                <w:rFonts w:hint="eastAsia" w:ascii="宋体" w:hAnsi="宋体" w:eastAsia="宋体"/>
                <w:szCs w:val="21"/>
              </w:rPr>
              <w:t>第二节</w:t>
            </w:r>
          </w:p>
          <w:p w14:paraId="7CB8521B">
            <w:pPr>
              <w:adjustRightInd w:val="0"/>
              <w:snapToGrid w:val="0"/>
              <w:jc w:val="center"/>
              <w:rPr>
                <w:rFonts w:hint="eastAsia" w:ascii="宋体" w:hAnsi="宋体" w:eastAsia="宋体"/>
                <w:szCs w:val="21"/>
              </w:rPr>
            </w:pPr>
            <w:r>
              <w:rPr>
                <w:rFonts w:hint="eastAsia" w:ascii="宋体" w:hAnsi="宋体" w:eastAsia="宋体"/>
                <w:szCs w:val="21"/>
              </w:rPr>
              <w:t>第12.2款</w:t>
            </w:r>
          </w:p>
        </w:tc>
        <w:tc>
          <w:tcPr>
            <w:tcW w:w="1742" w:type="dxa"/>
            <w:vAlign w:val="center"/>
          </w:tcPr>
          <w:p w14:paraId="0EF2E447">
            <w:pPr>
              <w:adjustRightInd w:val="0"/>
              <w:snapToGrid w:val="0"/>
              <w:jc w:val="left"/>
              <w:rPr>
                <w:rFonts w:hint="eastAsia" w:ascii="宋体" w:hAnsi="宋体" w:eastAsia="宋体"/>
                <w:szCs w:val="21"/>
              </w:rPr>
            </w:pPr>
            <w:r>
              <w:rPr>
                <w:rFonts w:hint="eastAsia" w:ascii="宋体" w:hAnsi="宋体" w:eastAsia="宋体"/>
                <w:szCs w:val="21"/>
              </w:rPr>
              <w:t>合同价款支付时间</w:t>
            </w:r>
          </w:p>
        </w:tc>
        <w:tc>
          <w:tcPr>
            <w:tcW w:w="5170" w:type="dxa"/>
            <w:vAlign w:val="center"/>
          </w:tcPr>
          <w:p w14:paraId="6A63D7DE">
            <w:pPr>
              <w:adjustRightInd w:val="0"/>
              <w:snapToGrid w:val="0"/>
              <w:jc w:val="left"/>
              <w:rPr>
                <w:rFonts w:hint="eastAsia" w:ascii="宋体" w:hAnsi="宋体" w:eastAsia="宋体"/>
                <w:szCs w:val="21"/>
              </w:rPr>
            </w:pPr>
          </w:p>
        </w:tc>
      </w:tr>
      <w:tr w14:paraId="5FC3DD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244CC60">
            <w:pPr>
              <w:adjustRightInd w:val="0"/>
              <w:snapToGrid w:val="0"/>
              <w:jc w:val="center"/>
              <w:rPr>
                <w:rFonts w:hint="eastAsia" w:ascii="宋体" w:hAnsi="宋体" w:eastAsia="宋体"/>
                <w:szCs w:val="21"/>
              </w:rPr>
            </w:pPr>
            <w:r>
              <w:rPr>
                <w:rFonts w:hint="eastAsia" w:ascii="宋体" w:hAnsi="宋体" w:eastAsia="宋体"/>
                <w:szCs w:val="21"/>
              </w:rPr>
              <w:t>第二节</w:t>
            </w:r>
          </w:p>
          <w:p w14:paraId="2CBC19A1">
            <w:pPr>
              <w:adjustRightInd w:val="0"/>
              <w:snapToGrid w:val="0"/>
              <w:jc w:val="center"/>
              <w:rPr>
                <w:rFonts w:hint="eastAsia" w:ascii="宋体" w:hAnsi="宋体" w:eastAsia="宋体"/>
                <w:szCs w:val="21"/>
              </w:rPr>
            </w:pPr>
            <w:r>
              <w:rPr>
                <w:rFonts w:hint="eastAsia" w:ascii="宋体" w:hAnsi="宋体" w:eastAsia="宋体"/>
                <w:szCs w:val="21"/>
              </w:rPr>
              <w:t>第13.2款</w:t>
            </w:r>
          </w:p>
        </w:tc>
        <w:tc>
          <w:tcPr>
            <w:tcW w:w="1742" w:type="dxa"/>
            <w:vAlign w:val="center"/>
          </w:tcPr>
          <w:p w14:paraId="7240DE94">
            <w:pPr>
              <w:adjustRightInd w:val="0"/>
              <w:snapToGrid w:val="0"/>
              <w:jc w:val="left"/>
              <w:rPr>
                <w:rFonts w:hint="eastAsia" w:ascii="宋体" w:hAnsi="宋体" w:eastAsia="宋体"/>
                <w:szCs w:val="21"/>
              </w:rPr>
            </w:pPr>
            <w:r>
              <w:rPr>
                <w:rFonts w:hint="eastAsia" w:ascii="宋体" w:hAnsi="宋体" w:eastAsia="宋体"/>
                <w:szCs w:val="21"/>
              </w:rPr>
              <w:t>履约保证金不予退还的情形</w:t>
            </w:r>
          </w:p>
        </w:tc>
        <w:tc>
          <w:tcPr>
            <w:tcW w:w="5170" w:type="dxa"/>
            <w:vAlign w:val="center"/>
          </w:tcPr>
          <w:p w14:paraId="51D39010">
            <w:pPr>
              <w:adjustRightInd w:val="0"/>
              <w:snapToGrid w:val="0"/>
              <w:jc w:val="left"/>
              <w:rPr>
                <w:rFonts w:hint="eastAsia" w:ascii="宋体" w:hAnsi="宋体" w:eastAsia="宋体"/>
                <w:szCs w:val="21"/>
              </w:rPr>
            </w:pPr>
          </w:p>
        </w:tc>
      </w:tr>
      <w:tr w14:paraId="759002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61722E">
            <w:pPr>
              <w:adjustRightInd w:val="0"/>
              <w:snapToGrid w:val="0"/>
              <w:jc w:val="center"/>
              <w:rPr>
                <w:rFonts w:hint="eastAsia" w:ascii="宋体" w:hAnsi="宋体" w:eastAsia="宋体"/>
                <w:szCs w:val="21"/>
              </w:rPr>
            </w:pPr>
            <w:r>
              <w:rPr>
                <w:rFonts w:hint="eastAsia" w:ascii="宋体" w:hAnsi="宋体" w:eastAsia="宋体"/>
                <w:szCs w:val="21"/>
              </w:rPr>
              <w:t>第二节</w:t>
            </w:r>
          </w:p>
          <w:p w14:paraId="7FF48076">
            <w:pPr>
              <w:adjustRightInd w:val="0"/>
              <w:snapToGrid w:val="0"/>
              <w:jc w:val="center"/>
              <w:rPr>
                <w:rFonts w:hint="eastAsia" w:ascii="宋体" w:hAnsi="宋体" w:eastAsia="宋体"/>
                <w:szCs w:val="21"/>
              </w:rPr>
            </w:pPr>
            <w:r>
              <w:rPr>
                <w:rFonts w:hint="eastAsia" w:ascii="宋体" w:hAnsi="宋体" w:eastAsia="宋体"/>
                <w:szCs w:val="21"/>
              </w:rPr>
              <w:t>第13.3款</w:t>
            </w:r>
          </w:p>
        </w:tc>
        <w:tc>
          <w:tcPr>
            <w:tcW w:w="1742" w:type="dxa"/>
            <w:vAlign w:val="center"/>
          </w:tcPr>
          <w:p w14:paraId="04DBBF3B">
            <w:pPr>
              <w:adjustRightInd w:val="0"/>
              <w:snapToGrid w:val="0"/>
              <w:jc w:val="left"/>
              <w:rPr>
                <w:rFonts w:hint="eastAsia" w:ascii="宋体" w:hAnsi="宋体" w:eastAsia="宋体"/>
                <w:szCs w:val="21"/>
              </w:rPr>
            </w:pPr>
            <w:r>
              <w:rPr>
                <w:rFonts w:hint="eastAsia" w:ascii="宋体" w:hAnsi="宋体" w:eastAsia="宋体"/>
                <w:szCs w:val="21"/>
              </w:rPr>
              <w:t>履约保证金退还时间及逾期退还的违约金</w:t>
            </w:r>
          </w:p>
        </w:tc>
        <w:tc>
          <w:tcPr>
            <w:tcW w:w="5170" w:type="dxa"/>
            <w:vAlign w:val="center"/>
          </w:tcPr>
          <w:p w14:paraId="1FBF4526">
            <w:pPr>
              <w:adjustRightInd w:val="0"/>
              <w:snapToGrid w:val="0"/>
              <w:jc w:val="left"/>
              <w:rPr>
                <w:rFonts w:hint="eastAsia" w:ascii="宋体" w:hAnsi="宋体" w:eastAsia="宋体"/>
                <w:szCs w:val="21"/>
              </w:rPr>
            </w:pPr>
          </w:p>
        </w:tc>
      </w:tr>
      <w:tr w14:paraId="4F90A1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6FBE23F">
            <w:pPr>
              <w:adjustRightInd w:val="0"/>
              <w:snapToGrid w:val="0"/>
              <w:jc w:val="center"/>
              <w:rPr>
                <w:rFonts w:hint="eastAsia" w:ascii="宋体" w:hAnsi="宋体" w:eastAsia="宋体"/>
                <w:szCs w:val="21"/>
              </w:rPr>
            </w:pPr>
            <w:r>
              <w:rPr>
                <w:rFonts w:hint="eastAsia" w:ascii="宋体" w:hAnsi="宋体" w:eastAsia="宋体"/>
                <w:szCs w:val="21"/>
              </w:rPr>
              <w:t>第二节</w:t>
            </w:r>
          </w:p>
          <w:p w14:paraId="7134E502">
            <w:pPr>
              <w:adjustRightInd w:val="0"/>
              <w:snapToGrid w:val="0"/>
              <w:jc w:val="center"/>
              <w:rPr>
                <w:rFonts w:hint="eastAsia" w:ascii="宋体" w:hAnsi="宋体" w:eastAsia="宋体"/>
                <w:szCs w:val="21"/>
              </w:rPr>
            </w:pPr>
            <w:r>
              <w:rPr>
                <w:rFonts w:hint="eastAsia" w:ascii="宋体" w:hAnsi="宋体" w:eastAsia="宋体"/>
                <w:szCs w:val="21"/>
              </w:rPr>
              <w:t>第14.1（3）项</w:t>
            </w:r>
          </w:p>
        </w:tc>
        <w:tc>
          <w:tcPr>
            <w:tcW w:w="1742" w:type="dxa"/>
            <w:vAlign w:val="center"/>
          </w:tcPr>
          <w:p w14:paraId="152ACA56">
            <w:pPr>
              <w:adjustRightInd w:val="0"/>
              <w:snapToGrid w:val="0"/>
              <w:jc w:val="left"/>
              <w:rPr>
                <w:rFonts w:hint="eastAsia" w:ascii="宋体" w:hAnsi="宋体" w:eastAsia="宋体"/>
                <w:szCs w:val="21"/>
              </w:rPr>
            </w:pPr>
            <w:r>
              <w:rPr>
                <w:rFonts w:hint="eastAsia" w:ascii="宋体" w:hAnsi="宋体" w:eastAsia="宋体"/>
                <w:szCs w:val="21"/>
              </w:rPr>
              <w:t>运行监督、维修期限</w:t>
            </w:r>
          </w:p>
        </w:tc>
        <w:tc>
          <w:tcPr>
            <w:tcW w:w="5170" w:type="dxa"/>
            <w:vAlign w:val="center"/>
          </w:tcPr>
          <w:p w14:paraId="576924E1">
            <w:pPr>
              <w:adjustRightInd w:val="0"/>
              <w:snapToGrid w:val="0"/>
              <w:jc w:val="left"/>
              <w:rPr>
                <w:rFonts w:hint="eastAsia" w:ascii="宋体" w:hAnsi="宋体" w:eastAsia="宋体"/>
                <w:szCs w:val="21"/>
              </w:rPr>
            </w:pPr>
          </w:p>
        </w:tc>
      </w:tr>
      <w:tr w14:paraId="2727D9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4D2FD1D">
            <w:pPr>
              <w:adjustRightInd w:val="0"/>
              <w:snapToGrid w:val="0"/>
              <w:jc w:val="center"/>
              <w:rPr>
                <w:rFonts w:hint="eastAsia" w:ascii="宋体" w:hAnsi="宋体" w:eastAsia="宋体"/>
                <w:szCs w:val="21"/>
              </w:rPr>
            </w:pPr>
            <w:r>
              <w:rPr>
                <w:rFonts w:hint="eastAsia" w:ascii="宋体" w:hAnsi="宋体" w:eastAsia="宋体"/>
                <w:szCs w:val="21"/>
              </w:rPr>
              <w:t>第二节</w:t>
            </w:r>
          </w:p>
          <w:p w14:paraId="68A8D0F3">
            <w:pPr>
              <w:adjustRightInd w:val="0"/>
              <w:snapToGrid w:val="0"/>
              <w:jc w:val="center"/>
              <w:rPr>
                <w:rFonts w:hint="eastAsia" w:ascii="宋体" w:hAnsi="宋体" w:eastAsia="宋体"/>
                <w:szCs w:val="21"/>
              </w:rPr>
            </w:pPr>
            <w:r>
              <w:rPr>
                <w:rFonts w:hint="eastAsia" w:ascii="宋体" w:hAnsi="宋体" w:eastAsia="宋体"/>
                <w:szCs w:val="21"/>
              </w:rPr>
              <w:t>第14.1（5）项</w:t>
            </w:r>
          </w:p>
        </w:tc>
        <w:tc>
          <w:tcPr>
            <w:tcW w:w="1742" w:type="dxa"/>
            <w:vAlign w:val="center"/>
          </w:tcPr>
          <w:p w14:paraId="7D2B87D7">
            <w:pPr>
              <w:adjustRightInd w:val="0"/>
              <w:snapToGrid w:val="0"/>
              <w:jc w:val="left"/>
              <w:rPr>
                <w:rFonts w:hint="eastAsia" w:ascii="宋体" w:hAnsi="宋体" w:eastAsia="宋体"/>
                <w:szCs w:val="21"/>
              </w:rPr>
            </w:pPr>
            <w:r>
              <w:rPr>
                <w:rFonts w:hint="eastAsia" w:ascii="宋体" w:hAnsi="宋体" w:eastAsia="宋体"/>
                <w:szCs w:val="21"/>
              </w:rPr>
              <w:t>货物回收的约定</w:t>
            </w:r>
          </w:p>
        </w:tc>
        <w:tc>
          <w:tcPr>
            <w:tcW w:w="5170" w:type="dxa"/>
            <w:vAlign w:val="center"/>
          </w:tcPr>
          <w:p w14:paraId="5A93BE50">
            <w:pPr>
              <w:adjustRightInd w:val="0"/>
              <w:snapToGrid w:val="0"/>
              <w:jc w:val="left"/>
              <w:rPr>
                <w:rFonts w:hint="eastAsia" w:ascii="宋体" w:hAnsi="宋体" w:eastAsia="宋体"/>
                <w:szCs w:val="21"/>
              </w:rPr>
            </w:pPr>
          </w:p>
        </w:tc>
      </w:tr>
      <w:tr w14:paraId="49071B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061273">
            <w:pPr>
              <w:adjustRightInd w:val="0"/>
              <w:snapToGrid w:val="0"/>
              <w:jc w:val="center"/>
              <w:rPr>
                <w:rFonts w:hint="eastAsia" w:ascii="宋体" w:hAnsi="宋体" w:eastAsia="宋体"/>
                <w:szCs w:val="21"/>
              </w:rPr>
            </w:pPr>
            <w:r>
              <w:rPr>
                <w:rFonts w:hint="eastAsia" w:ascii="宋体" w:hAnsi="宋体" w:eastAsia="宋体"/>
                <w:szCs w:val="21"/>
              </w:rPr>
              <w:t>第二节</w:t>
            </w:r>
          </w:p>
          <w:p w14:paraId="73D8ACEC">
            <w:pPr>
              <w:adjustRightInd w:val="0"/>
              <w:snapToGrid w:val="0"/>
              <w:jc w:val="center"/>
              <w:rPr>
                <w:rFonts w:hint="eastAsia" w:ascii="宋体" w:hAnsi="宋体" w:eastAsia="宋体"/>
                <w:szCs w:val="21"/>
              </w:rPr>
            </w:pPr>
            <w:r>
              <w:rPr>
                <w:rFonts w:hint="eastAsia" w:ascii="宋体" w:hAnsi="宋体" w:eastAsia="宋体"/>
                <w:szCs w:val="21"/>
              </w:rPr>
              <w:t>第14.1（6）项</w:t>
            </w:r>
          </w:p>
        </w:tc>
        <w:tc>
          <w:tcPr>
            <w:tcW w:w="1742" w:type="dxa"/>
            <w:vAlign w:val="center"/>
          </w:tcPr>
          <w:p w14:paraId="7647E759">
            <w:pPr>
              <w:adjustRightInd w:val="0"/>
              <w:snapToGrid w:val="0"/>
              <w:jc w:val="left"/>
              <w:rPr>
                <w:rFonts w:hint="eastAsia" w:ascii="宋体" w:hAnsi="宋体" w:eastAsia="宋体"/>
                <w:szCs w:val="21"/>
              </w:rPr>
            </w:pPr>
            <w:r>
              <w:rPr>
                <w:rFonts w:hint="eastAsia" w:ascii="宋体" w:hAnsi="宋体" w:eastAsia="宋体"/>
                <w:szCs w:val="21"/>
              </w:rPr>
              <w:t>乙方提供的其他服务</w:t>
            </w:r>
          </w:p>
        </w:tc>
        <w:tc>
          <w:tcPr>
            <w:tcW w:w="5170" w:type="dxa"/>
            <w:vAlign w:val="center"/>
          </w:tcPr>
          <w:p w14:paraId="3010A85D">
            <w:pPr>
              <w:adjustRightInd w:val="0"/>
              <w:snapToGrid w:val="0"/>
              <w:jc w:val="left"/>
              <w:rPr>
                <w:rFonts w:hint="eastAsia" w:ascii="宋体" w:hAnsi="宋体" w:eastAsia="宋体"/>
                <w:szCs w:val="21"/>
              </w:rPr>
            </w:pPr>
          </w:p>
        </w:tc>
      </w:tr>
      <w:tr w14:paraId="4401ED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9AA7FA">
            <w:pPr>
              <w:adjustRightInd w:val="0"/>
              <w:snapToGrid w:val="0"/>
              <w:jc w:val="center"/>
              <w:rPr>
                <w:rFonts w:hint="eastAsia" w:ascii="宋体" w:hAnsi="宋体" w:eastAsia="宋体"/>
                <w:szCs w:val="21"/>
              </w:rPr>
            </w:pPr>
            <w:r>
              <w:rPr>
                <w:rFonts w:hint="eastAsia" w:ascii="宋体" w:hAnsi="宋体" w:eastAsia="宋体"/>
                <w:szCs w:val="21"/>
              </w:rPr>
              <w:t>第二节</w:t>
            </w:r>
          </w:p>
          <w:p w14:paraId="5863F372">
            <w:pPr>
              <w:adjustRightInd w:val="0"/>
              <w:snapToGrid w:val="0"/>
              <w:jc w:val="center"/>
              <w:rPr>
                <w:rFonts w:hint="eastAsia" w:ascii="宋体" w:hAnsi="宋体" w:eastAsia="宋体"/>
                <w:szCs w:val="21"/>
              </w:rPr>
            </w:pPr>
            <w:r>
              <w:rPr>
                <w:rFonts w:hint="eastAsia" w:ascii="宋体" w:hAnsi="宋体" w:eastAsia="宋体"/>
                <w:szCs w:val="21"/>
              </w:rPr>
              <w:t>第15.1款</w:t>
            </w:r>
          </w:p>
        </w:tc>
        <w:tc>
          <w:tcPr>
            <w:tcW w:w="1742" w:type="dxa"/>
            <w:vAlign w:val="center"/>
          </w:tcPr>
          <w:p w14:paraId="5B7069D0">
            <w:pPr>
              <w:adjustRightInd w:val="0"/>
              <w:snapToGrid w:val="0"/>
              <w:jc w:val="left"/>
              <w:rPr>
                <w:rFonts w:hint="eastAsia" w:ascii="宋体" w:hAnsi="宋体" w:eastAsia="宋体"/>
                <w:szCs w:val="21"/>
              </w:rPr>
            </w:pPr>
            <w:r>
              <w:rPr>
                <w:rFonts w:hint="eastAsia" w:ascii="宋体" w:hAnsi="宋体" w:eastAsia="宋体"/>
                <w:szCs w:val="21"/>
              </w:rPr>
              <w:t>修理、重作、更换相关具体规定</w:t>
            </w:r>
          </w:p>
        </w:tc>
        <w:tc>
          <w:tcPr>
            <w:tcW w:w="5170" w:type="dxa"/>
            <w:vAlign w:val="center"/>
          </w:tcPr>
          <w:p w14:paraId="70C33A46">
            <w:pPr>
              <w:adjustRightInd w:val="0"/>
              <w:snapToGrid w:val="0"/>
              <w:jc w:val="left"/>
              <w:rPr>
                <w:rFonts w:hint="eastAsia" w:ascii="宋体" w:hAnsi="宋体" w:eastAsia="宋体"/>
                <w:szCs w:val="21"/>
              </w:rPr>
            </w:pPr>
          </w:p>
        </w:tc>
      </w:tr>
      <w:tr w14:paraId="533DED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BF4C486">
            <w:pPr>
              <w:adjustRightInd w:val="0"/>
              <w:snapToGrid w:val="0"/>
              <w:jc w:val="center"/>
              <w:rPr>
                <w:rFonts w:hint="eastAsia" w:ascii="宋体" w:hAnsi="宋体" w:eastAsia="宋体"/>
                <w:szCs w:val="21"/>
              </w:rPr>
            </w:pPr>
            <w:r>
              <w:rPr>
                <w:rFonts w:hint="eastAsia" w:ascii="宋体" w:hAnsi="宋体" w:eastAsia="宋体"/>
                <w:szCs w:val="21"/>
              </w:rPr>
              <w:t>第二节</w:t>
            </w:r>
          </w:p>
          <w:p w14:paraId="5697C8EF">
            <w:pPr>
              <w:adjustRightInd w:val="0"/>
              <w:snapToGrid w:val="0"/>
              <w:jc w:val="center"/>
              <w:rPr>
                <w:rFonts w:hint="eastAsia" w:ascii="宋体" w:hAnsi="宋体" w:eastAsia="宋体"/>
                <w:szCs w:val="21"/>
              </w:rPr>
            </w:pPr>
            <w:r>
              <w:rPr>
                <w:rFonts w:hint="eastAsia" w:ascii="宋体" w:hAnsi="宋体" w:eastAsia="宋体"/>
                <w:szCs w:val="21"/>
              </w:rPr>
              <w:t>第15.2（2）项</w:t>
            </w:r>
          </w:p>
        </w:tc>
        <w:tc>
          <w:tcPr>
            <w:tcW w:w="1742" w:type="dxa"/>
            <w:vAlign w:val="center"/>
          </w:tcPr>
          <w:p w14:paraId="6BCEC7A3">
            <w:pPr>
              <w:adjustRightInd w:val="0"/>
              <w:snapToGrid w:val="0"/>
              <w:jc w:val="left"/>
              <w:rPr>
                <w:rFonts w:hint="eastAsia" w:ascii="宋体" w:hAnsi="宋体" w:eastAsia="宋体"/>
                <w:szCs w:val="21"/>
              </w:rPr>
            </w:pPr>
            <w:r>
              <w:rPr>
                <w:rFonts w:hint="eastAsia" w:ascii="宋体" w:hAnsi="宋体" w:eastAsia="宋体"/>
                <w:szCs w:val="21"/>
              </w:rPr>
              <w:t>迟延交货赔偿费</w:t>
            </w:r>
          </w:p>
        </w:tc>
        <w:tc>
          <w:tcPr>
            <w:tcW w:w="5170" w:type="dxa"/>
            <w:vAlign w:val="center"/>
          </w:tcPr>
          <w:p w14:paraId="7AFCDAE4">
            <w:pPr>
              <w:adjustRightInd w:val="0"/>
              <w:snapToGrid w:val="0"/>
              <w:jc w:val="left"/>
              <w:rPr>
                <w:rFonts w:hint="eastAsia" w:ascii="宋体" w:hAnsi="宋体" w:eastAsia="宋体"/>
                <w:szCs w:val="21"/>
                <w:u w:val="single"/>
              </w:rPr>
            </w:pPr>
          </w:p>
        </w:tc>
      </w:tr>
      <w:tr w14:paraId="40444B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0F4118">
            <w:pPr>
              <w:adjustRightInd w:val="0"/>
              <w:snapToGrid w:val="0"/>
              <w:jc w:val="center"/>
              <w:rPr>
                <w:rFonts w:hint="eastAsia" w:ascii="宋体" w:hAnsi="宋体" w:eastAsia="宋体"/>
                <w:szCs w:val="21"/>
              </w:rPr>
            </w:pPr>
            <w:r>
              <w:rPr>
                <w:rFonts w:hint="eastAsia" w:ascii="宋体" w:hAnsi="宋体" w:eastAsia="宋体"/>
                <w:szCs w:val="21"/>
              </w:rPr>
              <w:t>第二节</w:t>
            </w:r>
          </w:p>
          <w:p w14:paraId="072FC0B6">
            <w:pPr>
              <w:adjustRightInd w:val="0"/>
              <w:snapToGrid w:val="0"/>
              <w:jc w:val="center"/>
              <w:rPr>
                <w:rFonts w:hint="eastAsia" w:ascii="宋体" w:hAnsi="宋体" w:eastAsia="宋体"/>
                <w:szCs w:val="21"/>
              </w:rPr>
            </w:pPr>
            <w:r>
              <w:rPr>
                <w:rFonts w:hint="eastAsia" w:ascii="宋体" w:hAnsi="宋体" w:eastAsia="宋体"/>
                <w:szCs w:val="21"/>
              </w:rPr>
              <w:t>第15.3款</w:t>
            </w:r>
          </w:p>
        </w:tc>
        <w:tc>
          <w:tcPr>
            <w:tcW w:w="1742" w:type="dxa"/>
            <w:vAlign w:val="center"/>
          </w:tcPr>
          <w:p w14:paraId="6DEC6951">
            <w:pPr>
              <w:adjustRightInd w:val="0"/>
              <w:snapToGrid w:val="0"/>
              <w:jc w:val="left"/>
              <w:rPr>
                <w:rFonts w:hint="eastAsia" w:ascii="宋体" w:hAnsi="宋体" w:eastAsia="宋体"/>
                <w:szCs w:val="21"/>
              </w:rPr>
            </w:pPr>
            <w:r>
              <w:rPr>
                <w:rFonts w:hint="eastAsia" w:ascii="宋体" w:hAnsi="宋体" w:eastAsia="宋体"/>
                <w:szCs w:val="21"/>
              </w:rPr>
              <w:t>逾期付款利息</w:t>
            </w:r>
          </w:p>
        </w:tc>
        <w:tc>
          <w:tcPr>
            <w:tcW w:w="5170" w:type="dxa"/>
            <w:vAlign w:val="center"/>
          </w:tcPr>
          <w:p w14:paraId="7C2F46FA">
            <w:pPr>
              <w:adjustRightInd w:val="0"/>
              <w:snapToGrid w:val="0"/>
              <w:jc w:val="left"/>
              <w:rPr>
                <w:rFonts w:hint="eastAsia" w:ascii="宋体" w:hAnsi="宋体" w:eastAsia="宋体"/>
                <w:szCs w:val="21"/>
                <w:u w:val="single"/>
              </w:rPr>
            </w:pPr>
          </w:p>
        </w:tc>
      </w:tr>
      <w:tr w14:paraId="0ADDF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FEF25CF">
            <w:pPr>
              <w:adjustRightInd w:val="0"/>
              <w:snapToGrid w:val="0"/>
              <w:jc w:val="center"/>
              <w:rPr>
                <w:rFonts w:hint="eastAsia" w:ascii="宋体" w:hAnsi="宋体" w:eastAsia="宋体"/>
                <w:szCs w:val="21"/>
              </w:rPr>
            </w:pPr>
            <w:r>
              <w:rPr>
                <w:rFonts w:hint="eastAsia" w:ascii="宋体" w:hAnsi="宋体" w:eastAsia="宋体"/>
                <w:szCs w:val="21"/>
              </w:rPr>
              <w:t>第二节</w:t>
            </w:r>
          </w:p>
          <w:p w14:paraId="2E6C2F3C">
            <w:pPr>
              <w:adjustRightInd w:val="0"/>
              <w:snapToGrid w:val="0"/>
              <w:jc w:val="center"/>
              <w:rPr>
                <w:rFonts w:hint="eastAsia" w:ascii="宋体" w:hAnsi="宋体" w:eastAsia="宋体"/>
                <w:szCs w:val="21"/>
              </w:rPr>
            </w:pPr>
            <w:r>
              <w:rPr>
                <w:rFonts w:hint="eastAsia" w:ascii="宋体" w:hAnsi="宋体" w:eastAsia="宋体"/>
                <w:szCs w:val="21"/>
              </w:rPr>
              <w:t>第15.4款</w:t>
            </w:r>
          </w:p>
        </w:tc>
        <w:tc>
          <w:tcPr>
            <w:tcW w:w="1742" w:type="dxa"/>
            <w:tcBorders>
              <w:left w:val="single" w:color="auto" w:sz="2" w:space="0"/>
              <w:bottom w:val="single" w:color="auto" w:sz="2" w:space="0"/>
              <w:right w:val="single" w:color="auto" w:sz="2" w:space="0"/>
            </w:tcBorders>
            <w:vAlign w:val="center"/>
          </w:tcPr>
          <w:p w14:paraId="5EE8BCD3">
            <w:pPr>
              <w:adjustRightInd w:val="0"/>
              <w:snapToGrid w:val="0"/>
              <w:jc w:val="left"/>
              <w:rPr>
                <w:rFonts w:hint="eastAsia" w:ascii="宋体" w:hAnsi="宋体" w:eastAsia="宋体"/>
                <w:szCs w:val="21"/>
              </w:rPr>
            </w:pPr>
            <w:r>
              <w:rPr>
                <w:rFonts w:hint="eastAsia" w:ascii="宋体" w:hAnsi="宋体" w:eastAsia="宋体"/>
                <w:szCs w:val="21"/>
              </w:rPr>
              <w:t>其他违约责任</w:t>
            </w:r>
          </w:p>
        </w:tc>
        <w:tc>
          <w:tcPr>
            <w:tcW w:w="5170" w:type="dxa"/>
            <w:tcBorders>
              <w:left w:val="single" w:color="auto" w:sz="2" w:space="0"/>
              <w:bottom w:val="single" w:color="auto" w:sz="2" w:space="0"/>
            </w:tcBorders>
            <w:vAlign w:val="center"/>
          </w:tcPr>
          <w:p w14:paraId="4057BCFA">
            <w:pPr>
              <w:adjustRightInd w:val="0"/>
              <w:snapToGrid w:val="0"/>
              <w:jc w:val="left"/>
              <w:rPr>
                <w:rFonts w:hint="eastAsia" w:ascii="宋体" w:hAnsi="宋体" w:eastAsia="宋体"/>
                <w:szCs w:val="21"/>
                <w:u w:val="single"/>
              </w:rPr>
            </w:pPr>
          </w:p>
        </w:tc>
      </w:tr>
      <w:tr w14:paraId="58FD90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405800B">
            <w:pPr>
              <w:adjustRightInd w:val="0"/>
              <w:snapToGrid w:val="0"/>
              <w:jc w:val="center"/>
              <w:rPr>
                <w:rFonts w:hint="eastAsia" w:ascii="宋体" w:hAnsi="宋体" w:eastAsia="宋体"/>
                <w:szCs w:val="21"/>
              </w:rPr>
            </w:pPr>
            <w:r>
              <w:rPr>
                <w:rFonts w:hint="eastAsia" w:ascii="宋体" w:hAnsi="宋体" w:eastAsia="宋体"/>
                <w:szCs w:val="21"/>
              </w:rPr>
              <w:t>第二节</w:t>
            </w:r>
          </w:p>
          <w:p w14:paraId="406A1B2F">
            <w:pPr>
              <w:adjustRightInd w:val="0"/>
              <w:snapToGrid w:val="0"/>
              <w:jc w:val="center"/>
              <w:rPr>
                <w:rFonts w:hint="eastAsia" w:ascii="宋体" w:hAnsi="宋体" w:eastAsia="宋体"/>
                <w:szCs w:val="21"/>
              </w:rPr>
            </w:pPr>
            <w:r>
              <w:rPr>
                <w:rFonts w:hint="eastAsia" w:ascii="宋体" w:hAnsi="宋体" w:eastAsia="宋体"/>
                <w:szCs w:val="21"/>
              </w:rPr>
              <w:t>第19.2款</w:t>
            </w:r>
          </w:p>
        </w:tc>
        <w:tc>
          <w:tcPr>
            <w:tcW w:w="1742" w:type="dxa"/>
            <w:tcBorders>
              <w:top w:val="single" w:color="auto" w:sz="2" w:space="0"/>
              <w:left w:val="single" w:color="auto" w:sz="2" w:space="0"/>
              <w:right w:val="single" w:color="auto" w:sz="2" w:space="0"/>
            </w:tcBorders>
            <w:vAlign w:val="center"/>
          </w:tcPr>
          <w:p w14:paraId="017F6441">
            <w:pPr>
              <w:adjustRightInd w:val="0"/>
              <w:snapToGrid w:val="0"/>
              <w:jc w:val="left"/>
              <w:rPr>
                <w:rFonts w:hint="eastAsia" w:ascii="宋体" w:hAnsi="宋体" w:eastAsia="宋体"/>
                <w:szCs w:val="21"/>
              </w:rPr>
            </w:pPr>
            <w:r>
              <w:rPr>
                <w:rFonts w:hint="eastAsia" w:ascii="宋体" w:hAnsi="宋体" w:eastAsia="宋体"/>
                <w:szCs w:val="21"/>
              </w:rPr>
              <w:t>解决争议的方法</w:t>
            </w:r>
          </w:p>
        </w:tc>
        <w:tc>
          <w:tcPr>
            <w:tcW w:w="5170" w:type="dxa"/>
            <w:tcBorders>
              <w:top w:val="single" w:color="auto" w:sz="2" w:space="0"/>
              <w:left w:val="single" w:color="auto" w:sz="2" w:space="0"/>
            </w:tcBorders>
            <w:vAlign w:val="center"/>
          </w:tcPr>
          <w:p w14:paraId="7CA4745B">
            <w:pPr>
              <w:autoSpaceDE w:val="0"/>
              <w:autoSpaceDN w:val="0"/>
              <w:adjustRightInd w:val="0"/>
              <w:snapToGrid w:val="0"/>
              <w:spacing w:line="400" w:lineRule="exact"/>
              <w:jc w:val="left"/>
              <w:rPr>
                <w:rFonts w:hint="eastAsia" w:ascii="宋体" w:hAnsi="宋体" w:eastAsia="宋体" w:cs="宋体"/>
                <w:iCs/>
                <w:szCs w:val="21"/>
              </w:rPr>
            </w:pPr>
            <w:r>
              <w:rPr>
                <w:rFonts w:hint="eastAsia" w:ascii="宋体" w:hAnsi="宋体" w:eastAsia="宋体" w:cs="宋体"/>
                <w:iCs/>
                <w:szCs w:val="21"/>
              </w:rPr>
              <w:t>因本合同及合同有关事项发生的争议，按下列第</w:t>
            </w:r>
            <w:r>
              <w:rPr>
                <w:rFonts w:hint="eastAsia" w:ascii="宋体" w:hAnsi="宋体" w:eastAsia="宋体" w:cs="宋体"/>
                <w:iCs/>
                <w:szCs w:val="21"/>
                <w:u w:val="single"/>
              </w:rPr>
              <w:t xml:space="preserve">   </w:t>
            </w:r>
            <w:r>
              <w:rPr>
                <w:rFonts w:hint="eastAsia" w:ascii="宋体" w:hAnsi="宋体" w:eastAsia="宋体" w:cs="宋体"/>
                <w:iCs/>
                <w:szCs w:val="21"/>
              </w:rPr>
              <w:t>种方式解决：</w:t>
            </w:r>
          </w:p>
          <w:p w14:paraId="06AA96D8">
            <w:pPr>
              <w:autoSpaceDE w:val="0"/>
              <w:autoSpaceDN w:val="0"/>
              <w:adjustRightInd w:val="0"/>
              <w:snapToGrid w:val="0"/>
              <w:spacing w:line="400" w:lineRule="exact"/>
              <w:jc w:val="left"/>
              <w:rPr>
                <w:rFonts w:hint="eastAsia" w:ascii="宋体" w:hAnsi="宋体" w:eastAsia="宋体" w:cs="宋体"/>
                <w:iCs/>
                <w:szCs w:val="21"/>
              </w:rPr>
            </w:pPr>
            <w:r>
              <w:rPr>
                <w:rFonts w:hint="eastAsia" w:ascii="宋体" w:hAnsi="宋体" w:eastAsia="宋体" w:cs="宋体"/>
                <w:iCs/>
                <w:szCs w:val="21"/>
              </w:rPr>
              <w:t>（1）向</w:t>
            </w:r>
            <w:r>
              <w:rPr>
                <w:rFonts w:hint="eastAsia" w:ascii="宋体" w:hAnsi="宋体" w:eastAsia="宋体" w:cs="宋体"/>
                <w:iCs/>
                <w:szCs w:val="21"/>
                <w:u w:val="single"/>
              </w:rPr>
              <w:t xml:space="preserve">                    </w:t>
            </w:r>
            <w:r>
              <w:rPr>
                <w:rFonts w:hint="eastAsia" w:ascii="宋体" w:hAnsi="宋体" w:eastAsia="宋体" w:cs="宋体"/>
                <w:iCs/>
                <w:szCs w:val="21"/>
              </w:rPr>
              <w:t>仲裁委员会申请仲裁，仲裁地点为</w:t>
            </w:r>
            <w:r>
              <w:rPr>
                <w:rFonts w:hint="eastAsia" w:ascii="宋体" w:hAnsi="宋体" w:eastAsia="宋体" w:cs="宋体"/>
                <w:iCs/>
                <w:szCs w:val="21"/>
                <w:u w:val="single"/>
              </w:rPr>
              <w:t xml:space="preserve">           </w:t>
            </w:r>
            <w:r>
              <w:rPr>
                <w:rFonts w:hint="eastAsia" w:ascii="宋体" w:hAnsi="宋体" w:eastAsia="宋体" w:cs="宋体"/>
                <w:iCs/>
                <w:szCs w:val="21"/>
              </w:rPr>
              <w:t>；</w:t>
            </w:r>
          </w:p>
          <w:p w14:paraId="685062C6">
            <w:pPr>
              <w:adjustRightInd w:val="0"/>
              <w:snapToGrid w:val="0"/>
              <w:jc w:val="left"/>
              <w:rPr>
                <w:rFonts w:hint="eastAsia" w:ascii="宋体" w:hAnsi="宋体" w:eastAsia="宋体"/>
                <w:szCs w:val="21"/>
                <w:u w:val="single"/>
              </w:rPr>
            </w:pPr>
            <w:r>
              <w:rPr>
                <w:rFonts w:hint="eastAsia" w:ascii="宋体" w:hAnsi="宋体" w:eastAsia="宋体" w:cs="宋体"/>
                <w:iCs/>
                <w:szCs w:val="21"/>
              </w:rPr>
              <w:t>（2）向</w:t>
            </w:r>
            <w:r>
              <w:rPr>
                <w:rFonts w:hint="eastAsia" w:ascii="宋体" w:hAnsi="宋体" w:eastAsia="宋体" w:cs="宋体"/>
                <w:iCs/>
                <w:szCs w:val="21"/>
                <w:u w:val="single"/>
              </w:rPr>
              <w:t xml:space="preserve">                    </w:t>
            </w:r>
            <w:r>
              <w:rPr>
                <w:rFonts w:hint="eastAsia" w:ascii="宋体" w:hAnsi="宋体" w:eastAsia="宋体" w:cs="宋体"/>
                <w:iCs/>
                <w:szCs w:val="21"/>
              </w:rPr>
              <w:t>人民法院起诉。</w:t>
            </w:r>
          </w:p>
        </w:tc>
      </w:tr>
      <w:tr w14:paraId="0726AB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631D00B">
            <w:pPr>
              <w:adjustRightInd w:val="0"/>
              <w:snapToGrid w:val="0"/>
              <w:jc w:val="center"/>
              <w:rPr>
                <w:rFonts w:hint="eastAsia" w:ascii="宋体" w:hAnsi="宋体" w:eastAsia="宋体"/>
                <w:szCs w:val="21"/>
              </w:rPr>
            </w:pPr>
            <w:r>
              <w:rPr>
                <w:rFonts w:hint="eastAsia" w:ascii="宋体" w:hAnsi="宋体" w:eastAsia="宋体"/>
                <w:szCs w:val="21"/>
              </w:rPr>
              <w:t>第二节</w:t>
            </w:r>
          </w:p>
          <w:p w14:paraId="4A6A0830">
            <w:pPr>
              <w:adjustRightInd w:val="0"/>
              <w:snapToGrid w:val="0"/>
              <w:jc w:val="center"/>
              <w:rPr>
                <w:rFonts w:hint="eastAsia" w:ascii="宋体" w:hAnsi="宋体" w:eastAsia="宋体"/>
                <w:szCs w:val="21"/>
              </w:rPr>
            </w:pPr>
            <w:r>
              <w:rPr>
                <w:rFonts w:hint="eastAsia" w:ascii="宋体" w:hAnsi="宋体" w:eastAsia="宋体"/>
                <w:szCs w:val="21"/>
              </w:rPr>
              <w:t>第23.1款</w:t>
            </w:r>
          </w:p>
        </w:tc>
        <w:tc>
          <w:tcPr>
            <w:tcW w:w="1742" w:type="dxa"/>
            <w:vAlign w:val="center"/>
          </w:tcPr>
          <w:p w14:paraId="4BAD457E">
            <w:pPr>
              <w:adjustRightInd w:val="0"/>
              <w:snapToGrid w:val="0"/>
              <w:jc w:val="left"/>
              <w:rPr>
                <w:rFonts w:hint="eastAsia" w:ascii="宋体" w:hAnsi="宋体" w:eastAsia="宋体"/>
                <w:szCs w:val="21"/>
              </w:rPr>
            </w:pPr>
            <w:r>
              <w:rPr>
                <w:rFonts w:hint="eastAsia" w:ascii="宋体" w:hAnsi="宋体" w:eastAsia="宋体"/>
                <w:bCs/>
                <w:szCs w:val="21"/>
              </w:rPr>
              <w:t>其他专用条款</w:t>
            </w:r>
          </w:p>
        </w:tc>
        <w:tc>
          <w:tcPr>
            <w:tcW w:w="5170" w:type="dxa"/>
            <w:vAlign w:val="center"/>
          </w:tcPr>
          <w:p w14:paraId="2168CA83">
            <w:pPr>
              <w:adjustRightInd w:val="0"/>
              <w:snapToGrid w:val="0"/>
              <w:jc w:val="left"/>
              <w:rPr>
                <w:rFonts w:hint="eastAsia" w:ascii="宋体" w:hAnsi="宋体" w:eastAsia="宋体"/>
                <w:szCs w:val="21"/>
              </w:rPr>
            </w:pPr>
          </w:p>
        </w:tc>
      </w:tr>
    </w:tbl>
    <w:p w14:paraId="5C93455A">
      <w:pPr>
        <w:rPr>
          <w:rFonts w:eastAsia="宋体"/>
        </w:rPr>
      </w:pPr>
    </w:p>
    <w:p w14:paraId="560CCB33">
      <w:pPr>
        <w:widowControl/>
        <w:jc w:val="left"/>
        <w:rPr>
          <w:rFonts w:ascii="Arial" w:hAnsi="Arial" w:eastAsia="宋体" w:cs="Times New Roman"/>
          <w:color w:val="FF0000"/>
          <w:szCs w:val="24"/>
        </w:rPr>
      </w:pPr>
    </w:p>
    <w:p w14:paraId="01DB9C0C">
      <w:pPr>
        <w:widowControl/>
        <w:jc w:val="left"/>
        <w:rPr>
          <w:rFonts w:hint="eastAsia"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14:paraId="6BF7C78F">
      <w:pPr>
        <w:keepNext/>
        <w:keepLines/>
        <w:spacing w:before="340" w:after="78"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14:paraId="3E676566">
      <w:pPr>
        <w:pStyle w:val="28"/>
        <w:keepNext/>
        <w:keepLines/>
        <w:numPr>
          <w:ilvl w:val="0"/>
          <w:numId w:val="15"/>
        </w:numPr>
        <w:tabs>
          <w:tab w:val="left" w:pos="720"/>
        </w:tabs>
        <w:adjustRightInd w:val="0"/>
        <w:spacing w:before="156" w:beforeLines="50" w:after="156" w:afterLines="50"/>
        <w:ind w:firstLineChars="0"/>
        <w:jc w:val="center"/>
        <w:textAlignment w:val="baseline"/>
        <w:outlineLvl w:val="1"/>
        <w:rPr>
          <w:rFonts w:asciiTheme="majorHAnsi" w:hAnsiTheme="majorHAnsi" w:eastAsiaTheme="majorEastAsia" w:cstheme="majorBidi"/>
          <w:b/>
          <w:bCs/>
          <w:sz w:val="28"/>
          <w:szCs w:val="28"/>
        </w:rPr>
      </w:pPr>
      <w:bookmarkStart w:id="54" w:name="_Hlk72399513"/>
      <w:r>
        <w:rPr>
          <w:rFonts w:hint="eastAsia" w:asciiTheme="majorHAnsi" w:hAnsiTheme="majorHAnsi" w:eastAsiaTheme="majorEastAsia" w:cstheme="majorBidi"/>
          <w:b/>
          <w:bCs/>
          <w:sz w:val="28"/>
          <w:szCs w:val="28"/>
        </w:rPr>
        <w:t>总则</w:t>
      </w:r>
    </w:p>
    <w:bookmarkEnd w:id="54"/>
    <w:p w14:paraId="1ADE37ED">
      <w:pPr>
        <w:rPr>
          <w:rFonts w:hint="eastAsia" w:ascii="黑体" w:hAnsi="宋体" w:eastAsia="黑体"/>
          <w:sz w:val="24"/>
        </w:rPr>
      </w:pPr>
      <w:bookmarkStart w:id="55" w:name="_Hlk72439706"/>
      <w:r>
        <w:rPr>
          <w:rFonts w:hint="eastAsia" w:ascii="黑体" w:hAnsi="宋体" w:eastAsia="黑体"/>
          <w:sz w:val="24"/>
        </w:rPr>
        <w:t>1. 通用条款说明</w:t>
      </w:r>
    </w:p>
    <w:p w14:paraId="4C7F476C">
      <w:pPr>
        <w:ind w:firstLine="411" w:firstLineChars="196"/>
        <w:rPr>
          <w:rFonts w:hint="eastAsia"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56" w:name="_Hlk72399729"/>
      <w:r>
        <w:rPr>
          <w:rFonts w:hint="eastAsia" w:ascii="宋体" w:hAnsi="宋体"/>
          <w:szCs w:val="21"/>
        </w:rPr>
        <w:t>如有需要，政府集中采购机构可以对通用条款的内容进行补充。</w:t>
      </w:r>
      <w:bookmarkEnd w:id="56"/>
    </w:p>
    <w:p w14:paraId="44DA6B8F">
      <w:pPr>
        <w:ind w:firstLine="411" w:firstLineChars="196"/>
        <w:rPr>
          <w:rFonts w:hint="eastAsia" w:ascii="宋体" w:hAnsi="宋体"/>
          <w:szCs w:val="21"/>
        </w:rPr>
      </w:pPr>
      <w:r>
        <w:rPr>
          <w:rFonts w:hint="eastAsia" w:ascii="宋体" w:hAnsi="宋体"/>
          <w:szCs w:val="21"/>
        </w:rPr>
        <w:t>1.2招标文件分为第一册“专用条款”和第二册“通用条款”。</w:t>
      </w:r>
    </w:p>
    <w:p w14:paraId="2CC233D2">
      <w:pPr>
        <w:ind w:firstLine="411" w:firstLineChars="196"/>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1F59E8B0">
      <w:pPr>
        <w:ind w:firstLine="411" w:firstLineChars="196"/>
        <w:rPr>
          <w:rFonts w:hint="eastAsia" w:ascii="宋体" w:hAnsi="宋体"/>
          <w:szCs w:val="21"/>
        </w:rPr>
      </w:pPr>
      <w:r>
        <w:rPr>
          <w:rFonts w:hint="eastAsia" w:ascii="宋体" w:hAnsi="宋体"/>
          <w:szCs w:val="21"/>
        </w:rPr>
        <w:t>1.4“通用条款”是适用于政府采购公开招标项目的基础性条款，具有普遍性和通用性。</w:t>
      </w:r>
    </w:p>
    <w:p w14:paraId="2BC13C58">
      <w:pPr>
        <w:ind w:firstLine="411" w:firstLineChars="196"/>
        <w:rPr>
          <w:rFonts w:hint="eastAsia" w:ascii="宋体" w:hAnsi="宋体"/>
          <w:szCs w:val="21"/>
        </w:rPr>
      </w:pPr>
      <w:r>
        <w:rPr>
          <w:rFonts w:hint="eastAsia" w:ascii="宋体" w:hAnsi="宋体"/>
          <w:szCs w:val="21"/>
        </w:rPr>
        <w:t>1.5 “专用条款”和“通用条款”表述不一致或有冲突时，以“专用条款”为准。</w:t>
      </w:r>
    </w:p>
    <w:p w14:paraId="2B967696">
      <w:pPr>
        <w:rPr>
          <w:rFonts w:hint="eastAsia"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1BE5D920">
      <w:pPr>
        <w:ind w:firstLine="411" w:firstLineChars="196"/>
        <w:rPr>
          <w:rFonts w:hint="eastAsia" w:ascii="宋体" w:hAnsi="宋体"/>
          <w:szCs w:val="21"/>
        </w:rPr>
      </w:pPr>
      <w:r>
        <w:rPr>
          <w:rFonts w:hint="eastAsia" w:ascii="宋体" w:hAnsi="宋体"/>
          <w:szCs w:val="21"/>
        </w:rPr>
        <w:t>本项目参照《深圳经济特区政府采购条例》《深圳经济特区政府采购条例实施细则》及政府采购其他法律法规，通过公开招标方式确定中标供应商。</w:t>
      </w:r>
    </w:p>
    <w:p w14:paraId="06163A91">
      <w:pPr>
        <w:rPr>
          <w:rFonts w:hint="eastAsia" w:ascii="黑体" w:hAnsi="宋体" w:eastAsia="黑体"/>
          <w:sz w:val="24"/>
        </w:rPr>
      </w:pPr>
      <w:r>
        <w:rPr>
          <w:rFonts w:hint="eastAsia" w:ascii="黑体" w:hAnsi="宋体" w:eastAsia="黑体"/>
          <w:sz w:val="24"/>
        </w:rPr>
        <w:t>3．定义</w:t>
      </w:r>
    </w:p>
    <w:p w14:paraId="2DD5E003">
      <w:pPr>
        <w:ind w:firstLine="420" w:firstLineChars="200"/>
        <w:rPr>
          <w:rFonts w:hint="eastAsia" w:ascii="宋体" w:hAnsi="宋体"/>
          <w:szCs w:val="21"/>
        </w:rPr>
      </w:pPr>
      <w:r>
        <w:rPr>
          <w:rFonts w:ascii="宋体" w:hAnsi="宋体"/>
          <w:szCs w:val="21"/>
        </w:rPr>
        <w:t>招标文件中下列术语应解释为：</w:t>
      </w:r>
    </w:p>
    <w:p w14:paraId="42C6B86B">
      <w:pPr>
        <w:ind w:firstLine="411" w:firstLineChars="196"/>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14DE5C42">
      <w:pPr>
        <w:ind w:firstLine="411" w:firstLineChars="196"/>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088B9A4C">
      <w:pPr>
        <w:ind w:firstLine="411" w:firstLineChars="196"/>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3ED49A83">
      <w:pPr>
        <w:ind w:firstLine="411" w:firstLineChars="196"/>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2C6F2798">
      <w:pPr>
        <w:ind w:firstLine="411" w:firstLineChars="196"/>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71C1E516">
      <w:pPr>
        <w:ind w:firstLine="411" w:firstLineChars="196"/>
        <w:rPr>
          <w:rFonts w:hint="eastAsia" w:ascii="宋体" w:hAnsi="宋体"/>
          <w:szCs w:val="21"/>
        </w:rPr>
      </w:pPr>
      <w:r>
        <w:rPr>
          <w:rFonts w:hint="eastAsia" w:ascii="宋体" w:hAnsi="宋体"/>
          <w:szCs w:val="21"/>
        </w:rPr>
        <w:t>3.6“合同”指由本次招标所产生的合同或合约文件；</w:t>
      </w:r>
    </w:p>
    <w:p w14:paraId="6BB38F43">
      <w:pPr>
        <w:ind w:firstLine="411" w:firstLineChars="196"/>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深圳公共资源交易中心（深圳交易集团有限公司龙华分公司）</w:t>
      </w:r>
      <w:r>
        <w:rPr>
          <w:rFonts w:hint="eastAsia" w:ascii="宋体" w:hAnsi="宋体"/>
          <w:szCs w:val="21"/>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p>
    <w:p w14:paraId="190ED5FA">
      <w:pPr>
        <w:ind w:firstLine="411" w:firstLineChars="196"/>
        <w:rPr>
          <w:rFonts w:hint="eastAsia"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深圳公共资源交易中心（深圳交易集团有限公司龙华分公司）</w:t>
      </w:r>
      <w:r>
        <w:rPr>
          <w:rFonts w:hint="eastAsia" w:ascii="宋体" w:hAnsi="宋体"/>
          <w:szCs w:val="21"/>
        </w:rPr>
        <w:t>网站上传电子投标文件；</w:t>
      </w:r>
    </w:p>
    <w:p w14:paraId="08EA0D68">
      <w:pPr>
        <w:ind w:firstLine="411" w:firstLineChars="196"/>
        <w:rPr>
          <w:rFonts w:hint="eastAsia" w:ascii="宋体" w:hAnsi="宋体"/>
          <w:szCs w:val="21"/>
        </w:rPr>
      </w:pPr>
      <w:r>
        <w:rPr>
          <w:rFonts w:hint="eastAsia" w:ascii="宋体" w:hAnsi="宋体"/>
          <w:szCs w:val="21"/>
        </w:rPr>
        <w:t>3.9招标文件中的标题或题名仅起引导作用，而不应视为对招标文件内容的理解和解释。</w:t>
      </w:r>
    </w:p>
    <w:p w14:paraId="2F5E0832">
      <w:pPr>
        <w:rPr>
          <w:rFonts w:hint="eastAsia" w:ascii="黑体" w:hAnsi="宋体" w:eastAsia="黑体"/>
          <w:sz w:val="24"/>
        </w:rPr>
      </w:pPr>
      <w:r>
        <w:rPr>
          <w:rFonts w:hint="eastAsia" w:ascii="黑体" w:hAnsi="宋体" w:eastAsia="黑体"/>
          <w:sz w:val="24"/>
        </w:rPr>
        <w:t xml:space="preserve">4. </w:t>
      </w:r>
      <w:bookmarkStart w:id="57" w:name="_Hlk72398643"/>
      <w:r>
        <w:rPr>
          <w:rFonts w:hint="eastAsia" w:ascii="黑体" w:hAnsi="宋体" w:eastAsia="黑体"/>
          <w:sz w:val="24"/>
        </w:rPr>
        <w:t>政府采购供应商责任</w:t>
      </w:r>
    </w:p>
    <w:p w14:paraId="2825B7A3">
      <w:pPr>
        <w:ind w:firstLine="411" w:firstLineChars="196"/>
        <w:rPr>
          <w:rFonts w:hint="eastAsia" w:ascii="宋体" w:hAnsi="宋体"/>
          <w:szCs w:val="21"/>
        </w:rPr>
      </w:pPr>
      <w:r>
        <w:rPr>
          <w:rFonts w:hint="eastAsia" w:ascii="宋体" w:hAnsi="宋体"/>
          <w:szCs w:val="21"/>
        </w:rPr>
        <w:t>4.1欢迎诚信、有实力和有社会责任心的供应商参与政府采购事业。</w:t>
      </w:r>
    </w:p>
    <w:p w14:paraId="1224D115">
      <w:pPr>
        <w:ind w:firstLine="411" w:firstLineChars="196"/>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772EA738">
      <w:pPr>
        <w:rPr>
          <w:rFonts w:hint="eastAsia" w:ascii="黑体" w:hAnsi="宋体" w:eastAsia="黑体"/>
          <w:sz w:val="24"/>
        </w:rPr>
      </w:pPr>
      <w:r>
        <w:rPr>
          <w:rFonts w:hint="eastAsia" w:ascii="黑体" w:hAnsi="宋体" w:eastAsia="黑体"/>
          <w:sz w:val="24"/>
        </w:rPr>
        <w:t>5．投标人参加政府采购的条件</w:t>
      </w:r>
    </w:p>
    <w:p w14:paraId="3428FCFF">
      <w:pPr>
        <w:ind w:firstLine="411" w:firstLineChars="196"/>
        <w:jc w:val="left"/>
        <w:rPr>
          <w:rFonts w:hint="eastAsia"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14:paraId="78E97AB5">
      <w:pPr>
        <w:ind w:firstLine="411" w:firstLineChars="196"/>
        <w:rPr>
          <w:rFonts w:hint="eastAsia" w:ascii="宋体" w:hAnsi="宋体"/>
          <w:szCs w:val="21"/>
        </w:rPr>
      </w:pPr>
      <w:r>
        <w:rPr>
          <w:rFonts w:hint="eastAsia" w:ascii="宋体" w:hAnsi="宋体"/>
          <w:szCs w:val="21"/>
        </w:rPr>
        <w:t>5.2投标人资格要求</w:t>
      </w:r>
    </w:p>
    <w:p w14:paraId="61411F53">
      <w:pPr>
        <w:ind w:firstLine="411" w:firstLineChars="196"/>
        <w:rPr>
          <w:rFonts w:hint="eastAsia"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5B1946FB">
      <w:pPr>
        <w:ind w:firstLine="411" w:firstLineChars="196"/>
        <w:rPr>
          <w:rFonts w:hint="eastAsia" w:ascii="宋体" w:hAnsi="宋体"/>
          <w:szCs w:val="21"/>
        </w:rPr>
      </w:pPr>
      <w:r>
        <w:rPr>
          <w:rFonts w:hint="eastAsia" w:ascii="宋体" w:hAnsi="宋体"/>
          <w:szCs w:val="21"/>
        </w:rPr>
        <w:t>5.3联合体投标</w:t>
      </w:r>
    </w:p>
    <w:p w14:paraId="2F11ADBE">
      <w:pPr>
        <w:ind w:firstLine="411" w:firstLineChars="196"/>
        <w:rPr>
          <w:rFonts w:hint="eastAsia" w:ascii="宋体" w:hAnsi="宋体"/>
          <w:szCs w:val="21"/>
        </w:rPr>
      </w:pPr>
      <w:r>
        <w:rPr>
          <w:rFonts w:hint="eastAsia" w:ascii="宋体" w:hAnsi="宋体"/>
          <w:szCs w:val="21"/>
        </w:rPr>
        <w:t>5.3.1　以下有关联合体投标的条款仅适用于允许投标人组成联合体投标的项目。</w:t>
      </w:r>
    </w:p>
    <w:p w14:paraId="60D295DC">
      <w:pPr>
        <w:ind w:firstLine="411" w:firstLineChars="196"/>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7956C20C">
      <w:pPr>
        <w:ind w:firstLine="411" w:firstLineChars="196"/>
        <w:rPr>
          <w:rFonts w:hint="eastAsia" w:ascii="宋体" w:hAnsi="宋体"/>
        </w:rPr>
      </w:pPr>
      <w:r>
        <w:rPr>
          <w:rFonts w:hint="eastAsia" w:ascii="宋体" w:hAnsi="宋体"/>
        </w:rPr>
        <w:t>（1）投标联合体各方参加政府采购活动应当具备下列条件：</w:t>
      </w:r>
      <w:r>
        <w:rPr>
          <w:rFonts w:ascii="宋体" w:hAnsi="宋体"/>
        </w:rPr>
        <w:t xml:space="preserve"> </w:t>
      </w:r>
    </w:p>
    <w:p w14:paraId="2E410AA4">
      <w:pPr>
        <w:ind w:left="420" w:leftChars="200" w:firstLine="411" w:firstLineChars="196"/>
        <w:rPr>
          <w:rFonts w:hint="eastAsia" w:ascii="宋体" w:hAnsi="宋体"/>
        </w:rPr>
      </w:pPr>
      <w:r>
        <w:rPr>
          <w:rFonts w:hint="eastAsia" w:ascii="宋体" w:hAnsi="宋体"/>
        </w:rPr>
        <w:t>1、具有独立承担民事责任的能力；</w:t>
      </w:r>
      <w:r>
        <w:rPr>
          <w:rFonts w:ascii="宋体" w:hAnsi="宋体"/>
        </w:rPr>
        <w:t xml:space="preserve"> </w:t>
      </w:r>
    </w:p>
    <w:p w14:paraId="0F1D85FE">
      <w:pPr>
        <w:ind w:left="420" w:firstLine="411" w:firstLineChars="196"/>
        <w:rPr>
          <w:rFonts w:hint="eastAsia" w:ascii="宋体" w:hAnsi="宋体"/>
        </w:rPr>
      </w:pPr>
      <w:r>
        <w:rPr>
          <w:rFonts w:hint="eastAsia" w:ascii="宋体" w:hAnsi="宋体"/>
        </w:rPr>
        <w:t>2、有良好的商业信誉和健全的财务会计制度；</w:t>
      </w:r>
      <w:r>
        <w:rPr>
          <w:rFonts w:ascii="宋体" w:hAnsi="宋体"/>
        </w:rPr>
        <w:t xml:space="preserve"> </w:t>
      </w:r>
    </w:p>
    <w:p w14:paraId="3BA6A762">
      <w:pPr>
        <w:ind w:left="420" w:leftChars="200" w:firstLine="411" w:firstLineChars="196"/>
        <w:rPr>
          <w:rFonts w:hint="eastAsia" w:ascii="宋体" w:hAnsi="宋体"/>
        </w:rPr>
      </w:pPr>
      <w:r>
        <w:rPr>
          <w:rFonts w:hint="eastAsia" w:ascii="宋体" w:hAnsi="宋体"/>
        </w:rPr>
        <w:t>3、具有履行合同所必需的设备和专业技术能力；</w:t>
      </w:r>
      <w:r>
        <w:rPr>
          <w:rFonts w:ascii="宋体" w:hAnsi="宋体"/>
        </w:rPr>
        <w:t xml:space="preserve"> </w:t>
      </w:r>
    </w:p>
    <w:p w14:paraId="2471D445">
      <w:pPr>
        <w:ind w:left="420" w:leftChars="200" w:firstLine="411" w:firstLineChars="196"/>
        <w:rPr>
          <w:rFonts w:hint="eastAsia" w:ascii="宋体" w:hAnsi="宋体"/>
        </w:rPr>
      </w:pPr>
      <w:r>
        <w:rPr>
          <w:rFonts w:hint="eastAsia" w:ascii="宋体" w:hAnsi="宋体"/>
        </w:rPr>
        <w:t>4、有依法缴纳税收和社会保障资金的良好记录；</w:t>
      </w:r>
      <w:r>
        <w:rPr>
          <w:rFonts w:ascii="宋体" w:hAnsi="宋体"/>
        </w:rPr>
        <w:t xml:space="preserve"> </w:t>
      </w:r>
    </w:p>
    <w:p w14:paraId="4A7A3D93">
      <w:pPr>
        <w:ind w:left="420" w:leftChars="200" w:firstLine="411" w:firstLineChars="196"/>
        <w:rPr>
          <w:rFonts w:hint="eastAsia" w:ascii="宋体" w:hAnsi="宋体"/>
        </w:rPr>
      </w:pPr>
      <w:r>
        <w:rPr>
          <w:rFonts w:hint="eastAsia" w:ascii="宋体" w:hAnsi="宋体"/>
        </w:rPr>
        <w:t>5、参加政府采购活动前三年内，在经营活动中没有重大违法记录；</w:t>
      </w:r>
      <w:r>
        <w:rPr>
          <w:rFonts w:ascii="宋体" w:hAnsi="宋体"/>
        </w:rPr>
        <w:t xml:space="preserve"> </w:t>
      </w:r>
    </w:p>
    <w:p w14:paraId="25FD4C6E">
      <w:pPr>
        <w:ind w:left="420" w:leftChars="200" w:firstLine="411" w:firstLineChars="196"/>
        <w:rPr>
          <w:rFonts w:hint="eastAsia" w:ascii="宋体" w:hAnsi="宋体"/>
        </w:rPr>
      </w:pPr>
      <w:r>
        <w:rPr>
          <w:rFonts w:hint="eastAsia" w:ascii="宋体" w:hAnsi="宋体"/>
        </w:rPr>
        <w:t>6、法律、行政法规规定的其他条件。</w:t>
      </w:r>
      <w:r>
        <w:rPr>
          <w:rFonts w:ascii="宋体" w:hAnsi="宋体"/>
        </w:rPr>
        <w:t xml:space="preserve"> </w:t>
      </w:r>
    </w:p>
    <w:p w14:paraId="31F72B31">
      <w:pPr>
        <w:ind w:firstLine="411" w:firstLineChars="196"/>
        <w:rPr>
          <w:rFonts w:hint="eastAsia" w:ascii="宋体" w:hAnsi="宋体"/>
        </w:rPr>
      </w:pPr>
      <w:r>
        <w:rPr>
          <w:rFonts w:hint="eastAsia" w:ascii="宋体" w:hAnsi="宋体"/>
        </w:rPr>
        <w:t>（2）在投标截止前，投标联合体各方均应注册成政府集中采购机构供应商；</w:t>
      </w:r>
    </w:p>
    <w:p w14:paraId="30B8B007">
      <w:pPr>
        <w:ind w:firstLine="411" w:firstLineChars="196"/>
        <w:rPr>
          <w:rFonts w:hint="eastAsia" w:ascii="宋体" w:hAnsi="宋体"/>
        </w:rPr>
      </w:pPr>
      <w:r>
        <w:rPr>
          <w:rFonts w:hint="eastAsia" w:ascii="宋体" w:hAnsi="宋体"/>
        </w:rPr>
        <w:t>（3）联合体中有同类资质的供应商按照联合体分工承担相同工作的，应当按照资质等级较低的供应商确定资质等级；</w:t>
      </w:r>
    </w:p>
    <w:p w14:paraId="148D92D4">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27BEF80F">
      <w:pPr>
        <w:ind w:firstLine="411" w:firstLineChars="196"/>
        <w:rPr>
          <w:rFonts w:hint="eastAsia" w:ascii="宋体" w:hAnsi="宋体"/>
        </w:rPr>
      </w:pPr>
      <w:r>
        <w:rPr>
          <w:rFonts w:hint="eastAsia" w:ascii="宋体" w:hAnsi="宋体"/>
        </w:rPr>
        <w:t>（5）投标人的投标文件及中标后签署的合同协议对联合体各方均具法律约束力；</w:t>
      </w:r>
    </w:p>
    <w:p w14:paraId="70140080">
      <w:pPr>
        <w:ind w:firstLine="411" w:firstLineChars="196"/>
        <w:rPr>
          <w:rFonts w:hint="eastAsia"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48CAB28F">
      <w:pPr>
        <w:ind w:firstLine="411" w:firstLineChars="196"/>
        <w:rPr>
          <w:rFonts w:hint="eastAsia" w:ascii="宋体" w:hAnsi="宋体"/>
        </w:rPr>
      </w:pPr>
      <w:r>
        <w:rPr>
          <w:rFonts w:hint="eastAsia" w:ascii="宋体" w:hAnsi="宋体"/>
        </w:rPr>
        <w:t>（7）联合体中标后，联合体各方应当共同与采购人签订合同，就中标项目向采购人承担连带责任；</w:t>
      </w:r>
    </w:p>
    <w:p w14:paraId="53A8AAEC">
      <w:pPr>
        <w:ind w:firstLine="411" w:firstLineChars="196"/>
        <w:rPr>
          <w:rFonts w:hint="eastAsia"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771B6680">
      <w:pPr>
        <w:ind w:firstLine="411" w:firstLineChars="196"/>
        <w:rPr>
          <w:rFonts w:hint="eastAsia" w:ascii="宋体" w:hAnsi="宋体"/>
          <w:szCs w:val="21"/>
        </w:rPr>
      </w:pPr>
      <w:r>
        <w:rPr>
          <w:rFonts w:hint="eastAsia" w:ascii="宋体" w:hAnsi="宋体"/>
        </w:rPr>
        <w:t>（9）本通用条款中“投标人”一词亦指联合体各方，专用条款另有规定或说明的除外。</w:t>
      </w:r>
    </w:p>
    <w:p w14:paraId="329916E8">
      <w:pPr>
        <w:rPr>
          <w:rFonts w:hint="eastAsia" w:ascii="黑体" w:hAnsi="宋体" w:eastAsia="黑体"/>
          <w:sz w:val="24"/>
        </w:rPr>
      </w:pPr>
      <w:r>
        <w:rPr>
          <w:rFonts w:hint="eastAsia" w:ascii="黑体" w:hAnsi="宋体" w:eastAsia="黑体"/>
          <w:sz w:val="24"/>
        </w:rPr>
        <w:t>6．政策导向</w:t>
      </w:r>
    </w:p>
    <w:p w14:paraId="6F33568E">
      <w:pPr>
        <w:ind w:firstLine="411" w:firstLineChars="196"/>
        <w:rPr>
          <w:rFonts w:hint="eastAsia"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14:paraId="0249D550">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68611816">
      <w:pPr>
        <w:ind w:firstLine="405"/>
        <w:rPr>
          <w:rFonts w:eastAsia="宋体"/>
        </w:rPr>
      </w:pPr>
      <w:r>
        <w:rPr>
          <w:rFonts w:hint="eastAsia" w:ascii="宋体" w:hAnsi="宋体"/>
        </w:rPr>
        <w:t>6.3  本项目支持投标人性别平等的相关政策。</w:t>
      </w:r>
    </w:p>
    <w:p w14:paraId="5D040F8D">
      <w:pPr>
        <w:rPr>
          <w:rFonts w:hint="eastAsia" w:ascii="黑体" w:hAnsi="宋体" w:eastAsia="黑体"/>
          <w:sz w:val="24"/>
        </w:rPr>
      </w:pPr>
      <w:r>
        <w:rPr>
          <w:rFonts w:hint="eastAsia" w:ascii="黑体" w:hAnsi="宋体" w:eastAsia="黑体"/>
          <w:sz w:val="24"/>
        </w:rPr>
        <w:t>7. 本项目若涉及采购货物，则合格的货物及相应服务应满足以下要求：</w:t>
      </w:r>
    </w:p>
    <w:p w14:paraId="14E3743A">
      <w:pPr>
        <w:ind w:firstLine="411" w:firstLineChars="196"/>
        <w:rPr>
          <w:rFonts w:hint="eastAsia"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18B5F3FF">
      <w:pPr>
        <w:ind w:firstLine="411" w:firstLineChars="196"/>
        <w:rPr>
          <w:rFonts w:hint="eastAsia"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4A048876">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D999580">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58"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8"/>
    </w:p>
    <w:p w14:paraId="44DB4C87">
      <w:pPr>
        <w:ind w:firstLine="411" w:firstLineChars="196"/>
        <w:rPr>
          <w:rFonts w:hint="eastAsia"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DC4457C">
      <w:pPr>
        <w:ind w:firstLine="411" w:firstLineChars="196"/>
        <w:rPr>
          <w:rFonts w:hint="eastAsia" w:ascii="宋体" w:hAnsi="宋体"/>
        </w:rPr>
      </w:pPr>
      <w:r>
        <w:rPr>
          <w:rFonts w:hint="eastAsia" w:ascii="宋体" w:hAnsi="宋体"/>
        </w:rPr>
        <w:t>7.6  工期要求：投标人在投标时对其所投项目应提交交货进度、交货计划等，在合同规定的时间内完成项目实施工作。</w:t>
      </w:r>
    </w:p>
    <w:p w14:paraId="5002AFC5">
      <w:pPr>
        <w:ind w:firstLine="411" w:firstLineChars="196"/>
        <w:rPr>
          <w:rFonts w:hint="eastAsia" w:ascii="宋体" w:hAnsi="宋体"/>
        </w:rPr>
      </w:pPr>
      <w:r>
        <w:rPr>
          <w:rFonts w:hint="eastAsia" w:ascii="宋体" w:hAnsi="宋体"/>
        </w:rPr>
        <w:t>7.7  投标人必须承担的设备运输、安装调试、验收检测和提供设备操作说明书、图纸等其他相关及类似的义务。</w:t>
      </w:r>
    </w:p>
    <w:p w14:paraId="4E8C1B45">
      <w:pPr>
        <w:rPr>
          <w:rFonts w:hint="eastAsia" w:ascii="黑体" w:hAnsi="宋体" w:eastAsia="黑体"/>
          <w:sz w:val="24"/>
        </w:rPr>
      </w:pPr>
      <w:r>
        <w:rPr>
          <w:rFonts w:hint="eastAsia" w:ascii="黑体" w:hAnsi="宋体" w:eastAsia="黑体"/>
          <w:sz w:val="24"/>
        </w:rPr>
        <w:t>8．投标费用</w:t>
      </w:r>
    </w:p>
    <w:p w14:paraId="461E491E">
      <w:pPr>
        <w:ind w:firstLine="411" w:firstLineChars="196"/>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6B76F7B4">
      <w:pPr>
        <w:rPr>
          <w:rFonts w:hint="eastAsia" w:ascii="黑体" w:hAnsi="宋体" w:eastAsia="黑体"/>
          <w:sz w:val="24"/>
        </w:rPr>
      </w:pPr>
      <w:r>
        <w:rPr>
          <w:rFonts w:hint="eastAsia" w:ascii="黑体" w:hAnsi="宋体" w:eastAsia="黑体"/>
          <w:sz w:val="24"/>
        </w:rPr>
        <w:t>9．踏勘现场</w:t>
      </w:r>
    </w:p>
    <w:p w14:paraId="7D2D3DA0">
      <w:pPr>
        <w:ind w:firstLine="411" w:firstLineChars="196"/>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0A79BAC0">
      <w:pPr>
        <w:ind w:firstLine="411" w:firstLineChars="196"/>
        <w:rPr>
          <w:rFonts w:hint="eastAsia"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41ABFA99">
      <w:pPr>
        <w:ind w:firstLine="411" w:firstLineChars="196"/>
        <w:rPr>
          <w:rFonts w:hint="eastAsia" w:ascii="宋体" w:hAnsi="宋体"/>
        </w:rPr>
      </w:pPr>
      <w:r>
        <w:rPr>
          <w:rFonts w:hint="eastAsia" w:ascii="宋体" w:hAnsi="宋体"/>
        </w:rPr>
        <w:t>9.3采购人应当通过政府集中采购机构向投标人提供有关现场的书面资料和数据。</w:t>
      </w:r>
    </w:p>
    <w:p w14:paraId="7FC10B77">
      <w:pPr>
        <w:ind w:firstLine="411" w:firstLineChars="196"/>
        <w:rPr>
          <w:rFonts w:hint="eastAsia"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4ADA768F">
      <w:pPr>
        <w:ind w:firstLine="411" w:firstLineChars="196"/>
        <w:rPr>
          <w:rFonts w:hint="eastAsia"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640A21BC">
      <w:pPr>
        <w:rPr>
          <w:rFonts w:hint="eastAsia"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7D32E832">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271D258F">
      <w:pPr>
        <w:ind w:firstLine="411" w:firstLineChars="196"/>
        <w:rPr>
          <w:rFonts w:hint="eastAsia"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093FB88A">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7"/>
    <w:p w14:paraId="1D370F37">
      <w:pPr>
        <w:ind w:firstLine="411" w:firstLineChars="196"/>
        <w:rPr>
          <w:rFonts w:hint="eastAsia" w:ascii="宋体" w:hAnsi="宋体"/>
        </w:rPr>
      </w:pPr>
    </w:p>
    <w:p w14:paraId="012707C8">
      <w:pPr>
        <w:pStyle w:val="3"/>
        <w:numPr>
          <w:ilvl w:val="0"/>
          <w:numId w:val="16"/>
        </w:numPr>
        <w:spacing w:before="156" w:beforeLines="50" w:after="156" w:afterLines="50"/>
        <w:ind w:left="562" w:hanging="562"/>
        <w:rPr>
          <w:sz w:val="28"/>
          <w:szCs w:val="28"/>
        </w:rPr>
      </w:pPr>
      <w:r>
        <w:rPr>
          <w:rFonts w:hint="eastAsia"/>
          <w:sz w:val="28"/>
          <w:szCs w:val="28"/>
        </w:rPr>
        <w:t>招标文件</w:t>
      </w:r>
    </w:p>
    <w:p w14:paraId="0881568E">
      <w:pPr>
        <w:rPr>
          <w:rFonts w:hint="eastAsia"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9" w:name="_Hlk72399819"/>
      <w:r>
        <w:rPr>
          <w:rFonts w:hint="eastAsia" w:ascii="黑体" w:hAnsi="宋体" w:eastAsia="黑体"/>
          <w:sz w:val="24"/>
        </w:rPr>
        <w:t>招标文件的编制与组成</w:t>
      </w:r>
    </w:p>
    <w:p w14:paraId="40F7A3D8">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45783813">
      <w:pPr>
        <w:ind w:firstLine="411" w:firstLineChars="196"/>
        <w:rPr>
          <w:rFonts w:hint="eastAsia" w:ascii="宋体" w:hAnsi="宋体"/>
          <w:szCs w:val="21"/>
        </w:rPr>
      </w:pPr>
      <w:r>
        <w:rPr>
          <w:rFonts w:hint="eastAsia" w:ascii="宋体" w:hAnsi="宋体"/>
          <w:szCs w:val="21"/>
        </w:rPr>
        <w:t>招标文件包括下列内容：</w:t>
      </w:r>
    </w:p>
    <w:p w14:paraId="6AF6A03A">
      <w:pPr>
        <w:ind w:left="420" w:leftChars="200" w:firstLine="413" w:firstLineChars="196"/>
        <w:rPr>
          <w:rFonts w:hint="eastAsia" w:ascii="宋体" w:hAnsi="宋体"/>
          <w:b/>
          <w:szCs w:val="21"/>
        </w:rPr>
      </w:pPr>
      <w:r>
        <w:rPr>
          <w:rFonts w:hint="eastAsia" w:ascii="宋体" w:hAnsi="宋体"/>
          <w:b/>
          <w:szCs w:val="21"/>
        </w:rPr>
        <w:t>第一册  专用条款</w:t>
      </w:r>
    </w:p>
    <w:p w14:paraId="1E783476">
      <w:pPr>
        <w:ind w:left="1079" w:leftChars="514"/>
        <w:rPr>
          <w:rFonts w:hint="eastAsia" w:ascii="宋体" w:hAnsi="宋体"/>
          <w:b/>
          <w:szCs w:val="21"/>
        </w:rPr>
      </w:pPr>
      <w:r>
        <w:rPr>
          <w:rFonts w:hint="eastAsia" w:ascii="宋体" w:hAnsi="宋体"/>
          <w:b/>
          <w:szCs w:val="21"/>
        </w:rPr>
        <w:t>关键信息</w:t>
      </w:r>
    </w:p>
    <w:p w14:paraId="53D46F35">
      <w:pPr>
        <w:ind w:left="630" w:leftChars="300" w:firstLine="411" w:firstLineChars="196"/>
        <w:rPr>
          <w:rFonts w:hint="eastAsia" w:ascii="宋体" w:hAnsi="宋体"/>
          <w:szCs w:val="21"/>
        </w:rPr>
      </w:pPr>
      <w:r>
        <w:rPr>
          <w:rFonts w:hint="eastAsia" w:ascii="宋体" w:hAnsi="宋体"/>
          <w:szCs w:val="21"/>
        </w:rPr>
        <w:t>第一章  招标公告</w:t>
      </w:r>
    </w:p>
    <w:p w14:paraId="5FE5D013">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09CA6F06">
      <w:pPr>
        <w:ind w:left="630" w:leftChars="300" w:firstLine="411" w:firstLineChars="196"/>
        <w:rPr>
          <w:rFonts w:hint="eastAsia" w:ascii="宋体" w:hAnsi="宋体"/>
          <w:szCs w:val="21"/>
        </w:rPr>
      </w:pPr>
      <w:r>
        <w:rPr>
          <w:rFonts w:hint="eastAsia" w:ascii="宋体" w:hAnsi="宋体"/>
          <w:szCs w:val="21"/>
        </w:rPr>
        <w:t>第三章  用户需求书</w:t>
      </w:r>
    </w:p>
    <w:p w14:paraId="13127999">
      <w:pPr>
        <w:ind w:left="630" w:leftChars="300" w:firstLine="411" w:firstLineChars="196"/>
        <w:rPr>
          <w:rFonts w:hint="eastAsia" w:ascii="宋体" w:hAnsi="宋体"/>
          <w:szCs w:val="21"/>
        </w:rPr>
      </w:pPr>
      <w:r>
        <w:rPr>
          <w:rFonts w:hint="eastAsia"/>
        </w:rPr>
        <w:t xml:space="preserve">第四章 </w:t>
      </w:r>
      <w:r>
        <w:t xml:space="preserve"> </w:t>
      </w:r>
      <w:r>
        <w:rPr>
          <w:rFonts w:hint="eastAsia"/>
        </w:rPr>
        <w:t>投标文件格式及附件</w:t>
      </w:r>
    </w:p>
    <w:p w14:paraId="7583B608">
      <w:pPr>
        <w:ind w:left="630" w:leftChars="300" w:firstLine="411" w:firstLineChars="196"/>
        <w:rPr>
          <w:rFonts w:hint="eastAsia" w:ascii="宋体" w:hAnsi="宋体"/>
          <w:szCs w:val="21"/>
        </w:rPr>
      </w:pPr>
      <w:r>
        <w:rPr>
          <w:rFonts w:hint="eastAsia" w:ascii="宋体" w:hAnsi="宋体"/>
          <w:szCs w:val="21"/>
        </w:rPr>
        <w:t>第五章  合同条款及格式</w:t>
      </w:r>
    </w:p>
    <w:p w14:paraId="30E71823">
      <w:pPr>
        <w:ind w:left="420" w:leftChars="200" w:firstLine="413" w:firstLineChars="196"/>
        <w:rPr>
          <w:rFonts w:hint="eastAsia" w:ascii="宋体" w:hAnsi="宋体"/>
          <w:b/>
          <w:szCs w:val="21"/>
        </w:rPr>
      </w:pPr>
      <w:r>
        <w:rPr>
          <w:rFonts w:hint="eastAsia" w:ascii="宋体" w:hAnsi="宋体"/>
          <w:b/>
          <w:szCs w:val="21"/>
        </w:rPr>
        <w:t>第二册  通用条款</w:t>
      </w:r>
    </w:p>
    <w:p w14:paraId="3FAEFB35">
      <w:pPr>
        <w:ind w:left="630" w:leftChars="300" w:firstLine="411" w:firstLineChars="196"/>
        <w:rPr>
          <w:rFonts w:hint="eastAsia" w:ascii="宋体" w:hAnsi="宋体"/>
          <w:szCs w:val="21"/>
        </w:rPr>
      </w:pPr>
      <w:r>
        <w:rPr>
          <w:rFonts w:hint="eastAsia" w:ascii="宋体" w:hAnsi="宋体"/>
          <w:szCs w:val="21"/>
        </w:rPr>
        <w:t>第一章  总则</w:t>
      </w:r>
    </w:p>
    <w:p w14:paraId="5F94BE97">
      <w:pPr>
        <w:ind w:left="630" w:leftChars="300" w:firstLine="411" w:firstLineChars="196"/>
        <w:rPr>
          <w:rFonts w:hint="eastAsia" w:ascii="宋体" w:hAnsi="宋体"/>
          <w:szCs w:val="21"/>
        </w:rPr>
      </w:pPr>
      <w:r>
        <w:rPr>
          <w:rFonts w:hint="eastAsia" w:ascii="宋体" w:hAnsi="宋体"/>
          <w:szCs w:val="21"/>
        </w:rPr>
        <w:t>第二章  招标文件</w:t>
      </w:r>
    </w:p>
    <w:p w14:paraId="5AFBC9D9">
      <w:pPr>
        <w:ind w:left="630" w:leftChars="300" w:firstLine="411" w:firstLineChars="196"/>
        <w:rPr>
          <w:rFonts w:hint="eastAsia" w:ascii="宋体" w:hAnsi="宋体"/>
          <w:szCs w:val="21"/>
        </w:rPr>
      </w:pPr>
      <w:r>
        <w:rPr>
          <w:rFonts w:hint="eastAsia" w:ascii="宋体" w:hAnsi="宋体"/>
          <w:szCs w:val="21"/>
        </w:rPr>
        <w:t>第三章  投标文件的编制</w:t>
      </w:r>
    </w:p>
    <w:p w14:paraId="11E1BEB0">
      <w:pPr>
        <w:ind w:left="630" w:leftChars="300" w:firstLine="411" w:firstLineChars="196"/>
        <w:rPr>
          <w:rFonts w:hint="eastAsia" w:ascii="宋体" w:hAnsi="宋体"/>
          <w:szCs w:val="21"/>
        </w:rPr>
      </w:pPr>
      <w:r>
        <w:rPr>
          <w:rFonts w:hint="eastAsia" w:ascii="宋体" w:hAnsi="宋体"/>
          <w:szCs w:val="21"/>
        </w:rPr>
        <w:t>第四章  投标文件的递交</w:t>
      </w:r>
    </w:p>
    <w:p w14:paraId="730EA33E">
      <w:pPr>
        <w:ind w:left="630" w:leftChars="300" w:firstLine="411" w:firstLineChars="196"/>
        <w:rPr>
          <w:rFonts w:hint="eastAsia" w:ascii="宋体" w:hAnsi="宋体"/>
          <w:szCs w:val="21"/>
        </w:rPr>
      </w:pPr>
      <w:r>
        <w:rPr>
          <w:rFonts w:hint="eastAsia" w:ascii="宋体" w:hAnsi="宋体"/>
          <w:szCs w:val="21"/>
        </w:rPr>
        <w:t>第五章  开标</w:t>
      </w:r>
    </w:p>
    <w:p w14:paraId="17490847">
      <w:pPr>
        <w:ind w:left="630" w:leftChars="300" w:firstLine="411" w:firstLineChars="196"/>
        <w:rPr>
          <w:rFonts w:hint="eastAsia" w:ascii="宋体" w:hAnsi="宋体"/>
          <w:szCs w:val="21"/>
        </w:rPr>
      </w:pPr>
      <w:r>
        <w:rPr>
          <w:rFonts w:hint="eastAsia" w:ascii="宋体" w:hAnsi="宋体"/>
          <w:szCs w:val="21"/>
        </w:rPr>
        <w:t>第六章  评审要求</w:t>
      </w:r>
    </w:p>
    <w:p w14:paraId="4F500ACD">
      <w:pPr>
        <w:ind w:left="630" w:leftChars="300" w:firstLine="411" w:firstLineChars="196"/>
        <w:rPr>
          <w:rFonts w:hint="eastAsia" w:ascii="宋体" w:hAnsi="宋体"/>
          <w:szCs w:val="21"/>
        </w:rPr>
      </w:pPr>
      <w:r>
        <w:rPr>
          <w:rFonts w:hint="eastAsia" w:ascii="宋体" w:hAnsi="宋体"/>
          <w:szCs w:val="21"/>
        </w:rPr>
        <w:t>第七章  评审程序及评审方法</w:t>
      </w:r>
    </w:p>
    <w:p w14:paraId="1190DD6C">
      <w:pPr>
        <w:ind w:left="630" w:leftChars="300" w:firstLine="411" w:firstLineChars="196"/>
        <w:rPr>
          <w:rFonts w:hint="eastAsia" w:ascii="宋体" w:hAnsi="宋体"/>
          <w:szCs w:val="21"/>
        </w:rPr>
      </w:pPr>
      <w:r>
        <w:rPr>
          <w:rFonts w:hint="eastAsia" w:ascii="宋体" w:hAnsi="宋体"/>
          <w:szCs w:val="21"/>
        </w:rPr>
        <w:t>第八章  定标及公示</w:t>
      </w:r>
    </w:p>
    <w:p w14:paraId="0D01E167">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08B59BCB">
      <w:pPr>
        <w:ind w:left="630" w:leftChars="300" w:firstLine="411" w:firstLineChars="196"/>
        <w:rPr>
          <w:rFonts w:hint="eastAsia" w:ascii="宋体" w:hAnsi="宋体"/>
          <w:szCs w:val="21"/>
        </w:rPr>
      </w:pPr>
      <w:r>
        <w:rPr>
          <w:rFonts w:hint="eastAsia" w:ascii="宋体" w:hAnsi="宋体"/>
          <w:szCs w:val="21"/>
        </w:rPr>
        <w:t>第十章  合同的授予与备案</w:t>
      </w:r>
    </w:p>
    <w:p w14:paraId="4FE97BA9">
      <w:pPr>
        <w:ind w:left="630" w:leftChars="300" w:firstLine="411" w:firstLineChars="196"/>
        <w:rPr>
          <w:rFonts w:hint="eastAsia" w:ascii="宋体" w:hAnsi="宋体"/>
          <w:szCs w:val="21"/>
        </w:rPr>
      </w:pPr>
      <w:r>
        <w:rPr>
          <w:rFonts w:hint="eastAsia" w:ascii="宋体" w:hAnsi="宋体"/>
          <w:szCs w:val="21"/>
        </w:rPr>
        <w:t>第十一章  质疑处理</w:t>
      </w:r>
    </w:p>
    <w:p w14:paraId="2664A945">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84292CD">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29EAFACF">
      <w:pPr>
        <w:rPr>
          <w:rFonts w:hint="eastAsia"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21753922">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133A5AFE">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5763E609">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248A81B7">
      <w:pPr>
        <w:rPr>
          <w:rFonts w:hint="eastAsia"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6D1F24CA">
      <w:pPr>
        <w:ind w:firstLine="411" w:firstLineChars="196"/>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48E8F3CB">
      <w:pPr>
        <w:ind w:firstLine="411" w:firstLineChars="196"/>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75B10678">
      <w:pPr>
        <w:ind w:firstLine="411" w:firstLineChars="196"/>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190C9708">
      <w:pPr>
        <w:ind w:firstLine="411" w:firstLineChars="196"/>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9"/>
    </w:p>
    <w:p w14:paraId="3E44D083">
      <w:pPr>
        <w:rPr>
          <w:rFonts w:hint="eastAsia" w:ascii="宋体" w:hAnsi="宋体"/>
          <w:szCs w:val="21"/>
        </w:rPr>
      </w:pPr>
    </w:p>
    <w:p w14:paraId="6E1449C6">
      <w:pPr>
        <w:pStyle w:val="3"/>
        <w:numPr>
          <w:ilvl w:val="0"/>
          <w:numId w:val="16"/>
        </w:numPr>
        <w:spacing w:before="156" w:beforeLines="50" w:after="156" w:afterLines="50"/>
        <w:ind w:left="562" w:hanging="562"/>
        <w:rPr>
          <w:sz w:val="28"/>
          <w:szCs w:val="28"/>
        </w:rPr>
      </w:pPr>
      <w:r>
        <w:rPr>
          <w:rFonts w:hint="eastAsia"/>
          <w:sz w:val="28"/>
          <w:szCs w:val="28"/>
        </w:rPr>
        <w:t>投标文件的编制</w:t>
      </w:r>
    </w:p>
    <w:p w14:paraId="1EBC0147">
      <w:pPr>
        <w:rPr>
          <w:rFonts w:hint="eastAsia" w:ascii="黑体" w:hAnsi="宋体" w:eastAsia="黑体"/>
          <w:sz w:val="24"/>
        </w:rPr>
      </w:pPr>
      <w:r>
        <w:rPr>
          <w:rFonts w:hint="eastAsia" w:ascii="黑体" w:hAnsi="宋体" w:eastAsia="黑体"/>
          <w:sz w:val="24"/>
        </w:rPr>
        <w:t>14．</w:t>
      </w:r>
      <w:bookmarkStart w:id="60" w:name="_Hlk72400236"/>
      <w:r>
        <w:rPr>
          <w:rFonts w:hint="eastAsia" w:ascii="黑体" w:hAnsi="宋体" w:eastAsia="黑体"/>
          <w:sz w:val="24"/>
        </w:rPr>
        <w:t>投标文件的语言及度量单位</w:t>
      </w:r>
    </w:p>
    <w:p w14:paraId="00C0D635">
      <w:pPr>
        <w:ind w:firstLine="411" w:firstLineChars="196"/>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A7B972C">
      <w:pPr>
        <w:ind w:firstLine="411" w:firstLineChars="196"/>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60"/>
    <w:p w14:paraId="20CA484E">
      <w:pPr>
        <w:rPr>
          <w:rFonts w:hint="eastAsia" w:ascii="黑体" w:hAnsi="宋体" w:eastAsia="黑体"/>
          <w:sz w:val="24"/>
        </w:rPr>
      </w:pPr>
      <w:r>
        <w:rPr>
          <w:rFonts w:hint="eastAsia" w:ascii="黑体" w:hAnsi="宋体" w:eastAsia="黑体"/>
          <w:sz w:val="24"/>
        </w:rPr>
        <w:t>15．</w:t>
      </w:r>
      <w:bookmarkStart w:id="61" w:name="_Hlk72401567"/>
      <w:r>
        <w:rPr>
          <w:rFonts w:hint="eastAsia" w:ascii="黑体" w:hAnsi="宋体" w:eastAsia="黑体"/>
          <w:sz w:val="24"/>
        </w:rPr>
        <w:t>投标文件的组成</w:t>
      </w:r>
    </w:p>
    <w:p w14:paraId="75C56B99">
      <w:pPr>
        <w:ind w:firstLine="411" w:firstLineChars="196"/>
        <w:rPr>
          <w:rFonts w:hint="eastAsia" w:ascii="宋体" w:hAnsi="宋体"/>
          <w:szCs w:val="21"/>
        </w:rPr>
      </w:pPr>
      <w:r>
        <w:rPr>
          <w:rFonts w:hint="eastAsia" w:ascii="宋体" w:hAnsi="宋体"/>
          <w:szCs w:val="21"/>
        </w:rPr>
        <w:t>具体内容在招标文件专用条款中进行规定。</w:t>
      </w:r>
    </w:p>
    <w:p w14:paraId="0B6208A2">
      <w:pPr>
        <w:rPr>
          <w:rFonts w:hint="eastAsia" w:ascii="黑体" w:hAnsi="宋体" w:eastAsia="黑体"/>
          <w:sz w:val="24"/>
        </w:rPr>
      </w:pPr>
      <w:r>
        <w:rPr>
          <w:rFonts w:ascii="黑体" w:hAnsi="宋体" w:eastAsia="黑体"/>
          <w:sz w:val="24"/>
        </w:rPr>
        <w:t>16．投标文件格式</w:t>
      </w:r>
    </w:p>
    <w:p w14:paraId="01898176">
      <w:pPr>
        <w:ind w:firstLine="411" w:firstLineChars="196"/>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3CC8A918">
      <w:pPr>
        <w:rPr>
          <w:rFonts w:hint="eastAsia" w:ascii="黑体" w:hAnsi="宋体" w:eastAsia="黑体"/>
          <w:sz w:val="24"/>
        </w:rPr>
      </w:pPr>
      <w:r>
        <w:rPr>
          <w:rFonts w:hint="eastAsia" w:ascii="黑体" w:hAnsi="宋体" w:eastAsia="黑体"/>
          <w:sz w:val="24"/>
        </w:rPr>
        <w:t>17．投标货币</w:t>
      </w:r>
    </w:p>
    <w:p w14:paraId="6204774B">
      <w:pPr>
        <w:ind w:firstLine="411" w:firstLineChars="196"/>
        <w:rPr>
          <w:rFonts w:hint="eastAsia" w:ascii="宋体" w:hAnsi="宋体"/>
          <w:szCs w:val="21"/>
        </w:rPr>
      </w:pPr>
      <w:r>
        <w:rPr>
          <w:rFonts w:hint="eastAsia" w:ascii="宋体" w:hAnsi="宋体"/>
          <w:szCs w:val="21"/>
        </w:rPr>
        <w:t>本项目的投标报价应以人民币计。</w:t>
      </w:r>
    </w:p>
    <w:bookmarkEnd w:id="61"/>
    <w:p w14:paraId="2928E2FD">
      <w:pPr>
        <w:rPr>
          <w:rFonts w:hint="eastAsia" w:ascii="黑体" w:hAnsi="宋体" w:eastAsia="黑体"/>
          <w:sz w:val="24"/>
        </w:rPr>
      </w:pPr>
      <w:r>
        <w:rPr>
          <w:rFonts w:hint="eastAsia" w:ascii="黑体" w:hAnsi="宋体" w:eastAsia="黑体"/>
          <w:sz w:val="24"/>
        </w:rPr>
        <w:t>18．</w:t>
      </w:r>
      <w:bookmarkStart w:id="62" w:name="_Hlk72401735"/>
      <w:r>
        <w:rPr>
          <w:rFonts w:hint="eastAsia" w:ascii="黑体" w:hAnsi="宋体" w:eastAsia="黑体"/>
          <w:sz w:val="24"/>
        </w:rPr>
        <w:t>证明投标文件投标技术方案的合格性和符合招标文件规定的文件要求</w:t>
      </w:r>
    </w:p>
    <w:p w14:paraId="771BB120">
      <w:pPr>
        <w:ind w:firstLine="411" w:firstLineChars="196"/>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7FBA651B">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00BDC9F">
      <w:pPr>
        <w:ind w:firstLine="411" w:firstLineChars="196"/>
        <w:rPr>
          <w:rFonts w:hint="eastAsia" w:ascii="宋体" w:hAnsi="宋体"/>
          <w:szCs w:val="21"/>
        </w:rPr>
      </w:pPr>
      <w:r>
        <w:rPr>
          <w:rFonts w:hint="eastAsia" w:ascii="宋体" w:hAnsi="宋体"/>
          <w:szCs w:val="21"/>
        </w:rPr>
        <w:t>18.2.1主要技术指标和性能的详细说明。</w:t>
      </w:r>
    </w:p>
    <w:p w14:paraId="25CF7FC2">
      <w:pPr>
        <w:ind w:firstLine="411" w:firstLineChars="196"/>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7C92ED91">
      <w:pPr>
        <w:ind w:firstLine="411" w:firstLineChars="196"/>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53E54D44">
      <w:pPr>
        <w:ind w:firstLine="411" w:firstLineChars="196"/>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15F66BAA">
      <w:pPr>
        <w:ind w:firstLine="411" w:firstLineChars="196"/>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1BE4FDEB">
      <w:pPr>
        <w:ind w:firstLine="411" w:firstLineChars="196"/>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7FC5DC29">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76E1DF51">
      <w:pPr>
        <w:ind w:firstLine="411" w:firstLineChars="196"/>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62"/>
    <w:p w14:paraId="1BC329F8">
      <w:pPr>
        <w:rPr>
          <w:rFonts w:hint="eastAsia" w:ascii="黑体" w:hAnsi="宋体" w:eastAsia="黑体"/>
          <w:sz w:val="24"/>
        </w:rPr>
      </w:pPr>
      <w:r>
        <w:rPr>
          <w:rFonts w:hint="eastAsia" w:ascii="黑体" w:hAnsi="宋体" w:eastAsia="黑体"/>
          <w:sz w:val="24"/>
        </w:rPr>
        <w:t>19．</w:t>
      </w:r>
      <w:bookmarkStart w:id="63" w:name="_Hlk72402034"/>
      <w:r>
        <w:rPr>
          <w:rFonts w:hint="eastAsia" w:ascii="黑体" w:hAnsi="宋体" w:eastAsia="黑体"/>
          <w:sz w:val="24"/>
        </w:rPr>
        <w:t>投标文件其他证明文件的要求</w:t>
      </w:r>
    </w:p>
    <w:p w14:paraId="411A2DF5">
      <w:pPr>
        <w:rPr>
          <w:rFonts w:hint="eastAsia"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64"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64"/>
    <w:p w14:paraId="021AC32A">
      <w:pPr>
        <w:ind w:firstLine="411" w:firstLineChars="196"/>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71637515">
      <w:pPr>
        <w:rPr>
          <w:rFonts w:hint="eastAsia" w:ascii="黑体" w:hAnsi="宋体" w:eastAsia="黑体"/>
          <w:sz w:val="24"/>
        </w:rPr>
      </w:pPr>
      <w:r>
        <w:rPr>
          <w:rFonts w:hint="eastAsia" w:ascii="黑体" w:hAnsi="宋体" w:eastAsia="黑体"/>
          <w:sz w:val="24"/>
        </w:rPr>
        <w:t>20．投标有效期</w:t>
      </w:r>
    </w:p>
    <w:bookmarkEnd w:id="63"/>
    <w:p w14:paraId="553FA67F">
      <w:pPr>
        <w:ind w:firstLine="411" w:firstLineChars="196"/>
        <w:rPr>
          <w:rFonts w:hint="eastAsia" w:ascii="宋体" w:hAnsi="宋体"/>
          <w:szCs w:val="21"/>
        </w:rPr>
      </w:pPr>
      <w:bookmarkStart w:id="65"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703883B4">
      <w:pPr>
        <w:ind w:firstLine="411" w:firstLineChars="196"/>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5F7B4DE8">
      <w:pPr>
        <w:ind w:firstLine="411" w:firstLineChars="196"/>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65"/>
    <w:p w14:paraId="0CA09217">
      <w:pPr>
        <w:rPr>
          <w:rFonts w:hint="eastAsia" w:ascii="黑体" w:hAnsi="宋体" w:eastAsia="黑体"/>
          <w:sz w:val="24"/>
        </w:rPr>
      </w:pPr>
      <w:r>
        <w:rPr>
          <w:rFonts w:hint="eastAsia" w:ascii="黑体" w:hAnsi="宋体" w:eastAsia="黑体"/>
          <w:sz w:val="24"/>
        </w:rPr>
        <w:t>21．</w:t>
      </w:r>
      <w:bookmarkStart w:id="66" w:name="_Hlk72402325"/>
      <w:r>
        <w:rPr>
          <w:rFonts w:hint="eastAsia" w:ascii="黑体" w:hAnsi="宋体" w:eastAsia="黑体"/>
          <w:sz w:val="24"/>
        </w:rPr>
        <w:t xml:space="preserve">关于投标保证金 </w:t>
      </w:r>
    </w:p>
    <w:p w14:paraId="7C95D2EC">
      <w:pPr>
        <w:rPr>
          <w:rFonts w:hint="eastAsia"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14:paraId="0C9441DB">
      <w:pPr>
        <w:rPr>
          <w:rFonts w:hint="eastAsia" w:ascii="黑体" w:hAnsi="宋体" w:eastAsia="黑体"/>
          <w:sz w:val="24"/>
        </w:rPr>
      </w:pPr>
      <w:r>
        <w:rPr>
          <w:rFonts w:hint="eastAsia" w:ascii="黑体" w:hAnsi="宋体" w:eastAsia="黑体"/>
          <w:sz w:val="24"/>
        </w:rPr>
        <w:t>22．投标人的替代方案</w:t>
      </w:r>
    </w:p>
    <w:p w14:paraId="6774E5A0">
      <w:pPr>
        <w:ind w:firstLine="411" w:firstLineChars="196"/>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6A1CE467">
      <w:pPr>
        <w:ind w:firstLine="411" w:firstLineChars="196"/>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6"/>
    <w:p w14:paraId="1C774119">
      <w:pPr>
        <w:rPr>
          <w:rFonts w:hint="eastAsia" w:ascii="黑体" w:hAnsi="宋体" w:eastAsia="黑体"/>
          <w:sz w:val="24"/>
        </w:rPr>
      </w:pPr>
      <w:r>
        <w:rPr>
          <w:rFonts w:hint="eastAsia" w:ascii="黑体" w:hAnsi="宋体" w:eastAsia="黑体"/>
          <w:sz w:val="24"/>
        </w:rPr>
        <w:t>23．</w:t>
      </w:r>
      <w:bookmarkStart w:id="67"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315944DC">
      <w:pPr>
        <w:ind w:firstLine="411" w:firstLineChars="196"/>
        <w:rPr>
          <w:rFonts w:hint="eastAsia" w:ascii="宋体" w:hAnsi="宋体"/>
        </w:rPr>
      </w:pPr>
      <w:r>
        <w:rPr>
          <w:rFonts w:hint="eastAsia" w:ascii="宋体" w:hAnsi="宋体"/>
        </w:rPr>
        <w:t>23.1投标人应准备所投项目的电子投标文件一份。</w:t>
      </w:r>
    </w:p>
    <w:p w14:paraId="77575620">
      <w:pPr>
        <w:ind w:firstLine="411" w:firstLineChars="196"/>
        <w:rPr>
          <w:rFonts w:hint="eastAsia" w:ascii="宋体" w:hAnsi="宋体"/>
        </w:rPr>
      </w:pPr>
      <w:r>
        <w:rPr>
          <w:rFonts w:hint="eastAsia" w:ascii="宋体" w:hAnsi="宋体"/>
        </w:rPr>
        <w:t>23.2投标人在使用《投标书编制软件》编制投标书时须注意：</w:t>
      </w:r>
    </w:p>
    <w:p w14:paraId="73395FB7">
      <w:pPr>
        <w:ind w:firstLine="411" w:firstLineChars="196"/>
        <w:rPr>
          <w:rFonts w:hint="eastAsia"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46581238">
      <w:pPr>
        <w:ind w:firstLine="411" w:firstLineChars="196"/>
        <w:rPr>
          <w:rFonts w:hint="eastAsia" w:ascii="宋体" w:hAnsi="宋体"/>
        </w:rPr>
      </w:pPr>
      <w:r>
        <w:rPr>
          <w:rFonts w:hint="eastAsia" w:ascii="宋体" w:hAnsi="宋体"/>
        </w:rPr>
        <w:t>23.2.2不能用非本公司的电子密钥加密本公司的投标文件，或者用其它公司的登录用户上传本公司的投标文件。</w:t>
      </w:r>
    </w:p>
    <w:p w14:paraId="1282C77F">
      <w:pPr>
        <w:ind w:firstLine="411" w:firstLineChars="196"/>
        <w:rPr>
          <w:rFonts w:hint="eastAsia" w:ascii="宋体" w:hAnsi="宋体"/>
        </w:rPr>
      </w:pPr>
      <w:r>
        <w:rPr>
          <w:rFonts w:hint="eastAsia" w:ascii="宋体" w:hAnsi="宋体"/>
        </w:rPr>
        <w:t>23.2.3要求用《投标书编制软件》编制投标书的包，不能用其它方式编制投标书。编制投标文件时，电脑须连通互联网。</w:t>
      </w:r>
    </w:p>
    <w:p w14:paraId="6E6B7E13">
      <w:pPr>
        <w:ind w:firstLine="411" w:firstLineChars="196"/>
        <w:rPr>
          <w:rFonts w:hint="eastAsia"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6FF7ADCC">
      <w:pPr>
        <w:ind w:firstLine="411" w:firstLineChars="196"/>
        <w:rPr>
          <w:rFonts w:hint="eastAsia"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0D49221A">
      <w:pPr>
        <w:ind w:firstLine="411" w:firstLineChars="196"/>
        <w:rPr>
          <w:rFonts w:hint="eastAsia"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14:paraId="23862E95">
      <w:pPr>
        <w:ind w:firstLine="411" w:firstLineChars="196"/>
        <w:rPr>
          <w:rFonts w:hint="eastAsia"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687717E5">
      <w:pPr>
        <w:ind w:firstLine="411" w:firstLineChars="196"/>
        <w:rPr>
          <w:rFonts w:hint="eastAsia"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194A1725">
      <w:pPr>
        <w:ind w:firstLine="411" w:firstLineChars="196"/>
        <w:rPr>
          <w:rFonts w:hint="eastAsia" w:ascii="宋体" w:hAnsi="宋体"/>
        </w:rPr>
      </w:pPr>
      <w:r>
        <w:rPr>
          <w:rFonts w:hint="eastAsia" w:ascii="宋体" w:hAnsi="宋体"/>
        </w:rPr>
        <w:t>23.3电报、电话、传真形式的投标概不接受。</w:t>
      </w:r>
    </w:p>
    <w:p w14:paraId="205B5F84">
      <w:pPr>
        <w:ind w:firstLine="413" w:firstLineChars="196"/>
        <w:rPr>
          <w:rFonts w:hint="eastAsia"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14:paraId="4B2FF3F7">
      <w:pPr>
        <w:ind w:firstLine="413" w:firstLineChars="196"/>
        <w:rPr>
          <w:rFonts w:hint="eastAsia"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67"/>
    </w:p>
    <w:p w14:paraId="021BD4FF">
      <w:pPr>
        <w:ind w:firstLine="411" w:firstLineChars="196"/>
        <w:rPr>
          <w:rFonts w:hint="eastAsia" w:ascii="宋体" w:hAnsi="宋体"/>
          <w:szCs w:val="21"/>
        </w:rPr>
      </w:pPr>
    </w:p>
    <w:p w14:paraId="05CA1BAF">
      <w:pPr>
        <w:pStyle w:val="3"/>
        <w:numPr>
          <w:ilvl w:val="0"/>
          <w:numId w:val="16"/>
        </w:numPr>
        <w:spacing w:before="156" w:beforeLines="50" w:after="156" w:afterLines="50"/>
        <w:ind w:left="562" w:hanging="562"/>
        <w:rPr>
          <w:sz w:val="28"/>
          <w:szCs w:val="28"/>
        </w:rPr>
      </w:pPr>
      <w:r>
        <w:rPr>
          <w:rFonts w:hint="eastAsia"/>
          <w:sz w:val="28"/>
          <w:szCs w:val="28"/>
        </w:rPr>
        <w:t>投标文件的递交</w:t>
      </w:r>
    </w:p>
    <w:p w14:paraId="1C3B3531">
      <w:pPr>
        <w:rPr>
          <w:rFonts w:hint="eastAsia" w:ascii="黑体" w:hAnsi="宋体" w:eastAsia="黑体"/>
          <w:sz w:val="24"/>
        </w:rPr>
      </w:pPr>
      <w:bookmarkStart w:id="68" w:name="_Hlk72405459"/>
      <w:r>
        <w:rPr>
          <w:rFonts w:hint="eastAsia" w:ascii="黑体" w:hAnsi="宋体" w:eastAsia="黑体"/>
          <w:sz w:val="24"/>
        </w:rPr>
        <w:t>24．投标文件的保密</w:t>
      </w:r>
    </w:p>
    <w:p w14:paraId="11B544DA">
      <w:pPr>
        <w:ind w:firstLine="411" w:firstLineChars="196"/>
        <w:rPr>
          <w:rFonts w:hint="eastAsia" w:ascii="宋体" w:hAnsi="宋体"/>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ascii="宋体" w:hAnsi="宋体"/>
          <w:highlight w:val="yellow"/>
        </w:rPr>
        <w:t>注意：加密的投标文件开标时须使用加密文件时使用的锁在项目规定时间内解密！）</w:t>
      </w:r>
    </w:p>
    <w:p w14:paraId="083AECD9">
      <w:pPr>
        <w:rPr>
          <w:rFonts w:hint="eastAsia" w:ascii="宋体" w:hAnsi="宋体"/>
          <w:b/>
        </w:rPr>
      </w:pPr>
      <w:r>
        <w:rPr>
          <w:rFonts w:hint="eastAsia" w:ascii="宋体" w:hAnsi="宋体"/>
          <w:b/>
        </w:rPr>
        <w:t>24.2若采购项目出现延期情况：</w:t>
      </w:r>
    </w:p>
    <w:p w14:paraId="250B5F1E">
      <w:pPr>
        <w:ind w:firstLine="422" w:firstLineChars="200"/>
        <w:rPr>
          <w:rFonts w:hint="eastAsia"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14:paraId="1E4D194D">
      <w:pPr>
        <w:rPr>
          <w:rFonts w:hint="eastAsia" w:ascii="黑体" w:hAnsi="宋体" w:eastAsia="黑体"/>
          <w:sz w:val="24"/>
        </w:rPr>
      </w:pPr>
      <w:r>
        <w:rPr>
          <w:rFonts w:hint="eastAsia" w:ascii="黑体" w:hAnsi="宋体" w:eastAsia="黑体"/>
          <w:sz w:val="24"/>
        </w:rPr>
        <w:t>25．上传投标文件及投标截止日期</w:t>
      </w:r>
    </w:p>
    <w:p w14:paraId="2EE68880">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龙华分公司）（地址：深圳市龙华区观湖街道大和社区大和路288号宝观城锦鲤大厦办公楼22楼）协助上传，但上传过程中投标截止时间到达仍无法上传成功的，由投标人自行负责</w:t>
      </w:r>
      <w:r>
        <w:rPr>
          <w:rFonts w:hint="eastAsia" w:ascii="宋体" w:hAnsi="宋体"/>
        </w:rPr>
        <w:t>。</w:t>
      </w:r>
    </w:p>
    <w:p w14:paraId="73454388">
      <w:pPr>
        <w:ind w:firstLine="411" w:firstLineChars="196"/>
        <w:rPr>
          <w:rFonts w:hint="eastAsia"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668BBCE7">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599E088A">
      <w:pPr>
        <w:ind w:firstLine="411" w:firstLineChars="196"/>
        <w:rPr>
          <w:rFonts w:hint="eastAsia" w:ascii="宋体" w:hAnsi="宋体"/>
        </w:rPr>
      </w:pPr>
    </w:p>
    <w:p w14:paraId="509F77E1">
      <w:pPr>
        <w:ind w:firstLine="411" w:firstLineChars="196"/>
        <w:rPr>
          <w:rFonts w:hint="eastAsia" w:ascii="宋体" w:hAnsi="宋体"/>
        </w:rPr>
      </w:pPr>
    </w:p>
    <w:bookmarkEnd w:id="68"/>
    <w:p w14:paraId="1F98D4F5">
      <w:pPr>
        <w:rPr>
          <w:rFonts w:hint="eastAsia" w:ascii="黑体" w:hAnsi="宋体" w:eastAsia="黑体"/>
          <w:sz w:val="24"/>
        </w:rPr>
      </w:pPr>
      <w:r>
        <w:rPr>
          <w:rFonts w:hint="eastAsia" w:ascii="黑体" w:hAnsi="宋体" w:eastAsia="黑体"/>
          <w:sz w:val="24"/>
        </w:rPr>
        <w:t>26. 样品、现场演示、方案讲解</w:t>
      </w:r>
    </w:p>
    <w:p w14:paraId="356236BB">
      <w:pPr>
        <w:ind w:firstLine="411" w:firstLineChars="196"/>
        <w:rPr>
          <w:rFonts w:hint="eastAsia" w:ascii="宋体" w:hAnsi="宋体"/>
          <w:szCs w:val="21"/>
        </w:rPr>
      </w:pPr>
      <w:r>
        <w:rPr>
          <w:rFonts w:hint="eastAsia" w:ascii="宋体" w:hAnsi="宋体"/>
          <w:szCs w:val="21"/>
        </w:rPr>
        <w:t>26.1 样品、现场演示、方案讲解等事项在招标文件专用条款中进行规定。</w:t>
      </w:r>
    </w:p>
    <w:p w14:paraId="16EEEF09">
      <w:pPr>
        <w:rPr>
          <w:rFonts w:hint="eastAsia" w:ascii="黑体" w:hAnsi="宋体" w:eastAsia="黑体"/>
          <w:sz w:val="24"/>
        </w:rPr>
      </w:pPr>
      <w:bookmarkStart w:id="69"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484DD0B9">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0B9288C0">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3402A20D">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2CC05C79">
      <w:pPr>
        <w:ind w:firstLine="411" w:firstLineChars="196"/>
        <w:rPr>
          <w:rFonts w:hint="eastAsia" w:ascii="宋体" w:hAnsi="宋体"/>
          <w:szCs w:val="21"/>
        </w:rPr>
      </w:pPr>
      <w:r>
        <w:rPr>
          <w:rFonts w:hint="eastAsia" w:ascii="宋体" w:hAnsi="宋体"/>
          <w:szCs w:val="21"/>
        </w:rPr>
        <w:t>27.4政府集中采购机构不退还投标文件，专用条款另有规定的除外。</w:t>
      </w:r>
    </w:p>
    <w:bookmarkEnd w:id="69"/>
    <w:p w14:paraId="274A5067">
      <w:pPr>
        <w:pStyle w:val="3"/>
        <w:numPr>
          <w:ilvl w:val="0"/>
          <w:numId w:val="16"/>
        </w:numPr>
        <w:spacing w:before="156" w:beforeLines="50" w:after="156" w:afterLines="50"/>
        <w:ind w:left="562" w:hanging="562"/>
        <w:rPr>
          <w:sz w:val="28"/>
          <w:szCs w:val="28"/>
        </w:rPr>
      </w:pPr>
      <w:r>
        <w:rPr>
          <w:rFonts w:hint="eastAsia"/>
          <w:sz w:val="28"/>
          <w:szCs w:val="28"/>
        </w:rPr>
        <w:t>开标</w:t>
      </w:r>
    </w:p>
    <w:p w14:paraId="3B8099EE">
      <w:pPr>
        <w:rPr>
          <w:rFonts w:hint="eastAsia" w:ascii="黑体" w:hAnsi="宋体" w:eastAsia="黑体"/>
          <w:sz w:val="24"/>
        </w:rPr>
      </w:pPr>
      <w:r>
        <w:rPr>
          <w:rFonts w:hint="eastAsia" w:ascii="黑体" w:hAnsi="宋体" w:eastAsia="黑体"/>
          <w:sz w:val="24"/>
        </w:rPr>
        <w:t>28．开标</w:t>
      </w:r>
    </w:p>
    <w:p w14:paraId="4AA53062">
      <w:pPr>
        <w:ind w:firstLine="359" w:firstLineChars="171"/>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深圳政府采购自行采购系统（https://trade.szggzy.com/ggzy/center/#/login）</w:t>
      </w:r>
      <w:r>
        <w:rPr>
          <w:rFonts w:hint="eastAsia" w:ascii="宋体" w:hAnsi="宋体"/>
          <w:szCs w:val="21"/>
        </w:rPr>
        <w:t>”，使用本单位制作电子投标文件同一个电子密钥进行在线解密、查询开标情况。</w:t>
      </w:r>
    </w:p>
    <w:p w14:paraId="525667A1">
      <w:pPr>
        <w:ind w:firstLine="315" w:firstLineChars="150"/>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17808066">
      <w:pPr>
        <w:ind w:firstLine="315" w:firstLineChars="150"/>
        <w:rPr>
          <w:rFonts w:hint="eastAsia" w:ascii="宋体" w:hAnsi="宋体"/>
          <w:szCs w:val="21"/>
        </w:rPr>
      </w:pPr>
    </w:p>
    <w:p w14:paraId="2FD5F79F">
      <w:pPr>
        <w:pStyle w:val="3"/>
        <w:numPr>
          <w:ilvl w:val="0"/>
          <w:numId w:val="16"/>
        </w:numPr>
        <w:spacing w:before="156" w:beforeLines="50" w:after="156" w:afterLines="50"/>
        <w:ind w:left="562" w:hanging="562"/>
        <w:rPr>
          <w:sz w:val="28"/>
          <w:szCs w:val="28"/>
        </w:rPr>
      </w:pPr>
      <w:r>
        <w:rPr>
          <w:rFonts w:hint="eastAsia"/>
          <w:sz w:val="28"/>
          <w:szCs w:val="28"/>
        </w:rPr>
        <w:t>评审要求</w:t>
      </w:r>
    </w:p>
    <w:p w14:paraId="6F5DD831">
      <w:pPr>
        <w:rPr>
          <w:rFonts w:hint="eastAsia" w:ascii="黑体" w:hAnsi="宋体" w:eastAsia="黑体"/>
          <w:sz w:val="24"/>
        </w:rPr>
      </w:pPr>
      <w:r>
        <w:rPr>
          <w:rFonts w:hint="eastAsia" w:ascii="黑体" w:hAnsi="宋体" w:eastAsia="黑体"/>
          <w:sz w:val="24"/>
        </w:rPr>
        <w:t>29．评审委员会组成</w:t>
      </w:r>
    </w:p>
    <w:p w14:paraId="56C7DBBC">
      <w:pPr>
        <w:ind w:firstLine="411" w:firstLineChars="196"/>
        <w:rPr>
          <w:rFonts w:hint="eastAsia"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4C766299">
      <w:pPr>
        <w:ind w:firstLine="411" w:firstLineChars="196"/>
        <w:rPr>
          <w:rFonts w:hint="eastAsia" w:ascii="宋体" w:hAnsi="宋体"/>
        </w:rPr>
      </w:pPr>
      <w:bookmarkStart w:id="70"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70"/>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0F0941BE">
      <w:pPr>
        <w:ind w:firstLine="411" w:firstLineChars="196"/>
        <w:rPr>
          <w:rFonts w:hint="eastAsia" w:ascii="宋体" w:hAnsi="宋体"/>
        </w:rPr>
      </w:pPr>
      <w:r>
        <w:rPr>
          <w:rFonts w:hint="eastAsia" w:ascii="宋体" w:hAnsi="宋体"/>
        </w:rPr>
        <w:t>29.2评审定标应当遵循公平、公正、科学、择优的原则。</w:t>
      </w:r>
    </w:p>
    <w:p w14:paraId="7AC2140C">
      <w:pPr>
        <w:ind w:firstLine="411" w:firstLineChars="196"/>
        <w:rPr>
          <w:rFonts w:hint="eastAsia" w:ascii="宋体" w:hAnsi="宋体"/>
        </w:rPr>
      </w:pPr>
      <w:r>
        <w:rPr>
          <w:rFonts w:hint="eastAsia" w:ascii="宋体" w:hAnsi="宋体"/>
        </w:rPr>
        <w:t>29.3评审活动依法进行，任何单位和个人不得非法干预评标过程和结果。</w:t>
      </w:r>
    </w:p>
    <w:p w14:paraId="541F1DB6">
      <w:pPr>
        <w:ind w:firstLine="411" w:firstLineChars="196"/>
        <w:rPr>
          <w:rFonts w:hint="eastAsia" w:ascii="宋体" w:hAnsi="宋体"/>
        </w:rPr>
      </w:pPr>
      <w:r>
        <w:rPr>
          <w:rFonts w:hint="eastAsia" w:ascii="宋体" w:hAnsi="宋体"/>
        </w:rPr>
        <w:t>29.4评审过程中不允许违背评标程序或采用招标文件未载明的评标方法或评标因素进行评标。</w:t>
      </w:r>
    </w:p>
    <w:p w14:paraId="4048E2EB">
      <w:pPr>
        <w:ind w:firstLine="411" w:firstLineChars="196"/>
        <w:rPr>
          <w:rFonts w:hint="eastAsia"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21E21340">
      <w:pPr>
        <w:rPr>
          <w:rFonts w:hint="eastAsia" w:ascii="黑体" w:hAnsi="宋体" w:eastAsia="黑体"/>
          <w:sz w:val="24"/>
        </w:rPr>
      </w:pPr>
      <w:r>
        <w:rPr>
          <w:rFonts w:hint="eastAsia" w:ascii="黑体" w:hAnsi="宋体" w:eastAsia="黑体"/>
          <w:sz w:val="24"/>
        </w:rPr>
        <w:t>30．向评审委员会提供的资料</w:t>
      </w:r>
    </w:p>
    <w:p w14:paraId="45A0452A">
      <w:pPr>
        <w:ind w:firstLine="411" w:firstLineChars="196"/>
        <w:rPr>
          <w:rFonts w:hint="eastAsia" w:ascii="宋体" w:hAnsi="宋体"/>
        </w:rPr>
      </w:pPr>
      <w:r>
        <w:rPr>
          <w:rFonts w:hint="eastAsia" w:ascii="宋体" w:hAnsi="宋体"/>
        </w:rPr>
        <w:t>30.1公开发布的招标文件，包括图纸、服务清单、答疑文件等；</w:t>
      </w:r>
    </w:p>
    <w:p w14:paraId="38C55319">
      <w:pPr>
        <w:ind w:firstLine="411" w:firstLineChars="196"/>
        <w:rPr>
          <w:rFonts w:hint="eastAsia" w:ascii="宋体" w:hAnsi="宋体"/>
        </w:rPr>
      </w:pPr>
      <w:r>
        <w:rPr>
          <w:rFonts w:hint="eastAsia" w:ascii="宋体" w:hAnsi="宋体"/>
        </w:rPr>
        <w:t>30.2其他评标必须的资料。</w:t>
      </w:r>
    </w:p>
    <w:p w14:paraId="3FE5C47B">
      <w:pPr>
        <w:ind w:firstLine="411" w:firstLineChars="196"/>
        <w:rPr>
          <w:rFonts w:hint="eastAsia"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17FBC7C2">
      <w:pPr>
        <w:ind w:firstLine="411" w:firstLineChars="196"/>
        <w:rPr>
          <w:rFonts w:hint="eastAsia" w:ascii="宋体" w:hAnsi="宋体"/>
        </w:rPr>
      </w:pPr>
      <w:r>
        <w:rPr>
          <w:rFonts w:hint="eastAsia" w:ascii="宋体" w:hAnsi="宋体"/>
        </w:rPr>
        <w:t>（1）招标的目的；</w:t>
      </w:r>
    </w:p>
    <w:p w14:paraId="5A9231C3">
      <w:pPr>
        <w:ind w:firstLine="411" w:firstLineChars="196"/>
        <w:rPr>
          <w:rFonts w:hint="eastAsia" w:ascii="宋体" w:hAnsi="宋体"/>
        </w:rPr>
      </w:pPr>
      <w:r>
        <w:rPr>
          <w:rFonts w:hint="eastAsia" w:ascii="宋体" w:hAnsi="宋体"/>
        </w:rPr>
        <w:t>（2）招标项目需求的范围和性质；</w:t>
      </w:r>
    </w:p>
    <w:p w14:paraId="68E2F648">
      <w:pPr>
        <w:ind w:firstLine="411" w:firstLineChars="196"/>
        <w:rPr>
          <w:rFonts w:hint="eastAsia" w:ascii="宋体" w:hAnsi="宋体"/>
        </w:rPr>
      </w:pPr>
      <w:r>
        <w:rPr>
          <w:rFonts w:hint="eastAsia" w:ascii="宋体" w:hAnsi="宋体"/>
        </w:rPr>
        <w:t>（3）招标文件规定的投标人的资格、财政预算限额、商务条款；</w:t>
      </w:r>
    </w:p>
    <w:p w14:paraId="37DBC444">
      <w:pPr>
        <w:ind w:firstLine="411" w:firstLineChars="196"/>
        <w:rPr>
          <w:rFonts w:hint="eastAsia" w:ascii="宋体" w:hAnsi="宋体"/>
        </w:rPr>
      </w:pPr>
      <w:r>
        <w:rPr>
          <w:rFonts w:hint="eastAsia" w:ascii="宋体" w:hAnsi="宋体"/>
        </w:rPr>
        <w:t>（4）招标文件规定的评标程序、评标方法和评标因素；</w:t>
      </w:r>
    </w:p>
    <w:p w14:paraId="600E8A41">
      <w:pPr>
        <w:ind w:firstLine="411" w:firstLineChars="196"/>
        <w:rPr>
          <w:rFonts w:hint="eastAsia" w:ascii="宋体" w:hAnsi="宋体"/>
        </w:rPr>
      </w:pPr>
      <w:r>
        <w:rPr>
          <w:rFonts w:hint="eastAsia" w:ascii="宋体" w:hAnsi="宋体"/>
        </w:rPr>
        <w:t>（5）招标文件所列示的资格性审查表及符合性审查表。</w:t>
      </w:r>
    </w:p>
    <w:p w14:paraId="760BD91C">
      <w:pPr>
        <w:rPr>
          <w:rFonts w:hint="eastAsia" w:ascii="黑体" w:hAnsi="宋体" w:eastAsia="黑体"/>
          <w:sz w:val="24"/>
        </w:rPr>
      </w:pPr>
      <w:r>
        <w:rPr>
          <w:rFonts w:hint="eastAsia" w:ascii="黑体" w:hAnsi="宋体" w:eastAsia="黑体"/>
          <w:sz w:val="24"/>
        </w:rPr>
        <w:t>31．独立评审</w:t>
      </w:r>
    </w:p>
    <w:p w14:paraId="1F00701F">
      <w:pPr>
        <w:ind w:firstLine="411" w:firstLineChars="196"/>
        <w:rPr>
          <w:rFonts w:hint="eastAsia"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18112949">
      <w:pPr>
        <w:ind w:firstLine="411" w:firstLineChars="196"/>
        <w:rPr>
          <w:rFonts w:hint="eastAsia" w:ascii="宋体" w:hAnsi="宋体"/>
          <w:bCs/>
          <w:szCs w:val="21"/>
        </w:rPr>
      </w:pPr>
    </w:p>
    <w:p w14:paraId="551B04B7">
      <w:pPr>
        <w:pStyle w:val="3"/>
        <w:numPr>
          <w:ilvl w:val="0"/>
          <w:numId w:val="16"/>
        </w:numPr>
        <w:spacing w:before="156" w:beforeLines="50" w:after="156" w:afterLines="50"/>
        <w:ind w:left="562" w:hanging="562"/>
        <w:rPr>
          <w:sz w:val="28"/>
          <w:szCs w:val="28"/>
        </w:rPr>
      </w:pPr>
      <w:r>
        <w:rPr>
          <w:rFonts w:hint="eastAsia"/>
          <w:sz w:val="28"/>
          <w:szCs w:val="28"/>
        </w:rPr>
        <w:t>评审程序及评审方法</w:t>
      </w:r>
    </w:p>
    <w:p w14:paraId="426098BF">
      <w:pPr>
        <w:rPr>
          <w:rFonts w:hint="eastAsia" w:ascii="黑体" w:hAnsi="宋体" w:eastAsia="黑体"/>
          <w:sz w:val="24"/>
        </w:rPr>
      </w:pPr>
      <w:r>
        <w:rPr>
          <w:rFonts w:hint="eastAsia" w:ascii="黑体" w:hAnsi="宋体" w:eastAsia="黑体"/>
          <w:sz w:val="24"/>
        </w:rPr>
        <w:t>32．投标文件初审</w:t>
      </w:r>
    </w:p>
    <w:p w14:paraId="0E5A840E">
      <w:pPr>
        <w:ind w:firstLine="411" w:firstLineChars="196"/>
        <w:rPr>
          <w:rFonts w:hint="eastAsia" w:ascii="宋体" w:hAnsi="宋体"/>
        </w:rPr>
      </w:pPr>
      <w:r>
        <w:rPr>
          <w:rFonts w:hint="eastAsia" w:ascii="宋体" w:hAnsi="宋体"/>
        </w:rPr>
        <w:t>32.1投标文件初审包括资格性审查和符合性审查。</w:t>
      </w:r>
    </w:p>
    <w:p w14:paraId="4E41DF68">
      <w:pPr>
        <w:ind w:firstLine="411" w:firstLineChars="196"/>
        <w:rPr>
          <w:rFonts w:hint="eastAsia" w:ascii="宋体" w:hAnsi="宋体"/>
        </w:rPr>
      </w:pPr>
      <w:r>
        <w:rPr>
          <w:rFonts w:hint="eastAsia" w:ascii="宋体" w:hAnsi="宋体"/>
        </w:rPr>
        <w:t>资格性审查：依据法律法规和招标文件的规定，对投标文件中的资格证明等进行审查，以确定投标供应商是否具备投标资格。</w:t>
      </w:r>
    </w:p>
    <w:p w14:paraId="7CB38A06">
      <w:pPr>
        <w:ind w:firstLine="411" w:firstLineChars="196"/>
        <w:rPr>
          <w:rFonts w:hint="eastAsia"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2AF45C99">
      <w:pPr>
        <w:ind w:firstLine="411" w:firstLineChars="196"/>
        <w:rPr>
          <w:rFonts w:hint="eastAsia" w:ascii="宋体" w:hAnsi="宋体"/>
        </w:rPr>
      </w:pPr>
      <w:r>
        <w:rPr>
          <w:rFonts w:hint="eastAsia" w:ascii="宋体" w:hAnsi="宋体"/>
        </w:rPr>
        <w:t>32.2 投标文件初审内容请详见《资格性审查表》和《符合性审查表》部分。投标人若有一条审查不通过则按投标无效处理。</w:t>
      </w:r>
    </w:p>
    <w:p w14:paraId="67CCE7A4">
      <w:pPr>
        <w:ind w:firstLine="411" w:firstLineChars="196"/>
        <w:rPr>
          <w:rFonts w:hint="eastAsia" w:ascii="宋体" w:hAnsi="宋体"/>
          <w:bCs/>
        </w:rPr>
      </w:pPr>
      <w:r>
        <w:rPr>
          <w:rFonts w:hint="eastAsia" w:ascii="宋体" w:hAnsi="宋体"/>
          <w:bCs/>
        </w:rPr>
        <w:t>32.3 投标文件初审中关于供应商家数的计算：</w:t>
      </w:r>
    </w:p>
    <w:p w14:paraId="6A9EC2BB">
      <w:pPr>
        <w:ind w:firstLine="411" w:firstLineChars="196"/>
        <w:rPr>
          <w:rFonts w:hint="eastAsia"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61376547">
      <w:pPr>
        <w:ind w:firstLine="411" w:firstLineChars="196"/>
        <w:rPr>
          <w:rFonts w:hint="eastAsia"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3E4431EB">
      <w:pPr>
        <w:ind w:firstLine="411" w:firstLineChars="196"/>
        <w:rPr>
          <w:rFonts w:hint="eastAsia"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632D8BFE">
      <w:pPr>
        <w:ind w:firstLine="411" w:firstLineChars="196"/>
        <w:rPr>
          <w:rFonts w:hint="eastAsia" w:ascii="宋体" w:hAnsi="宋体"/>
        </w:rPr>
      </w:pPr>
      <w:r>
        <w:rPr>
          <w:rFonts w:hint="eastAsia" w:ascii="宋体" w:hAnsi="宋体"/>
        </w:rPr>
        <w:t>32.4投标人投标文件作无效处理的情形，具体包括但不限于以下：</w:t>
      </w:r>
    </w:p>
    <w:p w14:paraId="379B232E">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0CAB9E60">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22146F68">
      <w:pPr>
        <w:ind w:firstLine="411" w:firstLineChars="196"/>
        <w:rPr>
          <w:rFonts w:hint="eastAsia" w:ascii="宋体" w:hAnsi="宋体"/>
        </w:rPr>
      </w:pPr>
      <w:r>
        <w:rPr>
          <w:rFonts w:hint="eastAsia" w:ascii="宋体" w:hAnsi="宋体"/>
        </w:rPr>
        <w:t>32.4.3不同投标人的投标文件载明的项目管理成员或者联系人员为同一人；</w:t>
      </w:r>
    </w:p>
    <w:p w14:paraId="3D1792DD">
      <w:pPr>
        <w:ind w:firstLine="411" w:firstLineChars="196"/>
        <w:rPr>
          <w:rFonts w:hint="eastAsia" w:ascii="宋体" w:hAnsi="宋体"/>
        </w:rPr>
      </w:pPr>
      <w:r>
        <w:rPr>
          <w:rFonts w:hint="eastAsia" w:ascii="宋体" w:hAnsi="宋体"/>
        </w:rPr>
        <w:t>32.4.4不同投标人的投标文件异常一致或者投标报价呈规律性差异；</w:t>
      </w:r>
    </w:p>
    <w:p w14:paraId="6E6AE3DE">
      <w:pPr>
        <w:ind w:firstLine="411" w:firstLineChars="196"/>
        <w:rPr>
          <w:rFonts w:hint="eastAsia"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142E0AC8">
      <w:pPr>
        <w:ind w:firstLine="411" w:firstLineChars="196"/>
        <w:rPr>
          <w:rFonts w:hint="eastAsia" w:ascii="宋体" w:hAnsi="宋体"/>
        </w:rPr>
      </w:pPr>
      <w:r>
        <w:rPr>
          <w:rFonts w:hint="eastAsia" w:ascii="宋体" w:hAnsi="宋体"/>
        </w:rPr>
        <w:t>32.4.6投标供应商之间相互约定给予未中标的供应商利益补偿；</w:t>
      </w:r>
    </w:p>
    <w:p w14:paraId="439B1C4D">
      <w:pPr>
        <w:ind w:firstLine="411" w:firstLineChars="196"/>
        <w:rPr>
          <w:rFonts w:hint="eastAsia"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58AD07AB">
      <w:pPr>
        <w:ind w:firstLine="411" w:firstLineChars="196"/>
        <w:rPr>
          <w:rFonts w:hint="eastAsia" w:ascii="宋体" w:hAnsi="宋体"/>
        </w:rPr>
      </w:pPr>
      <w:r>
        <w:rPr>
          <w:rFonts w:hint="eastAsia" w:ascii="宋体" w:hAnsi="宋体"/>
        </w:rPr>
        <w:t>32.4.8不同投标供应商的投标文件内容存在非正常一致；</w:t>
      </w:r>
    </w:p>
    <w:p w14:paraId="3E6A0EEB">
      <w:pPr>
        <w:ind w:firstLine="411" w:firstLineChars="196"/>
        <w:rPr>
          <w:rFonts w:hint="eastAsia" w:ascii="宋体" w:hAnsi="宋体"/>
        </w:rPr>
      </w:pPr>
      <w:r>
        <w:rPr>
          <w:rFonts w:hint="eastAsia" w:ascii="宋体" w:hAnsi="宋体"/>
        </w:rPr>
        <w:t>32.4.9在同一单位工作人员为两家以上（含两家）供应商进行同一项投标活动；</w:t>
      </w:r>
    </w:p>
    <w:p w14:paraId="2AEDE66A">
      <w:pPr>
        <w:ind w:firstLine="411" w:firstLineChars="196"/>
        <w:rPr>
          <w:rFonts w:hint="eastAsia" w:ascii="宋体" w:hAnsi="宋体"/>
        </w:rPr>
      </w:pPr>
      <w:r>
        <w:rPr>
          <w:rFonts w:hint="eastAsia" w:ascii="宋体" w:hAnsi="宋体"/>
        </w:rPr>
        <w:t>32.4.10主管部门依照法律、法规认定的其他情形。</w:t>
      </w:r>
    </w:p>
    <w:p w14:paraId="17FAE8BD">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373FA83E">
      <w:pPr>
        <w:rPr>
          <w:rFonts w:hint="eastAsia" w:ascii="黑体" w:hAnsi="宋体" w:eastAsia="黑体"/>
          <w:sz w:val="24"/>
        </w:rPr>
      </w:pPr>
      <w:r>
        <w:rPr>
          <w:rFonts w:hint="eastAsia" w:ascii="黑体" w:hAnsi="宋体" w:eastAsia="黑体"/>
          <w:sz w:val="24"/>
        </w:rPr>
        <w:t>33．澄清有关问题</w:t>
      </w:r>
    </w:p>
    <w:p w14:paraId="70F3E86E">
      <w:pPr>
        <w:ind w:firstLine="411" w:firstLineChars="196"/>
        <w:rPr>
          <w:rFonts w:hint="eastAsia" w:ascii="宋体" w:hAnsi="宋体"/>
        </w:rPr>
      </w:pPr>
      <w:bookmarkStart w:id="71"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71"/>
    </w:p>
    <w:p w14:paraId="7937B467">
      <w:pPr>
        <w:ind w:firstLine="411" w:firstLineChars="196"/>
        <w:rPr>
          <w:rFonts w:hint="eastAsia"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5D1CD443">
      <w:pPr>
        <w:ind w:firstLine="411" w:firstLineChars="196"/>
        <w:rPr>
          <w:rFonts w:hint="eastAsia"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1BE20A3F">
      <w:pPr>
        <w:ind w:firstLine="411" w:firstLineChars="196"/>
        <w:rPr>
          <w:rFonts w:hint="eastAsia"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7FFE9FB7">
      <w:pPr>
        <w:ind w:firstLine="411" w:firstLineChars="196"/>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761D6AC4">
      <w:pPr>
        <w:rPr>
          <w:rFonts w:hint="eastAsia" w:ascii="黑体" w:hAnsi="宋体" w:eastAsia="黑体"/>
          <w:sz w:val="24"/>
        </w:rPr>
      </w:pPr>
      <w:bookmarkStart w:id="72" w:name="_Toc73521581"/>
      <w:bookmarkStart w:id="73" w:name="_Toc100052400"/>
      <w:bookmarkStart w:id="74" w:name="_Toc73517673"/>
      <w:bookmarkStart w:id="75" w:name="_Toc73518151"/>
      <w:bookmarkStart w:id="76" w:name="_Toc73521669"/>
      <w:r>
        <w:rPr>
          <w:rFonts w:hint="eastAsia" w:ascii="黑体" w:hAnsi="宋体" w:eastAsia="黑体"/>
          <w:sz w:val="24"/>
        </w:rPr>
        <w:t>34．错误的修正</w:t>
      </w:r>
      <w:bookmarkEnd w:id="72"/>
      <w:bookmarkEnd w:id="73"/>
      <w:bookmarkEnd w:id="74"/>
      <w:bookmarkEnd w:id="75"/>
      <w:bookmarkEnd w:id="76"/>
    </w:p>
    <w:p w14:paraId="01DB75A7">
      <w:pPr>
        <w:ind w:firstLine="411" w:firstLineChars="196"/>
        <w:rPr>
          <w:rFonts w:hint="eastAsia" w:ascii="宋体" w:hAnsi="宋体"/>
          <w:szCs w:val="21"/>
        </w:rPr>
      </w:pPr>
      <w:r>
        <w:rPr>
          <w:rFonts w:hint="eastAsia" w:ascii="宋体" w:hAnsi="宋体"/>
          <w:szCs w:val="21"/>
        </w:rPr>
        <w:t>投标文件报价出现前后不一致的，除专用条款另有规定外，按照下列规定修正：</w:t>
      </w:r>
    </w:p>
    <w:p w14:paraId="119AC35C">
      <w:pPr>
        <w:ind w:firstLine="411" w:firstLineChars="196"/>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4A636983">
      <w:pPr>
        <w:ind w:firstLine="411" w:firstLineChars="196"/>
        <w:rPr>
          <w:rFonts w:hint="eastAsia" w:ascii="宋体" w:hAnsi="宋体"/>
          <w:szCs w:val="21"/>
        </w:rPr>
      </w:pPr>
      <w:r>
        <w:rPr>
          <w:rFonts w:hint="eastAsia" w:ascii="宋体" w:hAnsi="宋体"/>
          <w:szCs w:val="21"/>
        </w:rPr>
        <w:t>34.2大写金额和小写金额不一致的，以大写金额为准；</w:t>
      </w:r>
    </w:p>
    <w:p w14:paraId="3DEFF671">
      <w:pPr>
        <w:ind w:firstLine="411" w:firstLineChars="196"/>
        <w:rPr>
          <w:rFonts w:hint="eastAsia" w:ascii="宋体" w:hAnsi="宋体"/>
          <w:szCs w:val="21"/>
        </w:rPr>
      </w:pPr>
      <w:r>
        <w:rPr>
          <w:rFonts w:hint="eastAsia" w:ascii="宋体" w:hAnsi="宋体"/>
          <w:szCs w:val="21"/>
        </w:rPr>
        <w:t>34.3单价金额小数点或者百分比有明显错位，以开标一览表的总价为准，并修改单价；</w:t>
      </w:r>
    </w:p>
    <w:p w14:paraId="78F2BC9D">
      <w:pPr>
        <w:ind w:firstLine="411" w:firstLineChars="196"/>
        <w:rPr>
          <w:rFonts w:hint="eastAsia" w:ascii="宋体" w:hAnsi="宋体"/>
          <w:szCs w:val="21"/>
        </w:rPr>
      </w:pPr>
      <w:r>
        <w:rPr>
          <w:rFonts w:hint="eastAsia" w:ascii="宋体" w:hAnsi="宋体"/>
          <w:szCs w:val="21"/>
        </w:rPr>
        <w:t>34.4总价金额与按单价汇总金额不一致的，以单价金额计算结果为准。</w:t>
      </w:r>
    </w:p>
    <w:p w14:paraId="0FC64C75">
      <w:pPr>
        <w:ind w:firstLine="411" w:firstLineChars="196"/>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7E0A8B85">
      <w:pPr>
        <w:rPr>
          <w:rFonts w:hint="eastAsia" w:ascii="黑体" w:hAnsi="宋体" w:eastAsia="黑体"/>
          <w:sz w:val="24"/>
        </w:rPr>
      </w:pPr>
      <w:r>
        <w:rPr>
          <w:rFonts w:hint="eastAsia" w:ascii="黑体" w:hAnsi="宋体" w:eastAsia="黑体"/>
          <w:sz w:val="24"/>
        </w:rPr>
        <w:t>35．投标文件的比较与评价</w:t>
      </w:r>
    </w:p>
    <w:p w14:paraId="501CC9CE">
      <w:pPr>
        <w:ind w:firstLine="411" w:firstLineChars="196"/>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3445348">
      <w:pPr>
        <w:ind w:firstLine="411" w:firstLineChars="196"/>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7F1E3BA3">
      <w:pPr>
        <w:rPr>
          <w:rFonts w:hint="eastAsia" w:ascii="黑体" w:hAnsi="宋体" w:eastAsia="黑体"/>
          <w:sz w:val="24"/>
        </w:rPr>
      </w:pPr>
      <w:r>
        <w:rPr>
          <w:rFonts w:hint="eastAsia" w:ascii="黑体" w:hAnsi="宋体" w:eastAsia="黑体"/>
          <w:sz w:val="24"/>
        </w:rPr>
        <w:t>36. 实地考察或资料查验</w:t>
      </w:r>
    </w:p>
    <w:p w14:paraId="795D3E85">
      <w:pPr>
        <w:ind w:firstLine="411" w:firstLineChars="196"/>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13B15930">
      <w:pPr>
        <w:rPr>
          <w:rFonts w:hint="eastAsia" w:ascii="黑体" w:hAnsi="宋体" w:eastAsia="黑体"/>
          <w:sz w:val="24"/>
        </w:rPr>
      </w:pPr>
      <w:r>
        <w:rPr>
          <w:rFonts w:hint="eastAsia" w:ascii="黑体" w:hAnsi="宋体" w:eastAsia="黑体"/>
          <w:sz w:val="24"/>
        </w:rPr>
        <w:t>37．评审方法</w:t>
      </w:r>
    </w:p>
    <w:p w14:paraId="0D40EB3C">
      <w:pPr>
        <w:ind w:firstLine="413" w:firstLineChars="196"/>
        <w:rPr>
          <w:rFonts w:hint="eastAsia" w:ascii="宋体" w:hAnsi="宋体"/>
          <w:b/>
          <w:bCs/>
          <w:szCs w:val="21"/>
        </w:rPr>
      </w:pPr>
      <w:bookmarkStart w:id="77" w:name="_Hlk72438142"/>
      <w:r>
        <w:rPr>
          <w:rFonts w:hint="eastAsia" w:ascii="宋体" w:hAnsi="宋体"/>
          <w:b/>
          <w:bCs/>
          <w:szCs w:val="21"/>
        </w:rPr>
        <w:t>37.1.1最低价法</w:t>
      </w:r>
    </w:p>
    <w:p w14:paraId="6B7FC574">
      <w:pPr>
        <w:ind w:firstLine="411" w:firstLineChars="196"/>
        <w:rPr>
          <w:rFonts w:hint="eastAsia" w:ascii="ˎ̥" w:hAnsi="ˎ̥"/>
        </w:rPr>
      </w:pPr>
      <w:r>
        <w:rPr>
          <w:rFonts w:ascii="ˎ̥" w:hAnsi="ˎ̥"/>
        </w:rPr>
        <w:t>最低价法，</w:t>
      </w:r>
      <w:r>
        <w:rPr>
          <w:rFonts w:hint="eastAsia" w:ascii="ˎ̥" w:hAnsi="ˎ̥"/>
        </w:rPr>
        <w:t>是指投标文件满足招标文件全部实质性要求，且投标报价最低的投标人为中标候选人的评标方法。</w:t>
      </w:r>
    </w:p>
    <w:p w14:paraId="360593A4">
      <w:pPr>
        <w:ind w:firstLine="411" w:firstLineChars="196"/>
        <w:rPr>
          <w:rFonts w:hint="eastAsia" w:ascii="ˎ̥" w:hAnsi="ˎ̥" w:eastAsia="宋体"/>
        </w:rPr>
      </w:pPr>
      <w:r>
        <w:rPr>
          <w:rFonts w:hint="eastAsia" w:ascii="ˎ̥" w:hAnsi="ˎ̥"/>
        </w:rPr>
        <w:t>采用最低价法的，评标结果按投标报价由低到高顺序排列。投标报价相同的并列。投标文件满足招标文件全部实质性要求且投标报价最低的投标人为排名第一的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512644B8">
      <w:pPr>
        <w:ind w:firstLine="413" w:firstLineChars="196"/>
        <w:rPr>
          <w:rFonts w:hint="eastAsia" w:ascii="宋体" w:hAnsi="宋体"/>
          <w:b/>
          <w:bCs/>
          <w:szCs w:val="21"/>
        </w:rPr>
      </w:pPr>
      <w:r>
        <w:rPr>
          <w:rFonts w:hint="eastAsia" w:ascii="宋体" w:hAnsi="宋体"/>
          <w:b/>
          <w:bCs/>
          <w:szCs w:val="21"/>
        </w:rPr>
        <w:t>37.1.2综合评分法</w:t>
      </w:r>
    </w:p>
    <w:p w14:paraId="68CA8713">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p>
    <w:p w14:paraId="6BAD76E9">
      <w:pPr>
        <w:ind w:firstLine="411" w:firstLineChars="196"/>
        <w:rPr>
          <w:rFonts w:hint="eastAsia" w:ascii="ˎ̥" w:hAnsi="ˎ̥"/>
        </w:rPr>
      </w:pPr>
      <w:r>
        <w:rPr>
          <w:rFonts w:hint="eastAsia" w:ascii="ˎ̥" w:hAnsi="ˎ̥"/>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bookmarkEnd w:id="77"/>
    </w:p>
    <w:p w14:paraId="294CD9F5">
      <w:pPr>
        <w:ind w:firstLine="413" w:firstLineChars="196"/>
        <w:rPr>
          <w:rFonts w:hint="eastAsia" w:ascii="宋体" w:hAnsi="宋体"/>
          <w:b/>
          <w:bCs/>
          <w:szCs w:val="21"/>
        </w:rPr>
      </w:pPr>
      <w:r>
        <w:rPr>
          <w:rFonts w:hint="eastAsia" w:ascii="宋体" w:hAnsi="宋体"/>
          <w:b/>
          <w:bCs/>
          <w:szCs w:val="21"/>
        </w:rPr>
        <w:t>37.2 本项目采用的评审方法见本项目招标文件第一册“专用条款”的相关内容。</w:t>
      </w:r>
    </w:p>
    <w:p w14:paraId="46CF7FC4">
      <w:pPr>
        <w:ind w:firstLine="413" w:firstLineChars="196"/>
        <w:rPr>
          <w:rFonts w:hint="eastAsia" w:ascii="宋体" w:hAnsi="宋体"/>
          <w:b/>
          <w:bCs/>
          <w:szCs w:val="21"/>
        </w:rPr>
      </w:pPr>
      <w:r>
        <w:rPr>
          <w:rFonts w:hint="eastAsia" w:ascii="宋体" w:hAnsi="宋体"/>
          <w:b/>
          <w:bCs/>
          <w:szCs w:val="21"/>
        </w:rPr>
        <w:t>37.3重新评审的情形</w:t>
      </w:r>
    </w:p>
    <w:p w14:paraId="393AF6D3">
      <w:pPr>
        <w:ind w:firstLine="411" w:firstLineChars="196"/>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4E84F531">
      <w:pPr>
        <w:ind w:firstLine="411" w:firstLineChars="196"/>
        <w:rPr>
          <w:rFonts w:hint="eastAsia" w:ascii="宋体" w:hAnsi="宋体" w:cs="宋体"/>
          <w:kern w:val="0"/>
          <w:szCs w:val="21"/>
        </w:rPr>
      </w:pPr>
      <w:r>
        <w:rPr>
          <w:rFonts w:hint="eastAsia" w:ascii="宋体" w:hAnsi="宋体" w:cs="宋体"/>
          <w:kern w:val="0"/>
          <w:szCs w:val="21"/>
        </w:rPr>
        <w:t>37.3.1分值汇总计算错误的；</w:t>
      </w:r>
    </w:p>
    <w:p w14:paraId="3E6B799B">
      <w:pPr>
        <w:ind w:firstLine="411" w:firstLineChars="196"/>
        <w:rPr>
          <w:rFonts w:hint="eastAsia" w:ascii="宋体" w:hAnsi="宋体" w:cs="宋体"/>
          <w:kern w:val="0"/>
          <w:szCs w:val="21"/>
        </w:rPr>
      </w:pPr>
      <w:r>
        <w:rPr>
          <w:rFonts w:hint="eastAsia" w:ascii="宋体" w:hAnsi="宋体" w:cs="宋体"/>
          <w:kern w:val="0"/>
          <w:szCs w:val="21"/>
        </w:rPr>
        <w:t>37.3.2分项评分超出评分标准范围的；</w:t>
      </w:r>
    </w:p>
    <w:p w14:paraId="584E2C57">
      <w:pPr>
        <w:ind w:firstLine="411" w:firstLineChars="196"/>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22932E1B">
      <w:pPr>
        <w:ind w:firstLine="411" w:firstLineChars="196"/>
        <w:rPr>
          <w:rFonts w:hint="eastAsia" w:ascii="宋体" w:hAnsi="宋体" w:cs="宋体"/>
          <w:kern w:val="0"/>
          <w:szCs w:val="21"/>
        </w:rPr>
      </w:pPr>
      <w:r>
        <w:rPr>
          <w:rFonts w:hint="eastAsia" w:ascii="宋体" w:hAnsi="宋体" w:cs="宋体"/>
          <w:kern w:val="0"/>
          <w:szCs w:val="21"/>
        </w:rPr>
        <w:t>37.3.4经评审委员会认定评分畸高、畸低的。</w:t>
      </w:r>
    </w:p>
    <w:p w14:paraId="617D9E33">
      <w:pPr>
        <w:ind w:firstLine="411" w:firstLineChars="196"/>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249FCAD2">
      <w:pPr>
        <w:ind w:firstLine="411" w:firstLineChars="196"/>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0C772C62">
      <w:pPr>
        <w:ind w:firstLine="413" w:firstLineChars="196"/>
        <w:rPr>
          <w:rFonts w:hint="eastAsia" w:ascii="宋体" w:hAnsi="宋体"/>
          <w:b/>
          <w:bCs/>
          <w:szCs w:val="21"/>
        </w:rPr>
      </w:pPr>
      <w:r>
        <w:rPr>
          <w:rFonts w:hint="eastAsia" w:ascii="宋体" w:hAnsi="宋体"/>
          <w:b/>
          <w:bCs/>
          <w:szCs w:val="21"/>
        </w:rPr>
        <w:t xml:space="preserve"> 37.4重新组建评审委员会的情形</w:t>
      </w:r>
    </w:p>
    <w:p w14:paraId="44EAA25D">
      <w:pPr>
        <w:ind w:firstLine="411" w:firstLineChars="196"/>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78EE4E96">
      <w:pPr>
        <w:ind w:firstLine="411" w:firstLineChars="196"/>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49C293CC">
      <w:pPr>
        <w:ind w:firstLine="411" w:firstLineChars="196"/>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2674F542">
      <w:pPr>
        <w:ind w:firstLine="411" w:firstLineChars="196"/>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2C96CEF7">
      <w:pPr>
        <w:ind w:firstLine="411" w:firstLineChars="196"/>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4D9425EF">
      <w:pPr>
        <w:ind w:firstLine="411" w:firstLineChars="196"/>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5E26FFE7">
      <w:pPr>
        <w:ind w:firstLine="411" w:firstLineChars="196"/>
        <w:rPr>
          <w:rFonts w:hint="eastAsia" w:ascii="宋体" w:hAnsi="宋体"/>
          <w:szCs w:val="21"/>
        </w:rPr>
      </w:pPr>
    </w:p>
    <w:p w14:paraId="2D0B5AB1">
      <w:pPr>
        <w:pStyle w:val="3"/>
        <w:numPr>
          <w:ilvl w:val="0"/>
          <w:numId w:val="16"/>
        </w:numPr>
        <w:spacing w:before="156" w:beforeLines="50" w:after="156" w:afterLines="50"/>
        <w:ind w:left="562" w:hanging="562"/>
        <w:rPr>
          <w:sz w:val="28"/>
          <w:szCs w:val="28"/>
        </w:rPr>
      </w:pPr>
      <w:r>
        <w:rPr>
          <w:rFonts w:hint="eastAsia"/>
          <w:sz w:val="28"/>
          <w:szCs w:val="28"/>
        </w:rPr>
        <w:t>定标及公示</w:t>
      </w:r>
    </w:p>
    <w:p w14:paraId="5867FC69">
      <w:pPr>
        <w:rPr>
          <w:rFonts w:hint="eastAsia" w:ascii="黑体" w:hAnsi="宋体" w:eastAsia="黑体"/>
          <w:sz w:val="24"/>
        </w:rPr>
      </w:pPr>
      <w:r>
        <w:rPr>
          <w:rFonts w:hint="eastAsia" w:ascii="黑体" w:hAnsi="宋体" w:eastAsia="黑体"/>
          <w:sz w:val="24"/>
        </w:rPr>
        <w:t>38．定标方法</w:t>
      </w:r>
    </w:p>
    <w:p w14:paraId="1942D931">
      <w:pPr>
        <w:ind w:firstLine="411" w:firstLineChars="196"/>
        <w:rPr>
          <w:rFonts w:hint="eastAsia" w:ascii="宋体" w:hAnsi="宋体"/>
          <w:szCs w:val="21"/>
        </w:rPr>
      </w:pPr>
      <w:bookmarkStart w:id="78" w:name="_Hlk73782795"/>
      <w:r>
        <w:rPr>
          <w:rFonts w:hint="eastAsia" w:ascii="宋体" w:hAnsi="宋体"/>
          <w:szCs w:val="21"/>
        </w:rPr>
        <w:t>38.1非评定分离项目定标方法</w:t>
      </w:r>
    </w:p>
    <w:p w14:paraId="18E226AB">
      <w:pPr>
        <w:ind w:firstLine="411" w:firstLineChars="196"/>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2341DBB6">
      <w:pPr>
        <w:ind w:firstLine="411" w:firstLineChars="196"/>
        <w:rPr>
          <w:rFonts w:hint="eastAsia" w:ascii="ˎ̥" w:hAnsi="ˎ̥"/>
        </w:rPr>
      </w:pPr>
      <w:r>
        <w:rPr>
          <w:rFonts w:hint="eastAsia" w:ascii="ˎ̥" w:hAnsi="ˎ̥"/>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7DBC1AF8">
      <w:pPr>
        <w:ind w:firstLine="411" w:firstLineChars="196"/>
        <w:rPr>
          <w:rFonts w:hint="eastAsia" w:ascii="ˎ̥" w:hAnsi="ˎ̥"/>
        </w:rPr>
      </w:pPr>
      <w:r>
        <w:rPr>
          <w:rFonts w:hint="eastAsia" w:ascii="ˎ̥" w:hAnsi="ˎ̥"/>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48C61A7E">
      <w:pPr>
        <w:ind w:firstLine="411" w:firstLineChars="196"/>
        <w:rPr>
          <w:rFonts w:hint="eastAsia" w:ascii="宋体" w:hAnsi="宋体"/>
          <w:szCs w:val="21"/>
        </w:rPr>
      </w:pPr>
      <w:r>
        <w:rPr>
          <w:rFonts w:hint="eastAsia" w:ascii="宋体" w:hAnsi="宋体"/>
          <w:szCs w:val="21"/>
        </w:rPr>
        <w:t>38.2评定分离项目定标方法</w:t>
      </w:r>
    </w:p>
    <w:p w14:paraId="1CEF5205">
      <w:pPr>
        <w:ind w:firstLine="411" w:firstLineChars="196"/>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6A0A31D4">
      <w:pPr>
        <w:ind w:firstLine="411" w:firstLineChars="196"/>
      </w:pPr>
      <w:r>
        <w:rPr>
          <w:rFonts w:ascii="宋体" w:hAnsi="宋体"/>
          <w:szCs w:val="21"/>
        </w:rPr>
        <w:t xml:space="preserve">38.2.2 </w:t>
      </w:r>
      <w:bookmarkStart w:id="79"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13F12639">
      <w:pPr>
        <w:ind w:firstLine="411" w:firstLineChars="196"/>
        <w:rPr>
          <w:rFonts w:hint="eastAsia" w:ascii="宋体" w:hAnsi="宋体"/>
          <w:szCs w:val="21"/>
        </w:rPr>
      </w:pPr>
      <w:r>
        <w:rPr>
          <w:rFonts w:hint="eastAsia" w:ascii="宋体" w:hAnsi="宋体"/>
          <w:szCs w:val="21"/>
        </w:rPr>
        <w:t>38.2.3</w:t>
      </w:r>
      <w:bookmarkStart w:id="80"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79"/>
      <w:bookmarkEnd w:id="80"/>
    </w:p>
    <w:p w14:paraId="3686CF01">
      <w:pPr>
        <w:ind w:firstLine="411" w:firstLineChars="196"/>
        <w:rPr>
          <w:rFonts w:hint="eastAsia"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14:paraId="2B4CA7C9">
      <w:pPr>
        <w:ind w:firstLine="411" w:firstLineChars="196"/>
        <w:rPr>
          <w:rFonts w:hint="eastAsia" w:ascii="宋体" w:hAnsi="宋体"/>
          <w:szCs w:val="21"/>
        </w:rPr>
      </w:pPr>
      <w:r>
        <w:rPr>
          <w:rFonts w:hint="eastAsia" w:ascii="宋体" w:hAnsi="宋体"/>
          <w:szCs w:val="21"/>
        </w:rPr>
        <w:t>说明：采购人及投标供应商应按照上述方法提前做好相关准备。</w:t>
      </w:r>
    </w:p>
    <w:p w14:paraId="32678E0E">
      <w:pPr>
        <w:ind w:firstLine="411" w:firstLineChars="196"/>
        <w:rPr>
          <w:rFonts w:hint="eastAsia" w:ascii="宋体" w:hAnsi="宋体"/>
          <w:szCs w:val="21"/>
        </w:rPr>
      </w:pPr>
      <w:r>
        <w:rPr>
          <w:rFonts w:hint="eastAsia" w:ascii="宋体" w:hAnsi="宋体"/>
          <w:szCs w:val="21"/>
        </w:rPr>
        <w:t>38.3专用条款另有规定的，按专用条款相关要求定标。</w:t>
      </w:r>
      <w:bookmarkEnd w:id="78"/>
    </w:p>
    <w:p w14:paraId="1D6AE4E9">
      <w:pPr>
        <w:rPr>
          <w:rFonts w:hint="eastAsia" w:ascii="黑体" w:hAnsi="宋体" w:eastAsia="黑体"/>
          <w:sz w:val="24"/>
        </w:rPr>
      </w:pPr>
      <w:r>
        <w:rPr>
          <w:rFonts w:hint="eastAsia" w:ascii="黑体" w:hAnsi="宋体" w:eastAsia="黑体"/>
          <w:sz w:val="24"/>
        </w:rPr>
        <w:t>39．编写评审报告</w:t>
      </w:r>
    </w:p>
    <w:p w14:paraId="2C5937E3">
      <w:pPr>
        <w:ind w:firstLine="411" w:firstLineChars="196"/>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4CCF35E9">
      <w:pPr>
        <w:rPr>
          <w:rFonts w:hint="eastAsia" w:ascii="黑体" w:hAnsi="宋体" w:eastAsia="黑体"/>
          <w:sz w:val="24"/>
        </w:rPr>
      </w:pPr>
      <w:r>
        <w:rPr>
          <w:rFonts w:hint="eastAsia" w:ascii="黑体" w:hAnsi="宋体" w:eastAsia="黑体"/>
          <w:sz w:val="24"/>
        </w:rPr>
        <w:t>40．中标公告</w:t>
      </w:r>
    </w:p>
    <w:p w14:paraId="54854ECE">
      <w:pPr>
        <w:ind w:firstLine="411" w:firstLineChars="196"/>
        <w:rPr>
          <w:rFonts w:hint="eastAsia" w:ascii="宋体" w:hAnsi="宋体"/>
          <w:szCs w:val="21"/>
        </w:rPr>
      </w:pPr>
      <w:r>
        <w:rPr>
          <w:rFonts w:hint="eastAsia" w:ascii="宋体" w:hAnsi="宋体"/>
          <w:szCs w:val="21"/>
        </w:rPr>
        <w:t>40.1</w:t>
      </w:r>
      <w:bookmarkStart w:id="81"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rPr>
        <w:t>深圳政府采购自行采购系统</w:t>
      </w:r>
      <w:r>
        <w:rPr>
          <w:rFonts w:hint="eastAsia" w:ascii="宋体" w:hAnsi="宋体"/>
          <w:b/>
          <w:bCs/>
          <w:szCs w:val="21"/>
        </w:rPr>
        <w:t>（https://zxcg.szggzy.com/home/index.html）</w:t>
      </w:r>
      <w:r>
        <w:rPr>
          <w:rFonts w:hint="eastAsia" w:ascii="宋体" w:hAnsi="宋体"/>
          <w:szCs w:val="21"/>
        </w:rPr>
        <w:t>上发布中标结果公告。</w:t>
      </w:r>
      <w:bookmarkEnd w:id="81"/>
      <w:bookmarkStart w:id="82"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82"/>
    <w:p w14:paraId="7A4CEEC6">
      <w:pPr>
        <w:ind w:firstLine="411" w:firstLineChars="196"/>
        <w:rPr>
          <w:rFonts w:hint="eastAsia" w:ascii="宋体" w:hAnsi="宋体"/>
          <w:szCs w:val="21"/>
        </w:rPr>
      </w:pPr>
      <w:r>
        <w:rPr>
          <w:rFonts w:hint="eastAsia" w:ascii="宋体" w:hAnsi="宋体"/>
          <w:szCs w:val="21"/>
        </w:rPr>
        <w:t>40.2质疑、投诉供应商应保证质疑、投诉内容的真实性和可靠性，并承担相应的法律责任。</w:t>
      </w:r>
    </w:p>
    <w:p w14:paraId="55B82832">
      <w:pPr>
        <w:rPr>
          <w:rFonts w:hint="eastAsia" w:ascii="黑体" w:hAnsi="宋体" w:eastAsia="黑体"/>
          <w:sz w:val="24"/>
        </w:rPr>
      </w:pPr>
      <w:r>
        <w:rPr>
          <w:rFonts w:hint="eastAsia" w:ascii="黑体" w:hAnsi="宋体" w:eastAsia="黑体"/>
          <w:sz w:val="24"/>
        </w:rPr>
        <w:t>41．中标通知书</w:t>
      </w:r>
    </w:p>
    <w:p w14:paraId="6877E54C">
      <w:pPr>
        <w:ind w:firstLine="411" w:firstLineChars="196"/>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83" w:name="_Hlk72438863"/>
      <w:r>
        <w:rPr>
          <w:rFonts w:hint="eastAsia" w:ascii="宋体" w:hAnsi="宋体"/>
          <w:szCs w:val="21"/>
        </w:rPr>
        <w:t>中标公告公布以后无异常的情况下，中标供应商和采购人可自行登录</w:t>
      </w:r>
      <w:r>
        <w:rPr>
          <w:rFonts w:hint="eastAsia" w:ascii="宋体" w:hAnsi="宋体"/>
          <w:b/>
          <w:bCs/>
          <w:szCs w:val="21"/>
        </w:rPr>
        <w:t>“</w:t>
      </w:r>
      <w:r>
        <w:rPr>
          <w:rFonts w:hint="eastAsia" w:ascii="宋体" w:hAnsi="宋体"/>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83"/>
    </w:p>
    <w:p w14:paraId="60ED2343">
      <w:pPr>
        <w:ind w:firstLine="411" w:firstLineChars="196"/>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594F294F">
      <w:pPr>
        <w:ind w:firstLine="411" w:firstLineChars="196"/>
        <w:rPr>
          <w:rFonts w:hint="eastAsia" w:ascii="宋体" w:hAnsi="宋体"/>
          <w:szCs w:val="21"/>
        </w:rPr>
      </w:pPr>
      <w:bookmarkStart w:id="84" w:name="_Hlk71407340"/>
      <w:r>
        <w:rPr>
          <w:rFonts w:hint="eastAsia" w:ascii="宋体" w:hAnsi="宋体"/>
          <w:szCs w:val="21"/>
        </w:rPr>
        <w:t>41.3因质疑投诉或其它原因导致项目结果变更或采购终止的，政府集中采购机构有权吊销中标通知书。</w:t>
      </w:r>
    </w:p>
    <w:bookmarkEnd w:id="84"/>
    <w:p w14:paraId="6B774D71">
      <w:pPr>
        <w:ind w:firstLine="411" w:firstLineChars="196"/>
        <w:rPr>
          <w:rFonts w:hint="eastAsia" w:ascii="宋体" w:hAnsi="宋体"/>
          <w:szCs w:val="21"/>
        </w:rPr>
      </w:pPr>
    </w:p>
    <w:p w14:paraId="0DC1D4CD">
      <w:pPr>
        <w:pStyle w:val="3"/>
        <w:numPr>
          <w:ilvl w:val="0"/>
          <w:numId w:val="16"/>
        </w:numPr>
        <w:spacing w:before="156" w:beforeLines="50" w:after="156" w:afterLines="50"/>
        <w:ind w:left="562" w:hanging="562"/>
        <w:rPr>
          <w:sz w:val="28"/>
          <w:szCs w:val="28"/>
        </w:rPr>
      </w:pPr>
      <w:r>
        <w:rPr>
          <w:rFonts w:hint="eastAsia"/>
          <w:sz w:val="28"/>
          <w:szCs w:val="28"/>
        </w:rPr>
        <w:t>公开招标失败的后续处理</w:t>
      </w:r>
    </w:p>
    <w:p w14:paraId="510AC968">
      <w:pPr>
        <w:rPr>
          <w:rFonts w:hint="eastAsia" w:ascii="黑体" w:hAnsi="宋体" w:eastAsia="黑体"/>
          <w:sz w:val="24"/>
        </w:rPr>
      </w:pPr>
      <w:r>
        <w:rPr>
          <w:rFonts w:hint="eastAsia" w:ascii="黑体" w:hAnsi="宋体" w:eastAsia="黑体"/>
          <w:sz w:val="24"/>
        </w:rPr>
        <w:t>42．公开招标失败的处理</w:t>
      </w:r>
    </w:p>
    <w:p w14:paraId="58A6F3BF">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5A22FD4C">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3A946153">
      <w:pPr>
        <w:ind w:firstLine="411" w:firstLineChars="196"/>
        <w:rPr>
          <w:rFonts w:hint="eastAsia" w:ascii="宋体" w:hAnsi="宋体"/>
          <w:szCs w:val="21"/>
        </w:rPr>
      </w:pPr>
      <w:r>
        <w:rPr>
          <w:rFonts w:hint="eastAsia" w:ascii="宋体" w:hAnsi="宋体"/>
          <w:szCs w:val="21"/>
        </w:rPr>
        <w:t>42.3重新组织采购有以下两种组织形式：</w:t>
      </w:r>
    </w:p>
    <w:p w14:paraId="1882C928">
      <w:pPr>
        <w:ind w:firstLine="411" w:firstLineChars="196"/>
        <w:rPr>
          <w:rFonts w:hint="eastAsia" w:ascii="宋体" w:hAnsi="宋体"/>
        </w:rPr>
      </w:pPr>
      <w:r>
        <w:rPr>
          <w:rFonts w:hint="eastAsia" w:ascii="宋体" w:hAnsi="宋体"/>
        </w:rPr>
        <w:t>（1）由政府集中采购机构重新组织公开招标；</w:t>
      </w:r>
    </w:p>
    <w:p w14:paraId="58CD5842">
      <w:pPr>
        <w:ind w:firstLine="411" w:firstLineChars="196"/>
        <w:rPr>
          <w:rFonts w:hint="eastAsia"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578E1FF6">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14:paraId="7FB7526F">
      <w:pPr>
        <w:rPr>
          <w:rFonts w:hint="eastAsia"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3C150B76">
      <w:pPr>
        <w:rPr>
          <w:rFonts w:hint="eastAsia" w:ascii="黑体" w:hAnsi="宋体" w:eastAsia="黑体"/>
          <w:sz w:val="24"/>
        </w:rPr>
      </w:pPr>
    </w:p>
    <w:p w14:paraId="59DE7FC5">
      <w:pPr>
        <w:pStyle w:val="3"/>
        <w:numPr>
          <w:ilvl w:val="0"/>
          <w:numId w:val="16"/>
        </w:numPr>
        <w:spacing w:before="156" w:beforeLines="50" w:after="156" w:afterLines="50"/>
        <w:ind w:left="562" w:hanging="562"/>
        <w:rPr>
          <w:sz w:val="28"/>
          <w:szCs w:val="28"/>
        </w:rPr>
      </w:pPr>
      <w:bookmarkStart w:id="85" w:name="_Hlk72439043"/>
      <w:r>
        <w:rPr>
          <w:rFonts w:hint="eastAsia"/>
          <w:sz w:val="28"/>
          <w:szCs w:val="28"/>
        </w:rPr>
        <w:t>合同的授予与备案</w:t>
      </w:r>
      <w:bookmarkEnd w:id="85"/>
    </w:p>
    <w:p w14:paraId="7B707355">
      <w:pPr>
        <w:rPr>
          <w:rFonts w:hint="eastAsia" w:ascii="黑体" w:hAnsi="宋体" w:eastAsia="黑体"/>
          <w:sz w:val="24"/>
        </w:rPr>
      </w:pPr>
      <w:bookmarkStart w:id="86" w:name="_Toc73521586"/>
      <w:bookmarkStart w:id="87" w:name="_Toc73518157"/>
      <w:bookmarkStart w:id="88" w:name="_Toc73517679"/>
      <w:bookmarkStart w:id="89" w:name="_Toc73521674"/>
      <w:bookmarkStart w:id="90" w:name="_Toc100052408"/>
      <w:bookmarkStart w:id="91" w:name="_Hlk72439088"/>
      <w:r>
        <w:rPr>
          <w:rFonts w:hint="eastAsia" w:ascii="黑体" w:hAnsi="宋体" w:eastAsia="黑体"/>
          <w:sz w:val="24"/>
        </w:rPr>
        <w:t>43．合同授予标准</w:t>
      </w:r>
      <w:bookmarkEnd w:id="86"/>
      <w:bookmarkEnd w:id="87"/>
      <w:bookmarkEnd w:id="88"/>
      <w:bookmarkEnd w:id="89"/>
      <w:bookmarkEnd w:id="90"/>
    </w:p>
    <w:p w14:paraId="27F31E97">
      <w:pPr>
        <w:ind w:firstLine="411" w:firstLineChars="196"/>
        <w:rPr>
          <w:rFonts w:hint="eastAsia" w:ascii="宋体" w:hAnsi="宋体"/>
          <w:szCs w:val="21"/>
        </w:rPr>
      </w:pPr>
      <w:r>
        <w:rPr>
          <w:rFonts w:hint="eastAsia" w:ascii="宋体" w:hAnsi="宋体"/>
          <w:szCs w:val="21"/>
        </w:rPr>
        <w:t>本项目的合同将授予经本招标文件规定评审确定的中标供应商。</w:t>
      </w:r>
    </w:p>
    <w:p w14:paraId="25281D56">
      <w:pPr>
        <w:rPr>
          <w:rFonts w:hint="eastAsia" w:ascii="黑体" w:hAnsi="宋体" w:eastAsia="黑体"/>
          <w:sz w:val="24"/>
        </w:rPr>
      </w:pPr>
      <w:bookmarkStart w:id="92" w:name="_Toc73521587"/>
      <w:bookmarkStart w:id="93" w:name="_Toc100052409"/>
      <w:bookmarkStart w:id="94" w:name="_Toc73521675"/>
      <w:bookmarkStart w:id="95" w:name="_Toc73517680"/>
      <w:bookmarkStart w:id="96" w:name="_Toc73518158"/>
      <w:r>
        <w:rPr>
          <w:rFonts w:hint="eastAsia" w:ascii="黑体" w:hAnsi="宋体" w:eastAsia="黑体"/>
          <w:sz w:val="24"/>
        </w:rPr>
        <w:t>44．</w:t>
      </w:r>
      <w:bookmarkEnd w:id="92"/>
      <w:bookmarkEnd w:id="93"/>
      <w:bookmarkEnd w:id="94"/>
      <w:bookmarkEnd w:id="95"/>
      <w:bookmarkEnd w:id="96"/>
      <w:r>
        <w:rPr>
          <w:rFonts w:hint="eastAsia" w:ascii="黑体" w:hAnsi="宋体" w:eastAsia="黑体"/>
          <w:sz w:val="24"/>
        </w:rPr>
        <w:t>接受和拒绝任何或所有投标的权力</w:t>
      </w:r>
    </w:p>
    <w:p w14:paraId="4B143C30">
      <w:pPr>
        <w:ind w:firstLine="411" w:firstLineChars="196"/>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2D1CD4C0">
      <w:pPr>
        <w:rPr>
          <w:rFonts w:hint="eastAsia" w:ascii="黑体" w:hAnsi="宋体" w:eastAsia="黑体"/>
          <w:sz w:val="24"/>
        </w:rPr>
      </w:pPr>
      <w:bookmarkStart w:id="97" w:name="_Toc73521589"/>
      <w:bookmarkStart w:id="98" w:name="_Toc73517682"/>
      <w:bookmarkStart w:id="99" w:name="_Toc73518160"/>
      <w:bookmarkStart w:id="100" w:name="_Toc73521677"/>
      <w:bookmarkStart w:id="101" w:name="_Toc100052410"/>
      <w:r>
        <w:rPr>
          <w:rFonts w:hint="eastAsia" w:ascii="黑体" w:hAnsi="宋体" w:eastAsia="黑体"/>
          <w:sz w:val="24"/>
        </w:rPr>
        <w:t>45．合同的签订</w:t>
      </w:r>
      <w:bookmarkEnd w:id="97"/>
      <w:bookmarkEnd w:id="98"/>
      <w:bookmarkEnd w:id="99"/>
      <w:bookmarkEnd w:id="100"/>
      <w:bookmarkEnd w:id="101"/>
    </w:p>
    <w:p w14:paraId="3E205086">
      <w:pPr>
        <w:ind w:firstLine="411" w:firstLineChars="196"/>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28D01DB7">
      <w:pPr>
        <w:ind w:firstLine="411" w:firstLineChars="196"/>
        <w:rPr>
          <w:rFonts w:hint="eastAsia"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36039899">
      <w:pPr>
        <w:ind w:firstLine="411" w:firstLineChars="196"/>
        <w:rPr>
          <w:rFonts w:hint="eastAsia" w:ascii="宋体" w:hAnsi="宋体"/>
          <w:szCs w:val="21"/>
        </w:rPr>
      </w:pPr>
      <w:r>
        <w:rPr>
          <w:rFonts w:hint="eastAsia" w:ascii="宋体" w:hAnsi="宋体"/>
          <w:szCs w:val="21"/>
        </w:rPr>
        <w:t>45.3中标人应当按照合同约定履行义务，完成中标项目，不得将中标项目转让（转包）给他人。</w:t>
      </w:r>
    </w:p>
    <w:p w14:paraId="12E60CA6">
      <w:pPr>
        <w:rPr>
          <w:rFonts w:hint="eastAsia" w:ascii="黑体" w:hAnsi="宋体" w:eastAsia="黑体"/>
          <w:sz w:val="24"/>
        </w:rPr>
      </w:pPr>
      <w:bookmarkStart w:id="102" w:name="_Toc73521678"/>
      <w:bookmarkStart w:id="103" w:name="_Toc73521590"/>
      <w:bookmarkStart w:id="104" w:name="_Toc73517683"/>
      <w:bookmarkStart w:id="105" w:name="_Toc73518161"/>
      <w:bookmarkStart w:id="106" w:name="_Toc100052411"/>
      <w:r>
        <w:rPr>
          <w:rFonts w:hint="eastAsia" w:ascii="黑体" w:hAnsi="宋体" w:eastAsia="黑体"/>
          <w:sz w:val="24"/>
        </w:rPr>
        <w:t>46．履约担保</w:t>
      </w:r>
      <w:bookmarkEnd w:id="102"/>
      <w:bookmarkEnd w:id="103"/>
      <w:bookmarkEnd w:id="104"/>
      <w:bookmarkEnd w:id="105"/>
      <w:bookmarkEnd w:id="106"/>
    </w:p>
    <w:p w14:paraId="4A20BE3F">
      <w:pPr>
        <w:ind w:firstLine="411" w:firstLineChars="196"/>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3E48CA66">
      <w:pPr>
        <w:ind w:firstLine="411" w:firstLineChars="196"/>
        <w:rPr>
          <w:rFonts w:hint="eastAsia"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5F6554CA">
      <w:pPr>
        <w:rPr>
          <w:rFonts w:hint="eastAsia" w:ascii="黑体" w:hAnsi="宋体" w:eastAsia="黑体"/>
          <w:sz w:val="24"/>
        </w:rPr>
      </w:pPr>
      <w:r>
        <w:rPr>
          <w:rFonts w:hint="eastAsia" w:ascii="黑体" w:hAnsi="宋体" w:eastAsia="黑体"/>
          <w:sz w:val="24"/>
        </w:rPr>
        <w:t>47. 合同备案</w:t>
      </w:r>
    </w:p>
    <w:p w14:paraId="278EE599">
      <w:pPr>
        <w:rPr>
          <w:rFonts w:hint="eastAsia" w:ascii="黑体" w:hAnsi="宋体" w:eastAsia="黑体"/>
          <w:sz w:val="24"/>
        </w:rPr>
      </w:pPr>
      <w:r>
        <w:rPr>
          <w:rFonts w:hint="eastAsia" w:ascii="宋体" w:hAnsi="宋体" w:eastAsia="宋体" w:cs="Times New Roman"/>
          <w:szCs w:val="21"/>
          <w:lang w:eastAsia="zh-Hans"/>
        </w:rPr>
        <w:t>采购人与中标供应商自中标通知书发出之日起10个工作日内签订政府采购合同，</w:t>
      </w:r>
      <w:r>
        <w:rPr>
          <w:rFonts w:hint="eastAsia" w:ascii="宋体" w:hAnsi="宋体" w:eastAsia="宋体" w:cs="Times New Roman"/>
          <w:szCs w:val="21"/>
        </w:rPr>
        <w:t>并按财政部门规定提交备案。</w:t>
      </w:r>
      <w:r>
        <w:rPr>
          <w:rFonts w:hint="eastAsia" w:ascii="黑体" w:hAnsi="宋体" w:eastAsia="黑体"/>
          <w:sz w:val="24"/>
        </w:rPr>
        <w:t>48. 合同变更</w:t>
      </w:r>
    </w:p>
    <w:p w14:paraId="7091B4EC">
      <w:pPr>
        <w:ind w:firstLine="411" w:firstLineChars="196"/>
        <w:rPr>
          <w:rFonts w:hint="eastAsia" w:ascii="宋体" w:hAnsi="宋体"/>
          <w:szCs w:val="21"/>
        </w:rPr>
      </w:pPr>
      <w:r>
        <w:rPr>
          <w:rFonts w:hint="eastAsia" w:ascii="宋体" w:hAnsi="宋体"/>
          <w:szCs w:val="21"/>
        </w:rPr>
        <w:t>合同变更事宜按《深圳市财政局关于优化政府采购合同备案的通知》（深财发保〔2022〕2号）相关规定执行。</w:t>
      </w:r>
    </w:p>
    <w:p w14:paraId="69C7AC37">
      <w:pPr>
        <w:rPr>
          <w:rFonts w:hint="eastAsia" w:ascii="黑体" w:hAnsi="宋体" w:eastAsia="黑体"/>
          <w:sz w:val="24"/>
        </w:rPr>
      </w:pPr>
      <w:r>
        <w:rPr>
          <w:rFonts w:hint="eastAsia" w:ascii="黑体" w:hAnsi="宋体" w:eastAsia="黑体"/>
          <w:sz w:val="24"/>
        </w:rPr>
        <w:t>49. 项目验收</w:t>
      </w:r>
    </w:p>
    <w:p w14:paraId="264666CB">
      <w:pPr>
        <w:widowControl/>
        <w:ind w:right="176" w:firstLine="420"/>
        <w:jc w:val="left"/>
        <w:rPr>
          <w:rFonts w:hint="eastAsia"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163CF4CE">
      <w:pPr>
        <w:rPr>
          <w:rFonts w:hint="eastAsia" w:ascii="黑体" w:hAnsi="宋体" w:eastAsia="黑体"/>
          <w:sz w:val="24"/>
        </w:rPr>
      </w:pPr>
      <w:r>
        <w:rPr>
          <w:rFonts w:hint="eastAsia" w:ascii="黑体" w:hAnsi="宋体" w:eastAsia="黑体"/>
          <w:sz w:val="24"/>
        </w:rPr>
        <w:t>50. 宣传</w:t>
      </w:r>
    </w:p>
    <w:p w14:paraId="5FF6EA4C">
      <w:pPr>
        <w:ind w:left="210" w:leftChars="100" w:firstLine="411" w:firstLineChars="196"/>
        <w:rPr>
          <w:rFonts w:hint="eastAsia"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0E41CA60">
      <w:pPr>
        <w:ind w:left="210" w:leftChars="100" w:firstLine="411" w:firstLineChars="196"/>
        <w:rPr>
          <w:rFonts w:hint="eastAsia" w:ascii="宋体" w:hAnsi="宋体"/>
        </w:rPr>
      </w:pPr>
      <w:r>
        <w:rPr>
          <w:rFonts w:ascii="宋体" w:hAnsi="宋体"/>
        </w:rPr>
        <w:t>a.名片、宣传册、广告标语等；</w:t>
      </w:r>
    </w:p>
    <w:p w14:paraId="1983B48D">
      <w:pPr>
        <w:ind w:left="210" w:leftChars="100" w:firstLine="411" w:firstLineChars="196"/>
        <w:rPr>
          <w:rFonts w:hint="eastAsia" w:ascii="宋体" w:hAnsi="宋体"/>
        </w:rPr>
      </w:pPr>
      <w:r>
        <w:rPr>
          <w:rFonts w:ascii="宋体" w:hAnsi="宋体"/>
        </w:rPr>
        <w:t>b.案例介绍、推广等；</w:t>
      </w:r>
    </w:p>
    <w:p w14:paraId="7200B116">
      <w:pPr>
        <w:ind w:left="210" w:leftChars="100" w:firstLine="411" w:firstLineChars="196"/>
        <w:rPr>
          <w:rFonts w:hint="eastAsia" w:ascii="宋体" w:hAnsi="宋体"/>
        </w:rPr>
      </w:pPr>
      <w:r>
        <w:rPr>
          <w:rFonts w:hint="eastAsia" w:ascii="宋体" w:hAnsi="宋体"/>
        </w:rPr>
        <w:t>c.工作</w:t>
      </w:r>
      <w:r>
        <w:rPr>
          <w:rFonts w:ascii="宋体" w:hAnsi="宋体"/>
        </w:rPr>
        <w:t>人员向其他消费群体宣传。</w:t>
      </w:r>
    </w:p>
    <w:p w14:paraId="5F1BBA65">
      <w:pPr>
        <w:rPr>
          <w:rFonts w:hint="eastAsia" w:ascii="黑体" w:hAnsi="宋体" w:eastAsia="黑体"/>
          <w:sz w:val="24"/>
        </w:rPr>
      </w:pPr>
      <w:r>
        <w:rPr>
          <w:rFonts w:hint="eastAsia" w:ascii="黑体" w:hAnsi="宋体" w:eastAsia="黑体"/>
          <w:sz w:val="24"/>
        </w:rPr>
        <w:t>51. 供应商违法责任</w:t>
      </w:r>
    </w:p>
    <w:p w14:paraId="5C0F50C2">
      <w:pPr>
        <w:ind w:firstLine="411" w:firstLineChars="196"/>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7AC93D7">
      <w:pPr>
        <w:ind w:firstLine="411" w:firstLineChars="196"/>
        <w:rPr>
          <w:rFonts w:hint="eastAsia" w:ascii="宋体" w:hAnsi="宋体"/>
          <w:szCs w:val="21"/>
        </w:rPr>
      </w:pPr>
      <w:r>
        <w:rPr>
          <w:rFonts w:hint="eastAsia" w:ascii="宋体" w:hAnsi="宋体"/>
          <w:szCs w:val="21"/>
        </w:rPr>
        <w:t>（1）在采购活动中应当回避而未回避的；</w:t>
      </w:r>
    </w:p>
    <w:p w14:paraId="39DB3549">
      <w:pPr>
        <w:ind w:firstLine="411" w:firstLineChars="196"/>
        <w:rPr>
          <w:rFonts w:hint="eastAsia" w:ascii="宋体" w:hAnsi="宋体"/>
          <w:szCs w:val="21"/>
        </w:rPr>
      </w:pPr>
      <w:r>
        <w:rPr>
          <w:rFonts w:hint="eastAsia" w:ascii="宋体" w:hAnsi="宋体"/>
          <w:szCs w:val="21"/>
        </w:rPr>
        <w:t>（2）未按本条例规定签订、履行采购合同，造成严重后果的；</w:t>
      </w:r>
    </w:p>
    <w:p w14:paraId="2CAD95CB">
      <w:pPr>
        <w:ind w:firstLine="411" w:firstLineChars="196"/>
        <w:rPr>
          <w:rFonts w:hint="eastAsia" w:ascii="宋体" w:hAnsi="宋体"/>
          <w:szCs w:val="21"/>
        </w:rPr>
      </w:pPr>
      <w:r>
        <w:rPr>
          <w:rFonts w:hint="eastAsia" w:ascii="宋体" w:hAnsi="宋体"/>
          <w:szCs w:val="21"/>
        </w:rPr>
        <w:t>（3）隐瞒真实情况，提供虚假资料的；</w:t>
      </w:r>
    </w:p>
    <w:p w14:paraId="40AAA4CF">
      <w:pPr>
        <w:ind w:firstLine="411" w:firstLineChars="196"/>
        <w:rPr>
          <w:rFonts w:hint="eastAsia" w:ascii="宋体" w:hAnsi="宋体"/>
          <w:szCs w:val="21"/>
        </w:rPr>
      </w:pPr>
      <w:r>
        <w:rPr>
          <w:rFonts w:hint="eastAsia" w:ascii="宋体" w:hAnsi="宋体"/>
          <w:szCs w:val="21"/>
        </w:rPr>
        <w:t>（4）以非法手段排斥其他供应商参与竞争的；</w:t>
      </w:r>
    </w:p>
    <w:p w14:paraId="19F01DF2">
      <w:pPr>
        <w:ind w:firstLine="411" w:firstLineChars="196"/>
        <w:rPr>
          <w:rFonts w:hint="eastAsia" w:ascii="宋体" w:hAnsi="宋体"/>
          <w:szCs w:val="21"/>
        </w:rPr>
      </w:pPr>
      <w:r>
        <w:rPr>
          <w:rFonts w:hint="eastAsia" w:ascii="宋体" w:hAnsi="宋体"/>
          <w:szCs w:val="21"/>
        </w:rPr>
        <w:t>（5）与其他采购参加人串通投标的；</w:t>
      </w:r>
    </w:p>
    <w:p w14:paraId="667BC7F1">
      <w:pPr>
        <w:ind w:firstLine="411" w:firstLineChars="196"/>
        <w:rPr>
          <w:rFonts w:hint="eastAsia" w:ascii="宋体" w:hAnsi="宋体"/>
          <w:szCs w:val="21"/>
        </w:rPr>
      </w:pPr>
      <w:r>
        <w:rPr>
          <w:rFonts w:hint="eastAsia" w:ascii="宋体" w:hAnsi="宋体"/>
          <w:szCs w:val="21"/>
        </w:rPr>
        <w:t>（6）恶意投诉的；</w:t>
      </w:r>
    </w:p>
    <w:p w14:paraId="3EDFCCA2">
      <w:pPr>
        <w:ind w:firstLine="411" w:firstLineChars="196"/>
        <w:rPr>
          <w:rFonts w:hint="eastAsia" w:ascii="宋体" w:hAnsi="宋体"/>
          <w:szCs w:val="21"/>
        </w:rPr>
      </w:pPr>
      <w:r>
        <w:rPr>
          <w:rFonts w:hint="eastAsia" w:ascii="宋体" w:hAnsi="宋体"/>
          <w:szCs w:val="21"/>
        </w:rPr>
        <w:t>（7）向采购项目相关人行贿或者提供其他不当利益的；</w:t>
      </w:r>
    </w:p>
    <w:p w14:paraId="76729064">
      <w:pPr>
        <w:ind w:firstLine="411" w:firstLineChars="196"/>
        <w:rPr>
          <w:rFonts w:hint="eastAsia" w:ascii="宋体" w:hAnsi="宋体"/>
          <w:szCs w:val="21"/>
        </w:rPr>
      </w:pPr>
      <w:r>
        <w:rPr>
          <w:rFonts w:hint="eastAsia" w:ascii="宋体" w:hAnsi="宋体"/>
          <w:szCs w:val="21"/>
        </w:rPr>
        <w:t>（8）阻碍、抗拒主管部门监督检查的；</w:t>
      </w:r>
    </w:p>
    <w:p w14:paraId="2BFCBECD">
      <w:pPr>
        <w:ind w:firstLine="411" w:firstLineChars="196"/>
        <w:rPr>
          <w:rFonts w:hint="eastAsia" w:ascii="宋体" w:hAnsi="宋体"/>
          <w:szCs w:val="21"/>
        </w:rPr>
      </w:pPr>
      <w:r>
        <w:rPr>
          <w:rFonts w:hint="eastAsia" w:ascii="宋体" w:hAnsi="宋体"/>
          <w:szCs w:val="21"/>
        </w:rPr>
        <w:t>（9）其他违反本条例规定的行为。</w:t>
      </w:r>
    </w:p>
    <w:p w14:paraId="7DA03C38">
      <w:pPr>
        <w:ind w:firstLine="411" w:firstLineChars="196"/>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107" w:name="_Hlk72440769"/>
      <w:r>
        <w:rPr>
          <w:rFonts w:hint="eastAsia" w:ascii="宋体" w:hAnsi="宋体"/>
          <w:szCs w:val="21"/>
        </w:rPr>
        <w:t>政府集中采购机构或采购人不予退还其交纳的谈判保证金，情节严重的，并由主管部门</w:t>
      </w:r>
      <w:bookmarkEnd w:id="107"/>
      <w:r>
        <w:rPr>
          <w:rFonts w:hint="eastAsia" w:ascii="宋体" w:hAnsi="宋体"/>
          <w:szCs w:val="21"/>
        </w:rPr>
        <w:t>记入供应商诚信档案，予以通报：</w:t>
      </w:r>
    </w:p>
    <w:p w14:paraId="3FEDA31C">
      <w:pPr>
        <w:ind w:firstLine="411" w:firstLineChars="196"/>
        <w:rPr>
          <w:rFonts w:hint="eastAsia" w:ascii="宋体" w:hAnsi="宋体"/>
          <w:szCs w:val="21"/>
        </w:rPr>
      </w:pPr>
      <w:r>
        <w:rPr>
          <w:rFonts w:hint="eastAsia" w:ascii="宋体" w:hAnsi="宋体"/>
          <w:szCs w:val="21"/>
        </w:rPr>
        <w:t>（1</w:t>
      </w:r>
      <w:r>
        <w:rPr>
          <w:rFonts w:ascii="宋体" w:hAnsi="宋体"/>
          <w:szCs w:val="21"/>
        </w:rPr>
        <w:t>）投标截止后，撤销投标的；</w:t>
      </w:r>
    </w:p>
    <w:p w14:paraId="55A990F8">
      <w:pPr>
        <w:ind w:firstLine="411" w:firstLineChars="196"/>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13D2E39B">
      <w:pPr>
        <w:ind w:firstLine="411" w:firstLineChars="196"/>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38832F1C">
      <w:pPr>
        <w:ind w:firstLine="411" w:firstLineChars="196"/>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91"/>
    <w:p w14:paraId="17E2113D">
      <w:pPr>
        <w:pStyle w:val="3"/>
        <w:numPr>
          <w:ilvl w:val="0"/>
          <w:numId w:val="16"/>
        </w:numPr>
        <w:spacing w:before="156" w:beforeLines="50" w:after="156" w:afterLines="50"/>
        <w:ind w:left="562" w:hanging="562"/>
        <w:rPr>
          <w:sz w:val="28"/>
          <w:szCs w:val="28"/>
        </w:rPr>
      </w:pPr>
      <w:r>
        <w:rPr>
          <w:rFonts w:hint="eastAsia"/>
          <w:sz w:val="28"/>
          <w:szCs w:val="28"/>
        </w:rPr>
        <w:t>质疑处理</w:t>
      </w:r>
    </w:p>
    <w:p w14:paraId="78BDB114">
      <w:pPr>
        <w:rPr>
          <w:rFonts w:hint="eastAsia" w:ascii="黑体" w:hAnsi="宋体" w:eastAsia="黑体"/>
          <w:sz w:val="24"/>
        </w:rPr>
      </w:pPr>
      <w:r>
        <w:rPr>
          <w:rFonts w:hint="eastAsia" w:ascii="黑体" w:hAnsi="宋体" w:eastAsia="黑体"/>
          <w:sz w:val="24"/>
        </w:rPr>
        <w:t>52.质疑提出与答复</w:t>
      </w:r>
    </w:p>
    <w:p w14:paraId="05F92949">
      <w:pPr>
        <w:rPr>
          <w:rFonts w:hint="eastAsia" w:ascii="宋体" w:hAnsi="宋体"/>
          <w:szCs w:val="21"/>
        </w:rPr>
      </w:pPr>
      <w:r>
        <w:rPr>
          <w:rFonts w:hint="eastAsia" w:ascii="宋体" w:hAnsi="宋体"/>
          <w:szCs w:val="21"/>
        </w:rPr>
        <w:t xml:space="preserve">    52.1提出质疑</w:t>
      </w:r>
    </w:p>
    <w:p w14:paraId="37026B6C">
      <w:pPr>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20F1D5E6">
      <w:pPr>
        <w:rPr>
          <w:rFonts w:hint="eastAsia" w:ascii="宋体" w:hAnsi="宋体"/>
          <w:szCs w:val="21"/>
        </w:rPr>
      </w:pPr>
      <w:r>
        <w:rPr>
          <w:rFonts w:hint="eastAsia" w:ascii="宋体" w:hAnsi="宋体"/>
          <w:szCs w:val="21"/>
        </w:rPr>
        <w:t xml:space="preserve">    52.2</w:t>
      </w:r>
      <w:r>
        <w:rPr>
          <w:rFonts w:ascii="宋体" w:hAnsi="宋体"/>
          <w:szCs w:val="21"/>
        </w:rPr>
        <w:t>法律依据</w:t>
      </w:r>
    </w:p>
    <w:p w14:paraId="3C5C7468">
      <w:pPr>
        <w:rPr>
          <w:rFonts w:hint="eastAsia" w:ascii="宋体" w:hAnsi="宋体"/>
          <w:szCs w:val="21"/>
        </w:rPr>
      </w:pPr>
      <w:r>
        <w:rPr>
          <w:rFonts w:hint="eastAsia" w:ascii="宋体" w:hAnsi="宋体"/>
          <w:szCs w:val="21"/>
        </w:rPr>
        <w:t xml:space="preserve">    《中华人民共和国政府采购法》《中华人民共和国政府采购法实施条例》《深圳经济特区政府采购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3B5DA79F">
      <w:pPr>
        <w:rPr>
          <w:rFonts w:hint="eastAsia"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0953FC0E">
      <w:pPr>
        <w:rPr>
          <w:rFonts w:hint="eastAsia" w:ascii="宋体" w:hAnsi="宋体"/>
          <w:szCs w:val="21"/>
        </w:rPr>
      </w:pPr>
      <w:r>
        <w:rPr>
          <w:rFonts w:hint="eastAsia" w:ascii="宋体" w:hAnsi="宋体"/>
          <w:szCs w:val="21"/>
        </w:rPr>
        <w:t xml:space="preserve">    52.3.1提出质疑的供应商应当是参与所质疑项目采购活动的供应商；</w:t>
      </w:r>
      <w:bookmarkStart w:id="108" w:name="_Hlk75374941"/>
      <w:r>
        <w:rPr>
          <w:rFonts w:hint="eastAsia" w:ascii="宋体" w:hAnsi="宋体"/>
          <w:szCs w:val="21"/>
        </w:rPr>
        <w:t>以联合体形式参与的，质疑应当由组成联合体的所有成员共同提出</w:t>
      </w:r>
      <w:bookmarkEnd w:id="108"/>
      <w:r>
        <w:rPr>
          <w:rFonts w:hint="eastAsia" w:ascii="宋体" w:hAnsi="宋体"/>
          <w:szCs w:val="21"/>
        </w:rPr>
        <w:t>；</w:t>
      </w:r>
    </w:p>
    <w:p w14:paraId="5AB6C76F">
      <w:pPr>
        <w:rPr>
          <w:rFonts w:hint="eastAsia"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30323243">
      <w:pPr>
        <w:ind w:firstLine="42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707AD026">
      <w:pPr>
        <w:ind w:firstLine="420"/>
        <w:rPr>
          <w:rFonts w:hint="eastAsia" w:ascii="宋体" w:hAnsi="宋体"/>
          <w:szCs w:val="21"/>
        </w:rPr>
      </w:pPr>
      <w:r>
        <w:rPr>
          <w:rFonts w:hint="eastAsia" w:ascii="宋体" w:hAnsi="宋体"/>
          <w:szCs w:val="21"/>
        </w:rPr>
        <w:t>（1）供应商的名称（或者姓名）、地址、邮编、邮箱、联系人及联系电话；</w:t>
      </w:r>
    </w:p>
    <w:p w14:paraId="2591DE0B">
      <w:pPr>
        <w:ind w:firstLine="420" w:firstLineChars="200"/>
        <w:rPr>
          <w:rFonts w:hint="eastAsia" w:ascii="宋体" w:hAnsi="宋体"/>
          <w:szCs w:val="21"/>
        </w:rPr>
      </w:pPr>
      <w:r>
        <w:rPr>
          <w:rFonts w:hint="eastAsia" w:ascii="宋体" w:hAnsi="宋体"/>
          <w:szCs w:val="21"/>
        </w:rPr>
        <w:t>（2）质疑项目的名称、编号；</w:t>
      </w:r>
    </w:p>
    <w:p w14:paraId="673D4E9A">
      <w:pPr>
        <w:ind w:firstLine="420" w:firstLineChars="200"/>
        <w:rPr>
          <w:rFonts w:hint="eastAsia" w:ascii="宋体" w:hAnsi="宋体"/>
          <w:szCs w:val="21"/>
        </w:rPr>
      </w:pPr>
      <w:r>
        <w:rPr>
          <w:rFonts w:hint="eastAsia" w:ascii="宋体" w:hAnsi="宋体"/>
          <w:szCs w:val="21"/>
        </w:rPr>
        <w:t>（3）具体、明确的质疑对象、质疑事项和质疑请求；</w:t>
      </w:r>
    </w:p>
    <w:p w14:paraId="4DA6E102">
      <w:pPr>
        <w:ind w:firstLine="420" w:firstLineChars="200"/>
        <w:rPr>
          <w:rFonts w:hint="eastAsia" w:ascii="宋体" w:hAnsi="宋体"/>
          <w:szCs w:val="21"/>
        </w:rPr>
      </w:pPr>
      <w:r>
        <w:rPr>
          <w:rFonts w:hint="eastAsia" w:ascii="宋体" w:hAnsi="宋体"/>
          <w:szCs w:val="21"/>
        </w:rPr>
        <w:t>（4）因质疑事项而受损害的权益；</w:t>
      </w:r>
    </w:p>
    <w:p w14:paraId="2F50757E">
      <w:pPr>
        <w:ind w:firstLine="420" w:firstLineChars="200"/>
        <w:rPr>
          <w:rFonts w:hint="eastAsia" w:ascii="宋体" w:hAnsi="宋体"/>
          <w:szCs w:val="21"/>
        </w:rPr>
      </w:pPr>
      <w:r>
        <w:rPr>
          <w:rFonts w:hint="eastAsia" w:ascii="宋体" w:hAnsi="宋体"/>
          <w:szCs w:val="21"/>
        </w:rPr>
        <w:t>（5）事实依据；</w:t>
      </w:r>
    </w:p>
    <w:p w14:paraId="534585EA">
      <w:pPr>
        <w:ind w:firstLine="420" w:firstLineChars="200"/>
        <w:rPr>
          <w:rFonts w:hint="eastAsia" w:ascii="宋体" w:hAnsi="宋体"/>
          <w:szCs w:val="21"/>
        </w:rPr>
      </w:pPr>
      <w:r>
        <w:rPr>
          <w:rFonts w:hint="eastAsia" w:ascii="宋体" w:hAnsi="宋体"/>
          <w:szCs w:val="21"/>
        </w:rPr>
        <w:t>（6）必要的法律依据；</w:t>
      </w:r>
    </w:p>
    <w:p w14:paraId="12773637">
      <w:pPr>
        <w:ind w:firstLine="420" w:firstLineChars="200"/>
        <w:rPr>
          <w:rFonts w:hint="eastAsia" w:ascii="宋体" w:hAnsi="宋体"/>
          <w:szCs w:val="21"/>
        </w:rPr>
      </w:pPr>
      <w:r>
        <w:rPr>
          <w:rFonts w:hint="eastAsia" w:ascii="宋体" w:hAnsi="宋体"/>
          <w:szCs w:val="21"/>
        </w:rPr>
        <w:t>（7）提出质疑的日期。</w:t>
      </w:r>
    </w:p>
    <w:p w14:paraId="7862FE6F">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73E2C43F">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4E45EF8F">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954F67A">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59E1027">
      <w:pPr>
        <w:ind w:firstLine="420" w:firstLineChars="200"/>
        <w:rPr>
          <w:rFonts w:hint="eastAsia" w:ascii="宋体" w:hAnsi="宋体"/>
          <w:szCs w:val="21"/>
        </w:rPr>
      </w:pPr>
      <w:r>
        <w:rPr>
          <w:rFonts w:hint="eastAsia" w:ascii="宋体" w:hAnsi="宋体"/>
          <w:szCs w:val="21"/>
        </w:rPr>
        <w:t>52.5收文地点</w:t>
      </w:r>
    </w:p>
    <w:p w14:paraId="29C4F50C">
      <w:pPr>
        <w:ind w:firstLine="422" w:firstLineChars="200"/>
        <w:rPr>
          <w:rFonts w:hint="eastAsia" w:ascii="宋体" w:hAnsi="宋体"/>
          <w:b/>
          <w:bCs/>
          <w:szCs w:val="21"/>
        </w:rPr>
      </w:pPr>
      <w:r>
        <w:rPr>
          <w:rFonts w:hint="eastAsia" w:ascii="宋体" w:hAnsi="宋体"/>
          <w:b/>
          <w:bCs/>
          <w:szCs w:val="21"/>
        </w:rPr>
        <w:t>地址：深圳公共资源交易中心（深圳交易集团有限公司龙华分公司）（地址：深圳市龙华区观湖街道大和社区大和路288号宝观城锦鲤大厦办公楼22楼）。</w:t>
      </w:r>
    </w:p>
    <w:p w14:paraId="112E63D0">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7550C600">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0AFB3930">
      <w:pPr>
        <w:ind w:firstLine="420" w:firstLineChars="200"/>
        <w:rPr>
          <w:rFonts w:hint="eastAsia" w:ascii="仿宋" w:hAnsi="仿宋" w:eastAsia="仿宋"/>
          <w:sz w:val="28"/>
          <w:szCs w:val="28"/>
        </w:rPr>
      </w:pPr>
      <w:r>
        <w:rPr>
          <w:rFonts w:hint="eastAsia" w:ascii="宋体" w:hAnsi="宋体"/>
          <w:szCs w:val="21"/>
        </w:rPr>
        <w:t>52.6.2供应商提交的质疑材料不符合质疑条件的，视情况处理：</w:t>
      </w:r>
    </w:p>
    <w:p w14:paraId="28A664C5">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35F3548B">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4699241B">
      <w:pPr>
        <w:ind w:firstLine="420" w:firstLineChars="200"/>
        <w:rPr>
          <w:rFonts w:hint="eastAsia" w:ascii="宋体" w:hAnsi="宋体"/>
          <w:szCs w:val="21"/>
        </w:rPr>
      </w:pPr>
      <w:r>
        <w:rPr>
          <w:rFonts w:hint="eastAsia" w:ascii="宋体" w:hAnsi="宋体"/>
          <w:szCs w:val="21"/>
        </w:rPr>
        <w:t>（1）质疑主体不满足要求的；</w:t>
      </w:r>
    </w:p>
    <w:p w14:paraId="395F03D0">
      <w:pPr>
        <w:ind w:firstLine="420" w:firstLineChars="200"/>
        <w:rPr>
          <w:rFonts w:hint="eastAsia" w:ascii="宋体" w:hAnsi="宋体"/>
          <w:szCs w:val="21"/>
        </w:rPr>
      </w:pPr>
      <w:r>
        <w:rPr>
          <w:rFonts w:hint="eastAsia" w:ascii="宋体" w:hAnsi="宋体"/>
          <w:szCs w:val="21"/>
        </w:rPr>
        <w:t>（2）供应商自身权益未受到损害的；</w:t>
      </w:r>
    </w:p>
    <w:p w14:paraId="17AFF8CB">
      <w:pPr>
        <w:ind w:firstLine="420" w:firstLineChars="200"/>
        <w:rPr>
          <w:rFonts w:hint="eastAsia" w:ascii="宋体" w:hAnsi="宋体"/>
          <w:szCs w:val="21"/>
        </w:rPr>
      </w:pPr>
      <w:r>
        <w:rPr>
          <w:rFonts w:hint="eastAsia" w:ascii="宋体" w:hAnsi="宋体"/>
          <w:szCs w:val="21"/>
        </w:rPr>
        <w:t>（3）供应商未在法定质疑期限内提出质疑的；</w:t>
      </w:r>
    </w:p>
    <w:p w14:paraId="139516A3">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0E59FEA4">
      <w:pPr>
        <w:ind w:firstLine="420" w:firstLineChars="200"/>
        <w:rPr>
          <w:rFonts w:hint="eastAsia" w:ascii="宋体" w:hAnsi="宋体"/>
          <w:szCs w:val="21"/>
        </w:rPr>
      </w:pPr>
      <w:r>
        <w:rPr>
          <w:rFonts w:hint="eastAsia" w:ascii="宋体" w:hAnsi="宋体"/>
          <w:szCs w:val="21"/>
        </w:rPr>
        <w:t>（5）其他不符合受理条件情形的。</w:t>
      </w:r>
    </w:p>
    <w:p w14:paraId="21C8989F">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03B68877">
      <w:pPr>
        <w:rPr>
          <w:rFonts w:hint="eastAsia"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4843EC93">
      <w:pPr>
        <w:rPr>
          <w:rFonts w:hint="eastAsia" w:ascii="宋体" w:hAnsi="宋体"/>
          <w:szCs w:val="21"/>
        </w:rPr>
      </w:pPr>
      <w:r>
        <w:rPr>
          <w:rFonts w:hint="eastAsia" w:ascii="宋体" w:hAnsi="宋体"/>
          <w:szCs w:val="21"/>
        </w:rPr>
        <w:t xml:space="preserve">    自收文之日起七个工作日内。</w:t>
      </w:r>
    </w:p>
    <w:p w14:paraId="6A5207B4">
      <w:pPr>
        <w:rPr>
          <w:rFonts w:hint="eastAsia" w:ascii="宋体" w:hAnsi="宋体"/>
          <w:szCs w:val="21"/>
        </w:rPr>
      </w:pPr>
      <w:r>
        <w:rPr>
          <w:rFonts w:hint="eastAsia" w:ascii="宋体" w:hAnsi="宋体"/>
          <w:szCs w:val="21"/>
        </w:rPr>
        <w:t xml:space="preserve">    52.8投诉</w:t>
      </w:r>
    </w:p>
    <w:p w14:paraId="17097680">
      <w:pPr>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14:paraId="46F48B82">
      <w:pPr>
        <w:rPr>
          <w:rFonts w:hint="eastAsia" w:ascii="黑体" w:hAnsi="宋体" w:eastAsia="黑体"/>
          <w:sz w:val="24"/>
        </w:rPr>
      </w:pPr>
      <w:r>
        <w:rPr>
          <w:rFonts w:hint="eastAsia" w:ascii="黑体" w:hAnsi="宋体" w:eastAsia="黑体"/>
          <w:sz w:val="24"/>
        </w:rPr>
        <w:t>53. 质疑后续处理</w:t>
      </w:r>
    </w:p>
    <w:p w14:paraId="64D431C8">
      <w:pPr>
        <w:rPr>
          <w:rFonts w:hint="eastAsia" w:ascii="宋体" w:hAnsi="宋体"/>
          <w:szCs w:val="21"/>
        </w:rPr>
      </w:pPr>
      <w:r>
        <w:rPr>
          <w:rFonts w:hint="eastAsia" w:ascii="宋体" w:hAnsi="宋体"/>
          <w:szCs w:val="21"/>
        </w:rPr>
        <w:t xml:space="preserve">    53.1供应商质疑不成立，或者成立但未对中标、成交结果构成影响的，继续开展采购活动。</w:t>
      </w:r>
    </w:p>
    <w:p w14:paraId="2F165B17">
      <w:pPr>
        <w:jc w:val="cente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t>---- END ----</w:t>
      </w:r>
    </w:p>
    <w:p w14:paraId="149C81A0">
      <w:pPr>
        <w:jc w:val="center"/>
        <w:rPr>
          <w:rFonts w:ascii="Times New Roman" w:hAnsi="Times New Roman" w:eastAsia="宋体" w:cs="Times New Roman"/>
          <w:szCs w:val="24"/>
        </w:rPr>
      </w:pPr>
      <w:r>
        <w:rPr>
          <w:rFonts w:ascii="Times New Roman" w:hAnsi="Times New Roman" w:eastAsia="宋体" w:cs="Times New Roman"/>
          <w:szCs w:val="24"/>
        </w:rPr>
        <w:t>---- END ----</w:t>
      </w:r>
      <w:bookmarkEnd w:id="55"/>
    </w:p>
    <w:p w14:paraId="73C328A2">
      <w:pPr>
        <w:rPr>
          <w:b/>
          <w:color w:val="FF0000"/>
          <w:sz w:val="52"/>
          <w:szCs w:val="52"/>
        </w:rPr>
      </w:pPr>
    </w:p>
    <w:p w14:paraId="2B1AB961">
      <w:pPr>
        <w:rPr>
          <w:rFonts w:hint="eastAsia" w:ascii="宋体" w:hAnsi="宋体" w:eastAsia="黑体" w:cs="Times New Roman"/>
          <w:b/>
          <w:bCs/>
          <w:color w:val="0000FF"/>
          <w:kern w:val="44"/>
          <w:sz w:val="36"/>
          <w:szCs w:val="4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BA01B">
    <w:pPr>
      <w:tabs>
        <w:tab w:val="center" w:pos="4153"/>
        <w:tab w:val="right" w:pos="8306"/>
      </w:tabs>
      <w:snapToGrid w:val="0"/>
      <w:jc w:val="left"/>
      <w:rPr>
        <w:rFonts w:ascii="Times New Roman" w:hAnsi="Times New Roman" w:eastAsia="宋体" w:cs="Times New Roman"/>
        <w:sz w:val="1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sdtPr>
    <w:sdtContent>
      <w:p w14:paraId="00A059B4">
        <w:pPr>
          <w:pStyle w:val="11"/>
          <w:jc w:val="center"/>
        </w:pPr>
        <w:r>
          <w:fldChar w:fldCharType="begin"/>
        </w:r>
        <w:r>
          <w:instrText xml:space="preserve"> PAGE   \* MERGEFORMAT </w:instrText>
        </w:r>
        <w:r>
          <w:fldChar w:fldCharType="separate"/>
        </w:r>
        <w:r>
          <w:rPr>
            <w:lang w:val="zh-CN"/>
          </w:rPr>
          <w:t>6</w:t>
        </w:r>
        <w:r>
          <w:rPr>
            <w:lang w:val="zh-CN"/>
          </w:rPr>
          <w:fldChar w:fldCharType="end"/>
        </w:r>
      </w:p>
    </w:sdtContent>
  </w:sdt>
  <w:p w14:paraId="268BC1B4">
    <w:pPr>
      <w:pStyle w:val="11"/>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42993">
    <w:pPr>
      <w:pStyle w:val="11"/>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7477A">
    <w:pPr>
      <w:pStyle w:val="11"/>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7EAB8">
    <w:pPr>
      <w:pBdr>
        <w:top w:val="none" w:color="auto" w:sz="0" w:space="1"/>
        <w:left w:val="none" w:color="auto" w:sz="0" w:space="4"/>
        <w:bottom w:val="none" w:color="auto" w:sz="0" w:space="1"/>
        <w:right w:val="none" w:color="auto" w:sz="0" w:space="4"/>
      </w:pBdr>
      <w:tabs>
        <w:tab w:val="center" w:pos="4153"/>
        <w:tab w:val="right" w:pos="8306"/>
      </w:tabs>
      <w:snapToGrid w:val="0"/>
      <w:rPr>
        <w:rFonts w:ascii="Times New Roman" w:hAnsi="Times New Roman" w:eastAsia="宋体" w:cs="Times New Roman"/>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CE8CB">
    <w:pPr>
      <w:pStyle w:val="12"/>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B4798">
    <w:pPr>
      <w:pStyle w:val="12"/>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6A327">
    <w:pPr>
      <w:pStyle w:val="12"/>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09BA9"/>
    <w:multiLevelType w:val="singleLevel"/>
    <w:tmpl w:val="A3409BA9"/>
    <w:lvl w:ilvl="0" w:tentative="0">
      <w:start w:val="1"/>
      <w:numFmt w:val="chineseCounting"/>
      <w:suff w:val="nothing"/>
      <w:lvlText w:val="（%1）"/>
      <w:lvlJc w:val="left"/>
      <w:pPr>
        <w:ind w:left="0" w:firstLine="420"/>
      </w:pPr>
      <w:rPr>
        <w:rFonts w:hint="eastAsia"/>
      </w:rPr>
    </w:lvl>
  </w:abstractNum>
  <w:abstractNum w:abstractNumId="1">
    <w:nsid w:val="B177386C"/>
    <w:multiLevelType w:val="singleLevel"/>
    <w:tmpl w:val="B177386C"/>
    <w:lvl w:ilvl="0" w:tentative="0">
      <w:start w:val="2"/>
      <w:numFmt w:val="chineseCounting"/>
      <w:suff w:val="nothing"/>
      <w:lvlText w:val="（%1）"/>
      <w:lvlJc w:val="left"/>
      <w:rPr>
        <w:rFonts w:hint="eastAsia"/>
      </w:rPr>
    </w:lvl>
  </w:abstractNum>
  <w:abstractNum w:abstractNumId="2">
    <w:nsid w:val="B609221C"/>
    <w:multiLevelType w:val="singleLevel"/>
    <w:tmpl w:val="B609221C"/>
    <w:lvl w:ilvl="0" w:tentative="0">
      <w:start w:val="1"/>
      <w:numFmt w:val="decimal"/>
      <w:suff w:val="nothing"/>
      <w:lvlText w:val="%1、"/>
      <w:lvlJc w:val="left"/>
    </w:lvl>
  </w:abstractNum>
  <w:abstractNum w:abstractNumId="3">
    <w:nsid w:val="B9358C2E"/>
    <w:multiLevelType w:val="singleLevel"/>
    <w:tmpl w:val="B9358C2E"/>
    <w:lvl w:ilvl="0" w:tentative="0">
      <w:start w:val="2"/>
      <w:numFmt w:val="decimal"/>
      <w:suff w:val="nothing"/>
      <w:lvlText w:val="%1、"/>
      <w:lvlJc w:val="left"/>
    </w:lvl>
  </w:abstractNum>
  <w:abstractNum w:abstractNumId="4">
    <w:nsid w:val="BF6BC116"/>
    <w:multiLevelType w:val="singleLevel"/>
    <w:tmpl w:val="BF6BC116"/>
    <w:lvl w:ilvl="0" w:tentative="0">
      <w:start w:val="16"/>
      <w:numFmt w:val="decimal"/>
      <w:suff w:val="space"/>
      <w:lvlText w:val="%1."/>
      <w:lvlJc w:val="left"/>
    </w:lvl>
  </w:abstractNum>
  <w:abstractNum w:abstractNumId="5">
    <w:nsid w:val="C4DF44C9"/>
    <w:multiLevelType w:val="singleLevel"/>
    <w:tmpl w:val="C4DF44C9"/>
    <w:lvl w:ilvl="0" w:tentative="0">
      <w:start w:val="1"/>
      <w:numFmt w:val="chineseCounting"/>
      <w:suff w:val="nothing"/>
      <w:lvlText w:val="（%1）"/>
      <w:lvlJc w:val="left"/>
      <w:pPr>
        <w:ind w:left="0" w:firstLine="420"/>
      </w:pPr>
      <w:rPr>
        <w:rFonts w:hint="eastAsia"/>
      </w:rPr>
    </w:lvl>
  </w:abstractNum>
  <w:abstractNum w:abstractNumId="6">
    <w:nsid w:val="CAED5998"/>
    <w:multiLevelType w:val="singleLevel"/>
    <w:tmpl w:val="CAED5998"/>
    <w:lvl w:ilvl="0" w:tentative="0">
      <w:start w:val="1"/>
      <w:numFmt w:val="decimal"/>
      <w:suff w:val="nothing"/>
      <w:lvlText w:val="%1、"/>
      <w:lvlJc w:val="left"/>
    </w:lvl>
  </w:abstractNum>
  <w:abstractNum w:abstractNumId="7">
    <w:nsid w:val="CFE7C3F8"/>
    <w:multiLevelType w:val="singleLevel"/>
    <w:tmpl w:val="CFE7C3F8"/>
    <w:lvl w:ilvl="0" w:tentative="0">
      <w:start w:val="1"/>
      <w:numFmt w:val="decimal"/>
      <w:suff w:val="nothing"/>
      <w:lvlText w:val="（%1）"/>
      <w:lvlJc w:val="left"/>
    </w:lvl>
  </w:abstractNum>
  <w:abstractNum w:abstractNumId="8">
    <w:nsid w:val="DDECD3BC"/>
    <w:multiLevelType w:val="singleLevel"/>
    <w:tmpl w:val="DDECD3BC"/>
    <w:lvl w:ilvl="0" w:tentative="0">
      <w:start w:val="6"/>
      <w:numFmt w:val="decimal"/>
      <w:suff w:val="space"/>
      <w:lvlText w:val="%1."/>
      <w:lvlJc w:val="left"/>
    </w:lvl>
  </w:abstractNum>
  <w:abstractNum w:abstractNumId="9">
    <w:nsid w:val="DE759F4B"/>
    <w:multiLevelType w:val="singleLevel"/>
    <w:tmpl w:val="DE759F4B"/>
    <w:lvl w:ilvl="0" w:tentative="0">
      <w:start w:val="2"/>
      <w:numFmt w:val="decimal"/>
      <w:suff w:val="space"/>
      <w:lvlText w:val="%1."/>
      <w:lvlJc w:val="left"/>
    </w:lvl>
  </w:abstractNum>
  <w:abstractNum w:abstractNumId="10">
    <w:nsid w:val="DEABE1DB"/>
    <w:multiLevelType w:val="singleLevel"/>
    <w:tmpl w:val="DEABE1DB"/>
    <w:lvl w:ilvl="0" w:tentative="0">
      <w:start w:val="23"/>
      <w:numFmt w:val="decimal"/>
      <w:suff w:val="space"/>
      <w:lvlText w:val="%1."/>
      <w:lvlJc w:val="left"/>
    </w:lvl>
  </w:abstractNum>
  <w:abstractNum w:abstractNumId="11">
    <w:nsid w:val="FFEFC674"/>
    <w:multiLevelType w:val="singleLevel"/>
    <w:tmpl w:val="FFEFC674"/>
    <w:lvl w:ilvl="0" w:tentative="0">
      <w:start w:val="1"/>
      <w:numFmt w:val="decimal"/>
      <w:suff w:val="nothing"/>
      <w:lvlText w:val="（%1）"/>
      <w:lvlJc w:val="left"/>
    </w:lvl>
  </w:abstractNum>
  <w:abstractNum w:abstractNumId="12">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43A81D0"/>
    <w:multiLevelType w:val="singleLevel"/>
    <w:tmpl w:val="743A81D0"/>
    <w:lvl w:ilvl="0" w:tentative="0">
      <w:start w:val="2"/>
      <w:numFmt w:val="decimal"/>
      <w:suff w:val="nothing"/>
      <w:lvlText w:val="%1、"/>
      <w:lvlJc w:val="left"/>
    </w:lvl>
  </w:abstractNum>
  <w:abstractNum w:abstractNumId="15">
    <w:nsid w:val="7A0F6431"/>
    <w:multiLevelType w:val="singleLevel"/>
    <w:tmpl w:val="7A0F6431"/>
    <w:lvl w:ilvl="0" w:tentative="0">
      <w:start w:val="1"/>
      <w:numFmt w:val="decimal"/>
      <w:suff w:val="space"/>
      <w:lvlText w:val="%1."/>
      <w:lvlJc w:val="left"/>
    </w:lvl>
  </w:abstractNum>
  <w:num w:numId="1">
    <w:abstractNumId w:val="14"/>
  </w:num>
  <w:num w:numId="2">
    <w:abstractNumId w:val="2"/>
  </w:num>
  <w:num w:numId="3">
    <w:abstractNumId w:val="5"/>
  </w:num>
  <w:num w:numId="4">
    <w:abstractNumId w:val="3"/>
  </w:num>
  <w:num w:numId="5">
    <w:abstractNumId w:val="0"/>
  </w:num>
  <w:num w:numId="6">
    <w:abstractNumId w:val="6"/>
  </w:num>
  <w:num w:numId="7">
    <w:abstractNumId w:val="1"/>
  </w:num>
  <w:num w:numId="8">
    <w:abstractNumId w:val="15"/>
  </w:num>
  <w:num w:numId="9">
    <w:abstractNumId w:val="7"/>
  </w:num>
  <w:num w:numId="10">
    <w:abstractNumId w:val="11"/>
  </w:num>
  <w:num w:numId="11">
    <w:abstractNumId w:val="9"/>
  </w:num>
  <w:num w:numId="12">
    <w:abstractNumId w:val="8"/>
  </w:num>
  <w:num w:numId="13">
    <w:abstractNumId w:val="4"/>
  </w:num>
  <w:num w:numId="14">
    <w:abstractNumId w:val="1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MmFlZWZmZGJmNmFlYmQ2ZTJiZGIzNmZjOTg4ZWIifQ=="/>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71DC8"/>
    <w:rsid w:val="000722BF"/>
    <w:rsid w:val="0007276E"/>
    <w:rsid w:val="00073BE1"/>
    <w:rsid w:val="000762AC"/>
    <w:rsid w:val="00076F24"/>
    <w:rsid w:val="00082568"/>
    <w:rsid w:val="00083BC2"/>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403A"/>
    <w:rsid w:val="00145A2D"/>
    <w:rsid w:val="00147326"/>
    <w:rsid w:val="001477E0"/>
    <w:rsid w:val="001523C7"/>
    <w:rsid w:val="00152E85"/>
    <w:rsid w:val="001559D5"/>
    <w:rsid w:val="00157D5E"/>
    <w:rsid w:val="00160312"/>
    <w:rsid w:val="001604FE"/>
    <w:rsid w:val="00164113"/>
    <w:rsid w:val="00164DF0"/>
    <w:rsid w:val="00166530"/>
    <w:rsid w:val="00174F2C"/>
    <w:rsid w:val="001776D1"/>
    <w:rsid w:val="00183B03"/>
    <w:rsid w:val="00184F4C"/>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25BA9"/>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80C2F"/>
    <w:rsid w:val="002823CE"/>
    <w:rsid w:val="00285DE2"/>
    <w:rsid w:val="00290910"/>
    <w:rsid w:val="00293B10"/>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2F78C2"/>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0F6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32F8"/>
    <w:rsid w:val="003F0159"/>
    <w:rsid w:val="003F0EBF"/>
    <w:rsid w:val="003F1A85"/>
    <w:rsid w:val="0040232B"/>
    <w:rsid w:val="00404D00"/>
    <w:rsid w:val="00411AD4"/>
    <w:rsid w:val="004142D5"/>
    <w:rsid w:val="004155CD"/>
    <w:rsid w:val="004159E6"/>
    <w:rsid w:val="00420DE3"/>
    <w:rsid w:val="00421174"/>
    <w:rsid w:val="00422460"/>
    <w:rsid w:val="004303AA"/>
    <w:rsid w:val="004308A1"/>
    <w:rsid w:val="00430AF8"/>
    <w:rsid w:val="00432891"/>
    <w:rsid w:val="0043317D"/>
    <w:rsid w:val="00434018"/>
    <w:rsid w:val="00435930"/>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6FB"/>
    <w:rsid w:val="0055085C"/>
    <w:rsid w:val="0055090F"/>
    <w:rsid w:val="005543A6"/>
    <w:rsid w:val="005554AD"/>
    <w:rsid w:val="005568B0"/>
    <w:rsid w:val="00557C1B"/>
    <w:rsid w:val="005668BA"/>
    <w:rsid w:val="00570A30"/>
    <w:rsid w:val="00572D56"/>
    <w:rsid w:val="0057738E"/>
    <w:rsid w:val="00583993"/>
    <w:rsid w:val="00586861"/>
    <w:rsid w:val="0058780A"/>
    <w:rsid w:val="0059005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2045"/>
    <w:rsid w:val="00603FDD"/>
    <w:rsid w:val="006137B4"/>
    <w:rsid w:val="00622334"/>
    <w:rsid w:val="00623B5C"/>
    <w:rsid w:val="0062431E"/>
    <w:rsid w:val="0063178E"/>
    <w:rsid w:val="00634CA8"/>
    <w:rsid w:val="00634D11"/>
    <w:rsid w:val="006357F8"/>
    <w:rsid w:val="00637736"/>
    <w:rsid w:val="00642E74"/>
    <w:rsid w:val="0064411E"/>
    <w:rsid w:val="00644C38"/>
    <w:rsid w:val="00650F5B"/>
    <w:rsid w:val="006530D0"/>
    <w:rsid w:val="00666B5D"/>
    <w:rsid w:val="00666D92"/>
    <w:rsid w:val="006706B4"/>
    <w:rsid w:val="0067242A"/>
    <w:rsid w:val="00673CED"/>
    <w:rsid w:val="00674722"/>
    <w:rsid w:val="006749FE"/>
    <w:rsid w:val="006762D5"/>
    <w:rsid w:val="006801A9"/>
    <w:rsid w:val="0068296E"/>
    <w:rsid w:val="006900CE"/>
    <w:rsid w:val="00690C3A"/>
    <w:rsid w:val="00693C62"/>
    <w:rsid w:val="00693D42"/>
    <w:rsid w:val="006967D1"/>
    <w:rsid w:val="00697AEC"/>
    <w:rsid w:val="006A4089"/>
    <w:rsid w:val="006A5F3A"/>
    <w:rsid w:val="006A6F0A"/>
    <w:rsid w:val="006B00E1"/>
    <w:rsid w:val="006B0A36"/>
    <w:rsid w:val="006B1275"/>
    <w:rsid w:val="006B1578"/>
    <w:rsid w:val="006B1F77"/>
    <w:rsid w:val="006B4428"/>
    <w:rsid w:val="006B51F4"/>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3D77"/>
    <w:rsid w:val="00764256"/>
    <w:rsid w:val="0076454F"/>
    <w:rsid w:val="00771537"/>
    <w:rsid w:val="007746E5"/>
    <w:rsid w:val="007764F5"/>
    <w:rsid w:val="0078066F"/>
    <w:rsid w:val="00783694"/>
    <w:rsid w:val="00785773"/>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025A"/>
    <w:rsid w:val="007C3FAA"/>
    <w:rsid w:val="007D0CAC"/>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6917"/>
    <w:rsid w:val="008976C8"/>
    <w:rsid w:val="008A1016"/>
    <w:rsid w:val="008A3E71"/>
    <w:rsid w:val="008A402F"/>
    <w:rsid w:val="008A73D1"/>
    <w:rsid w:val="008B2078"/>
    <w:rsid w:val="008B641C"/>
    <w:rsid w:val="008B6A92"/>
    <w:rsid w:val="008B6F21"/>
    <w:rsid w:val="008B7807"/>
    <w:rsid w:val="008C2951"/>
    <w:rsid w:val="008C4241"/>
    <w:rsid w:val="008C50F1"/>
    <w:rsid w:val="008C6819"/>
    <w:rsid w:val="008D3759"/>
    <w:rsid w:val="008D5DDF"/>
    <w:rsid w:val="008E2B32"/>
    <w:rsid w:val="008E6B4B"/>
    <w:rsid w:val="008F0E1B"/>
    <w:rsid w:val="008F59CA"/>
    <w:rsid w:val="008F615A"/>
    <w:rsid w:val="008F7FE5"/>
    <w:rsid w:val="00900B57"/>
    <w:rsid w:val="00904713"/>
    <w:rsid w:val="009059F6"/>
    <w:rsid w:val="00905D0E"/>
    <w:rsid w:val="00912406"/>
    <w:rsid w:val="009136FB"/>
    <w:rsid w:val="00914845"/>
    <w:rsid w:val="00921A8A"/>
    <w:rsid w:val="009220BF"/>
    <w:rsid w:val="00922256"/>
    <w:rsid w:val="0092669F"/>
    <w:rsid w:val="00933427"/>
    <w:rsid w:val="009356F2"/>
    <w:rsid w:val="00937148"/>
    <w:rsid w:val="00940369"/>
    <w:rsid w:val="009454F4"/>
    <w:rsid w:val="00946EFC"/>
    <w:rsid w:val="00946F59"/>
    <w:rsid w:val="00950E98"/>
    <w:rsid w:val="0095203B"/>
    <w:rsid w:val="009537E3"/>
    <w:rsid w:val="00957952"/>
    <w:rsid w:val="009612CA"/>
    <w:rsid w:val="00963D52"/>
    <w:rsid w:val="00965A51"/>
    <w:rsid w:val="00970EA5"/>
    <w:rsid w:val="00973CA7"/>
    <w:rsid w:val="009757C4"/>
    <w:rsid w:val="0097679F"/>
    <w:rsid w:val="00987D22"/>
    <w:rsid w:val="009929A4"/>
    <w:rsid w:val="00993BB4"/>
    <w:rsid w:val="009974A8"/>
    <w:rsid w:val="009A0EA8"/>
    <w:rsid w:val="009A1BDE"/>
    <w:rsid w:val="009A6E5F"/>
    <w:rsid w:val="009B170E"/>
    <w:rsid w:val="009B1762"/>
    <w:rsid w:val="009B4107"/>
    <w:rsid w:val="009B6F40"/>
    <w:rsid w:val="009C1E9F"/>
    <w:rsid w:val="009C4AF0"/>
    <w:rsid w:val="009C75DB"/>
    <w:rsid w:val="009D062B"/>
    <w:rsid w:val="009D39E4"/>
    <w:rsid w:val="009D4278"/>
    <w:rsid w:val="009E444A"/>
    <w:rsid w:val="009E50FB"/>
    <w:rsid w:val="009E5DEE"/>
    <w:rsid w:val="009E66C2"/>
    <w:rsid w:val="009E6EF2"/>
    <w:rsid w:val="009F76F8"/>
    <w:rsid w:val="00A027FE"/>
    <w:rsid w:val="00A049ED"/>
    <w:rsid w:val="00A06F79"/>
    <w:rsid w:val="00A13404"/>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50064"/>
    <w:rsid w:val="00A51785"/>
    <w:rsid w:val="00A52400"/>
    <w:rsid w:val="00A53AEC"/>
    <w:rsid w:val="00A55EDA"/>
    <w:rsid w:val="00A57355"/>
    <w:rsid w:val="00A610B1"/>
    <w:rsid w:val="00A63E72"/>
    <w:rsid w:val="00A665D9"/>
    <w:rsid w:val="00A66F56"/>
    <w:rsid w:val="00A675A0"/>
    <w:rsid w:val="00A7451A"/>
    <w:rsid w:val="00A8177F"/>
    <w:rsid w:val="00A83A06"/>
    <w:rsid w:val="00A925B1"/>
    <w:rsid w:val="00A92A0C"/>
    <w:rsid w:val="00A95ABA"/>
    <w:rsid w:val="00AA0D1E"/>
    <w:rsid w:val="00AA1328"/>
    <w:rsid w:val="00AA470C"/>
    <w:rsid w:val="00AA5E0D"/>
    <w:rsid w:val="00AA6718"/>
    <w:rsid w:val="00AB0EAD"/>
    <w:rsid w:val="00AB2F6A"/>
    <w:rsid w:val="00AB6537"/>
    <w:rsid w:val="00AC01BC"/>
    <w:rsid w:val="00AC108C"/>
    <w:rsid w:val="00AC6148"/>
    <w:rsid w:val="00AD25EB"/>
    <w:rsid w:val="00AD273D"/>
    <w:rsid w:val="00AD3773"/>
    <w:rsid w:val="00AD6720"/>
    <w:rsid w:val="00AD732E"/>
    <w:rsid w:val="00AE1C0F"/>
    <w:rsid w:val="00AE2AFA"/>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41ECA"/>
    <w:rsid w:val="00B45AD9"/>
    <w:rsid w:val="00B46B50"/>
    <w:rsid w:val="00B51FC7"/>
    <w:rsid w:val="00B532E2"/>
    <w:rsid w:val="00B55775"/>
    <w:rsid w:val="00B600C1"/>
    <w:rsid w:val="00B61F3D"/>
    <w:rsid w:val="00B63142"/>
    <w:rsid w:val="00B63FE9"/>
    <w:rsid w:val="00B70889"/>
    <w:rsid w:val="00B75E35"/>
    <w:rsid w:val="00B762CF"/>
    <w:rsid w:val="00B7694F"/>
    <w:rsid w:val="00B810FB"/>
    <w:rsid w:val="00B85510"/>
    <w:rsid w:val="00B86F8C"/>
    <w:rsid w:val="00B87097"/>
    <w:rsid w:val="00B935F7"/>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E32"/>
    <w:rsid w:val="00BC3702"/>
    <w:rsid w:val="00BC3723"/>
    <w:rsid w:val="00BC3A0B"/>
    <w:rsid w:val="00BC4367"/>
    <w:rsid w:val="00BC79A5"/>
    <w:rsid w:val="00BD19A7"/>
    <w:rsid w:val="00BD4173"/>
    <w:rsid w:val="00BD7D8C"/>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5401"/>
    <w:rsid w:val="00C3712E"/>
    <w:rsid w:val="00C434CD"/>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0B8"/>
    <w:rsid w:val="00C72488"/>
    <w:rsid w:val="00C741BF"/>
    <w:rsid w:val="00C746A8"/>
    <w:rsid w:val="00C77F0C"/>
    <w:rsid w:val="00C835AC"/>
    <w:rsid w:val="00C84E90"/>
    <w:rsid w:val="00C85BA9"/>
    <w:rsid w:val="00C867A5"/>
    <w:rsid w:val="00C86A3C"/>
    <w:rsid w:val="00C87A3B"/>
    <w:rsid w:val="00C87D50"/>
    <w:rsid w:val="00C901A7"/>
    <w:rsid w:val="00C9117D"/>
    <w:rsid w:val="00C91D5D"/>
    <w:rsid w:val="00CA1F6D"/>
    <w:rsid w:val="00CA5ACE"/>
    <w:rsid w:val="00CB2684"/>
    <w:rsid w:val="00CB4A1B"/>
    <w:rsid w:val="00CB7888"/>
    <w:rsid w:val="00CB7DE1"/>
    <w:rsid w:val="00CC004A"/>
    <w:rsid w:val="00CD0810"/>
    <w:rsid w:val="00CD0871"/>
    <w:rsid w:val="00CD15AC"/>
    <w:rsid w:val="00CD3BC6"/>
    <w:rsid w:val="00CD7D7E"/>
    <w:rsid w:val="00CE00DF"/>
    <w:rsid w:val="00CE0851"/>
    <w:rsid w:val="00CE138D"/>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553E6"/>
    <w:rsid w:val="00D65A9A"/>
    <w:rsid w:val="00D66DFE"/>
    <w:rsid w:val="00D6748D"/>
    <w:rsid w:val="00D67EFB"/>
    <w:rsid w:val="00D8046B"/>
    <w:rsid w:val="00D825BB"/>
    <w:rsid w:val="00D9165B"/>
    <w:rsid w:val="00DA03A3"/>
    <w:rsid w:val="00DA044F"/>
    <w:rsid w:val="00DA0F19"/>
    <w:rsid w:val="00DA1172"/>
    <w:rsid w:val="00DA4D0F"/>
    <w:rsid w:val="00DA5538"/>
    <w:rsid w:val="00DA72AF"/>
    <w:rsid w:val="00DB05CE"/>
    <w:rsid w:val="00DB09FD"/>
    <w:rsid w:val="00DB214F"/>
    <w:rsid w:val="00DC0B27"/>
    <w:rsid w:val="00DC0DC3"/>
    <w:rsid w:val="00DC5979"/>
    <w:rsid w:val="00DC683E"/>
    <w:rsid w:val="00DD7ACC"/>
    <w:rsid w:val="00DD7C86"/>
    <w:rsid w:val="00DE210F"/>
    <w:rsid w:val="00DE6729"/>
    <w:rsid w:val="00DE780F"/>
    <w:rsid w:val="00DF005C"/>
    <w:rsid w:val="00DF193F"/>
    <w:rsid w:val="00DF25E1"/>
    <w:rsid w:val="00DF45C1"/>
    <w:rsid w:val="00DF63D3"/>
    <w:rsid w:val="00E01277"/>
    <w:rsid w:val="00E0373F"/>
    <w:rsid w:val="00E07FC2"/>
    <w:rsid w:val="00E10C3F"/>
    <w:rsid w:val="00E1277C"/>
    <w:rsid w:val="00E16381"/>
    <w:rsid w:val="00E16BE0"/>
    <w:rsid w:val="00E20FDC"/>
    <w:rsid w:val="00E21413"/>
    <w:rsid w:val="00E22D57"/>
    <w:rsid w:val="00E278B7"/>
    <w:rsid w:val="00E30D44"/>
    <w:rsid w:val="00E329CC"/>
    <w:rsid w:val="00E35F37"/>
    <w:rsid w:val="00E426CB"/>
    <w:rsid w:val="00E4477C"/>
    <w:rsid w:val="00E51FC5"/>
    <w:rsid w:val="00E53672"/>
    <w:rsid w:val="00E5578E"/>
    <w:rsid w:val="00E604F1"/>
    <w:rsid w:val="00E61DE2"/>
    <w:rsid w:val="00E71B7C"/>
    <w:rsid w:val="00E72E33"/>
    <w:rsid w:val="00E7592D"/>
    <w:rsid w:val="00E826CD"/>
    <w:rsid w:val="00E8442D"/>
    <w:rsid w:val="00E854A1"/>
    <w:rsid w:val="00E93D2E"/>
    <w:rsid w:val="00E9738B"/>
    <w:rsid w:val="00E97895"/>
    <w:rsid w:val="00E97ED5"/>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FC7"/>
    <w:rsid w:val="00ED59E6"/>
    <w:rsid w:val="00EE126C"/>
    <w:rsid w:val="00EE2C1D"/>
    <w:rsid w:val="00EF10A6"/>
    <w:rsid w:val="00EF1CEA"/>
    <w:rsid w:val="00EF31F9"/>
    <w:rsid w:val="00EF4E8F"/>
    <w:rsid w:val="00EF5AA6"/>
    <w:rsid w:val="00EF6432"/>
    <w:rsid w:val="00EF6661"/>
    <w:rsid w:val="00F013C6"/>
    <w:rsid w:val="00F035C6"/>
    <w:rsid w:val="00F04A50"/>
    <w:rsid w:val="00F0516B"/>
    <w:rsid w:val="00F05E51"/>
    <w:rsid w:val="00F0669D"/>
    <w:rsid w:val="00F17533"/>
    <w:rsid w:val="00F21003"/>
    <w:rsid w:val="00F211FE"/>
    <w:rsid w:val="00F238BB"/>
    <w:rsid w:val="00F23BD1"/>
    <w:rsid w:val="00F246C6"/>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2411"/>
    <w:rsid w:val="00F940B3"/>
    <w:rsid w:val="00F95BD0"/>
    <w:rsid w:val="00FA593E"/>
    <w:rsid w:val="00FB45E4"/>
    <w:rsid w:val="00FC18D7"/>
    <w:rsid w:val="00FC62F9"/>
    <w:rsid w:val="00FC6BE7"/>
    <w:rsid w:val="00FD2FD3"/>
    <w:rsid w:val="00FD5E8F"/>
    <w:rsid w:val="00FE26CC"/>
    <w:rsid w:val="00FE48A3"/>
    <w:rsid w:val="00FE692E"/>
    <w:rsid w:val="00FE78A2"/>
    <w:rsid w:val="00FF3E28"/>
    <w:rsid w:val="01031527"/>
    <w:rsid w:val="012C1C02"/>
    <w:rsid w:val="014063FE"/>
    <w:rsid w:val="01721FEB"/>
    <w:rsid w:val="01722330"/>
    <w:rsid w:val="01CA5CC8"/>
    <w:rsid w:val="02226211"/>
    <w:rsid w:val="0293255D"/>
    <w:rsid w:val="02E25F12"/>
    <w:rsid w:val="030516AD"/>
    <w:rsid w:val="038A3F97"/>
    <w:rsid w:val="03993BA4"/>
    <w:rsid w:val="03A66B69"/>
    <w:rsid w:val="03E017D2"/>
    <w:rsid w:val="042C4F6C"/>
    <w:rsid w:val="04446205"/>
    <w:rsid w:val="047255F5"/>
    <w:rsid w:val="048C54B6"/>
    <w:rsid w:val="049A4077"/>
    <w:rsid w:val="05130EC4"/>
    <w:rsid w:val="052E380F"/>
    <w:rsid w:val="05452235"/>
    <w:rsid w:val="05A21435"/>
    <w:rsid w:val="06127C3D"/>
    <w:rsid w:val="06215480"/>
    <w:rsid w:val="062E1176"/>
    <w:rsid w:val="063E255E"/>
    <w:rsid w:val="065D535C"/>
    <w:rsid w:val="065D710A"/>
    <w:rsid w:val="069468A4"/>
    <w:rsid w:val="06D86E6E"/>
    <w:rsid w:val="06E710CA"/>
    <w:rsid w:val="06E94E42"/>
    <w:rsid w:val="07101435"/>
    <w:rsid w:val="072B0FB7"/>
    <w:rsid w:val="07724E37"/>
    <w:rsid w:val="078B7CA7"/>
    <w:rsid w:val="07B37245"/>
    <w:rsid w:val="07EC1177"/>
    <w:rsid w:val="08A54D99"/>
    <w:rsid w:val="08E33B14"/>
    <w:rsid w:val="08EE6740"/>
    <w:rsid w:val="09A07F31"/>
    <w:rsid w:val="09B4074E"/>
    <w:rsid w:val="09B47989"/>
    <w:rsid w:val="09B827A0"/>
    <w:rsid w:val="09CB6A81"/>
    <w:rsid w:val="0A0106F5"/>
    <w:rsid w:val="0A522CFE"/>
    <w:rsid w:val="0A537E82"/>
    <w:rsid w:val="0A670558"/>
    <w:rsid w:val="0B5C3158"/>
    <w:rsid w:val="0B845139"/>
    <w:rsid w:val="0B913B41"/>
    <w:rsid w:val="0BB023D2"/>
    <w:rsid w:val="0BC027C4"/>
    <w:rsid w:val="0BC750CE"/>
    <w:rsid w:val="0BE16F32"/>
    <w:rsid w:val="0C204376"/>
    <w:rsid w:val="0C254A1B"/>
    <w:rsid w:val="0C4A0131"/>
    <w:rsid w:val="0C526FE5"/>
    <w:rsid w:val="0C6875C2"/>
    <w:rsid w:val="0CA77331"/>
    <w:rsid w:val="0CB16402"/>
    <w:rsid w:val="0CEC0DE7"/>
    <w:rsid w:val="0D0227BA"/>
    <w:rsid w:val="0D3D4025"/>
    <w:rsid w:val="0D605732"/>
    <w:rsid w:val="0D844388"/>
    <w:rsid w:val="0DEE34CD"/>
    <w:rsid w:val="0E0B7D94"/>
    <w:rsid w:val="0E230C39"/>
    <w:rsid w:val="0E607F86"/>
    <w:rsid w:val="0E8A0CB9"/>
    <w:rsid w:val="0E9C279A"/>
    <w:rsid w:val="0EB421D9"/>
    <w:rsid w:val="0EF8579D"/>
    <w:rsid w:val="0F142273"/>
    <w:rsid w:val="0F5B4403"/>
    <w:rsid w:val="0F5D008C"/>
    <w:rsid w:val="0FD3114F"/>
    <w:rsid w:val="0FD83CA6"/>
    <w:rsid w:val="0FE47DB5"/>
    <w:rsid w:val="0FEE5EBF"/>
    <w:rsid w:val="108300B5"/>
    <w:rsid w:val="108654B0"/>
    <w:rsid w:val="108C64EF"/>
    <w:rsid w:val="10BE733F"/>
    <w:rsid w:val="10CA1840"/>
    <w:rsid w:val="10D97CD5"/>
    <w:rsid w:val="10FC5772"/>
    <w:rsid w:val="11093651"/>
    <w:rsid w:val="11662604"/>
    <w:rsid w:val="11796EDC"/>
    <w:rsid w:val="119D5A3B"/>
    <w:rsid w:val="12635AA8"/>
    <w:rsid w:val="127840D2"/>
    <w:rsid w:val="12900790"/>
    <w:rsid w:val="12900868"/>
    <w:rsid w:val="13280779"/>
    <w:rsid w:val="134F24D1"/>
    <w:rsid w:val="13AA7707"/>
    <w:rsid w:val="13FF3EF7"/>
    <w:rsid w:val="144E2788"/>
    <w:rsid w:val="14806439"/>
    <w:rsid w:val="149C1746"/>
    <w:rsid w:val="14E4477F"/>
    <w:rsid w:val="15BD1BCA"/>
    <w:rsid w:val="16105DC5"/>
    <w:rsid w:val="16730284"/>
    <w:rsid w:val="16753FFC"/>
    <w:rsid w:val="16B965DF"/>
    <w:rsid w:val="1741793A"/>
    <w:rsid w:val="1743234C"/>
    <w:rsid w:val="17933E49"/>
    <w:rsid w:val="17966F3F"/>
    <w:rsid w:val="179901BE"/>
    <w:rsid w:val="17C24EE1"/>
    <w:rsid w:val="17C27715"/>
    <w:rsid w:val="17C57205"/>
    <w:rsid w:val="17E4768B"/>
    <w:rsid w:val="17FC3BA5"/>
    <w:rsid w:val="182513C0"/>
    <w:rsid w:val="18397E11"/>
    <w:rsid w:val="194505FE"/>
    <w:rsid w:val="19687E48"/>
    <w:rsid w:val="196B1CEA"/>
    <w:rsid w:val="198E1EAE"/>
    <w:rsid w:val="19A20C2B"/>
    <w:rsid w:val="1A24288D"/>
    <w:rsid w:val="1B1B5294"/>
    <w:rsid w:val="1B356450"/>
    <w:rsid w:val="1B434F04"/>
    <w:rsid w:val="1B9B1759"/>
    <w:rsid w:val="1B9C14FB"/>
    <w:rsid w:val="1BEB4F4B"/>
    <w:rsid w:val="1BEF4851"/>
    <w:rsid w:val="1BFE3C79"/>
    <w:rsid w:val="1C2C01A7"/>
    <w:rsid w:val="1C4F3541"/>
    <w:rsid w:val="1C584649"/>
    <w:rsid w:val="1C792E22"/>
    <w:rsid w:val="1CB57848"/>
    <w:rsid w:val="1CBF2475"/>
    <w:rsid w:val="1D2D5631"/>
    <w:rsid w:val="1D345E0F"/>
    <w:rsid w:val="1D880AB9"/>
    <w:rsid w:val="1DB9452C"/>
    <w:rsid w:val="1DE33F41"/>
    <w:rsid w:val="1DE71C83"/>
    <w:rsid w:val="1E206809"/>
    <w:rsid w:val="1E5A0F1E"/>
    <w:rsid w:val="1E5A29B0"/>
    <w:rsid w:val="1E71779F"/>
    <w:rsid w:val="1E8A6AB3"/>
    <w:rsid w:val="1EBC700B"/>
    <w:rsid w:val="1EFB3211"/>
    <w:rsid w:val="1F103EA9"/>
    <w:rsid w:val="1F13028F"/>
    <w:rsid w:val="1F1D7927"/>
    <w:rsid w:val="1F784B5D"/>
    <w:rsid w:val="1FB14636"/>
    <w:rsid w:val="1FCA3C17"/>
    <w:rsid w:val="1FDB296A"/>
    <w:rsid w:val="1FE909DC"/>
    <w:rsid w:val="1FF42436"/>
    <w:rsid w:val="200C3C23"/>
    <w:rsid w:val="204333BD"/>
    <w:rsid w:val="20457135"/>
    <w:rsid w:val="20631369"/>
    <w:rsid w:val="20755F4B"/>
    <w:rsid w:val="20AF152F"/>
    <w:rsid w:val="21431371"/>
    <w:rsid w:val="2149055F"/>
    <w:rsid w:val="21513626"/>
    <w:rsid w:val="215C64E4"/>
    <w:rsid w:val="215D225D"/>
    <w:rsid w:val="219537A4"/>
    <w:rsid w:val="21C36564"/>
    <w:rsid w:val="21DF0EC4"/>
    <w:rsid w:val="22065300"/>
    <w:rsid w:val="228D0920"/>
    <w:rsid w:val="23290736"/>
    <w:rsid w:val="23362D65"/>
    <w:rsid w:val="236E5E5F"/>
    <w:rsid w:val="2378337E"/>
    <w:rsid w:val="239A32F4"/>
    <w:rsid w:val="23A61C99"/>
    <w:rsid w:val="23C5440E"/>
    <w:rsid w:val="23F30C56"/>
    <w:rsid w:val="24266C7C"/>
    <w:rsid w:val="244A2F6C"/>
    <w:rsid w:val="246A64EC"/>
    <w:rsid w:val="248E0882"/>
    <w:rsid w:val="24AB04CD"/>
    <w:rsid w:val="24B85FE4"/>
    <w:rsid w:val="24D67678"/>
    <w:rsid w:val="252E63EA"/>
    <w:rsid w:val="25493224"/>
    <w:rsid w:val="256533FF"/>
    <w:rsid w:val="25714E00"/>
    <w:rsid w:val="259C3ED2"/>
    <w:rsid w:val="25A53D6F"/>
    <w:rsid w:val="25E847EB"/>
    <w:rsid w:val="267047E0"/>
    <w:rsid w:val="270F7B55"/>
    <w:rsid w:val="273B6B9C"/>
    <w:rsid w:val="27427F2B"/>
    <w:rsid w:val="276C3345"/>
    <w:rsid w:val="27857F9B"/>
    <w:rsid w:val="2795721C"/>
    <w:rsid w:val="27A641C3"/>
    <w:rsid w:val="27A6670B"/>
    <w:rsid w:val="27C546B8"/>
    <w:rsid w:val="27E26A8C"/>
    <w:rsid w:val="27E92C02"/>
    <w:rsid w:val="282633A8"/>
    <w:rsid w:val="284461F5"/>
    <w:rsid w:val="286F1880"/>
    <w:rsid w:val="28A10C81"/>
    <w:rsid w:val="28E41FB9"/>
    <w:rsid w:val="28EC2844"/>
    <w:rsid w:val="28FB059C"/>
    <w:rsid w:val="29114058"/>
    <w:rsid w:val="29745A9F"/>
    <w:rsid w:val="29895F6F"/>
    <w:rsid w:val="29995DFC"/>
    <w:rsid w:val="29AC6F9B"/>
    <w:rsid w:val="29B91807"/>
    <w:rsid w:val="29E821D3"/>
    <w:rsid w:val="29F75268"/>
    <w:rsid w:val="2A930A9D"/>
    <w:rsid w:val="2A967EB2"/>
    <w:rsid w:val="2AD417E1"/>
    <w:rsid w:val="2ADC66A6"/>
    <w:rsid w:val="2B065713"/>
    <w:rsid w:val="2B2871E7"/>
    <w:rsid w:val="2BA9299F"/>
    <w:rsid w:val="2BF832AE"/>
    <w:rsid w:val="2BFE65C2"/>
    <w:rsid w:val="2C02412C"/>
    <w:rsid w:val="2C1665B8"/>
    <w:rsid w:val="2C295297"/>
    <w:rsid w:val="2C6E17C2"/>
    <w:rsid w:val="2CD5539D"/>
    <w:rsid w:val="2D7F69DE"/>
    <w:rsid w:val="2DB16F26"/>
    <w:rsid w:val="2DB3388B"/>
    <w:rsid w:val="2DCA6ECC"/>
    <w:rsid w:val="2E815E80"/>
    <w:rsid w:val="2E90358D"/>
    <w:rsid w:val="2E954277"/>
    <w:rsid w:val="2EDF69A7"/>
    <w:rsid w:val="2EF361A4"/>
    <w:rsid w:val="2F1A79DF"/>
    <w:rsid w:val="2F2A413F"/>
    <w:rsid w:val="2F363171"/>
    <w:rsid w:val="30311375"/>
    <w:rsid w:val="30473F91"/>
    <w:rsid w:val="306058C5"/>
    <w:rsid w:val="30B023A9"/>
    <w:rsid w:val="30C714A1"/>
    <w:rsid w:val="311772A4"/>
    <w:rsid w:val="31186537"/>
    <w:rsid w:val="31B92B8B"/>
    <w:rsid w:val="324D032D"/>
    <w:rsid w:val="3257574A"/>
    <w:rsid w:val="32FB3683"/>
    <w:rsid w:val="32FD564D"/>
    <w:rsid w:val="3328091C"/>
    <w:rsid w:val="338F3097"/>
    <w:rsid w:val="33A51F6D"/>
    <w:rsid w:val="33C06DA7"/>
    <w:rsid w:val="33CD06F0"/>
    <w:rsid w:val="342509B8"/>
    <w:rsid w:val="34297F29"/>
    <w:rsid w:val="34AE6BFF"/>
    <w:rsid w:val="34CA3E45"/>
    <w:rsid w:val="34D34153"/>
    <w:rsid w:val="35887450"/>
    <w:rsid w:val="359758E5"/>
    <w:rsid w:val="359D5EEA"/>
    <w:rsid w:val="35BA1D81"/>
    <w:rsid w:val="35D02BA5"/>
    <w:rsid w:val="35E8637E"/>
    <w:rsid w:val="35FC7E3E"/>
    <w:rsid w:val="363C3B17"/>
    <w:rsid w:val="36474247"/>
    <w:rsid w:val="365612FD"/>
    <w:rsid w:val="3677309A"/>
    <w:rsid w:val="36F40B16"/>
    <w:rsid w:val="370C52DF"/>
    <w:rsid w:val="370C5E5F"/>
    <w:rsid w:val="374B6987"/>
    <w:rsid w:val="374D6BA3"/>
    <w:rsid w:val="375A306E"/>
    <w:rsid w:val="37CE1367"/>
    <w:rsid w:val="37D746BF"/>
    <w:rsid w:val="37E528A4"/>
    <w:rsid w:val="38C84008"/>
    <w:rsid w:val="38CA5FD2"/>
    <w:rsid w:val="38EB0F04"/>
    <w:rsid w:val="39411452"/>
    <w:rsid w:val="397B72CC"/>
    <w:rsid w:val="397C49C3"/>
    <w:rsid w:val="39B22FFA"/>
    <w:rsid w:val="39B47181"/>
    <w:rsid w:val="39C15930"/>
    <w:rsid w:val="3A173499"/>
    <w:rsid w:val="3A30022F"/>
    <w:rsid w:val="3A371445"/>
    <w:rsid w:val="3A886145"/>
    <w:rsid w:val="3A8D72B7"/>
    <w:rsid w:val="3AB900AC"/>
    <w:rsid w:val="3AC52EF5"/>
    <w:rsid w:val="3B007A89"/>
    <w:rsid w:val="3B027CA5"/>
    <w:rsid w:val="3B2E2848"/>
    <w:rsid w:val="3B5D4EDB"/>
    <w:rsid w:val="3B81506E"/>
    <w:rsid w:val="3BA6272A"/>
    <w:rsid w:val="3BB22833"/>
    <w:rsid w:val="3BE27C97"/>
    <w:rsid w:val="3BE473AB"/>
    <w:rsid w:val="3C9A513B"/>
    <w:rsid w:val="3CCD2793"/>
    <w:rsid w:val="3CFA57E4"/>
    <w:rsid w:val="3D0221DE"/>
    <w:rsid w:val="3D1E60DF"/>
    <w:rsid w:val="3DE2791A"/>
    <w:rsid w:val="3E053B4B"/>
    <w:rsid w:val="3E151A9D"/>
    <w:rsid w:val="3E1F291C"/>
    <w:rsid w:val="3E375EB7"/>
    <w:rsid w:val="3E38205E"/>
    <w:rsid w:val="3EA47C68"/>
    <w:rsid w:val="3ED03C16"/>
    <w:rsid w:val="3EEB27FE"/>
    <w:rsid w:val="3F000C8D"/>
    <w:rsid w:val="3F3423F7"/>
    <w:rsid w:val="3F8E1B07"/>
    <w:rsid w:val="40161AFD"/>
    <w:rsid w:val="403326AF"/>
    <w:rsid w:val="408B6047"/>
    <w:rsid w:val="40AF442B"/>
    <w:rsid w:val="40E165AE"/>
    <w:rsid w:val="411C75E7"/>
    <w:rsid w:val="41540B2E"/>
    <w:rsid w:val="415E333C"/>
    <w:rsid w:val="418F600A"/>
    <w:rsid w:val="419B5FD1"/>
    <w:rsid w:val="419E1DAA"/>
    <w:rsid w:val="420D5851"/>
    <w:rsid w:val="424B3CDF"/>
    <w:rsid w:val="426D19F0"/>
    <w:rsid w:val="427275D7"/>
    <w:rsid w:val="42D31F27"/>
    <w:rsid w:val="42D33CD5"/>
    <w:rsid w:val="42FC5208"/>
    <w:rsid w:val="43341596"/>
    <w:rsid w:val="436F7EA2"/>
    <w:rsid w:val="43860D47"/>
    <w:rsid w:val="43ED0DC6"/>
    <w:rsid w:val="43FB4652"/>
    <w:rsid w:val="43FF1225"/>
    <w:rsid w:val="445F4788"/>
    <w:rsid w:val="44B32884"/>
    <w:rsid w:val="44E73A68"/>
    <w:rsid w:val="45223845"/>
    <w:rsid w:val="45290298"/>
    <w:rsid w:val="45B51211"/>
    <w:rsid w:val="45BD6D52"/>
    <w:rsid w:val="45EF52CA"/>
    <w:rsid w:val="46276812"/>
    <w:rsid w:val="462A4554"/>
    <w:rsid w:val="46517D32"/>
    <w:rsid w:val="46753001"/>
    <w:rsid w:val="46821C9A"/>
    <w:rsid w:val="46E51A75"/>
    <w:rsid w:val="47762C36"/>
    <w:rsid w:val="477C0DDF"/>
    <w:rsid w:val="480212E4"/>
    <w:rsid w:val="482B73A4"/>
    <w:rsid w:val="48C04CFB"/>
    <w:rsid w:val="48FF5824"/>
    <w:rsid w:val="49266FC3"/>
    <w:rsid w:val="492B03C7"/>
    <w:rsid w:val="493C6A78"/>
    <w:rsid w:val="49425710"/>
    <w:rsid w:val="498E5824"/>
    <w:rsid w:val="49DE053E"/>
    <w:rsid w:val="49EF6688"/>
    <w:rsid w:val="4A201EF6"/>
    <w:rsid w:val="4A625D30"/>
    <w:rsid w:val="4A767D68"/>
    <w:rsid w:val="4B475260"/>
    <w:rsid w:val="4B4C2876"/>
    <w:rsid w:val="4B9E1324"/>
    <w:rsid w:val="4BBF201F"/>
    <w:rsid w:val="4BE17463"/>
    <w:rsid w:val="4C3103EA"/>
    <w:rsid w:val="4C643493"/>
    <w:rsid w:val="4C885AEF"/>
    <w:rsid w:val="4CA26BF2"/>
    <w:rsid w:val="4CEE1E37"/>
    <w:rsid w:val="4D145F92"/>
    <w:rsid w:val="4D330192"/>
    <w:rsid w:val="4D461C73"/>
    <w:rsid w:val="4E092CA1"/>
    <w:rsid w:val="4E111A5A"/>
    <w:rsid w:val="4E4156DB"/>
    <w:rsid w:val="4E93713A"/>
    <w:rsid w:val="4EB14B47"/>
    <w:rsid w:val="4F1456D4"/>
    <w:rsid w:val="4F9905AE"/>
    <w:rsid w:val="4FC33F25"/>
    <w:rsid w:val="4FD001C7"/>
    <w:rsid w:val="4FFF6109"/>
    <w:rsid w:val="500B71A4"/>
    <w:rsid w:val="502E60F8"/>
    <w:rsid w:val="50334005"/>
    <w:rsid w:val="505E4B9C"/>
    <w:rsid w:val="50850D04"/>
    <w:rsid w:val="50A30487"/>
    <w:rsid w:val="50DD1804"/>
    <w:rsid w:val="51471578"/>
    <w:rsid w:val="51A52CE0"/>
    <w:rsid w:val="52195EFA"/>
    <w:rsid w:val="529674E9"/>
    <w:rsid w:val="52B1378F"/>
    <w:rsid w:val="52C13B4A"/>
    <w:rsid w:val="535D3873"/>
    <w:rsid w:val="537313D5"/>
    <w:rsid w:val="53876B42"/>
    <w:rsid w:val="54153BAB"/>
    <w:rsid w:val="543E18F6"/>
    <w:rsid w:val="546B1FBF"/>
    <w:rsid w:val="54996B2C"/>
    <w:rsid w:val="550A7A2A"/>
    <w:rsid w:val="554A7E27"/>
    <w:rsid w:val="555E1B24"/>
    <w:rsid w:val="556A04C9"/>
    <w:rsid w:val="559E5653"/>
    <w:rsid w:val="55AB3C2F"/>
    <w:rsid w:val="55EC35D4"/>
    <w:rsid w:val="56383CF3"/>
    <w:rsid w:val="56455CD4"/>
    <w:rsid w:val="565C42B5"/>
    <w:rsid w:val="56AE76A6"/>
    <w:rsid w:val="56D4209E"/>
    <w:rsid w:val="56DB2C2D"/>
    <w:rsid w:val="56E4418B"/>
    <w:rsid w:val="57064221"/>
    <w:rsid w:val="5773022F"/>
    <w:rsid w:val="57770C7B"/>
    <w:rsid w:val="57E50495"/>
    <w:rsid w:val="580A1AEF"/>
    <w:rsid w:val="58776655"/>
    <w:rsid w:val="58B74216"/>
    <w:rsid w:val="58C16652"/>
    <w:rsid w:val="58CD513C"/>
    <w:rsid w:val="58F100E5"/>
    <w:rsid w:val="590752B6"/>
    <w:rsid w:val="591F15CA"/>
    <w:rsid w:val="596D67DA"/>
    <w:rsid w:val="59760D08"/>
    <w:rsid w:val="599E6993"/>
    <w:rsid w:val="59AC5554"/>
    <w:rsid w:val="5A564466"/>
    <w:rsid w:val="5A902780"/>
    <w:rsid w:val="5A9F4737"/>
    <w:rsid w:val="5AAE2C06"/>
    <w:rsid w:val="5AE8436A"/>
    <w:rsid w:val="5AF80325"/>
    <w:rsid w:val="5B6339F0"/>
    <w:rsid w:val="5BF6561B"/>
    <w:rsid w:val="5BFA4C14"/>
    <w:rsid w:val="5C2A6C04"/>
    <w:rsid w:val="5C3543D2"/>
    <w:rsid w:val="5C406532"/>
    <w:rsid w:val="5CE36031"/>
    <w:rsid w:val="5DB26EB1"/>
    <w:rsid w:val="5DBA559D"/>
    <w:rsid w:val="5DFE3EA4"/>
    <w:rsid w:val="5E465887"/>
    <w:rsid w:val="5E473A9D"/>
    <w:rsid w:val="5E8425FB"/>
    <w:rsid w:val="5EE50BC0"/>
    <w:rsid w:val="5F181B76"/>
    <w:rsid w:val="5F463D55"/>
    <w:rsid w:val="5F797E9F"/>
    <w:rsid w:val="5FD4389C"/>
    <w:rsid w:val="5FEC48FC"/>
    <w:rsid w:val="6013374F"/>
    <w:rsid w:val="60B116A2"/>
    <w:rsid w:val="60B42F40"/>
    <w:rsid w:val="60B7767B"/>
    <w:rsid w:val="61221DAA"/>
    <w:rsid w:val="61696F59"/>
    <w:rsid w:val="619073AA"/>
    <w:rsid w:val="61D672CA"/>
    <w:rsid w:val="61E63AF5"/>
    <w:rsid w:val="626A2DAC"/>
    <w:rsid w:val="62784498"/>
    <w:rsid w:val="62A86D6B"/>
    <w:rsid w:val="63293771"/>
    <w:rsid w:val="637C7D45"/>
    <w:rsid w:val="639808F7"/>
    <w:rsid w:val="64565496"/>
    <w:rsid w:val="645F2960"/>
    <w:rsid w:val="64654C7D"/>
    <w:rsid w:val="646C7950"/>
    <w:rsid w:val="64BD496D"/>
    <w:rsid w:val="64BE25DF"/>
    <w:rsid w:val="64C44758"/>
    <w:rsid w:val="64F93617"/>
    <w:rsid w:val="655D3BA6"/>
    <w:rsid w:val="65655387"/>
    <w:rsid w:val="659A6BA8"/>
    <w:rsid w:val="65A50F20"/>
    <w:rsid w:val="65FE7BFD"/>
    <w:rsid w:val="66EC6F90"/>
    <w:rsid w:val="66F2031E"/>
    <w:rsid w:val="67AA7E58"/>
    <w:rsid w:val="67AB0BF9"/>
    <w:rsid w:val="68077DF9"/>
    <w:rsid w:val="68382663"/>
    <w:rsid w:val="686314D3"/>
    <w:rsid w:val="6888718C"/>
    <w:rsid w:val="68E5527F"/>
    <w:rsid w:val="69A578CA"/>
    <w:rsid w:val="6A7343B6"/>
    <w:rsid w:val="6AB029CA"/>
    <w:rsid w:val="6AB40090"/>
    <w:rsid w:val="6ADE7537"/>
    <w:rsid w:val="6AE34B4E"/>
    <w:rsid w:val="6B1F6200"/>
    <w:rsid w:val="6B4A3375"/>
    <w:rsid w:val="6B825FC3"/>
    <w:rsid w:val="6B8359E9"/>
    <w:rsid w:val="6C613F7C"/>
    <w:rsid w:val="6C806253"/>
    <w:rsid w:val="6CF748E0"/>
    <w:rsid w:val="6D15191A"/>
    <w:rsid w:val="6D7D3037"/>
    <w:rsid w:val="6D934609"/>
    <w:rsid w:val="6DAE50AD"/>
    <w:rsid w:val="6DDA2238"/>
    <w:rsid w:val="6E0E1EE1"/>
    <w:rsid w:val="6E5A21EA"/>
    <w:rsid w:val="6E8126B3"/>
    <w:rsid w:val="6EB8009F"/>
    <w:rsid w:val="6EC72090"/>
    <w:rsid w:val="6F834B73"/>
    <w:rsid w:val="6F857F81"/>
    <w:rsid w:val="6FC62348"/>
    <w:rsid w:val="6FE10E18"/>
    <w:rsid w:val="6FEC14A9"/>
    <w:rsid w:val="6FEC6252"/>
    <w:rsid w:val="702E23C7"/>
    <w:rsid w:val="70A15EF2"/>
    <w:rsid w:val="70C96037"/>
    <w:rsid w:val="70CB230C"/>
    <w:rsid w:val="716636AC"/>
    <w:rsid w:val="719721EE"/>
    <w:rsid w:val="721E46BD"/>
    <w:rsid w:val="72271FEC"/>
    <w:rsid w:val="72655E48"/>
    <w:rsid w:val="72824C4C"/>
    <w:rsid w:val="728A3B01"/>
    <w:rsid w:val="72D93738"/>
    <w:rsid w:val="73434202"/>
    <w:rsid w:val="734819F2"/>
    <w:rsid w:val="735B7378"/>
    <w:rsid w:val="737A608E"/>
    <w:rsid w:val="73A806E2"/>
    <w:rsid w:val="73BC418E"/>
    <w:rsid w:val="741D2E7E"/>
    <w:rsid w:val="74A16CBA"/>
    <w:rsid w:val="74CB28DA"/>
    <w:rsid w:val="74D53759"/>
    <w:rsid w:val="74F33BDF"/>
    <w:rsid w:val="752B5D11"/>
    <w:rsid w:val="752C70F1"/>
    <w:rsid w:val="75387844"/>
    <w:rsid w:val="753903C8"/>
    <w:rsid w:val="75BD35ED"/>
    <w:rsid w:val="75CC2E8E"/>
    <w:rsid w:val="75DC4AB5"/>
    <w:rsid w:val="75EF406B"/>
    <w:rsid w:val="76391AC6"/>
    <w:rsid w:val="765B7C8E"/>
    <w:rsid w:val="76707B96"/>
    <w:rsid w:val="76726D86"/>
    <w:rsid w:val="768D36C7"/>
    <w:rsid w:val="76C3504D"/>
    <w:rsid w:val="770422FE"/>
    <w:rsid w:val="7746449A"/>
    <w:rsid w:val="775546DD"/>
    <w:rsid w:val="778C3E77"/>
    <w:rsid w:val="77E31CE9"/>
    <w:rsid w:val="78376C25"/>
    <w:rsid w:val="78746DE5"/>
    <w:rsid w:val="78A72AF0"/>
    <w:rsid w:val="790F6B0E"/>
    <w:rsid w:val="79134850"/>
    <w:rsid w:val="79200163"/>
    <w:rsid w:val="79261AEA"/>
    <w:rsid w:val="7956473D"/>
    <w:rsid w:val="798661F3"/>
    <w:rsid w:val="799314ED"/>
    <w:rsid w:val="79EE2C15"/>
    <w:rsid w:val="7AA46F38"/>
    <w:rsid w:val="7B467F1D"/>
    <w:rsid w:val="7BA7772C"/>
    <w:rsid w:val="7C0924C9"/>
    <w:rsid w:val="7C507B69"/>
    <w:rsid w:val="7C711A95"/>
    <w:rsid w:val="7C8D4919"/>
    <w:rsid w:val="7CBA4FE2"/>
    <w:rsid w:val="7CD24A22"/>
    <w:rsid w:val="7D2F777E"/>
    <w:rsid w:val="7D5F0561"/>
    <w:rsid w:val="7D60202E"/>
    <w:rsid w:val="7D6458CE"/>
    <w:rsid w:val="7D8555F0"/>
    <w:rsid w:val="7D916095"/>
    <w:rsid w:val="7DB14637"/>
    <w:rsid w:val="7DC51E91"/>
    <w:rsid w:val="7E141A72"/>
    <w:rsid w:val="7E703977"/>
    <w:rsid w:val="7E963DC6"/>
    <w:rsid w:val="7EF02F3D"/>
    <w:rsid w:val="7F1B1599"/>
    <w:rsid w:val="7F5F65D1"/>
    <w:rsid w:val="7F606315"/>
    <w:rsid w:val="7F6210EB"/>
    <w:rsid w:val="7F8B73C1"/>
    <w:rsid w:val="7F961D37"/>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3">
    <w:name w:val="heading 2"/>
    <w:basedOn w:val="1"/>
    <w:next w:val="1"/>
    <w:link w:val="30"/>
    <w:semiHidden/>
    <w:unhideWhenUsed/>
    <w:qFormat/>
    <w:uiPriority w:val="9"/>
    <w:pPr>
      <w:spacing w:line="416" w:lineRule="auto"/>
      <w:outlineLvl w:val="1"/>
    </w:pPr>
    <w:rPr>
      <w:rFonts w:asciiTheme="majorHAnsi" w:hAnsiTheme="majorHAnsi" w:eastAsiaTheme="majorEastAsia" w:cstheme="majorBidi"/>
      <w:sz w:val="32"/>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29"/>
    <w:semiHidden/>
    <w:unhideWhenUsed/>
    <w:qFormat/>
    <w:uiPriority w:val="99"/>
    <w:rPr>
      <w:rFonts w:ascii="宋体" w:eastAsia="宋体"/>
      <w:sz w:val="18"/>
      <w:szCs w:val="18"/>
    </w:rPr>
  </w:style>
  <w:style w:type="paragraph" w:styleId="8">
    <w:name w:val="annotation text"/>
    <w:basedOn w:val="1"/>
    <w:link w:val="31"/>
    <w:unhideWhenUsed/>
    <w:qFormat/>
    <w:uiPriority w:val="99"/>
    <w:pPr>
      <w:jc w:val="left"/>
    </w:pPr>
  </w:style>
  <w:style w:type="paragraph" w:styleId="9">
    <w:name w:val="Body Text"/>
    <w:basedOn w:val="1"/>
    <w:next w:val="1"/>
    <w:qFormat/>
    <w:uiPriority w:val="0"/>
    <w:pPr>
      <w:spacing w:line="360" w:lineRule="auto"/>
    </w:pPr>
    <w:rPr>
      <w:b/>
      <w:bCs/>
      <w:sz w:val="24"/>
    </w:rPr>
  </w:style>
  <w:style w:type="paragraph" w:styleId="10">
    <w:name w:val="Balloon Text"/>
    <w:basedOn w:val="1"/>
    <w:link w:val="25"/>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line="360" w:lineRule="auto"/>
    </w:pPr>
    <w:rPr>
      <w:sz w:val="24"/>
    </w:rPr>
  </w:style>
  <w:style w:type="paragraph" w:styleId="14">
    <w:name w:val="Normal (Web)"/>
    <w:basedOn w:val="1"/>
    <w:link w:val="26"/>
    <w:qFormat/>
    <w:uiPriority w:val="99"/>
    <w:pPr>
      <w:widowControl/>
      <w:spacing w:before="100" w:beforeAutospacing="1" w:afterAutospacing="1"/>
      <w:jc w:val="left"/>
    </w:pPr>
    <w:rPr>
      <w:rFonts w:ascii="宋体" w:hAnsi="宋体"/>
      <w:sz w:val="24"/>
      <w:szCs w:val="24"/>
    </w:rPr>
  </w:style>
  <w:style w:type="paragraph" w:styleId="15">
    <w:name w:val="annotation subject"/>
    <w:basedOn w:val="8"/>
    <w:next w:val="8"/>
    <w:link w:val="33"/>
    <w:semiHidden/>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FollowedHyperlink"/>
    <w:basedOn w:val="18"/>
    <w:semiHidden/>
    <w:unhideWhenUsed/>
    <w:qFormat/>
    <w:uiPriority w:val="99"/>
    <w:rPr>
      <w:color w:val="800080" w:themeColor="followedHyperlink"/>
      <w:u w:val="single"/>
      <w14:textFill>
        <w14:solidFill>
          <w14:schemeClr w14:val="folHlink"/>
        </w14:solidFill>
      </w14:textFill>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character" w:styleId="22">
    <w:name w:val="annotation reference"/>
    <w:basedOn w:val="18"/>
    <w:semiHidden/>
    <w:unhideWhenUsed/>
    <w:qFormat/>
    <w:uiPriority w:val="99"/>
    <w:rPr>
      <w:sz w:val="21"/>
      <w:szCs w:val="21"/>
    </w:rPr>
  </w:style>
  <w:style w:type="character" w:customStyle="1" w:styleId="23">
    <w:name w:val="页眉 字符"/>
    <w:basedOn w:val="18"/>
    <w:link w:val="12"/>
    <w:qFormat/>
    <w:uiPriority w:val="99"/>
    <w:rPr>
      <w:sz w:val="18"/>
      <w:szCs w:val="18"/>
    </w:rPr>
  </w:style>
  <w:style w:type="character" w:customStyle="1" w:styleId="24">
    <w:name w:val="页脚 字符"/>
    <w:basedOn w:val="18"/>
    <w:link w:val="11"/>
    <w:qFormat/>
    <w:uiPriority w:val="99"/>
    <w:rPr>
      <w:sz w:val="18"/>
      <w:szCs w:val="18"/>
    </w:rPr>
  </w:style>
  <w:style w:type="character" w:customStyle="1" w:styleId="25">
    <w:name w:val="批注框文本 字符"/>
    <w:basedOn w:val="18"/>
    <w:link w:val="10"/>
    <w:semiHidden/>
    <w:qFormat/>
    <w:uiPriority w:val="99"/>
    <w:rPr>
      <w:sz w:val="18"/>
      <w:szCs w:val="18"/>
    </w:rPr>
  </w:style>
  <w:style w:type="character" w:customStyle="1" w:styleId="26">
    <w:name w:val="普通(网站) 字符"/>
    <w:link w:val="14"/>
    <w:qFormat/>
    <w:uiPriority w:val="99"/>
    <w:rPr>
      <w:rFonts w:ascii="宋体" w:hAnsi="宋体"/>
      <w:sz w:val="24"/>
      <w:szCs w:val="24"/>
    </w:rPr>
  </w:style>
  <w:style w:type="character" w:customStyle="1" w:styleId="27">
    <w:name w:val="标题 1 字符"/>
    <w:basedOn w:val="18"/>
    <w:link w:val="2"/>
    <w:qFormat/>
    <w:uiPriority w:val="0"/>
    <w:rPr>
      <w:rFonts w:ascii="Arial" w:hAnsi="Arial" w:eastAsia="宋体" w:cs="Times New Roman"/>
      <w:b/>
      <w:bCs/>
      <w:kern w:val="44"/>
      <w:sz w:val="44"/>
      <w:szCs w:val="44"/>
    </w:rPr>
  </w:style>
  <w:style w:type="paragraph" w:styleId="28">
    <w:name w:val="List Paragraph"/>
    <w:basedOn w:val="1"/>
    <w:qFormat/>
    <w:uiPriority w:val="34"/>
    <w:pPr>
      <w:ind w:firstLine="420" w:firstLineChars="200"/>
    </w:pPr>
  </w:style>
  <w:style w:type="character" w:customStyle="1" w:styleId="29">
    <w:name w:val="文档结构图 字符"/>
    <w:basedOn w:val="18"/>
    <w:link w:val="7"/>
    <w:semiHidden/>
    <w:qFormat/>
    <w:uiPriority w:val="99"/>
    <w:rPr>
      <w:rFonts w:ascii="宋体" w:eastAsia="宋体"/>
      <w:sz w:val="18"/>
      <w:szCs w:val="18"/>
    </w:rPr>
  </w:style>
  <w:style w:type="character" w:customStyle="1" w:styleId="30">
    <w:name w:val="标题 2 字符"/>
    <w:basedOn w:val="18"/>
    <w:link w:val="3"/>
    <w:semiHidden/>
    <w:qFormat/>
    <w:uiPriority w:val="9"/>
    <w:rPr>
      <w:rFonts w:asciiTheme="majorHAnsi" w:hAnsiTheme="majorHAnsi" w:eastAsiaTheme="majorEastAsia" w:cstheme="majorBidi"/>
      <w:b/>
      <w:bCs/>
      <w:sz w:val="32"/>
      <w:szCs w:val="32"/>
    </w:rPr>
  </w:style>
  <w:style w:type="character" w:customStyle="1" w:styleId="31">
    <w:name w:val="批注文字 字符"/>
    <w:basedOn w:val="18"/>
    <w:link w:val="8"/>
    <w:qFormat/>
    <w:uiPriority w:val="99"/>
  </w:style>
  <w:style w:type="character" w:customStyle="1" w:styleId="32">
    <w:name w:val="标题 3 Char"/>
    <w:qFormat/>
    <w:uiPriority w:val="0"/>
    <w:rPr>
      <w:rFonts w:ascii="黑体" w:eastAsia="黑体"/>
      <w:bCs/>
      <w:sz w:val="30"/>
    </w:rPr>
  </w:style>
  <w:style w:type="character" w:customStyle="1" w:styleId="33">
    <w:name w:val="批注主题 字符"/>
    <w:basedOn w:val="31"/>
    <w:link w:val="15"/>
    <w:semiHidden/>
    <w:qFormat/>
    <w:uiPriority w:val="99"/>
    <w:rPr>
      <w:b/>
      <w:bCs/>
    </w:rPr>
  </w:style>
  <w:style w:type="table" w:customStyle="1" w:styleId="34">
    <w:name w:val="网格型1"/>
    <w:basedOn w:val="16"/>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Table Paragraph"/>
    <w:qFormat/>
    <w:uiPriority w:val="1"/>
    <w:pPr>
      <w:widowControl w:val="0"/>
      <w:jc w:val="both"/>
    </w:pPr>
    <w:rPr>
      <w:rFonts w:ascii="宋体" w:hAnsi="宋体" w:eastAsia="宋体" w:cs="宋体"/>
      <w:kern w:val="2"/>
      <w:sz w:val="21"/>
      <w:szCs w:val="24"/>
      <w:lang w:val="zh-CN" w:eastAsia="zh-CN" w:bidi="zh-CN"/>
    </w:rPr>
  </w:style>
  <w:style w:type="paragraph" w:customStyle="1" w:styleId="36">
    <w:name w:val="Normal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8">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styleId="39">
    <w:name w:val="No Spacing"/>
    <w:qFormat/>
    <w:uiPriority w:val="1"/>
    <w:pPr>
      <w:widowControl w:val="0"/>
      <w:jc w:val="both"/>
    </w:pPr>
    <w:rPr>
      <w:rFonts w:ascii="等线" w:hAnsi="等线" w:eastAsia="等线" w:cs="Times New Roman"/>
      <w:kern w:val="2"/>
      <w:sz w:val="21"/>
      <w:szCs w:val="22"/>
      <w:lang w:val="en-US" w:eastAsia="zh-CN" w:bidi="ar-SA"/>
    </w:rPr>
  </w:style>
  <w:style w:type="character" w:customStyle="1" w:styleId="40">
    <w:name w:val="font11"/>
    <w:basedOn w:val="18"/>
    <w:qFormat/>
    <w:uiPriority w:val="0"/>
    <w:rPr>
      <w:rFonts w:hint="eastAsia" w:ascii="宋体" w:hAnsi="宋体" w:eastAsia="宋体" w:cs="宋体"/>
      <w:color w:val="000000"/>
      <w:sz w:val="21"/>
      <w:szCs w:val="21"/>
      <w:u w:val="none"/>
    </w:rPr>
  </w:style>
  <w:style w:type="character" w:customStyle="1" w:styleId="41">
    <w:name w:val="font21"/>
    <w:basedOn w:val="18"/>
    <w:qFormat/>
    <w:uiPriority w:val="0"/>
    <w:rPr>
      <w:rFonts w:hint="eastAsia" w:ascii="宋体" w:hAnsi="宋体" w:eastAsia="宋体" w:cs="宋体"/>
      <w:color w:val="000000"/>
      <w:sz w:val="21"/>
      <w:szCs w:val="21"/>
      <w:u w:val="none"/>
    </w:rPr>
  </w:style>
  <w:style w:type="character" w:customStyle="1" w:styleId="42">
    <w:name w:val="font31"/>
    <w:basedOn w:val="18"/>
    <w:qFormat/>
    <w:uiPriority w:val="0"/>
    <w:rPr>
      <w:rFonts w:hint="eastAsia" w:ascii="宋体" w:hAnsi="宋体" w:eastAsia="宋体" w:cs="宋体"/>
      <w:b/>
      <w:bCs/>
      <w:color w:val="000000"/>
      <w:sz w:val="21"/>
      <w:szCs w:val="21"/>
      <w:u w:val="none"/>
    </w:rPr>
  </w:style>
  <w:style w:type="character" w:customStyle="1" w:styleId="43">
    <w:name w:val="font41"/>
    <w:basedOn w:val="18"/>
    <w:qFormat/>
    <w:uiPriority w:val="0"/>
    <w:rPr>
      <w:rFonts w:hint="eastAsia" w:ascii="宋体" w:hAnsi="宋体" w:eastAsia="宋体" w:cs="宋体"/>
      <w:b/>
      <w:bCs/>
      <w:color w:val="000000"/>
      <w:sz w:val="21"/>
      <w:szCs w:val="21"/>
      <w:u w:val="none"/>
    </w:rPr>
  </w:style>
  <w:style w:type="character" w:customStyle="1" w:styleId="44">
    <w:name w:val="font51"/>
    <w:basedOn w:val="18"/>
    <w:qFormat/>
    <w:uiPriority w:val="0"/>
    <w:rPr>
      <w:rFonts w:hint="eastAsia" w:ascii="宋体" w:hAnsi="宋体" w:eastAsia="宋体" w:cs="宋体"/>
      <w:strike/>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74</Pages>
  <Words>62102</Words>
  <Characters>66244</Characters>
  <Lines>520</Lines>
  <Paragraphs>146</Paragraphs>
  <TotalTime>79</TotalTime>
  <ScaleCrop>false</ScaleCrop>
  <LinksUpToDate>false</LinksUpToDate>
  <CharactersWithSpaces>70179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2021-03-03T00:56:00Z</dcterms:created>
  <dc:creator>win7-1</dc:creator>
  <cp:lastModifiedBy>DCM</cp:lastModifiedBy>
  <cp:lastPrinted>2021-01-15T01:17:00Z</cp:lastPrinted>
  <dcterms:modified xsi:type="dcterms:W3CDTF">2024-07-27T12:39:59Z</dcterms:modified>
  <cp:revision>439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4A11BE8B409F44DE99176377A672BA36_13</vt:lpwstr>
  </property>
</Properties>
</file>